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auto"/>
          <w:sz w:val="32"/>
          <w:szCs w:val="32"/>
          <w:u w:val="none" w:color="auto"/>
        </w:rPr>
      </w:pPr>
    </w:p>
    <w:p>
      <w:pPr>
        <w:jc w:val="center"/>
        <w:rPr>
          <w:b/>
          <w:bCs/>
          <w:color w:val="auto"/>
          <w:sz w:val="32"/>
          <w:szCs w:val="32"/>
          <w:u w:val="none" w:color="auto"/>
        </w:rPr>
      </w:pPr>
    </w:p>
    <w:p>
      <w:pPr>
        <w:jc w:val="center"/>
        <w:rPr>
          <w:b/>
          <w:bCs/>
          <w:color w:val="auto"/>
          <w:sz w:val="32"/>
          <w:szCs w:val="32"/>
          <w:u w:val="none" w:color="auto"/>
        </w:rPr>
      </w:pPr>
    </w:p>
    <w:p>
      <w:pPr>
        <w:widowControl/>
        <w:adjustRightInd w:val="0"/>
        <w:snapToGrid w:val="0"/>
        <w:spacing w:after="200"/>
        <w:jc w:val="center"/>
        <w:rPr>
          <w:rFonts w:hint="eastAsia" w:ascii="Times New Roman" w:hAnsi="Times New Roman" w:eastAsia="华文新魏" w:cs="Times New Roman"/>
          <w:b/>
          <w:bCs/>
          <w:color w:val="auto"/>
          <w:kern w:val="0"/>
          <w:sz w:val="52"/>
          <w:szCs w:val="52"/>
          <w:u w:val="none" w:color="auto"/>
          <w:lang w:eastAsia="zh-CN"/>
        </w:rPr>
      </w:pPr>
      <w:r>
        <w:rPr>
          <w:rFonts w:hint="default" w:ascii="Times New Roman" w:hAnsi="Times New Roman" w:eastAsia="华文新魏" w:cs="Times New Roman"/>
          <w:b/>
          <w:bCs/>
          <w:color w:val="auto"/>
          <w:kern w:val="0"/>
          <w:sz w:val="52"/>
          <w:szCs w:val="52"/>
          <w:u w:val="none" w:color="auto"/>
        </w:rPr>
        <w:t>永州大道包装有限公司</w:t>
      </w:r>
      <w:r>
        <w:rPr>
          <w:rFonts w:hint="eastAsia" w:ascii="Times New Roman" w:hAnsi="Times New Roman" w:eastAsia="华文新魏" w:cs="Times New Roman"/>
          <w:b/>
          <w:bCs/>
          <w:color w:val="auto"/>
          <w:kern w:val="0"/>
          <w:sz w:val="52"/>
          <w:szCs w:val="52"/>
          <w:u w:val="none" w:color="auto"/>
          <w:lang w:eastAsia="zh-CN"/>
        </w:rPr>
        <w:t>塑料软包装卷膜及袋包印刷包装生产项目</w:t>
      </w:r>
    </w:p>
    <w:p>
      <w:pPr>
        <w:widowControl/>
        <w:adjustRightInd w:val="0"/>
        <w:snapToGrid w:val="0"/>
        <w:spacing w:after="200" w:line="240" w:lineRule="exact"/>
        <w:rPr>
          <w:rFonts w:hint="eastAsia" w:ascii="黑体" w:hAnsi="宋体" w:eastAsia="黑体"/>
          <w:b/>
          <w:bCs/>
          <w:color w:val="auto"/>
          <w:spacing w:val="60"/>
          <w:kern w:val="0"/>
          <w:sz w:val="72"/>
          <w:szCs w:val="72"/>
          <w:u w:val="none" w:color="auto"/>
        </w:rPr>
      </w:pPr>
      <w:r>
        <w:rPr>
          <w:rFonts w:hint="eastAsia" w:ascii="黑体" w:hAnsi="宋体" w:eastAsia="黑体"/>
          <w:b/>
          <w:bCs/>
          <w:color w:val="auto"/>
          <w:spacing w:val="60"/>
          <w:kern w:val="0"/>
          <w:sz w:val="72"/>
          <w:szCs w:val="72"/>
          <w:u w:val="none" w:color="auto"/>
        </w:rPr>
        <w:t xml:space="preserve"> </w:t>
      </w:r>
    </w:p>
    <w:p>
      <w:pPr>
        <w:widowControl/>
        <w:adjustRightInd w:val="0"/>
        <w:snapToGrid w:val="0"/>
        <w:spacing w:after="200" w:line="240" w:lineRule="exact"/>
        <w:rPr>
          <w:rFonts w:hint="eastAsia" w:ascii="黑体" w:hAnsi="宋体" w:eastAsia="黑体"/>
          <w:b/>
          <w:bCs/>
          <w:color w:val="auto"/>
          <w:spacing w:val="60"/>
          <w:kern w:val="0"/>
          <w:sz w:val="72"/>
          <w:szCs w:val="72"/>
          <w:u w:val="none" w:color="auto"/>
        </w:rPr>
      </w:pPr>
      <w:r>
        <w:rPr>
          <w:rFonts w:hint="eastAsia" w:ascii="黑体" w:hAnsi="宋体" w:eastAsia="黑体"/>
          <w:b/>
          <w:bCs/>
          <w:color w:val="auto"/>
          <w:spacing w:val="60"/>
          <w:kern w:val="0"/>
          <w:sz w:val="72"/>
          <w:szCs w:val="72"/>
          <w:u w:val="none" w:color="auto"/>
        </w:rPr>
        <w:t xml:space="preserve"> </w:t>
      </w:r>
    </w:p>
    <w:p>
      <w:pPr>
        <w:widowControl/>
        <w:adjustRightInd w:val="0"/>
        <w:snapToGrid w:val="0"/>
        <w:spacing w:after="200"/>
        <w:jc w:val="center"/>
        <w:rPr>
          <w:rFonts w:hint="eastAsia" w:ascii="黑体" w:hAnsi="宋体" w:eastAsia="黑体"/>
          <w:b/>
          <w:bCs/>
          <w:color w:val="auto"/>
          <w:spacing w:val="60"/>
          <w:kern w:val="0"/>
          <w:sz w:val="72"/>
          <w:szCs w:val="72"/>
          <w:u w:val="none" w:color="auto"/>
        </w:rPr>
      </w:pPr>
      <w:r>
        <w:rPr>
          <w:rFonts w:hint="eastAsia" w:ascii="黑体" w:hAnsi="黑体" w:eastAsia="黑体"/>
          <w:b/>
          <w:bCs/>
          <w:color w:val="auto"/>
          <w:spacing w:val="60"/>
          <w:kern w:val="0"/>
          <w:sz w:val="72"/>
          <w:szCs w:val="72"/>
          <w:u w:val="none" w:color="auto"/>
        </w:rPr>
        <w:t>环境影响报告书</w:t>
      </w: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widowControl/>
        <w:adjustRightInd w:val="0"/>
        <w:snapToGrid w:val="0"/>
        <w:spacing w:after="200"/>
        <w:jc w:val="center"/>
        <w:rPr>
          <w:rFonts w:hint="eastAsia" w:ascii="Tahoma" w:hAnsi="Tahoma"/>
          <w:color w:val="auto"/>
          <w:kern w:val="0"/>
          <w:sz w:val="22"/>
          <w:szCs w:val="22"/>
          <w:u w:val="none" w:color="auto"/>
        </w:rPr>
      </w:pPr>
    </w:p>
    <w:p>
      <w:pPr>
        <w:keepNext w:val="0"/>
        <w:keepLines w:val="0"/>
        <w:pageBreakBefore w:val="0"/>
        <w:widowControl/>
        <w:kinsoku w:val="0"/>
        <w:wordWrap/>
        <w:overflowPunct/>
        <w:topLinePunct w:val="0"/>
        <w:autoSpaceDE w:val="0"/>
        <w:autoSpaceDN w:val="0"/>
        <w:bidi w:val="0"/>
        <w:adjustRightInd w:val="0"/>
        <w:snapToGrid w:val="0"/>
        <w:spacing w:after="200"/>
        <w:ind w:firstLine="0" w:firstLineChars="0"/>
        <w:jc w:val="center"/>
        <w:textAlignment w:val="baseline"/>
        <w:rPr>
          <w:rFonts w:hint="eastAsia" w:ascii="华文新魏" w:hAnsi="宋体" w:eastAsia="华文新魏"/>
          <w:b/>
          <w:bCs/>
          <w:color w:val="auto"/>
          <w:kern w:val="0"/>
          <w:sz w:val="36"/>
          <w:szCs w:val="36"/>
          <w:u w:val="none" w:color="auto"/>
        </w:rPr>
      </w:pPr>
      <w:r>
        <w:rPr>
          <w:rFonts w:hint="eastAsia" w:ascii="华文新魏" w:hAnsi="宋体" w:eastAsia="华文新魏"/>
          <w:b/>
          <w:bCs/>
          <w:color w:val="auto"/>
          <w:kern w:val="0"/>
          <w:sz w:val="36"/>
          <w:szCs w:val="36"/>
          <w:u w:val="none" w:color="auto"/>
        </w:rPr>
        <w:t>建设单位：永州大道包装有限公司</w:t>
      </w:r>
    </w:p>
    <w:p>
      <w:pPr>
        <w:keepNext w:val="0"/>
        <w:keepLines w:val="0"/>
        <w:pageBreakBefore w:val="0"/>
        <w:widowControl/>
        <w:kinsoku w:val="0"/>
        <w:wordWrap/>
        <w:overflowPunct/>
        <w:topLinePunct w:val="0"/>
        <w:autoSpaceDE w:val="0"/>
        <w:autoSpaceDN w:val="0"/>
        <w:bidi w:val="0"/>
        <w:adjustRightInd w:val="0"/>
        <w:snapToGrid w:val="0"/>
        <w:spacing w:after="200"/>
        <w:ind w:firstLine="0" w:firstLineChars="0"/>
        <w:jc w:val="center"/>
        <w:textAlignment w:val="baseline"/>
        <w:rPr>
          <w:rFonts w:ascii="华文新魏" w:hAnsi="宋体" w:eastAsia="华文新魏"/>
          <w:b/>
          <w:bCs/>
          <w:color w:val="auto"/>
          <w:kern w:val="0"/>
          <w:sz w:val="50"/>
          <w:szCs w:val="50"/>
          <w:u w:val="none" w:color="auto"/>
        </w:rPr>
      </w:pPr>
      <w:r>
        <w:rPr>
          <w:rFonts w:hint="eastAsia" w:ascii="华文新魏" w:hAnsi="宋体" w:eastAsia="华文新魏"/>
          <w:b/>
          <w:bCs/>
          <w:color w:val="auto"/>
          <w:kern w:val="0"/>
          <w:sz w:val="36"/>
          <w:szCs w:val="36"/>
          <w:u w:val="none" w:color="auto"/>
        </w:rPr>
        <w:t>评价单位：湖南振德环保科技有限公司</w:t>
      </w:r>
    </w:p>
    <w:p>
      <w:pPr>
        <w:keepNext w:val="0"/>
        <w:keepLines w:val="0"/>
        <w:pageBreakBefore w:val="0"/>
        <w:widowControl/>
        <w:kinsoku w:val="0"/>
        <w:wordWrap/>
        <w:overflowPunct/>
        <w:topLinePunct w:val="0"/>
        <w:autoSpaceDE w:val="0"/>
        <w:autoSpaceDN w:val="0"/>
        <w:bidi w:val="0"/>
        <w:adjustRightInd w:val="0"/>
        <w:snapToGrid w:val="0"/>
        <w:spacing w:after="200"/>
        <w:ind w:firstLine="0" w:firstLineChars="0"/>
        <w:jc w:val="center"/>
        <w:textAlignment w:val="baseline"/>
        <w:rPr>
          <w:rFonts w:hint="default" w:ascii="Times New Roman" w:hAnsi="Times New Roman" w:cs="Times New Roman"/>
          <w:color w:val="auto"/>
          <w:szCs w:val="28"/>
          <w:u w:val="none" w:color="auto"/>
        </w:rPr>
        <w:sectPr>
          <w:headerReference r:id="rId5" w:type="default"/>
          <w:footerReference r:id="rId6" w:type="default"/>
          <w:pgSz w:w="11906" w:h="16839"/>
          <w:pgMar w:top="1134" w:right="1134" w:bottom="1134" w:left="1134" w:header="850" w:footer="1020" w:gutter="0"/>
          <w:pgBorders>
            <w:top w:val="none" w:sz="0" w:space="0"/>
            <w:left w:val="none" w:sz="0" w:space="0"/>
            <w:bottom w:val="none" w:sz="0" w:space="0"/>
            <w:right w:val="none" w:sz="0" w:space="0"/>
          </w:pgBorders>
          <w:pgNumType w:fmt="decimal"/>
          <w:cols w:space="0" w:num="1"/>
          <w:rtlGutter w:val="0"/>
          <w:docGrid w:linePitch="0" w:charSpace="0"/>
        </w:sectPr>
      </w:pPr>
      <w:r>
        <w:rPr>
          <w:rFonts w:hint="default" w:ascii="Times New Roman" w:hAnsi="Times New Roman" w:eastAsia="华文新魏" w:cs="Times New Roman"/>
          <w:b/>
          <w:bCs/>
          <w:color w:val="auto"/>
          <w:kern w:val="0"/>
          <w:sz w:val="36"/>
          <w:szCs w:val="36"/>
          <w:u w:val="none" w:color="auto"/>
          <w:lang w:val="en-US" w:eastAsia="zh-CN"/>
        </w:rPr>
        <w:t>2024</w:t>
      </w:r>
      <w:r>
        <w:rPr>
          <w:rFonts w:hint="default" w:ascii="Times New Roman" w:hAnsi="Times New Roman" w:eastAsia="华文新魏" w:cs="Times New Roman"/>
          <w:b/>
          <w:bCs/>
          <w:color w:val="auto"/>
          <w:kern w:val="0"/>
          <w:sz w:val="36"/>
          <w:szCs w:val="36"/>
          <w:u w:val="none" w:color="auto"/>
        </w:rPr>
        <w:t>年</w:t>
      </w:r>
      <w:r>
        <w:rPr>
          <w:rFonts w:hint="default" w:ascii="Times New Roman" w:hAnsi="Times New Roman" w:eastAsia="华文新魏" w:cs="Times New Roman"/>
          <w:b/>
          <w:bCs/>
          <w:color w:val="auto"/>
          <w:kern w:val="0"/>
          <w:sz w:val="36"/>
          <w:szCs w:val="36"/>
          <w:u w:val="none" w:color="auto"/>
          <w:lang w:val="en-US" w:eastAsia="zh-CN"/>
        </w:rPr>
        <w:t>11</w:t>
      </w:r>
      <w:r>
        <w:rPr>
          <w:rFonts w:hint="default" w:ascii="Times New Roman" w:hAnsi="Times New Roman" w:eastAsia="华文新魏" w:cs="Times New Roman"/>
          <w:b/>
          <w:bCs/>
          <w:color w:val="auto"/>
          <w:kern w:val="0"/>
          <w:sz w:val="36"/>
          <w:szCs w:val="36"/>
          <w:u w:val="none" w:color="auto"/>
        </w:rPr>
        <w:t>月</w:t>
      </w:r>
      <w:bookmarkStart w:id="180" w:name="_GoBack"/>
      <w:bookmarkEnd w:id="180"/>
    </w:p>
    <w:sdt>
      <w:sdtPr>
        <w:rPr>
          <w:rFonts w:ascii="宋体" w:hAnsi="宋体" w:eastAsia="宋体" w:cs="Arial"/>
          <w:snapToGrid w:val="0"/>
          <w:color w:val="auto"/>
          <w:kern w:val="0"/>
          <w:sz w:val="21"/>
          <w:szCs w:val="21"/>
          <w:lang w:val="en-US" w:eastAsia="en-US" w:bidi="ar-SA"/>
        </w:rPr>
        <w:id w:val="147481063"/>
        <w15:color w:val="DBDBDB"/>
        <w:docPartObj>
          <w:docPartGallery w:val="Table of Contents"/>
          <w:docPartUnique/>
        </w:docPartObj>
      </w:sdtPr>
      <w:sdtEndPr>
        <w:rPr>
          <w:rFonts w:hint="default" w:ascii="Times New Roman" w:hAnsi="Times New Roman" w:eastAsia="Arial" w:cs="Times New Roman"/>
          <w:snapToGrid w:val="0"/>
          <w:color w:val="auto"/>
          <w:kern w:val="0"/>
          <w:sz w:val="24"/>
          <w:szCs w:val="24"/>
          <w:lang w:val="en-US" w:eastAsia="en-US" w:bidi="ar-SA"/>
        </w:rPr>
      </w:sdtEndPr>
      <w:sdtContent>
        <w:p>
          <w:pPr>
            <w:spacing w:before="0" w:beforeLines="0" w:after="0" w:afterLines="0" w:line="240" w:lineRule="auto"/>
            <w:ind w:left="0" w:leftChars="0" w:right="0" w:rightChars="0" w:firstLine="0" w:firstLineChars="0"/>
            <w:jc w:val="center"/>
            <w:rPr>
              <w:b/>
              <w:bCs/>
              <w:color w:val="auto"/>
              <w:sz w:val="32"/>
              <w:szCs w:val="32"/>
            </w:rPr>
          </w:pPr>
          <w:r>
            <w:rPr>
              <w:rFonts w:ascii="宋体" w:hAnsi="宋体" w:eastAsia="宋体"/>
              <w:b/>
              <w:bCs/>
              <w:color w:val="auto"/>
              <w:sz w:val="32"/>
              <w:szCs w:val="32"/>
            </w:rPr>
            <w:t>目录</w:t>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"1-2" \h \u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_Toc19435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1 概述</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_Toc19435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_Toc5673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1.1 </w:t>
          </w:r>
          <w:r>
            <w:rPr>
              <w:rFonts w:hint="default" w:ascii="Times New Roman" w:hAnsi="Times New Roman" w:cs="Times New Roman"/>
              <w:color w:val="auto"/>
              <w:sz w:val="24"/>
              <w:szCs w:val="24"/>
            </w:rPr>
            <w:t>项目由来</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_Toc5673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_Toc14405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1.2 </w:t>
          </w:r>
          <w:r>
            <w:rPr>
              <w:rFonts w:hint="default" w:ascii="Times New Roman" w:hAnsi="Times New Roman" w:cs="Times New Roman"/>
              <w:color w:val="auto"/>
              <w:sz w:val="24"/>
              <w:szCs w:val="24"/>
            </w:rPr>
            <w:t>环评工作过程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_Toc14405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_Toc21470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1.3 </w:t>
          </w:r>
          <w:r>
            <w:rPr>
              <w:rFonts w:hint="default" w:ascii="Times New Roman" w:hAnsi="Times New Roman" w:cs="Times New Roman"/>
              <w:color w:val="auto"/>
              <w:sz w:val="24"/>
              <w:szCs w:val="24"/>
            </w:rPr>
            <w:t>建设项目特点及环评工作重点</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_Toc21470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_Toc11771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1.4 </w:t>
          </w:r>
          <w:r>
            <w:rPr>
              <w:rFonts w:hint="default" w:ascii="Times New Roman" w:hAnsi="Times New Roman" w:cs="Times New Roman"/>
              <w:color w:val="auto"/>
              <w:sz w:val="24"/>
              <w:szCs w:val="24"/>
            </w:rPr>
            <w:t>本项目主要关注的环境问题</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_Toc11771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- 4 -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_Toc16600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lang w:val="en-US" w:eastAsia="en-US"/>
            </w:rPr>
            <w:t xml:space="preserve">1.5 </w:t>
          </w:r>
          <w:r>
            <w:rPr>
              <w:rFonts w:hint="default" w:ascii="Times New Roman" w:hAnsi="Times New Roman" w:cs="Times New Roman"/>
              <w:color w:val="auto"/>
              <w:sz w:val="24"/>
              <w:szCs w:val="24"/>
              <w:lang w:val="en-US" w:eastAsia="en-US"/>
            </w:rPr>
            <w:t>分析判定相关情况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_Toc16600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- 4 -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_Toc27861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1.6 </w:t>
          </w:r>
          <w:r>
            <w:rPr>
              <w:rFonts w:hint="default" w:ascii="Times New Roman" w:hAnsi="Times New Roman" w:cs="Times New Roman"/>
              <w:color w:val="auto"/>
              <w:sz w:val="24"/>
              <w:szCs w:val="24"/>
            </w:rPr>
            <w:t>综合结论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_Toc27861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_Toc8851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2 总则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_Toc8851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_Toc24039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2.1 </w:t>
          </w:r>
          <w:r>
            <w:rPr>
              <w:rFonts w:hint="default" w:ascii="Times New Roman" w:hAnsi="Times New Roman" w:cs="Times New Roman"/>
              <w:color w:val="auto"/>
              <w:sz w:val="24"/>
              <w:szCs w:val="24"/>
            </w:rPr>
            <w:t>评价目的</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_Toc24039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_Toc14647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2.2 </w:t>
          </w:r>
          <w:r>
            <w:rPr>
              <w:rFonts w:hint="default" w:ascii="Times New Roman" w:hAnsi="Times New Roman" w:cs="Times New Roman"/>
              <w:color w:val="auto"/>
              <w:sz w:val="24"/>
              <w:szCs w:val="24"/>
            </w:rPr>
            <w:t>编制依据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_Toc14647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_Toc22162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2.3 </w:t>
          </w:r>
          <w:r>
            <w:rPr>
              <w:rFonts w:hint="default" w:ascii="Times New Roman" w:hAnsi="Times New Roman" w:cs="Times New Roman"/>
              <w:color w:val="auto"/>
              <w:sz w:val="24"/>
              <w:szCs w:val="24"/>
            </w:rPr>
            <w:t>环境影响识别及评价因子筛选</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_Toc22162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_Toc11021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2.4 </w:t>
          </w:r>
          <w:r>
            <w:rPr>
              <w:rFonts w:hint="default" w:ascii="Times New Roman" w:hAnsi="Times New Roman" w:cs="Times New Roman"/>
              <w:color w:val="auto"/>
              <w:sz w:val="24"/>
              <w:szCs w:val="24"/>
            </w:rPr>
            <w:t>评价标准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_Toc11021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_Toc14502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2.5 </w:t>
          </w:r>
          <w:r>
            <w:rPr>
              <w:rFonts w:hint="default" w:ascii="Times New Roman" w:hAnsi="Times New Roman" w:cs="Times New Roman"/>
              <w:color w:val="auto"/>
              <w:sz w:val="24"/>
              <w:szCs w:val="24"/>
            </w:rPr>
            <w:t>评价等级及评价范围</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_Toc14502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- 27 -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_Toc31916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2.6 </w:t>
          </w:r>
          <w:r>
            <w:rPr>
              <w:rFonts w:hint="default" w:ascii="Times New Roman" w:hAnsi="Times New Roman" w:cs="Times New Roman"/>
              <w:color w:val="auto"/>
              <w:sz w:val="24"/>
              <w:szCs w:val="24"/>
              <w:highlight w:val="none"/>
            </w:rPr>
            <w:t>环境保护目标</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_Toc31916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_Toc90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3 建设项目概况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_Toc895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3.1 </w:t>
          </w:r>
          <w:r>
            <w:rPr>
              <w:rFonts w:hint="default" w:ascii="Times New Roman" w:hAnsi="Times New Roman" w:cs="Times New Roman"/>
              <w:color w:val="auto"/>
              <w:sz w:val="24"/>
              <w:szCs w:val="24"/>
            </w:rPr>
            <w:t>项目基本情况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_Toc895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_Toc5940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3.2 </w:t>
          </w:r>
          <w:r>
            <w:rPr>
              <w:rFonts w:hint="default" w:ascii="Times New Roman" w:hAnsi="Times New Roman" w:cs="Times New Roman"/>
              <w:color w:val="auto"/>
              <w:sz w:val="24"/>
              <w:szCs w:val="24"/>
            </w:rPr>
            <w:t>项目四至情况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_Toc5940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_Toc28054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3.3 </w:t>
          </w:r>
          <w:r>
            <w:rPr>
              <w:rFonts w:hint="default" w:ascii="Times New Roman" w:hAnsi="Times New Roman" w:cs="Times New Roman"/>
              <w:color w:val="auto"/>
              <w:sz w:val="24"/>
              <w:szCs w:val="24"/>
            </w:rPr>
            <w:t>项目工程内容</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_Toc28054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_Toc15136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3.4 </w:t>
          </w:r>
          <w:r>
            <w:rPr>
              <w:rFonts w:hint="default" w:ascii="Times New Roman" w:hAnsi="Times New Roman" w:cs="Times New Roman"/>
              <w:color w:val="auto"/>
              <w:sz w:val="24"/>
              <w:szCs w:val="24"/>
            </w:rPr>
            <w:t>产品方案及规模</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_Toc15136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_Toc4318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3.5 </w:t>
          </w:r>
          <w:r>
            <w:rPr>
              <w:rFonts w:hint="default" w:ascii="Times New Roman" w:hAnsi="Times New Roman" w:cs="Times New Roman"/>
              <w:color w:val="auto"/>
              <w:sz w:val="24"/>
              <w:szCs w:val="24"/>
            </w:rPr>
            <w:t>项目主要生产设备</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_Toc4318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_Toc834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3.6 </w:t>
          </w:r>
          <w:r>
            <w:rPr>
              <w:rFonts w:hint="default" w:ascii="Times New Roman" w:hAnsi="Times New Roman" w:cs="Times New Roman"/>
              <w:color w:val="auto"/>
              <w:sz w:val="24"/>
              <w:szCs w:val="24"/>
            </w:rPr>
            <w:t>主要原辅材料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_Toc834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_Toc1329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3.7 </w:t>
          </w:r>
          <w:r>
            <w:rPr>
              <w:rFonts w:hint="default" w:ascii="Times New Roman" w:hAnsi="Times New Roman" w:cs="Times New Roman"/>
              <w:color w:val="auto"/>
              <w:sz w:val="24"/>
              <w:szCs w:val="24"/>
            </w:rPr>
            <w:t>项目公用工程及辅助设施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_Toc1329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- 39 -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_Toc6210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3.8 </w:t>
          </w:r>
          <w:r>
            <w:rPr>
              <w:rFonts w:hint="default" w:ascii="Times New Roman" w:hAnsi="Times New Roman" w:cs="Times New Roman"/>
              <w:color w:val="auto"/>
              <w:sz w:val="24"/>
              <w:szCs w:val="24"/>
            </w:rPr>
            <w:t>依托工程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_Toc6210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- 40 -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_Toc26597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4 工程分析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_Toc26597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- 41 -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_Toc9260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4.1 </w:t>
          </w:r>
          <w:r>
            <w:rPr>
              <w:rFonts w:hint="default" w:ascii="Times New Roman" w:hAnsi="Times New Roman" w:cs="Times New Roman"/>
              <w:color w:val="auto"/>
              <w:sz w:val="24"/>
              <w:szCs w:val="24"/>
            </w:rPr>
            <w:t>主要工艺流程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_Toc9260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- 41 -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_Toc23738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4.2 </w:t>
          </w:r>
          <w:r>
            <w:rPr>
              <w:rFonts w:hint="default" w:ascii="Times New Roman" w:hAnsi="Times New Roman" w:cs="Times New Roman"/>
              <w:color w:val="auto"/>
              <w:sz w:val="24"/>
              <w:szCs w:val="24"/>
            </w:rPr>
            <w:t>营运期主要污染工序</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_Toc23738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- 44 -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_Toc24086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4.3 </w:t>
          </w:r>
          <w:r>
            <w:rPr>
              <w:rFonts w:hint="default" w:ascii="Times New Roman" w:hAnsi="Times New Roman" w:cs="Times New Roman"/>
              <w:color w:val="auto"/>
              <w:sz w:val="24"/>
              <w:szCs w:val="24"/>
            </w:rPr>
            <w:t>物料平衡和水平衡</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_Toc24086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- 56 -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_Toc16219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5 环境现状调查与评价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_Toc16219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- 58 -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_Toc30763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5.1 </w:t>
          </w:r>
          <w:r>
            <w:rPr>
              <w:rFonts w:hint="default" w:ascii="Times New Roman" w:hAnsi="Times New Roman" w:cs="Times New Roman"/>
              <w:color w:val="auto"/>
              <w:sz w:val="24"/>
              <w:szCs w:val="24"/>
            </w:rPr>
            <w:t>自然环境概况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_Toc30763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- 58 -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_Toc20947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5.2 </w:t>
          </w:r>
          <w:r>
            <w:rPr>
              <w:rFonts w:hint="default" w:ascii="Times New Roman" w:hAnsi="Times New Roman" w:cs="Times New Roman"/>
              <w:color w:val="auto"/>
              <w:sz w:val="24"/>
              <w:szCs w:val="24"/>
            </w:rPr>
            <w:t>环境质量现状调查与评价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_Toc20947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- 64 -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_Toc10950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5.3 </w:t>
          </w:r>
          <w:r>
            <w:rPr>
              <w:rFonts w:hint="default" w:ascii="Times New Roman" w:hAnsi="Times New Roman" w:cs="Times New Roman"/>
              <w:color w:val="auto"/>
              <w:sz w:val="24"/>
              <w:szCs w:val="24"/>
            </w:rPr>
            <w:t>零陵高新技术产业开发区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_Toc10950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- 71 -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_Toc22424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6 环境影响</w:t>
          </w:r>
          <w:r>
            <w:rPr>
              <w:rFonts w:hint="default" w:ascii="Times New Roman" w:hAnsi="Times New Roman" w:cs="Times New Roman" w:eastAsiaTheme="majorEastAsia"/>
              <w:color w:val="auto"/>
              <w:sz w:val="24"/>
              <w:szCs w:val="24"/>
              <w:lang w:val="en-US" w:eastAsia="zh-CN"/>
            </w:rPr>
            <w:t>预测与</w:t>
          </w:r>
          <w:r>
            <w:rPr>
              <w:rFonts w:hint="default" w:ascii="Times New Roman" w:hAnsi="Times New Roman" w:cs="Times New Roman" w:eastAsiaTheme="majorEastAsia"/>
              <w:color w:val="auto"/>
              <w:sz w:val="24"/>
              <w:szCs w:val="24"/>
            </w:rPr>
            <w:t>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_Toc22424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- 82 -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_Toc11724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lang w:val="en-US" w:eastAsia="zh-CN"/>
            </w:rPr>
            <w:t xml:space="preserve">6.1 </w:t>
          </w:r>
          <w:r>
            <w:rPr>
              <w:rFonts w:hint="default" w:ascii="Times New Roman" w:hAnsi="Times New Roman" w:cs="Times New Roman"/>
              <w:color w:val="auto"/>
              <w:sz w:val="24"/>
              <w:szCs w:val="24"/>
              <w:lang w:val="en-US" w:eastAsia="zh-CN"/>
            </w:rPr>
            <w:t>施工期环境影响评价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_Toc11724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- 82 -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_Toc18984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6.2 </w:t>
          </w:r>
          <w:r>
            <w:rPr>
              <w:rFonts w:hint="default" w:ascii="Times New Roman" w:hAnsi="Times New Roman" w:cs="Times New Roman"/>
              <w:color w:val="auto"/>
              <w:sz w:val="24"/>
              <w:szCs w:val="24"/>
            </w:rPr>
            <w:t>运营期</w:t>
          </w:r>
          <w:r>
            <w:rPr>
              <w:rFonts w:hint="default" w:ascii="Times New Roman" w:hAnsi="Times New Roman" w:cs="Times New Roman"/>
              <w:color w:val="auto"/>
              <w:sz w:val="24"/>
              <w:szCs w:val="24"/>
              <w:lang w:val="en-US" w:eastAsia="zh-CN"/>
            </w:rPr>
            <w:t>环境影响评价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_Toc18984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- 82 -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_Toc14687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7 环境风险分析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_Toc14687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- 101 -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_Toc31558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7.1 </w:t>
          </w:r>
          <w:r>
            <w:rPr>
              <w:rFonts w:hint="default" w:ascii="Times New Roman" w:hAnsi="Times New Roman" w:cs="Times New Roman"/>
              <w:color w:val="auto"/>
              <w:sz w:val="24"/>
              <w:szCs w:val="24"/>
            </w:rPr>
            <w:t>评价目的及重点</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_Toc31558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- 101 -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_Toc12704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7.2 </w:t>
          </w:r>
          <w:r>
            <w:rPr>
              <w:rFonts w:hint="default" w:ascii="Times New Roman" w:hAnsi="Times New Roman" w:cs="Times New Roman"/>
              <w:color w:val="auto"/>
              <w:sz w:val="24"/>
              <w:szCs w:val="24"/>
            </w:rPr>
            <w:t>风险调查与识别</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_Toc12704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- 101 -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_Toc23123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7.3 </w:t>
          </w:r>
          <w:r>
            <w:rPr>
              <w:rFonts w:hint="default" w:ascii="Times New Roman" w:hAnsi="Times New Roman" w:cs="Times New Roman"/>
              <w:color w:val="auto"/>
              <w:sz w:val="24"/>
              <w:szCs w:val="24"/>
            </w:rPr>
            <w:t>危险物质及工艺系统危险性（P）分级</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_Toc23123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- 111 -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_Toc32036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7.4 </w:t>
          </w:r>
          <w:r>
            <w:rPr>
              <w:rFonts w:hint="default" w:ascii="Times New Roman" w:hAnsi="Times New Roman" w:cs="Times New Roman"/>
              <w:color w:val="auto"/>
              <w:sz w:val="24"/>
              <w:szCs w:val="24"/>
            </w:rPr>
            <w:t>环境敏感目标调查</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_Toc32036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- 112 -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_Toc32101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7.5 </w:t>
          </w:r>
          <w:r>
            <w:rPr>
              <w:rFonts w:hint="default" w:ascii="Times New Roman" w:hAnsi="Times New Roman" w:cs="Times New Roman"/>
              <w:color w:val="auto"/>
              <w:sz w:val="24"/>
              <w:szCs w:val="24"/>
            </w:rPr>
            <w:t>环境风险潜势划分及评价等级</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_Toc32101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- 117 -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_Toc17461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7.6 </w:t>
          </w:r>
          <w:r>
            <w:rPr>
              <w:rFonts w:hint="default" w:ascii="Times New Roman" w:hAnsi="Times New Roman" w:cs="Times New Roman"/>
              <w:color w:val="auto"/>
              <w:sz w:val="24"/>
              <w:szCs w:val="24"/>
            </w:rPr>
            <w:t>环境风险影响分析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_Toc17461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- 118 -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_Toc21501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7.7 </w:t>
          </w:r>
          <w:r>
            <w:rPr>
              <w:rFonts w:hint="default" w:ascii="Times New Roman" w:hAnsi="Times New Roman" w:cs="Times New Roman"/>
              <w:color w:val="auto"/>
              <w:sz w:val="24"/>
              <w:szCs w:val="24"/>
            </w:rPr>
            <w:t>事故后果分析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_Toc21501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- 119 -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_Toc1832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7.8 </w:t>
          </w:r>
          <w:r>
            <w:rPr>
              <w:rFonts w:hint="default" w:ascii="Times New Roman" w:hAnsi="Times New Roman" w:cs="Times New Roman"/>
              <w:color w:val="auto"/>
              <w:sz w:val="24"/>
              <w:szCs w:val="24"/>
            </w:rPr>
            <w:t>环境风险管理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_Toc1832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- 122 -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_Toc22673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7.9 </w:t>
          </w:r>
          <w:r>
            <w:rPr>
              <w:rFonts w:hint="default" w:ascii="Times New Roman" w:hAnsi="Times New Roman" w:cs="Times New Roman"/>
              <w:color w:val="auto"/>
              <w:sz w:val="24"/>
              <w:szCs w:val="24"/>
            </w:rPr>
            <w:t>评价结论与建议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_Toc22673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- 130 -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_Toc11334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8 污染防治措施及对策</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_Toc11334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- 131 -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_Toc32582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8.1 </w:t>
          </w:r>
          <w:r>
            <w:rPr>
              <w:rFonts w:hint="default" w:ascii="Times New Roman" w:hAnsi="Times New Roman" w:cs="Times New Roman"/>
              <w:color w:val="auto"/>
              <w:sz w:val="24"/>
              <w:szCs w:val="24"/>
            </w:rPr>
            <w:t>大气污染防治措施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_Toc32582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- 131 -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_Toc27164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8.2 </w:t>
          </w:r>
          <w:r>
            <w:rPr>
              <w:rFonts w:hint="default" w:ascii="Times New Roman" w:hAnsi="Times New Roman" w:cs="Times New Roman"/>
              <w:color w:val="auto"/>
              <w:sz w:val="24"/>
              <w:szCs w:val="24"/>
            </w:rPr>
            <w:t>水污染防治措施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_Toc27164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- 136 -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_Toc21384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8.3 </w:t>
          </w:r>
          <w:r>
            <w:rPr>
              <w:rFonts w:hint="default" w:ascii="Times New Roman" w:hAnsi="Times New Roman" w:eastAsia="宋体" w:cs="Times New Roman"/>
              <w:color w:val="auto"/>
              <w:sz w:val="24"/>
              <w:szCs w:val="24"/>
              <w:lang w:val="en-US" w:eastAsia="zh-CN"/>
            </w:rPr>
            <w:t>噪声</w:t>
          </w:r>
          <w:r>
            <w:rPr>
              <w:rFonts w:hint="default" w:ascii="Times New Roman" w:hAnsi="Times New Roman" w:cs="Times New Roman"/>
              <w:color w:val="auto"/>
              <w:sz w:val="24"/>
              <w:szCs w:val="24"/>
            </w:rPr>
            <w:t>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_Toc21384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- 138 -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_Toc22831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8.4 </w:t>
          </w:r>
          <w:r>
            <w:rPr>
              <w:rFonts w:hint="default" w:ascii="Times New Roman" w:hAnsi="Times New Roman" w:cs="Times New Roman"/>
              <w:color w:val="auto"/>
              <w:sz w:val="24"/>
              <w:szCs w:val="24"/>
            </w:rPr>
            <w:t>固体废物环境污染防治措施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_Toc22831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- 138 -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8.5 </w:t>
          </w:r>
          <w:r>
            <w:rPr>
              <w:rFonts w:hint="default" w:ascii="Times New Roman" w:hAnsi="Times New Roman" w:cs="Times New Roman"/>
              <w:color w:val="auto"/>
              <w:sz w:val="24"/>
              <w:szCs w:val="24"/>
            </w:rPr>
            <w:t>土壤、地下水污染防治措施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_Toc871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_Toc4197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8.6 </w:t>
          </w:r>
          <w:r>
            <w:rPr>
              <w:rFonts w:hint="default" w:ascii="Times New Roman" w:hAnsi="Times New Roman" w:cs="Times New Roman"/>
              <w:color w:val="auto"/>
              <w:sz w:val="24"/>
              <w:szCs w:val="24"/>
            </w:rPr>
            <w:t>本项目拟采用环保设施一览表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_Toc4197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_Toc20199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9 达标排放与总量控制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_Toc20199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_Toc2467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9.1 </w:t>
          </w:r>
          <w:r>
            <w:rPr>
              <w:rFonts w:hint="default" w:ascii="Times New Roman" w:hAnsi="Times New Roman" w:cs="Times New Roman"/>
              <w:color w:val="auto"/>
              <w:sz w:val="24"/>
              <w:szCs w:val="24"/>
            </w:rPr>
            <w:t>达标排放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_Toc2467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_Toc17046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9.2 </w:t>
          </w:r>
          <w:r>
            <w:rPr>
              <w:rFonts w:hint="default" w:ascii="Times New Roman" w:hAnsi="Times New Roman" w:cs="Times New Roman"/>
              <w:color w:val="auto"/>
              <w:sz w:val="24"/>
              <w:szCs w:val="24"/>
            </w:rPr>
            <w:t>污染物总量控制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_Toc17046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_Toc14450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10 环境影响经济损益分析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_Toc14450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_Toc8244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10.1 </w:t>
          </w:r>
          <w:r>
            <w:rPr>
              <w:rFonts w:hint="default" w:ascii="Times New Roman" w:hAnsi="Times New Roman" w:cs="Times New Roman"/>
              <w:color w:val="auto"/>
              <w:sz w:val="24"/>
              <w:szCs w:val="24"/>
            </w:rPr>
            <w:t>环境保护投资估算</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_Toc8244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_Toc19105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10.2 </w:t>
          </w:r>
          <w:r>
            <w:rPr>
              <w:rFonts w:hint="default" w:ascii="Times New Roman" w:hAnsi="Times New Roman" w:cs="Times New Roman"/>
              <w:color w:val="auto"/>
              <w:sz w:val="24"/>
              <w:szCs w:val="24"/>
            </w:rPr>
            <w:t>环境效益分析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_Toc19105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_Toc11563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10.3 </w:t>
          </w:r>
          <w:r>
            <w:rPr>
              <w:rFonts w:hint="default" w:ascii="Times New Roman" w:hAnsi="Times New Roman" w:cs="Times New Roman"/>
              <w:color w:val="auto"/>
              <w:sz w:val="24"/>
              <w:szCs w:val="24"/>
            </w:rPr>
            <w:t>经济效益分析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_Toc11563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_Toc2892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10.4 </w:t>
          </w:r>
          <w:r>
            <w:rPr>
              <w:rFonts w:hint="default" w:ascii="Times New Roman" w:hAnsi="Times New Roman" w:cs="Times New Roman"/>
              <w:color w:val="auto"/>
              <w:sz w:val="24"/>
              <w:szCs w:val="24"/>
            </w:rPr>
            <w:t>社会效益分析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_Toc2892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- 149 -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_Toc7713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11 环境管理及环境监测计划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_Toc7713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- 151 -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_Toc25252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11.1 </w:t>
          </w:r>
          <w:r>
            <w:rPr>
              <w:rFonts w:hint="default" w:ascii="Times New Roman" w:hAnsi="Times New Roman" w:cs="Times New Roman"/>
              <w:color w:val="auto"/>
              <w:sz w:val="24"/>
              <w:szCs w:val="24"/>
            </w:rPr>
            <w:t>环境管理的目的和意义</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_Toc25252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- 151 -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_Toc20480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11.2 </w:t>
          </w:r>
          <w:r>
            <w:rPr>
              <w:rFonts w:hint="default" w:ascii="Times New Roman" w:hAnsi="Times New Roman" w:cs="Times New Roman"/>
              <w:color w:val="auto"/>
              <w:sz w:val="24"/>
              <w:szCs w:val="24"/>
            </w:rPr>
            <w:t>环境管理机构及职责</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_Toc20480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- 151 -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_Toc366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11.3 </w:t>
          </w:r>
          <w:r>
            <w:rPr>
              <w:rFonts w:hint="default" w:ascii="Times New Roman" w:hAnsi="Times New Roman" w:cs="Times New Roman"/>
              <w:color w:val="auto"/>
              <w:sz w:val="24"/>
              <w:szCs w:val="24"/>
            </w:rPr>
            <w:t>环境管理制度</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_Toc366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- 152 -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_Toc16911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11.4 </w:t>
          </w:r>
          <w:r>
            <w:rPr>
              <w:rFonts w:hint="default" w:ascii="Times New Roman" w:hAnsi="Times New Roman" w:cs="Times New Roman"/>
              <w:color w:val="auto"/>
              <w:sz w:val="24"/>
              <w:szCs w:val="24"/>
            </w:rPr>
            <w:t>项目竣工环保验收管理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_Toc16911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- 153 -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_Toc32027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11.5 </w:t>
          </w:r>
          <w:r>
            <w:rPr>
              <w:rFonts w:hint="default" w:ascii="Times New Roman" w:hAnsi="Times New Roman" w:cs="Times New Roman"/>
              <w:color w:val="auto"/>
              <w:sz w:val="24"/>
              <w:szCs w:val="24"/>
            </w:rPr>
            <w:t>监测计划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_Toc32027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- 155 -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_Toc8733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11.6 </w:t>
          </w:r>
          <w:r>
            <w:rPr>
              <w:rFonts w:hint="default" w:ascii="Times New Roman" w:hAnsi="Times New Roman" w:cs="Times New Roman"/>
              <w:color w:val="auto"/>
              <w:sz w:val="24"/>
              <w:szCs w:val="24"/>
            </w:rPr>
            <w:t>排污口设置及规范化管理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_Toc8733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- 158 -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_Toc2520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rPr>
            <w:t>12 结论与建议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_Toc2520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- 160 -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_Toc722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12.1 </w:t>
          </w:r>
          <w:r>
            <w:rPr>
              <w:rFonts w:hint="default" w:ascii="Times New Roman" w:hAnsi="Times New Roman" w:cs="Times New Roman"/>
              <w:color w:val="auto"/>
              <w:sz w:val="24"/>
              <w:szCs w:val="24"/>
            </w:rPr>
            <w:t>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_Toc722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- 160 -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_Toc10776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i w:val="0"/>
              <w:color w:val="auto"/>
              <w:sz w:val="24"/>
              <w:szCs w:val="24"/>
            </w:rPr>
            <w:t xml:space="preserve">12.2 </w:t>
          </w:r>
          <w:r>
            <w:rPr>
              <w:rFonts w:hint="default" w:ascii="Times New Roman" w:hAnsi="Times New Roman" w:cs="Times New Roman"/>
              <w:color w:val="auto"/>
              <w:sz w:val="24"/>
              <w:szCs w:val="24"/>
            </w:rPr>
            <w:t>建议和要求</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_Toc10776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- 164 -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0"/>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_Toc21909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eastAsiaTheme="majorEastAsia"/>
              <w:color w:val="auto"/>
              <w:sz w:val="24"/>
              <w:szCs w:val="24"/>
              <w:lang w:val="en-US" w:eastAsia="zh-CN"/>
            </w:rPr>
            <w:t>13 附图、附件、附表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_Toc21909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_Toc10079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_Toc10079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_Toc19636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附件1：环评委托</w:t>
          </w:r>
          <w:r>
            <w:rPr>
              <w:rFonts w:hint="default" w:ascii="Times New Roman" w:hAnsi="Times New Roman" w:cs="Times New Roman"/>
              <w:color w:val="auto"/>
              <w:sz w:val="24"/>
              <w:szCs w:val="24"/>
              <w:lang w:val="en-US" w:eastAsia="zh-CN"/>
            </w:rPr>
            <w:t>书</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_Toc19636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_Toc1612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附件2：企业营业执照</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_Toc1612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- 167 -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_Toc12203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附件3：项目备案</w:t>
          </w:r>
          <w:r>
            <w:rPr>
              <w:rFonts w:hint="default" w:ascii="Times New Roman" w:hAnsi="Times New Roman" w:eastAsia="宋体" w:cs="Times New Roman"/>
              <w:color w:val="auto"/>
              <w:sz w:val="24"/>
              <w:szCs w:val="24"/>
              <w:lang w:val="en-US" w:eastAsia="zh-CN"/>
            </w:rPr>
            <w:t>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_Toc12203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- 168 -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_Toc30791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附件4：</w:t>
          </w:r>
          <w:r>
            <w:rPr>
              <w:rFonts w:hint="default" w:ascii="Times New Roman" w:hAnsi="Times New Roman" w:eastAsia="宋体" w:cs="Times New Roman"/>
              <w:color w:val="auto"/>
              <w:sz w:val="24"/>
              <w:szCs w:val="24"/>
              <w:lang w:val="en-US" w:eastAsia="zh-CN"/>
            </w:rPr>
            <w:t>厂房</w:t>
          </w:r>
          <w:r>
            <w:rPr>
              <w:rFonts w:hint="default" w:ascii="Times New Roman" w:hAnsi="Times New Roman" w:cs="Times New Roman"/>
              <w:color w:val="auto"/>
              <w:sz w:val="24"/>
              <w:szCs w:val="24"/>
            </w:rPr>
            <w:t>租赁协议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_Toc30791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- 170 -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_Toc15036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：入园协议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_Toc15036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- 176 -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_Toc7987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附件6：</w:t>
          </w:r>
          <w:r>
            <w:rPr>
              <w:rFonts w:hint="default" w:ascii="Times New Roman" w:hAnsi="Times New Roman" w:eastAsia="宋体" w:cs="Times New Roman"/>
              <w:color w:val="auto"/>
              <w:sz w:val="24"/>
              <w:szCs w:val="24"/>
              <w:lang w:val="en-US" w:eastAsia="zh-CN"/>
            </w:rPr>
            <w:t>关于《零陵高新技术产业开发区调区扩区规划环境影响报告书》审查意见的函（湘环评函〔2024〕49号）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_Toc7987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- 181 -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_Toc11321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附件7：声</w:t>
          </w:r>
          <w:r>
            <w:rPr>
              <w:rFonts w:hint="default" w:ascii="Times New Roman" w:hAnsi="Times New Roman" w:cs="Times New Roman"/>
              <w:color w:val="auto"/>
              <w:sz w:val="24"/>
              <w:szCs w:val="24"/>
            </w:rPr>
            <w:t>环境现状监测报告及质保单</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_Toc11321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- 187 -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_Toc23571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w:t>
          </w:r>
          <w:r>
            <w:rPr>
              <w:rFonts w:hint="default" w:ascii="Times New Roman" w:hAnsi="Times New Roman" w:eastAsia="宋体" w:cs="Times New Roman"/>
              <w:color w:val="auto"/>
              <w:sz w:val="24"/>
              <w:szCs w:val="24"/>
              <w:lang w:val="en-US" w:eastAsia="zh-CN"/>
            </w:rPr>
            <w:t>8</w:t>
          </w:r>
          <w:r>
            <w:rPr>
              <w:rFonts w:hint="default" w:ascii="Times New Roman" w:hAnsi="Times New Roman" w:cs="Times New Roman"/>
              <w:color w:val="auto"/>
              <w:sz w:val="24"/>
              <w:szCs w:val="24"/>
            </w:rPr>
            <w:t>：</w:t>
          </w:r>
          <w:r>
            <w:rPr>
              <w:rFonts w:hint="default" w:ascii="Times New Roman" w:hAnsi="Times New Roman" w:eastAsia="宋体" w:cs="Times New Roman"/>
              <w:color w:val="auto"/>
              <w:sz w:val="24"/>
              <w:szCs w:val="24"/>
              <w:lang w:val="en-US" w:eastAsia="zh-CN"/>
            </w:rPr>
            <w:t>引用环境空气、地表水</w:t>
          </w:r>
          <w:r>
            <w:rPr>
              <w:rFonts w:hint="default" w:ascii="Times New Roman" w:hAnsi="Times New Roman" w:cs="Times New Roman"/>
              <w:color w:val="auto"/>
              <w:sz w:val="24"/>
              <w:szCs w:val="24"/>
            </w:rPr>
            <w:t>环境现状监测报告</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部分</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_Toc23571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- 195 -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_Toc30000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w:t>
          </w:r>
          <w:r>
            <w:rPr>
              <w:rFonts w:hint="default" w:ascii="Times New Roman" w:hAnsi="Times New Roman" w:eastAsia="宋体" w:cs="Times New Roman"/>
              <w:color w:val="auto"/>
              <w:sz w:val="24"/>
              <w:szCs w:val="24"/>
              <w:lang w:val="en-US" w:eastAsia="zh-CN"/>
            </w:rPr>
            <w:t>9</w:t>
          </w:r>
          <w:r>
            <w:rPr>
              <w:rFonts w:hint="default" w:ascii="Times New Roman" w:hAnsi="Times New Roman" w:cs="Times New Roman"/>
              <w:color w:val="auto"/>
              <w:sz w:val="24"/>
              <w:szCs w:val="24"/>
            </w:rPr>
            <w:t>：原料成分证明材料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_Toc30000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- 220 -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_Toc26508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附件</w:t>
          </w:r>
          <w:r>
            <w:rPr>
              <w:rFonts w:hint="default" w:ascii="Times New Roman" w:hAnsi="Times New Roman" w:eastAsia="宋体" w:cs="Times New Roman"/>
              <w:color w:val="auto"/>
              <w:sz w:val="24"/>
              <w:szCs w:val="24"/>
              <w:lang w:val="en-US" w:eastAsia="zh-CN"/>
            </w:rPr>
            <w:t>10</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厂房出租单位</w:t>
          </w:r>
          <w:r>
            <w:rPr>
              <w:rFonts w:hint="default" w:ascii="Times New Roman" w:hAnsi="Times New Roman" w:cs="Times New Roman"/>
              <w:color w:val="auto"/>
              <w:sz w:val="24"/>
              <w:szCs w:val="24"/>
            </w:rPr>
            <w:t>环评及验收文件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_Toc26508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- 232 -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_Toc28755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_Toc28755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_Toc11164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附图1：项目地理位置图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_Toc11164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_Toc22872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附图2：项目四至及本项目在永州市三利报废汽车回收拆解有限公司厂区内区位图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_Toc22872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- 244 -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_Toc20492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附图3：项目周边敏感目标分布图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_Toc20492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_Toc20519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附图4：项目平面布置图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_Toc20519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- 246 -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_Toc14177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附图5：项目监测布点图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_Toc14177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- 247 -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_Toc20101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附图6：引用环境空气质量监测数据的监测点位与本项目相对位置图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_Toc20101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_Toc22611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附图7：园区土地使用规划图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_Toc22611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- 249 -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_Toc27687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附图8：园区污水工程规划图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_Toc27687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- 250 -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附图9：园区雨水工程规划图</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- 251 -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_Toc27730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附图10：现场照片</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_Toc27730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- 252 -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_Toc11295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附表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_Toc11295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_Toc10603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附表</w:t>
          </w:r>
          <w:r>
            <w:rPr>
              <w:rFonts w:hint="default" w:ascii="Times New Roman" w:hAnsi="Times New Roman" w:eastAsia="宋体" w:cs="Times New Roman"/>
              <w:color w:val="auto"/>
              <w:sz w:val="24"/>
              <w:szCs w:val="24"/>
              <w:lang w:val="en-US" w:eastAsia="zh-CN"/>
            </w:rPr>
            <w:t>1：</w:t>
          </w:r>
          <w:r>
            <w:rPr>
              <w:rFonts w:hint="default" w:ascii="Times New Roman" w:hAnsi="Times New Roman" w:cs="Times New Roman"/>
              <w:color w:val="auto"/>
              <w:sz w:val="24"/>
              <w:szCs w:val="24"/>
            </w:rPr>
            <w:t>建设项目大气环境影响评价自查表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_Toc10603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- 253 -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_Toc23968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附表</w:t>
          </w:r>
          <w:r>
            <w:rPr>
              <w:rFonts w:hint="default" w:ascii="Times New Roman" w:hAnsi="Times New Roman" w:eastAsia="宋体" w:cs="Times New Roman"/>
              <w:color w:val="auto"/>
              <w:sz w:val="24"/>
              <w:szCs w:val="24"/>
              <w:lang w:val="en-US" w:eastAsia="zh-CN"/>
            </w:rPr>
            <w:t>2</w:t>
          </w:r>
          <w:r>
            <w:rPr>
              <w:rFonts w:hint="default" w:ascii="Times New Roman" w:hAnsi="Times New Roman" w:cs="Times New Roman"/>
              <w:color w:val="auto"/>
              <w:sz w:val="24"/>
              <w:szCs w:val="24"/>
            </w:rPr>
            <w:t>：建设项目地表水环境影响评价自查表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_Toc23968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- 255 -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_Toc22058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rPr>
            <w:t>附表</w:t>
          </w:r>
          <w:r>
            <w:rPr>
              <w:rFonts w:hint="default" w:ascii="Times New Roman" w:hAnsi="Times New Roman" w:eastAsia="宋体" w:cs="Times New Roman"/>
              <w:color w:val="auto"/>
              <w:sz w:val="24"/>
              <w:szCs w:val="24"/>
              <w:lang w:val="en-US" w:eastAsia="zh-CN"/>
            </w:rPr>
            <w:t>3</w:t>
          </w:r>
          <w:r>
            <w:rPr>
              <w:rFonts w:hint="default" w:ascii="Times New Roman" w:hAnsi="Times New Roman" w:cs="Times New Roman"/>
              <w:color w:val="auto"/>
              <w:sz w:val="24"/>
              <w:szCs w:val="24"/>
            </w:rPr>
            <w:t>：建设项目环境风险评价自查表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_Toc22058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- 258 -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dot" w:pos="8300"/>
            </w:tabs>
            <w:spacing w:line="360" w:lineRule="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_Toc8384 </w:instrText>
          </w:r>
          <w:r>
            <w:rPr>
              <w:rFonts w:hint="default" w:ascii="Times New Roman" w:hAnsi="Times New Roman" w:eastAsia="宋体" w:cs="Times New Roman"/>
              <w:color w:val="auto"/>
              <w:sz w:val="24"/>
              <w:szCs w:val="24"/>
            </w:rPr>
            <w:fldChar w:fldCharType="separate"/>
          </w:r>
          <w:r>
            <w:rPr>
              <w:rFonts w:hint="default" w:ascii="Times New Roman" w:hAnsi="Times New Roman" w:cs="Times New Roman"/>
              <w:color w:val="auto"/>
              <w:sz w:val="24"/>
              <w:szCs w:val="24"/>
              <w:lang w:val="en-US" w:eastAsia="zh-CN"/>
            </w:rPr>
            <w:t>建设项目环境影响报告书审批基础信息表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_Toc8384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- 259 -</w:t>
          </w:r>
          <w:r>
            <w:rPr>
              <w:rFonts w:hint="default"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pPr>
            <w:spacing w:line="360" w:lineRule="auto"/>
            <w:outlineLvl w:val="9"/>
            <w:rPr>
              <w:rFonts w:hint="default" w:ascii="Times New Roman" w:hAnsi="Times New Roman" w:eastAsia="Arial" w:cs="Times New Roman"/>
              <w:snapToGrid w:val="0"/>
              <w:color w:val="auto"/>
              <w:kern w:val="0"/>
              <w:sz w:val="24"/>
              <w:szCs w:val="24"/>
              <w:lang w:val="en-US" w:eastAsia="en-US" w:bidi="ar-SA"/>
            </w:rPr>
          </w:pPr>
          <w:r>
            <w:rPr>
              <w:rFonts w:hint="default" w:ascii="Times New Roman" w:hAnsi="Times New Roman" w:eastAsia="宋体" w:cs="Times New Roman"/>
              <w:color w:val="auto"/>
              <w:sz w:val="24"/>
              <w:szCs w:val="24"/>
            </w:rPr>
            <w:fldChar w:fldCharType="end"/>
          </w:r>
        </w:p>
      </w:sdtContent>
    </w:sdt>
    <w:p>
      <w:pPr>
        <w:spacing w:line="219" w:lineRule="auto"/>
        <w:outlineLvl w:val="9"/>
        <w:rPr>
          <w:rFonts w:hint="default" w:ascii="Times New Roman" w:hAnsi="Times New Roman" w:eastAsia="宋体" w:cs="Times New Roman"/>
          <w:b/>
          <w:snapToGrid w:val="0"/>
          <w:color w:val="auto"/>
          <w:kern w:val="0"/>
          <w:sz w:val="21"/>
          <w:szCs w:val="24"/>
          <w:lang w:val="en-US" w:eastAsia="en-US" w:bidi="ar-SA"/>
        </w:rPr>
        <w:sectPr>
          <w:headerReference r:id="rId7" w:type="default"/>
          <w:footerReference r:id="rId8" w:type="default"/>
          <w:pgSz w:w="11906" w:h="16839"/>
          <w:pgMar w:top="1440" w:right="1803" w:bottom="1440" w:left="1803" w:header="0" w:footer="1102" w:gutter="0"/>
          <w:pgBorders>
            <w:top w:val="none" w:sz="0" w:space="0"/>
            <w:left w:val="none" w:sz="0" w:space="0"/>
            <w:bottom w:val="none" w:sz="0" w:space="0"/>
            <w:right w:val="none" w:sz="0" w:space="0"/>
          </w:pgBorders>
          <w:pgNumType w:fmt="decimal"/>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0" w:name="bookmark2"/>
      <w:bookmarkEnd w:id="0"/>
      <w:bookmarkStart w:id="1" w:name="bookmark4"/>
      <w:bookmarkEnd w:id="1"/>
      <w:bookmarkStart w:id="2" w:name="_Toc19435"/>
      <w:r>
        <w:rPr>
          <w:rFonts w:hint="default" w:ascii="Times New Roman" w:hAnsi="Times New Roman" w:cs="Times New Roman" w:eastAsiaTheme="majorEastAsia"/>
          <w:color w:val="auto"/>
          <w:sz w:val="36"/>
          <w:szCs w:val="36"/>
        </w:rPr>
        <w:t>概述</w:t>
      </w:r>
      <w:bookmarkEnd w:id="2"/>
    </w:p>
    <w:p>
      <w:pPr>
        <w:pStyle w:val="10"/>
        <w:bidi w:val="0"/>
        <w:spacing w:line="360" w:lineRule="auto"/>
        <w:rPr>
          <w:color w:val="auto"/>
          <w:sz w:val="32"/>
          <w:szCs w:val="32"/>
        </w:rPr>
      </w:pPr>
      <w:bookmarkStart w:id="3" w:name="_Toc5673"/>
      <w:r>
        <w:rPr>
          <w:color w:val="auto"/>
          <w:sz w:val="32"/>
          <w:szCs w:val="32"/>
        </w:rPr>
        <w:t>项目由来</w:t>
      </w:r>
      <w:bookmarkEnd w:id="3"/>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Cs w:val="28"/>
          <w:u w:val="none" w:color="auto"/>
          <w:lang w:val="en-US" w:eastAsia="zh-CN"/>
        </w:rPr>
      </w:pPr>
      <w:r>
        <w:rPr>
          <w:rFonts w:hint="eastAsia" w:ascii="Times New Roman" w:hAnsi="Times New Roman" w:eastAsia="宋体" w:cs="Times New Roman"/>
          <w:color w:val="auto"/>
          <w:szCs w:val="28"/>
          <w:u w:val="none" w:color="auto"/>
          <w:lang w:eastAsia="zh-CN"/>
        </w:rPr>
        <w:t>永州大道包装有限公司</w:t>
      </w:r>
      <w:r>
        <w:rPr>
          <w:rFonts w:hint="eastAsia" w:ascii="Times New Roman" w:hAnsi="Times New Roman" w:eastAsia="宋体" w:cs="Times New Roman"/>
          <w:color w:val="auto"/>
          <w:szCs w:val="28"/>
          <w:u w:val="none" w:color="auto"/>
          <w:lang w:val="en-US" w:eastAsia="zh-CN"/>
        </w:rPr>
        <w:t>成立于2024年9月20日，</w:t>
      </w:r>
      <w:r>
        <w:rPr>
          <w:rFonts w:hint="default" w:ascii="Times New Roman" w:hAnsi="Times New Roman" w:cs="Times New Roman"/>
          <w:color w:val="auto"/>
          <w:szCs w:val="28"/>
          <w:u w:val="none" w:color="auto"/>
        </w:rPr>
        <w:t>注册资本500万元，</w:t>
      </w:r>
      <w:r>
        <w:rPr>
          <w:rFonts w:hint="eastAsia" w:ascii="Times New Roman" w:hAnsi="Times New Roman" w:eastAsia="宋体" w:cs="Times New Roman"/>
          <w:color w:val="auto"/>
          <w:szCs w:val="28"/>
          <w:u w:val="none" w:color="auto"/>
          <w:lang w:val="en-US" w:eastAsia="zh-CN"/>
        </w:rPr>
        <w:t>由湖南大道新材料有限公司全资持股。</w:t>
      </w:r>
      <w:r>
        <w:rPr>
          <w:rFonts w:hint="eastAsia" w:ascii="Times New Roman" w:hAnsi="Times New Roman" w:eastAsia="宋体" w:cs="Times New Roman"/>
          <w:color w:val="auto"/>
          <w:szCs w:val="28"/>
          <w:u w:val="none" w:color="auto"/>
          <w:lang w:eastAsia="zh-CN"/>
        </w:rPr>
        <w:t>永州大道包装有限公司</w:t>
      </w:r>
      <w:r>
        <w:rPr>
          <w:rFonts w:hint="default" w:ascii="Times New Roman" w:hAnsi="Times New Roman" w:cs="Times New Roman"/>
          <w:color w:val="auto"/>
          <w:szCs w:val="28"/>
          <w:u w:val="none" w:color="auto"/>
        </w:rPr>
        <w:t>经营范围为</w:t>
      </w:r>
      <w:r>
        <w:rPr>
          <w:rFonts w:hint="eastAsia" w:ascii="Times New Roman" w:hAnsi="Times New Roman" w:eastAsia="宋体" w:cs="Times New Roman"/>
          <w:color w:val="auto"/>
          <w:szCs w:val="28"/>
          <w:u w:val="none" w:color="auto"/>
          <w:lang w:val="en-US" w:eastAsia="zh-CN"/>
        </w:rPr>
        <w:t>印刷品装订服务；包装装潢印刷品印刷；文件、资料等其他印刷品印刷；道路货物运输等。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Cs w:val="28"/>
          <w:u w:val="none" w:color="auto"/>
          <w:lang w:val="en-US" w:eastAsia="zh-CN"/>
        </w:rPr>
      </w:pPr>
      <w:r>
        <w:rPr>
          <w:rFonts w:hint="eastAsia" w:ascii="Times New Roman" w:hAnsi="Times New Roman" w:eastAsia="宋体" w:cs="Times New Roman"/>
          <w:color w:val="auto"/>
          <w:szCs w:val="28"/>
          <w:u w:val="none" w:color="auto"/>
          <w:lang w:val="en-US" w:eastAsia="zh-CN"/>
        </w:rPr>
        <w:t>湖南大道新材料有限公司位于湖南省湘潭市，公司于2020年8月在湘潭市经开区白石西路9号高端汽车零部件配套产业园4#厂房建设“年产7000吨塑料复合软包装生产线及总部基地项目”，并于2022年进行扩产，建设“年产1000吨塑料制品及年产17500吨塑料复合软包装生产线改扩建项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val="en-US" w:eastAsia="zh-CN"/>
        </w:rPr>
      </w:pPr>
      <w:r>
        <w:rPr>
          <w:rFonts w:hint="eastAsia" w:ascii="Times New Roman" w:hAnsi="Times New Roman" w:eastAsia="宋体" w:cs="Times New Roman"/>
          <w:color w:val="auto"/>
          <w:szCs w:val="28"/>
          <w:u w:val="none" w:color="auto"/>
          <w:lang w:val="en-US" w:eastAsia="zh-CN"/>
        </w:rPr>
        <w:t>近年来，</w:t>
      </w:r>
      <w:r>
        <w:rPr>
          <w:rFonts w:hint="default" w:ascii="Times New Roman" w:hAnsi="Times New Roman" w:cs="Times New Roman"/>
          <w:color w:val="auto"/>
          <w:szCs w:val="28"/>
          <w:u w:val="none" w:color="auto"/>
        </w:rPr>
        <w:t>湖南</w:t>
      </w:r>
      <w:r>
        <w:rPr>
          <w:rFonts w:hint="eastAsia" w:ascii="Times New Roman" w:hAnsi="Times New Roman" w:eastAsia="宋体" w:cs="Times New Roman"/>
          <w:color w:val="auto"/>
          <w:szCs w:val="28"/>
          <w:u w:val="none" w:color="auto"/>
          <w:lang w:val="en-US" w:eastAsia="zh-CN"/>
        </w:rPr>
        <w:t>省内及周边地区</w:t>
      </w:r>
      <w:r>
        <w:rPr>
          <w:rFonts w:hint="default" w:ascii="Times New Roman" w:hAnsi="Times New Roman" w:cs="Times New Roman"/>
          <w:color w:val="auto"/>
          <w:szCs w:val="28"/>
          <w:u w:val="none" w:color="auto"/>
        </w:rPr>
        <w:t>槟榔、熟食、休闲食品</w:t>
      </w:r>
      <w:r>
        <w:rPr>
          <w:rFonts w:hint="eastAsia" w:ascii="Times New Roman" w:hAnsi="宋体" w:eastAsia="宋体" w:cs="Times New Roman"/>
          <w:color w:val="auto"/>
          <w:sz w:val="24"/>
          <w:lang w:val="en-US" w:eastAsia="zh-CN"/>
        </w:rPr>
        <w:t>、日化用品</w:t>
      </w:r>
      <w:r>
        <w:rPr>
          <w:rFonts w:hint="default" w:ascii="Times New Roman" w:hAnsi="Times New Roman" w:cs="Times New Roman"/>
          <w:color w:val="auto"/>
          <w:szCs w:val="28"/>
          <w:u w:val="none" w:color="auto"/>
        </w:rPr>
        <w:t>等行业发展迅速，对塑料软包装需求量不断增加，每年塑料软包装</w:t>
      </w:r>
      <w:r>
        <w:rPr>
          <w:rFonts w:hint="eastAsia" w:ascii="Times New Roman" w:hAnsi="Times New Roman" w:eastAsia="宋体" w:cs="Times New Roman"/>
          <w:color w:val="auto"/>
          <w:szCs w:val="28"/>
          <w:u w:val="none" w:color="auto"/>
          <w:lang w:val="en-US" w:eastAsia="zh-CN"/>
        </w:rPr>
        <w:t>供不应求</w:t>
      </w:r>
      <w:r>
        <w:rPr>
          <w:rFonts w:hint="default" w:ascii="Times New Roman" w:hAnsi="Times New Roman" w:cs="Times New Roman"/>
          <w:color w:val="auto"/>
          <w:szCs w:val="28"/>
          <w:u w:val="none" w:color="auto"/>
        </w:rPr>
        <w:t>，但</w:t>
      </w:r>
      <w:r>
        <w:rPr>
          <w:rFonts w:hint="eastAsia" w:ascii="Times New Roman" w:hAnsi="Times New Roman" w:eastAsia="宋体" w:cs="Times New Roman"/>
          <w:color w:val="auto"/>
          <w:szCs w:val="28"/>
          <w:u w:val="none" w:color="auto"/>
          <w:lang w:val="en-US" w:eastAsia="zh-CN"/>
        </w:rPr>
        <w:t>永州零陵</w:t>
      </w:r>
      <w:r>
        <w:rPr>
          <w:rFonts w:hint="default" w:ascii="Times New Roman" w:hAnsi="Times New Roman" w:cs="Times New Roman"/>
          <w:color w:val="auto"/>
          <w:szCs w:val="28"/>
          <w:u w:val="none" w:color="auto"/>
        </w:rPr>
        <w:t>地区塑料软包装企业较少</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为满足市场需求</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永州大道包装有限公司</w:t>
      </w:r>
      <w:r>
        <w:rPr>
          <w:rFonts w:hint="default" w:ascii="Times New Roman" w:hAnsi="Times New Roman" w:cs="Times New Roman"/>
          <w:color w:val="auto"/>
          <w:szCs w:val="28"/>
          <w:u w:val="none" w:color="auto"/>
        </w:rPr>
        <w:t>决定租用永州市三利报废汽车</w:t>
      </w:r>
      <w:r>
        <w:rPr>
          <w:rFonts w:hint="eastAsia" w:ascii="Times New Roman" w:hAnsi="Times New Roman" w:eastAsia="宋体" w:cs="Times New Roman"/>
          <w:color w:val="auto"/>
          <w:szCs w:val="28"/>
          <w:u w:val="none" w:color="auto"/>
          <w:lang w:eastAsia="zh-CN"/>
        </w:rPr>
        <w:t>回收</w:t>
      </w:r>
      <w:r>
        <w:rPr>
          <w:rFonts w:hint="default" w:ascii="Times New Roman" w:hAnsi="Times New Roman" w:cs="Times New Roman"/>
          <w:color w:val="auto"/>
          <w:szCs w:val="28"/>
          <w:u w:val="none" w:color="auto"/>
        </w:rPr>
        <w:t>拆解有限公司</w:t>
      </w:r>
      <w:r>
        <w:rPr>
          <w:rFonts w:hint="eastAsia" w:ascii="Times New Roman" w:hAnsi="Times New Roman" w:eastAsia="宋体" w:cs="Times New Roman"/>
          <w:color w:val="auto"/>
          <w:szCs w:val="28"/>
          <w:u w:val="none" w:color="auto"/>
          <w:lang w:val="en-US" w:eastAsia="zh-CN"/>
        </w:rPr>
        <w:t>位</w:t>
      </w:r>
      <w:r>
        <w:rPr>
          <w:rFonts w:hint="default" w:ascii="Times New Roman" w:hAnsi="Times New Roman" w:cs="Times New Roman"/>
          <w:color w:val="auto"/>
          <w:szCs w:val="28"/>
          <w:u w:val="none" w:color="auto"/>
        </w:rPr>
        <w:t>于</w:t>
      </w:r>
      <w:r>
        <w:rPr>
          <w:rFonts w:hint="eastAsia" w:ascii="Times New Roman" w:hAnsi="Times New Roman" w:eastAsia="宋体" w:cs="Times New Roman"/>
          <w:color w:val="auto"/>
          <w:szCs w:val="28"/>
          <w:u w:val="none" w:color="auto"/>
          <w:lang w:eastAsia="zh-CN"/>
        </w:rPr>
        <w:t>永州市零陵高新技术产业开发区河西片区瑞翔大道南侧厂房，</w:t>
      </w:r>
      <w:r>
        <w:rPr>
          <w:rFonts w:hint="default" w:ascii="Times New Roman" w:hAnsi="Times New Roman" w:cs="Times New Roman"/>
          <w:color w:val="auto"/>
          <w:szCs w:val="28"/>
          <w:u w:val="none" w:color="auto"/>
        </w:rPr>
        <w:t>投资</w:t>
      </w: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000万元建设</w:t>
      </w:r>
      <w:r>
        <w:rPr>
          <w:rFonts w:hint="eastAsia" w:ascii="Times New Roman" w:hAnsi="Times New Roman" w:eastAsia="宋体" w:cs="Times New Roman"/>
          <w:color w:val="auto"/>
          <w:szCs w:val="28"/>
          <w:u w:val="none" w:color="auto"/>
          <w:lang w:eastAsia="zh-CN"/>
        </w:rPr>
        <w:t>“塑料软包装卷膜及袋包印刷包装生产项目”</w:t>
      </w:r>
      <w:r>
        <w:rPr>
          <w:rFonts w:hint="default" w:ascii="Times New Roman" w:hAnsi="Times New Roman" w:cs="Times New Roman"/>
          <w:color w:val="auto"/>
          <w:szCs w:val="28"/>
          <w:u w:val="none" w:color="auto"/>
        </w:rPr>
        <w:t>。项目建成后</w:t>
      </w:r>
      <w:r>
        <w:rPr>
          <w:rFonts w:hint="eastAsia" w:ascii="Times New Roman" w:hAnsi="宋体" w:eastAsia="宋体" w:cs="Times New Roman"/>
          <w:color w:val="auto"/>
          <w:sz w:val="24"/>
          <w:lang w:val="en-US" w:eastAsia="zh-CN"/>
        </w:rPr>
        <w:t>形成年产</w:t>
      </w:r>
      <w:r>
        <w:rPr>
          <w:rFonts w:hint="default" w:ascii="Times New Roman" w:hAnsi="Times New Roman" w:cs="Times New Roman"/>
          <w:color w:val="auto"/>
          <w:szCs w:val="28"/>
          <w:u w:val="none" w:color="auto"/>
        </w:rPr>
        <w:t>7000吨塑料复合软包装</w:t>
      </w:r>
      <w:r>
        <w:rPr>
          <w:rFonts w:hint="eastAsia" w:ascii="Times New Roman" w:hAnsi="宋体" w:eastAsia="宋体" w:cs="Times New Roman"/>
          <w:color w:val="auto"/>
          <w:sz w:val="24"/>
          <w:lang w:val="en-US" w:eastAsia="zh-CN"/>
        </w:rPr>
        <w:t>的生产能力</w:t>
      </w:r>
      <w:r>
        <w:rPr>
          <w:rFonts w:hint="default" w:ascii="Times New Roman" w:hAnsi="Times New Roman" w:cs="Times New Roman"/>
          <w:color w:val="auto"/>
          <w:szCs w:val="28"/>
          <w:u w:val="none" w:color="auto"/>
        </w:rPr>
        <w:t>，可在一定上弥补</w:t>
      </w:r>
      <w:r>
        <w:rPr>
          <w:rFonts w:hint="eastAsia" w:ascii="Times New Roman" w:hAnsi="Times New Roman" w:eastAsia="宋体" w:cs="Times New Roman"/>
          <w:color w:val="auto"/>
          <w:szCs w:val="28"/>
          <w:u w:val="none" w:color="auto"/>
          <w:lang w:val="en-US" w:eastAsia="zh-CN"/>
        </w:rPr>
        <w:t>永州地区</w:t>
      </w:r>
      <w:r>
        <w:rPr>
          <w:rFonts w:hint="default" w:ascii="Times New Roman" w:hAnsi="Times New Roman" w:cs="Times New Roman"/>
          <w:color w:val="auto"/>
          <w:szCs w:val="28"/>
          <w:u w:val="none" w:color="auto"/>
        </w:rPr>
        <w:t>塑料软包装供应缺口</w:t>
      </w:r>
      <w:r>
        <w:rPr>
          <w:rFonts w:hint="eastAsia" w:ascii="Times New Roman" w:hAnsi="Times New Roman" w:eastAsia="宋体" w:cs="Times New Roman"/>
          <w:color w:val="auto"/>
          <w:szCs w:val="28"/>
          <w:u w:val="none" w:color="auto"/>
          <w:lang w:val="en-US" w:eastAsia="zh-CN"/>
        </w:rPr>
        <w:t>，甚至可远销广西地区</w:t>
      </w:r>
      <w:r>
        <w:rPr>
          <w:rFonts w:hint="default" w:ascii="Times New Roman" w:hAnsi="Times New Roman" w:cs="Times New Roman"/>
          <w:color w:val="auto"/>
          <w:szCs w:val="28"/>
          <w:u w:val="none" w:color="auto"/>
        </w:rPr>
        <w:t>。</w:t>
      </w:r>
    </w:p>
    <w:p>
      <w:pPr>
        <w:pStyle w:val="10"/>
        <w:bidi w:val="0"/>
        <w:spacing w:line="360" w:lineRule="auto"/>
        <w:rPr>
          <w:color w:val="auto"/>
          <w:sz w:val="32"/>
          <w:szCs w:val="32"/>
        </w:rPr>
      </w:pPr>
      <w:bookmarkStart w:id="4" w:name="bookmark6"/>
      <w:bookmarkEnd w:id="4"/>
      <w:bookmarkStart w:id="5" w:name="_Toc14405"/>
      <w:r>
        <w:rPr>
          <w:color w:val="auto"/>
          <w:sz w:val="32"/>
          <w:szCs w:val="32"/>
        </w:rPr>
        <w:t>环评工作过程</w:t>
      </w:r>
      <w:bookmarkEnd w:id="5"/>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根据《中华人民共和国环境保护法》、《</w:t>
      </w:r>
      <w:r>
        <w:rPr>
          <w:rFonts w:hint="eastAsia" w:ascii="Times New Roman" w:hAnsi="Times New Roman" w:eastAsia="宋体" w:cs="Times New Roman"/>
          <w:color w:val="auto"/>
          <w:szCs w:val="28"/>
          <w:u w:val="none" w:color="auto"/>
          <w:lang w:eastAsia="zh-CN"/>
        </w:rPr>
        <w:t>中华人民共和国环境影响评价法</w:t>
      </w:r>
      <w:r>
        <w:rPr>
          <w:rFonts w:hint="default" w:ascii="Times New Roman" w:hAnsi="Times New Roman" w:cs="Times New Roman"/>
          <w:color w:val="auto"/>
          <w:szCs w:val="28"/>
          <w:u w:val="none" w:color="auto"/>
        </w:rPr>
        <w:t>》、《建设项目环境保护管理条例》等法律法规的有关规定，建设项目需要执行环境影响评价制度，根据《建设项目环境影响评价分类管理名录》（2021年版），本项目属于</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二十、印刷和记录媒介复制业</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中</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印刷231*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年用溶剂油墨10吨及以上的</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，需编制环境影响报告书。为此，</w:t>
      </w:r>
      <w:r>
        <w:rPr>
          <w:rFonts w:hint="eastAsia" w:ascii="Times New Roman" w:hAnsi="Times New Roman" w:eastAsia="宋体" w:cs="Times New Roman"/>
          <w:color w:val="auto"/>
          <w:szCs w:val="28"/>
          <w:u w:val="none" w:color="auto"/>
          <w:lang w:eastAsia="zh-CN"/>
        </w:rPr>
        <w:t>永州大道包装有限公司</w:t>
      </w:r>
      <w:r>
        <w:rPr>
          <w:rFonts w:hint="default" w:ascii="Times New Roman" w:hAnsi="Times New Roman" w:cs="Times New Roman"/>
          <w:color w:val="auto"/>
          <w:szCs w:val="28"/>
          <w:u w:val="none" w:color="auto"/>
        </w:rPr>
        <w:t>于202</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年1</w:t>
      </w:r>
      <w:r>
        <w:rPr>
          <w:rFonts w:hint="eastAsia" w:ascii="Times New Roman" w:hAnsi="Times New Roman" w:eastAsia="宋体" w:cs="Times New Roman"/>
          <w:color w:val="auto"/>
          <w:szCs w:val="28"/>
          <w:u w:val="none" w:color="auto"/>
          <w:lang w:val="en-US" w:eastAsia="zh-CN"/>
        </w:rPr>
        <w:t>0</w:t>
      </w:r>
      <w:r>
        <w:rPr>
          <w:rFonts w:hint="default" w:ascii="Times New Roman" w:hAnsi="Times New Roman" w:cs="Times New Roman"/>
          <w:color w:val="auto"/>
          <w:szCs w:val="28"/>
          <w:u w:val="none" w:color="auto"/>
        </w:rPr>
        <w:t>月委托</w:t>
      </w:r>
      <w:r>
        <w:rPr>
          <w:rFonts w:hint="eastAsia" w:ascii="Times New Roman" w:hAnsi="Times New Roman" w:eastAsia="宋体" w:cs="Times New Roman"/>
          <w:color w:val="auto"/>
          <w:szCs w:val="28"/>
          <w:u w:val="none" w:color="auto"/>
          <w:lang w:eastAsia="zh-CN"/>
        </w:rPr>
        <w:t>湖南振德环保科技有限公司</w:t>
      </w:r>
      <w:r>
        <w:rPr>
          <w:rFonts w:hint="default" w:ascii="Times New Roman" w:hAnsi="Times New Roman" w:cs="Times New Roman"/>
          <w:color w:val="auto"/>
          <w:szCs w:val="28"/>
          <w:u w:val="none" w:color="auto"/>
        </w:rPr>
        <w:t>（以下简称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我公司</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承担该项目的环境影响评价工作。我公司接受委托后，立即组织技术人员组成评价专题组对项目所在地进行了现场踏勘，分析委托单位提供的各项前期资料。根据建设单位提供的材料，对项目所在地区及周边区域的大气、地表水、地下水、土壤、噪声等环境要素进行了现状分析，在认真调查研究及收集有关数据、资料的基础上，结合项目所在地的环境特点和项目建设的主要环境影响，按照环境影响评价相关技术导则的要求和规定，编制了《</w:t>
      </w:r>
      <w:r>
        <w:rPr>
          <w:rFonts w:hint="eastAsia" w:ascii="Times New Roman" w:hAnsi="Times New Roman" w:eastAsia="宋体" w:cs="Times New Roman"/>
          <w:color w:val="auto"/>
          <w:szCs w:val="28"/>
          <w:u w:val="none" w:color="auto"/>
          <w:lang w:eastAsia="zh-CN"/>
        </w:rPr>
        <w:t>塑料软包装卷膜及袋包印刷包装生产项目</w:t>
      </w:r>
      <w:r>
        <w:rPr>
          <w:rFonts w:hint="default" w:ascii="Times New Roman" w:hAnsi="Times New Roman" w:cs="Times New Roman"/>
          <w:color w:val="auto"/>
          <w:szCs w:val="28"/>
          <w:u w:val="none" w:color="auto"/>
        </w:rPr>
        <w:t>环境影响报告书（送审稿）》。</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建设项目环境影响评价工作的具体工作程序详见下图。</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textAlignment w:val="baseline"/>
        <w:rPr>
          <w:rFonts w:hint="default" w:ascii="Times New Roman" w:hAnsi="Times New Roman" w:cs="Times New Roman"/>
          <w:color w:val="auto"/>
        </w:rPr>
      </w:pPr>
      <w:r>
        <w:rPr>
          <w:rFonts w:hint="default" w:ascii="Times New Roman" w:hAnsi="Times New Roman" w:cs="Times New Roman"/>
          <w:color w:val="auto"/>
          <w:position w:val="-199"/>
        </w:rPr>
        <w:drawing>
          <wp:inline distT="0" distB="0" distL="0" distR="0">
            <wp:extent cx="5273040" cy="6423025"/>
            <wp:effectExtent l="0" t="0" r="3810" b="15875"/>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5"/>
                    <a:stretch>
                      <a:fillRect/>
                    </a:stretch>
                  </pic:blipFill>
                  <pic:spPr>
                    <a:xfrm>
                      <a:off x="0" y="0"/>
                      <a:ext cx="5273040" cy="6423025"/>
                    </a:xfrm>
                    <a:prstGeom prst="rect">
                      <a:avLst/>
                    </a:prstGeom>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建设项目环境影响评价工作程序图</w:t>
      </w:r>
    </w:p>
    <w:p>
      <w:pPr>
        <w:pStyle w:val="10"/>
        <w:bidi w:val="0"/>
        <w:spacing w:line="360" w:lineRule="auto"/>
        <w:rPr>
          <w:color w:val="auto"/>
          <w:sz w:val="32"/>
          <w:szCs w:val="32"/>
        </w:rPr>
      </w:pPr>
      <w:bookmarkStart w:id="6" w:name="bookmark8"/>
      <w:bookmarkEnd w:id="6"/>
      <w:bookmarkStart w:id="7" w:name="_Toc21470"/>
      <w:r>
        <w:rPr>
          <w:color w:val="auto"/>
          <w:sz w:val="32"/>
          <w:szCs w:val="32"/>
        </w:rPr>
        <w:t>建设项目特点及环评工作重点</w:t>
      </w:r>
      <w:bookmarkEnd w:id="7"/>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（1）项目特点：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①本项目属于印刷行业，为VOCs排放重点行业，拟采取如下措施降低项目有机废气对周边环境的影响：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a、在满足工艺生产要求的前提下，积极推进使用低（无）VOCs含量原辅材料和环境友好型技术替代。本项目复合技术中优先使用无溶剂复合技术，无溶剂复合占总复合比例的60%以上，同时，建设</w:t>
      </w:r>
      <w:r>
        <w:rPr>
          <w:rFonts w:hint="eastAsia" w:ascii="Times New Roman" w:hAnsi="Times New Roman" w:eastAsia="宋体" w:cs="Times New Roman"/>
          <w:color w:val="auto"/>
          <w:szCs w:val="28"/>
          <w:u w:val="none" w:color="auto"/>
          <w:lang w:val="en-US" w:eastAsia="zh-CN"/>
        </w:rPr>
        <w:t>单位</w:t>
      </w:r>
      <w:r>
        <w:rPr>
          <w:rFonts w:hint="default" w:ascii="Times New Roman" w:hAnsi="Times New Roman" w:cs="Times New Roman"/>
          <w:color w:val="auto"/>
          <w:szCs w:val="28"/>
          <w:u w:val="none" w:color="auto"/>
        </w:rPr>
        <w:t>拟在日后的生产过程中根据生产工艺进行逐步替代，逐步提高无溶剂复合技术占比；在</w:t>
      </w:r>
      <w:r>
        <w:rPr>
          <w:rFonts w:hint="eastAsia" w:ascii="Times New Roman" w:hAnsi="Times New Roman" w:eastAsia="宋体" w:cs="Times New Roman"/>
          <w:color w:val="auto"/>
          <w:szCs w:val="28"/>
          <w:u w:val="none" w:color="auto"/>
          <w:lang w:val="en-US" w:eastAsia="zh-CN"/>
        </w:rPr>
        <w:t>行业技术成熟、</w:t>
      </w:r>
      <w:r>
        <w:rPr>
          <w:rFonts w:hint="default" w:ascii="Times New Roman" w:hAnsi="Times New Roman" w:cs="Times New Roman"/>
          <w:color w:val="auto"/>
          <w:szCs w:val="28"/>
          <w:u w:val="none" w:color="auto"/>
        </w:rPr>
        <w:t>满足工艺生产要求的前提下</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逐步使用水醇性油墨、水性油墨、辐射固化油墨等替代</w:t>
      </w:r>
      <w:r>
        <w:rPr>
          <w:rFonts w:hint="eastAsia" w:ascii="Times New Roman" w:hAnsi="Times New Roman" w:eastAsia="宋体" w:cs="Times New Roman"/>
          <w:color w:val="auto"/>
          <w:szCs w:val="28"/>
          <w:u w:val="none" w:color="auto"/>
          <w:lang w:val="en-US" w:eastAsia="zh-CN"/>
        </w:rPr>
        <w:t>本项目拟</w:t>
      </w:r>
      <w:r>
        <w:rPr>
          <w:rFonts w:hint="default" w:ascii="Times New Roman" w:hAnsi="Times New Roman" w:cs="Times New Roman"/>
          <w:color w:val="auto"/>
          <w:szCs w:val="28"/>
          <w:u w:val="none" w:color="auto"/>
        </w:rPr>
        <w:t>使用的油性油墨；在满足工艺生产要求的前提下逐步使用紫外光固化光油、低（无）挥发和高沸点的清洁剂等代替现有使用的易挥发清洁剂（稀释剂）。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根据</w:t>
      </w:r>
      <w:r>
        <w:rPr>
          <w:rFonts w:hint="default" w:ascii="Times New Roman" w:hAnsi="Times New Roman" w:cs="Times New Roman"/>
          <w:color w:val="auto"/>
          <w:szCs w:val="28"/>
          <w:u w:val="none" w:color="auto"/>
        </w:rPr>
        <w:t>目前</w:t>
      </w:r>
      <w:r>
        <w:rPr>
          <w:rFonts w:hint="eastAsia" w:ascii="Times New Roman" w:hAnsi="Times New Roman" w:eastAsia="宋体" w:cs="Times New Roman"/>
          <w:color w:val="auto"/>
          <w:szCs w:val="28"/>
          <w:u w:val="none" w:color="auto"/>
          <w:lang w:val="en-US" w:eastAsia="zh-CN"/>
        </w:rPr>
        <w:t>行业技术水平，</w:t>
      </w:r>
      <w:r>
        <w:rPr>
          <w:rFonts w:hint="default" w:ascii="Times New Roman" w:hAnsi="Times New Roman" w:cs="Times New Roman"/>
          <w:color w:val="auto"/>
          <w:szCs w:val="28"/>
          <w:u w:val="none" w:color="auto"/>
        </w:rPr>
        <w:t>项目印刷工序</w:t>
      </w:r>
      <w:r>
        <w:rPr>
          <w:rFonts w:hint="eastAsia" w:ascii="Times New Roman" w:hAnsi="Times New Roman" w:eastAsia="宋体" w:cs="Times New Roman"/>
          <w:color w:val="auto"/>
          <w:szCs w:val="28"/>
          <w:u w:val="none" w:color="auto"/>
          <w:lang w:val="en-US" w:eastAsia="zh-CN"/>
        </w:rPr>
        <w:t>拟</w:t>
      </w:r>
      <w:r>
        <w:rPr>
          <w:rFonts w:hint="default" w:ascii="Times New Roman" w:hAnsi="Times New Roman" w:cs="Times New Roman"/>
          <w:color w:val="auto"/>
          <w:szCs w:val="28"/>
          <w:u w:val="none" w:color="auto"/>
        </w:rPr>
        <w:t>采用凹版印刷工艺，</w:t>
      </w:r>
      <w:r>
        <w:rPr>
          <w:rFonts w:hint="eastAsia" w:ascii="Times New Roman" w:hAnsi="Times New Roman" w:eastAsia="宋体" w:cs="Times New Roman"/>
          <w:color w:val="auto"/>
          <w:szCs w:val="28"/>
          <w:u w:val="none" w:color="auto"/>
          <w:lang w:val="en-US" w:eastAsia="zh-CN"/>
        </w:rPr>
        <w:t>待行业技术成熟后，</w:t>
      </w:r>
      <w:r>
        <w:rPr>
          <w:rFonts w:hint="default" w:ascii="Times New Roman" w:hAnsi="Times New Roman" w:cs="Times New Roman"/>
          <w:color w:val="auto"/>
          <w:szCs w:val="28"/>
          <w:u w:val="none" w:color="auto"/>
        </w:rPr>
        <w:t>建设单位可在日后的生产过程中逐步调整印刷方式，在满足生产要求的前提下采用柔印替代凹印、挤复代替溶剂复合，使用中央供墨系统等方式</w:t>
      </w:r>
      <w:r>
        <w:rPr>
          <w:rFonts w:hint="eastAsia" w:ascii="Times New Roman" w:hAnsi="Times New Roman" w:eastAsia="宋体" w:cs="Times New Roman"/>
          <w:color w:val="auto"/>
          <w:szCs w:val="28"/>
          <w:u w:val="none" w:color="auto"/>
          <w:lang w:eastAsia="zh-CN"/>
        </w:rPr>
        <w:t>减少</w:t>
      </w:r>
      <w:r>
        <w:rPr>
          <w:rFonts w:hint="default" w:ascii="Times New Roman" w:hAnsi="Times New Roman" w:cs="Times New Roman"/>
          <w:color w:val="auto"/>
          <w:szCs w:val="28"/>
          <w:u w:val="none" w:color="auto"/>
        </w:rPr>
        <w:t>有机废气的产生量。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b、采用高效率且可行的废气处理方式：</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本项目有机废气主要为印刷工序废气、复合工序废气，拟对上述工序进行全封闭处理，废气经收集后由</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LEL减风增浓+RTO蓄热式燃烧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处理后经15m高排气筒排出。RTO蓄热式燃烧装置处理效率较高（稳定达到98%以上），可直接将废气中的VOC氧化分解成二氧化碳和水，不产生二次污染物，减少对大气环境的影响；同时主要产气点设置了高效烘箱负压收集系统；印刷、复合车间设置为全封闭式，减少有机废气的无组织排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c、本项目在整个生产过程中对涉VOCs物料的储存、运输、装卸严格按照《</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www.so.com/link?m=bS/3YV9E9oN0/JtqEGApk4k3A/4OGEkAwovWmh5TlTtiscol56MVjeckNyIVZqmOf8gvlBmvVysyD5I+XY+FPBSvMo/RFUnusbmEuDX3eg5HeBU41IKkB51q6gziLVGP/ZFBdiKtQH4xuiY4YTQW9nZBCx/drwVN1pIJEfIeC6Wr+GvprgHtAXTNDsMvhx+zoXTGi+wlthPRp52aqGFihV7fjyKokR3rzD98jVSgzX5OtknzA6TMAbLP8hpXz648JIHg0myB/9zS18jHsBxJkIA=="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挥发性</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有机物无组织排放控制标准》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GB27822-2019</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及</w:t>
      </w:r>
      <w:r>
        <w:rPr>
          <w:rFonts w:hint="default" w:ascii="Times New Roman" w:hAnsi="Times New Roman" w:cs="Times New Roman"/>
          <w:color w:val="auto"/>
          <w:szCs w:val="28"/>
          <w:u w:val="none" w:color="auto"/>
        </w:rPr>
        <w:t>《重点行业挥发性有机物综合治理方案》等文件要求进行，尽量减少无组织有机废气的产生量。</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d、根据《湖南省VOCs污染防治三年实施方案》《2020年挥发性有机物综合整治工作方案》等文件中要求，单个排气口排气量大于50000m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/h应安装VOCs在线监测设备，</w:t>
      </w:r>
      <w:r>
        <w:rPr>
          <w:rFonts w:hint="eastAsia" w:ascii="Times New Roman" w:hAnsi="Times New Roman" w:eastAsia="宋体" w:cs="Times New Roman"/>
          <w:color w:val="auto"/>
          <w:szCs w:val="28"/>
          <w:u w:val="none" w:color="auto"/>
          <w:lang w:val="en-US" w:eastAsia="zh-CN"/>
        </w:rPr>
        <w:t>本项目</w:t>
      </w:r>
      <w:r>
        <w:rPr>
          <w:rFonts w:hint="default" w:ascii="Times New Roman" w:hAnsi="Times New Roman" w:cs="Times New Roman"/>
          <w:color w:val="auto"/>
          <w:szCs w:val="28"/>
          <w:u w:val="none" w:color="auto"/>
        </w:rPr>
        <w:t>有机废气排气筒的风机风量</w:t>
      </w:r>
      <w:r>
        <w:rPr>
          <w:rFonts w:hint="eastAsia" w:ascii="Times New Roman" w:hAnsi="Times New Roman" w:eastAsia="宋体" w:cs="Times New Roman"/>
          <w:color w:val="auto"/>
          <w:szCs w:val="28"/>
          <w:u w:val="none" w:color="auto"/>
          <w:lang w:val="en-US" w:eastAsia="zh-CN"/>
        </w:rPr>
        <w:t>设计</w:t>
      </w:r>
      <w:r>
        <w:rPr>
          <w:rFonts w:hint="default" w:ascii="Times New Roman" w:hAnsi="Times New Roman" w:cs="Times New Roman"/>
          <w:color w:val="auto"/>
          <w:szCs w:val="28"/>
          <w:u w:val="none" w:color="auto"/>
        </w:rPr>
        <w:t>为</w:t>
      </w:r>
      <w:r>
        <w:rPr>
          <w:rFonts w:hint="eastAsia" w:ascii="Times New Roman" w:hAnsi="Times New Roman" w:eastAsia="宋体" w:cs="Times New Roman"/>
          <w:color w:val="auto"/>
          <w:szCs w:val="28"/>
          <w:u w:val="none" w:color="auto"/>
          <w:lang w:val="en-US" w:eastAsia="zh-CN"/>
        </w:rPr>
        <w:t>48</w:t>
      </w:r>
      <w:r>
        <w:rPr>
          <w:rFonts w:hint="default" w:ascii="Times New Roman" w:hAnsi="Times New Roman" w:cs="Times New Roman"/>
          <w:color w:val="auto"/>
          <w:szCs w:val="28"/>
          <w:u w:val="none" w:color="auto"/>
        </w:rPr>
        <w:t>000m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w:t>
      </w:r>
      <w:r>
        <w:rPr>
          <w:rFonts w:hint="eastAsia" w:ascii="Times New Roman" w:hAnsi="Times New Roman" w:eastAsia="宋体" w:cs="Times New Roman"/>
          <w:color w:val="auto"/>
          <w:szCs w:val="28"/>
          <w:u w:val="none" w:color="auto"/>
          <w:lang w:val="en-US" w:eastAsia="zh-CN"/>
        </w:rPr>
        <w:t>故无需配套</w:t>
      </w:r>
      <w:r>
        <w:rPr>
          <w:rFonts w:hint="default" w:ascii="Times New Roman" w:hAnsi="Times New Roman" w:cs="Times New Roman"/>
          <w:color w:val="auto"/>
          <w:szCs w:val="28"/>
          <w:u w:val="none" w:color="auto"/>
        </w:rPr>
        <w:t>在线监测设备。</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w:t>
      </w:r>
      <w:r>
        <w:rPr>
          <w:rFonts w:hint="eastAsia" w:ascii="Times New Roman" w:hAnsi="Times New Roman" w:eastAsia="宋体" w:cs="Times New Roman"/>
          <w:color w:val="auto"/>
          <w:szCs w:val="28"/>
          <w:u w:val="none" w:color="auto"/>
          <w:lang w:val="en-US" w:eastAsia="zh-CN"/>
        </w:rPr>
        <w:t>本</w:t>
      </w:r>
      <w:r>
        <w:rPr>
          <w:rFonts w:hint="default" w:ascii="Times New Roman" w:hAnsi="Times New Roman" w:cs="Times New Roman"/>
          <w:color w:val="auto"/>
          <w:szCs w:val="28"/>
          <w:u w:val="none" w:color="auto"/>
        </w:rPr>
        <w:t>项目选址于</w:t>
      </w:r>
      <w:r>
        <w:rPr>
          <w:rFonts w:hint="eastAsia" w:ascii="Times New Roman" w:hAnsi="Times New Roman" w:eastAsia="宋体" w:cs="Times New Roman"/>
          <w:color w:val="auto"/>
          <w:szCs w:val="28"/>
          <w:u w:val="none" w:color="auto"/>
          <w:lang w:eastAsia="zh-CN"/>
        </w:rPr>
        <w:t>永州市零陵高新技术产业开发区河西片区瑞翔大道南侧厂房</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租赁厂区</w:t>
      </w:r>
      <w:r>
        <w:rPr>
          <w:rFonts w:hint="default" w:ascii="Times New Roman" w:hAnsi="Times New Roman" w:cs="Times New Roman"/>
          <w:color w:val="auto"/>
          <w:szCs w:val="28"/>
          <w:u w:val="none" w:color="auto"/>
        </w:rPr>
        <w:t>占地面积</w:t>
      </w:r>
      <w:r>
        <w:rPr>
          <w:rFonts w:hint="eastAsia" w:ascii="Times New Roman" w:hAnsi="Times New Roman" w:eastAsia="宋体" w:cs="Times New Roman"/>
          <w:color w:val="auto"/>
          <w:szCs w:val="28"/>
          <w:u w:val="none" w:color="auto"/>
          <w:lang w:val="en-US" w:eastAsia="zh-CN"/>
        </w:rPr>
        <w:t>约11000m</w:t>
      </w:r>
      <w:r>
        <w:rPr>
          <w:rFonts w:hint="default" w:ascii="Times New Roman" w:hAnsi="Times New Roman" w:cs="Times New Roman"/>
          <w:color w:val="auto"/>
          <w:szCs w:val="28"/>
          <w:u w:val="none" w:color="auto"/>
          <w:vertAlign w:val="superscript"/>
        </w:rPr>
        <w:t>2</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总建筑面积8462m</w:t>
      </w:r>
      <w:r>
        <w:rPr>
          <w:rFonts w:hint="default" w:ascii="Times New Roman" w:hAnsi="Times New Roman" w:cs="Times New Roman"/>
          <w:color w:val="auto"/>
          <w:szCs w:val="28"/>
          <w:u w:val="none" w:color="auto"/>
          <w:vertAlign w:val="superscript"/>
        </w:rPr>
        <w:t>2</w:t>
      </w:r>
      <w:r>
        <w:rPr>
          <w:rFonts w:hint="eastAsia" w:hAnsi="宋体" w:cs="Times New Roman"/>
          <w:color w:val="auto"/>
          <w:sz w:val="24"/>
          <w:szCs w:val="24"/>
          <w:lang w:val="en-US" w:eastAsia="zh-CN"/>
        </w:rPr>
        <w:t>，其中厂房建筑面积为</w:t>
      </w:r>
      <w:r>
        <w:rPr>
          <w:rFonts w:hint="default" w:ascii="Times New Roman" w:hAnsi="Times New Roman" w:eastAsia="宋体" w:cs="Times New Roman"/>
          <w:color w:val="auto"/>
          <w:spacing w:val="-3"/>
          <w:sz w:val="24"/>
          <w:szCs w:val="24"/>
          <w:lang w:eastAsia="zh-CN"/>
        </w:rPr>
        <w:t>6861.68</w:t>
      </w:r>
      <w:r>
        <w:rPr>
          <w:rFonts w:hint="eastAsia" w:ascii="Times New Roman" w:hAnsi="Times New Roman" w:eastAsia="宋体"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rPr>
        <w:t>2</w:t>
      </w:r>
      <w:r>
        <w:rPr>
          <w:rFonts w:hint="default" w:ascii="Times New Roman" w:hAnsi="Times New Roman" w:cs="Times New Roman"/>
          <w:color w:val="auto"/>
          <w:szCs w:val="28"/>
          <w:u w:val="none" w:color="auto"/>
        </w:rPr>
        <w:t>，项目总投资</w:t>
      </w:r>
      <w:r>
        <w:rPr>
          <w:rFonts w:hint="eastAsia" w:ascii="Times New Roman" w:hAnsi="Times New Roman" w:eastAsia="宋体" w:cs="Times New Roman"/>
          <w:color w:val="auto"/>
          <w:szCs w:val="28"/>
          <w:u w:val="none" w:color="auto"/>
          <w:lang w:eastAsia="zh-CN"/>
        </w:rPr>
        <w:t>5000万元</w:t>
      </w:r>
      <w:r>
        <w:rPr>
          <w:rFonts w:hint="default" w:ascii="Times New Roman" w:hAnsi="Times New Roman" w:cs="Times New Roman"/>
          <w:color w:val="auto"/>
          <w:szCs w:val="28"/>
          <w:u w:val="none" w:color="auto"/>
        </w:rPr>
        <w:t>，利用专业技术团队、研发团队、设计团队及先进的专业生产设备，年生产7000吨塑料复合软包装。</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w:t>
      </w:r>
      <w:r>
        <w:rPr>
          <w:rFonts w:hint="eastAsia" w:ascii="Times New Roman" w:hAnsi="Times New Roman" w:eastAsia="宋体" w:cs="Times New Roman"/>
          <w:color w:val="auto"/>
          <w:szCs w:val="28"/>
          <w:u w:val="none" w:color="auto"/>
          <w:lang w:val="en-US" w:eastAsia="zh-CN"/>
        </w:rPr>
        <w:t>本</w:t>
      </w:r>
      <w:r>
        <w:rPr>
          <w:rFonts w:hint="default" w:ascii="Times New Roman" w:hAnsi="Times New Roman" w:cs="Times New Roman"/>
          <w:color w:val="auto"/>
          <w:szCs w:val="28"/>
          <w:u w:val="none" w:color="auto"/>
        </w:rPr>
        <w:t>项目生产过程中主要污染物为有机废气、天然气燃烧废气</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设备噪声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一般固体废弃物、危险废物、生活垃圾等。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（2）评价工作重点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本次环评的工作重点是：</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①工程分析：项目生产工艺和排污特征的分析。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②针对排污特征提出相关的环保措施，对工程目前采取的污染防治措施进行可行性论证</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尤其是废气治理措施、危废暂存设施</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，进一步提出相关的环保措施。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③采用参考相关标准核算和物料衡算相结合，做好工程水平衡和物料平衡。加强大气部分环境影响评价，分析、预测拟建项目建成后对环境保护目标的影响。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④做好环境风险评价。对项目运行期发生的突发性环境事件或事故引起有毒物质泄漏所造成的环境影响进行预测与分析，提出</w:t>
      </w:r>
      <w:r>
        <w:rPr>
          <w:rFonts w:hint="eastAsia" w:ascii="Times New Roman" w:hAnsi="Times New Roman" w:eastAsia="宋体" w:cs="Times New Roman"/>
          <w:color w:val="auto"/>
          <w:szCs w:val="28"/>
          <w:u w:val="none" w:color="auto"/>
          <w:lang w:eastAsia="zh-CN"/>
        </w:rPr>
        <w:t>环境</w:t>
      </w:r>
      <w:r>
        <w:rPr>
          <w:rFonts w:hint="default" w:ascii="Times New Roman" w:hAnsi="Times New Roman" w:cs="Times New Roman"/>
          <w:color w:val="auto"/>
          <w:szCs w:val="28"/>
          <w:u w:val="none" w:color="auto"/>
        </w:rPr>
        <w:t>风险防范、应急与减缓措施。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⑤结合国家相关产业政策和环保政策、评价区域的发展总体规划和环境保护规划、工程所在地的环境质量现状及环境特征来论述该项目选址和平面布置的可行性、项目建设的可行性。</w:t>
      </w:r>
    </w:p>
    <w:p>
      <w:pPr>
        <w:pStyle w:val="10"/>
        <w:keepNext/>
        <w:keepLines w:val="0"/>
        <w:pageBreakBefore w:val="0"/>
        <w:widowControl w:val="0"/>
        <w:kinsoku w:val="0"/>
        <w:wordWrap/>
        <w:overflowPunct/>
        <w:topLinePunct w:val="0"/>
        <w:autoSpaceDE w:val="0"/>
        <w:autoSpaceDN w:val="0"/>
        <w:bidi w:val="0"/>
        <w:adjustRightInd w:val="0"/>
        <w:snapToGrid w:val="0"/>
        <w:spacing w:line="360" w:lineRule="auto"/>
        <w:ind w:left="567" w:hanging="567"/>
        <w:textAlignment w:val="baseline"/>
        <w:rPr>
          <w:color w:val="auto"/>
          <w:sz w:val="32"/>
          <w:szCs w:val="32"/>
        </w:rPr>
      </w:pPr>
      <w:bookmarkStart w:id="8" w:name="bookmark10"/>
      <w:bookmarkEnd w:id="8"/>
      <w:bookmarkStart w:id="9" w:name="_Toc11771"/>
      <w:r>
        <w:rPr>
          <w:color w:val="auto"/>
          <w:sz w:val="32"/>
          <w:szCs w:val="32"/>
        </w:rPr>
        <w:t>本项目主要关注的环境问题</w:t>
      </w:r>
      <w:bookmarkEnd w:id="9"/>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根据本次环评期间收集的</w:t>
      </w:r>
      <w:r>
        <w:rPr>
          <w:rFonts w:hint="eastAsia" w:ascii="Times New Roman" w:hAnsi="Times New Roman" w:cs="Times New Roman"/>
          <w:color w:val="auto"/>
          <w:szCs w:val="28"/>
          <w:u w:val="none" w:color="auto"/>
        </w:rPr>
        <w:t>生态环境主管部门公开发布的环境空气质量现状数据</w:t>
      </w:r>
      <w:r>
        <w:rPr>
          <w:rFonts w:hint="default" w:ascii="Times New Roman" w:hAnsi="Times New Roman" w:cs="Times New Roman"/>
          <w:color w:val="auto"/>
          <w:szCs w:val="28"/>
          <w:u w:val="none" w:color="auto"/>
        </w:rPr>
        <w:t>，项目所在区域环境空气质量为不达标区，其他环境质量满足区域环境功能区划的要求，本次主要应关注的环境问题为：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（1）项目选址合理性和环境风险的可接受水平；</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（2）项目生产流程的</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三废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产生、治理、排放情况，以及对周边环境的影响；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（3）各项规划、政策、法律的相符性和污染物排放总量、区域环境总量问题。</w:t>
      </w:r>
      <w:bookmarkStart w:id="10" w:name="bookmark12"/>
      <w:bookmarkEnd w:id="10"/>
    </w:p>
    <w:p>
      <w:pPr>
        <w:pStyle w:val="10"/>
        <w:bidi w:val="0"/>
        <w:spacing w:line="360" w:lineRule="auto"/>
        <w:rPr>
          <w:color w:val="auto"/>
          <w:sz w:val="32"/>
          <w:szCs w:val="32"/>
          <w:lang w:val="en-US" w:eastAsia="en-US"/>
        </w:rPr>
      </w:pPr>
      <w:bookmarkStart w:id="11" w:name="_Toc16600"/>
      <w:r>
        <w:rPr>
          <w:color w:val="auto"/>
          <w:sz w:val="32"/>
          <w:szCs w:val="32"/>
          <w:lang w:val="en-US" w:eastAsia="en-US"/>
        </w:rPr>
        <w:t>分析判定相关情况</w:t>
      </w:r>
      <w:bookmarkEnd w:id="11"/>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总纲》（HJ2.1-2016），</w:t>
      </w:r>
      <w:r>
        <w:rPr>
          <w:rFonts w:hint="eastAsia" w:ascii="Times New Roman" w:hAnsi="Times New Roman" w:eastAsia="宋体" w:cs="Times New Roman"/>
          <w:color w:val="auto"/>
          <w:szCs w:val="28"/>
          <w:u w:val="none" w:color="auto"/>
          <w:lang w:eastAsia="zh-CN"/>
        </w:rPr>
        <w:t>我</w:t>
      </w:r>
      <w:r>
        <w:rPr>
          <w:rFonts w:hint="eastAsia" w:ascii="Times New Roman" w:hAnsi="Times New Roman" w:eastAsia="宋体" w:cs="Times New Roman"/>
          <w:color w:val="auto"/>
          <w:szCs w:val="28"/>
          <w:u w:val="none" w:color="auto"/>
          <w:lang w:val="en-US" w:eastAsia="zh-CN"/>
        </w:rPr>
        <w:t>公司</w:t>
      </w:r>
      <w:r>
        <w:rPr>
          <w:rFonts w:hint="default" w:ascii="Times New Roman" w:hAnsi="Times New Roman" w:cs="Times New Roman"/>
          <w:color w:val="auto"/>
          <w:szCs w:val="28"/>
          <w:u w:val="none" w:color="auto"/>
        </w:rPr>
        <w:t>接受委托后，通过收集、研究该项目的相关资料及其他相关文件，对建设项目进行了初步分析判定。初步分析判定具体内容如下：</w:t>
      </w:r>
    </w:p>
    <w:p>
      <w:pPr>
        <w:pStyle w:val="11"/>
        <w:bidi w:val="0"/>
        <w:spacing w:line="360" w:lineRule="auto"/>
        <w:ind w:left="851" w:hanging="851"/>
        <w:rPr>
          <w:rFonts w:hint="default"/>
          <w:color w:val="auto"/>
          <w:sz w:val="30"/>
          <w:szCs w:val="30"/>
        </w:rPr>
      </w:pPr>
      <w:r>
        <w:rPr>
          <w:rFonts w:hint="default"/>
          <w:color w:val="auto"/>
          <w:sz w:val="30"/>
          <w:szCs w:val="30"/>
        </w:rPr>
        <w:t>与产业政策相符性</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本项目为塑料复合软包装印刷生产项目，经查阅</w:t>
      </w:r>
      <w:r>
        <w:rPr>
          <w:rFonts w:hint="eastAsia" w:ascii="Times New Roman" w:hAnsi="Times New Roman" w:eastAsia="宋体" w:cs="Times New Roman"/>
          <w:color w:val="auto"/>
          <w:szCs w:val="28"/>
          <w:u w:val="none" w:color="auto"/>
          <w:lang w:eastAsia="zh-CN"/>
        </w:rPr>
        <w:t>《产业结构调整指导目录（2024年本）》</w:t>
      </w:r>
      <w:r>
        <w:rPr>
          <w:rFonts w:hint="default" w:ascii="Times New Roman" w:hAnsi="Times New Roman" w:cs="Times New Roman"/>
          <w:color w:val="auto"/>
          <w:szCs w:val="28"/>
          <w:u w:val="none" w:color="auto"/>
        </w:rPr>
        <w:t>，本项目不属于上述文件中的</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鼓励类、限制类和淘汰类</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，属于允许类；本项目生产设备、</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www.so.com/link?m=bb22lh5zQ4CBXPLUdUqTkKAL1n/vImnhlr7e8VBYzdV24LTPgpqd0ZXX+/k/zPEAMhSule3n3p3mXcBCt6fgAZpf5Kxl93BF1IKWgPOysyAIorxr16CmXaL833EZdN5wtac8XxqCKW8K8QKMbMU+3LYLSw8Fq3+cdQQ1sp1X8L+Vb6AFw7duQwDttPqhRWYtT18RZzWQo0n7tI8HvIvXfdemSklS+1D3CyTIgRBV5HLH8wCRUPia7RpIwKaT7FRb4kax6gB3crC11gvMBE3d0aoOL7dexgWI69J//dlJe4ShpKoztxqIc/lvDafDTCrUPWi5qqCTJxcItad1WDE5W8MKu5FgGLYQn3EvinZClXGM="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产品不属于目录中明令淘汰的落后生产工艺装备</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、落后产品，因此项目符合国家产业政策。具有较好的社会效益、经济效益和发展前景。</w:t>
      </w:r>
    </w:p>
    <w:p>
      <w:pPr>
        <w:pStyle w:val="11"/>
        <w:bidi w:val="0"/>
        <w:spacing w:line="360" w:lineRule="auto"/>
        <w:ind w:left="851" w:hanging="851"/>
        <w:rPr>
          <w:rFonts w:hint="default"/>
          <w:color w:val="auto"/>
          <w:sz w:val="30"/>
          <w:szCs w:val="30"/>
        </w:rPr>
      </w:pPr>
      <w:r>
        <w:rPr>
          <w:rFonts w:hint="default"/>
          <w:color w:val="auto"/>
          <w:sz w:val="30"/>
          <w:szCs w:val="30"/>
        </w:rPr>
        <w:t>项目选址可行性分析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宋体" w:hAnsi="宋体" w:eastAsia="宋体" w:cs="宋体"/>
          <w:color w:val="auto"/>
          <w:sz w:val="24"/>
          <w:szCs w:val="24"/>
          <w:lang w:eastAsia="zh-CN"/>
        </w:rPr>
      </w:pP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eastAsia="宋体" w:cs="Times New Roman"/>
          <w:color w:val="auto"/>
          <w:szCs w:val="28"/>
          <w:u w:val="none" w:color="auto"/>
          <w:lang w:eastAsia="zh-CN"/>
        </w:rPr>
        <w:t>产业定位为发展以生物医药、电子信息、新材料三大主导产业</w:t>
      </w:r>
      <w:r>
        <w:rPr>
          <w:rFonts w:hint="eastAsia" w:ascii="Times New Roman" w:hAnsi="Times New Roman" w:eastAsia="宋体" w:cs="Times New Roman"/>
          <w:color w:val="auto"/>
          <w:szCs w:val="28"/>
          <w:u w:val="none" w:color="auto"/>
          <w:lang w:eastAsia="zh-CN"/>
        </w:rPr>
        <w:t>；</w:t>
      </w:r>
      <w:r>
        <w:rPr>
          <w:rFonts w:ascii="宋体" w:hAnsi="宋体" w:eastAsia="宋体" w:cs="宋体"/>
          <w:color w:val="auto"/>
          <w:sz w:val="24"/>
          <w:szCs w:val="24"/>
        </w:rPr>
        <w:t>禁止在湘江干流岸线一公里范围内新建、扩建化工项目；禁止在湘江干流岸线一公里范围内新建、改建、扩建尾矿库，但是以提升安全、生态环境保护水平为目的的改建除外</w:t>
      </w:r>
      <w:r>
        <w:rPr>
          <w:rFonts w:hint="eastAsia" w:ascii="宋体" w:hAnsi="宋体" w:eastAsia="宋体" w:cs="宋体"/>
          <w:color w:val="auto"/>
          <w:sz w:val="24"/>
          <w:szCs w:val="24"/>
          <w:lang w:eastAsia="zh-CN"/>
        </w:rPr>
        <w:t>；</w:t>
      </w:r>
      <w:r>
        <w:rPr>
          <w:rFonts w:ascii="宋体" w:hAnsi="宋体" w:eastAsia="宋体" w:cs="宋体"/>
          <w:color w:val="auto"/>
          <w:sz w:val="24"/>
          <w:szCs w:val="24"/>
        </w:rPr>
        <w:t>河西工业园限制在邻近石山脚街道居住区的工业用地内引进气型污染企业。</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本</w:t>
      </w:r>
      <w:r>
        <w:rPr>
          <w:rFonts w:hint="default" w:ascii="Times New Roman" w:hAnsi="Times New Roman" w:cs="Times New Roman"/>
          <w:color w:val="auto"/>
          <w:szCs w:val="28"/>
          <w:u w:val="none" w:color="auto"/>
        </w:rPr>
        <w:t>项目为塑料</w:t>
      </w:r>
      <w:r>
        <w:rPr>
          <w:rFonts w:hint="default" w:ascii="Times New Roman" w:hAnsi="Times New Roman" w:eastAsia="宋体" w:cs="Times New Roman"/>
          <w:color w:val="auto"/>
          <w:szCs w:val="28"/>
          <w:u w:val="none" w:color="auto"/>
          <w:lang w:val="en-US" w:eastAsia="zh-CN"/>
        </w:rPr>
        <w:t>复合软包装的生产，</w:t>
      </w:r>
      <w:r>
        <w:rPr>
          <w:rFonts w:hint="default" w:ascii="Times New Roman" w:hAnsi="Times New Roman" w:cs="Times New Roman"/>
          <w:color w:val="auto"/>
          <w:szCs w:val="28"/>
          <w:u w:val="none" w:color="auto"/>
        </w:rPr>
        <w:t>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的产业定位不冲突</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不属于化工项目、尾矿库等，且与</w:t>
      </w:r>
      <w:r>
        <w:rPr>
          <w:rFonts w:hint="default" w:ascii="Times New Roman" w:hAnsi="Times New Roman" w:eastAsia="宋体" w:cs="Times New Roman"/>
          <w:color w:val="auto"/>
          <w:szCs w:val="28"/>
          <w:u w:val="none" w:color="auto"/>
          <w:lang w:val="en-US" w:eastAsia="zh-CN"/>
        </w:rPr>
        <w:t>石山脚乡居住区距离相对较远</w:t>
      </w:r>
      <w:r>
        <w:rPr>
          <w:rFonts w:hint="default" w:ascii="Times New Roman" w:hAnsi="Times New Roman" w:cs="Times New Roman"/>
          <w:color w:val="auto"/>
          <w:szCs w:val="28"/>
          <w:u w:val="none" w:color="auto"/>
        </w:rPr>
        <w:t>。项目选址于</w:t>
      </w:r>
      <w:r>
        <w:rPr>
          <w:rFonts w:hint="eastAsia" w:ascii="Times New Roman" w:hAnsi="Times New Roman" w:eastAsia="宋体" w:cs="Times New Roman"/>
          <w:color w:val="auto"/>
          <w:szCs w:val="28"/>
          <w:u w:val="none" w:color="auto"/>
          <w:lang w:eastAsia="zh-CN"/>
        </w:rPr>
        <w:t>永州市零陵高新技术产业开发区河西片区瑞翔大道南侧厂房</w:t>
      </w:r>
      <w:r>
        <w:rPr>
          <w:rFonts w:hint="default" w:ascii="Times New Roman" w:hAnsi="Times New Roman" w:cs="Times New Roman"/>
          <w:color w:val="auto"/>
          <w:szCs w:val="28"/>
          <w:u w:val="none" w:color="auto"/>
        </w:rPr>
        <w:t>，占地面积</w:t>
      </w:r>
      <w:r>
        <w:rPr>
          <w:rFonts w:hint="eastAsia" w:ascii="Times New Roman" w:hAnsi="Times New Roman" w:eastAsia="宋体" w:cs="Times New Roman"/>
          <w:color w:val="auto"/>
          <w:szCs w:val="28"/>
          <w:u w:val="none" w:color="auto"/>
          <w:lang w:val="en-US" w:eastAsia="zh-CN"/>
        </w:rPr>
        <w:t>约11000m</w:t>
      </w:r>
      <w:r>
        <w:rPr>
          <w:rFonts w:hint="default" w:ascii="Times New Roman" w:hAnsi="Times New Roman" w:cs="Times New Roman"/>
          <w:color w:val="auto"/>
          <w:szCs w:val="28"/>
          <w:u w:val="none" w:color="auto"/>
          <w:vertAlign w:val="superscript"/>
        </w:rPr>
        <w:t>2</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总建筑面积8462m</w:t>
      </w:r>
      <w:r>
        <w:rPr>
          <w:rFonts w:hint="default" w:ascii="Times New Roman" w:hAnsi="Times New Roman" w:cs="Times New Roman"/>
          <w:color w:val="auto"/>
          <w:szCs w:val="28"/>
          <w:u w:val="none" w:color="auto"/>
          <w:vertAlign w:val="superscript"/>
        </w:rPr>
        <w:t>2</w:t>
      </w:r>
      <w:r>
        <w:rPr>
          <w:rFonts w:hint="eastAsia" w:hAnsi="宋体" w:cs="Times New Roman"/>
          <w:color w:val="auto"/>
          <w:sz w:val="24"/>
          <w:szCs w:val="24"/>
          <w:lang w:val="en-US" w:eastAsia="zh-CN"/>
        </w:rPr>
        <w:t>，其中厂房建筑面积为</w:t>
      </w:r>
      <w:r>
        <w:rPr>
          <w:rFonts w:hint="default" w:ascii="Times New Roman" w:hAnsi="Times New Roman" w:eastAsia="宋体" w:cs="Times New Roman"/>
          <w:color w:val="auto"/>
          <w:spacing w:val="-3"/>
          <w:sz w:val="24"/>
          <w:szCs w:val="24"/>
          <w:lang w:eastAsia="zh-CN"/>
        </w:rPr>
        <w:t>6861.68</w:t>
      </w:r>
      <w:r>
        <w:rPr>
          <w:rFonts w:hint="eastAsia" w:ascii="Times New Roman" w:hAnsi="Times New Roman" w:eastAsia="宋体"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rPr>
        <w:t>2</w:t>
      </w:r>
      <w:r>
        <w:rPr>
          <w:rFonts w:hint="default" w:ascii="Times New Roman" w:hAnsi="Times New Roman" w:cs="Times New Roman"/>
          <w:color w:val="auto"/>
          <w:szCs w:val="28"/>
          <w:u w:val="none" w:color="auto"/>
        </w:rPr>
        <w:t>，根据《</w:t>
      </w:r>
      <w:r>
        <w:rPr>
          <w:rFonts w:hint="eastAsia" w:ascii="Times New Roman" w:hAnsi="Times New Roman" w:eastAsia="宋体" w:cs="Times New Roman"/>
          <w:color w:val="auto"/>
          <w:szCs w:val="28"/>
          <w:u w:val="none" w:color="auto"/>
          <w:lang w:val="en-US" w:eastAsia="zh-CN"/>
        </w:rPr>
        <w:t>零陵高新技术产业开发区（河西片区）控制性详细规划</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土地使用规划图</w:t>
      </w:r>
      <w:r>
        <w:rPr>
          <w:rFonts w:hint="default" w:ascii="Times New Roman" w:hAnsi="Times New Roman" w:cs="Times New Roman"/>
          <w:color w:val="auto"/>
          <w:szCs w:val="28"/>
          <w:u w:val="none" w:color="auto"/>
        </w:rPr>
        <w:t>，项目用地性质属于</w:t>
      </w:r>
      <w:r>
        <w:rPr>
          <w:rFonts w:hint="eastAsia" w:ascii="Times New Roman" w:hAnsi="Times New Roman" w:eastAsia="宋体" w:cs="Times New Roman"/>
          <w:color w:val="auto"/>
          <w:szCs w:val="28"/>
          <w:u w:val="none" w:color="auto"/>
          <w:lang w:val="en-US" w:eastAsia="zh-CN"/>
        </w:rPr>
        <w:t>一类</w:t>
      </w:r>
      <w:r>
        <w:rPr>
          <w:rFonts w:hint="default" w:ascii="Times New Roman" w:hAnsi="Times New Roman" w:cs="Times New Roman"/>
          <w:color w:val="auto"/>
          <w:szCs w:val="28"/>
          <w:u w:val="none" w:color="auto"/>
        </w:rPr>
        <w:t>工业用地，符合土地利用规划要求。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本项目厂址周围无自然保护区、名胜古迹、生活饮用水源地、生态脆弱敏感区和其他需要特殊保护的敏感目标。项目厂址外环境关系较为简单，周边均为工业用地，</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00m范围内无规划居民用地存在，无集中居住区、学校、医院等环境敏感点。项目在采取本报告提出的污染防治措施并确保其正常有效运行的前提下，污染物均能达标排放，对周围环境污染影响小，符合区域环境功能要求。从环境保护角度分析，项目选址较为合理。</w:t>
      </w:r>
    </w:p>
    <w:p>
      <w:pPr>
        <w:pStyle w:val="11"/>
        <w:bidi w:val="0"/>
        <w:spacing w:line="360" w:lineRule="auto"/>
        <w:ind w:left="851" w:hanging="851"/>
        <w:rPr>
          <w:rFonts w:hint="default"/>
          <w:color w:val="auto"/>
          <w:sz w:val="30"/>
          <w:szCs w:val="30"/>
        </w:rPr>
      </w:pPr>
      <w:r>
        <w:rPr>
          <w:rFonts w:hint="default"/>
          <w:color w:val="auto"/>
          <w:sz w:val="30"/>
          <w:szCs w:val="30"/>
        </w:rPr>
        <w:t>与行业政策符合性分析</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0" w:firstLineChars="0"/>
        <w:jc w:val="both"/>
        <w:textAlignment w:val="baseline"/>
        <w:rPr>
          <w:rFonts w:hint="default" w:ascii="Times New Roman" w:hAnsi="Times New Roman" w:eastAsia="宋体" w:cs="Times New Roman"/>
          <w:b/>
          <w:bCs/>
          <w:color w:val="auto"/>
          <w:szCs w:val="28"/>
          <w:u w:val="none" w:color="auto"/>
          <w:lang w:val="en-US" w:eastAsia="zh-CN"/>
        </w:rPr>
      </w:pPr>
      <w:r>
        <w:rPr>
          <w:rFonts w:hint="eastAsia" w:ascii="Times New Roman" w:hAnsi="Times New Roman" w:eastAsia="宋体" w:cs="Times New Roman"/>
          <w:b/>
          <w:bCs/>
          <w:color w:val="auto"/>
          <w:szCs w:val="28"/>
          <w:u w:val="none" w:color="auto"/>
          <w:lang w:eastAsia="zh-CN"/>
        </w:rPr>
        <w:t>（</w:t>
      </w:r>
      <w:r>
        <w:rPr>
          <w:rFonts w:hint="eastAsia" w:ascii="Times New Roman" w:hAnsi="Times New Roman" w:eastAsia="宋体" w:cs="Times New Roman"/>
          <w:b/>
          <w:bCs/>
          <w:color w:val="auto"/>
          <w:szCs w:val="28"/>
          <w:u w:val="none" w:color="auto"/>
          <w:lang w:val="en-US" w:eastAsia="zh-CN"/>
        </w:rPr>
        <w:t>1</w:t>
      </w:r>
      <w:r>
        <w:rPr>
          <w:rFonts w:hint="eastAsia" w:ascii="Times New Roman" w:hAnsi="Times New Roman" w:eastAsia="宋体" w:cs="Times New Roman"/>
          <w:b/>
          <w:bCs/>
          <w:color w:val="auto"/>
          <w:szCs w:val="28"/>
          <w:u w:val="none" w:color="auto"/>
          <w:lang w:eastAsia="zh-CN"/>
        </w:rPr>
        <w:t>）</w:t>
      </w:r>
      <w:r>
        <w:rPr>
          <w:rFonts w:hint="default" w:ascii="Times New Roman" w:hAnsi="Times New Roman" w:cs="Times New Roman"/>
          <w:b/>
          <w:bCs/>
          <w:color w:val="auto"/>
          <w:szCs w:val="28"/>
          <w:u w:val="none" w:color="auto"/>
        </w:rPr>
        <w:t>《2020年挥发性有机物治理攻坚方案》（环大气〔2020〕33号）</w:t>
      </w:r>
      <w:r>
        <w:rPr>
          <w:rFonts w:hint="eastAsia" w:ascii="Times New Roman" w:hAnsi="Times New Roman" w:eastAsia="宋体" w:cs="Times New Roman"/>
          <w:b/>
          <w:bCs/>
          <w:color w:val="auto"/>
          <w:szCs w:val="28"/>
          <w:u w:val="none" w:color="auto"/>
          <w:lang w:val="en-US" w:eastAsia="zh-CN"/>
        </w:rPr>
        <w:t>符合性分析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《2020年挥发性有机物治理攻坚方案》要求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挥发性有机物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交有资质的单位处置。</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使用的VOCs物料为环保型油墨及其稀释剂、聚氨酯胶水及其稀释剂，由原料桶密闭储存，存放于专门的封闭式原料库内；储存以及装卸、转移和输送环节均为密闭容器；使用时采用密闭车间设置，各产气点作业区设置高效集气设施，废气经集气收集后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LEL减风增浓+RTO蓄热燃烧系统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，可实现达标排放；处置环节将盛装过VOCs物料的包装容器、含VOCs废料（渣、液）等通过加盖、封装等方式密闭存放在危废暂存间内，未随意丢弃，之后交由有资质单位处置。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default" w:ascii="Times New Roman" w:hAnsi="Times New Roman" w:eastAsia="宋体" w:cs="Times New Roman"/>
          <w:b/>
          <w:bCs/>
          <w:color w:val="auto"/>
          <w:szCs w:val="28"/>
          <w:u w:val="none" w:color="auto"/>
          <w:lang w:val="en-US" w:eastAsia="zh-CN"/>
        </w:rPr>
      </w:pPr>
      <w:r>
        <w:rPr>
          <w:rFonts w:hint="eastAsia" w:ascii="Times New Roman" w:hAnsi="Times New Roman" w:eastAsia="宋体" w:cs="Times New Roman"/>
          <w:b/>
          <w:bCs/>
          <w:color w:val="auto"/>
          <w:szCs w:val="28"/>
          <w:u w:val="none" w:color="auto"/>
          <w:lang w:eastAsia="zh-CN"/>
        </w:rPr>
        <w:t>（</w:t>
      </w:r>
      <w:r>
        <w:rPr>
          <w:rFonts w:hint="eastAsia" w:ascii="Times New Roman" w:hAnsi="Times New Roman" w:eastAsia="宋体" w:cs="Times New Roman"/>
          <w:b/>
          <w:bCs/>
          <w:color w:val="auto"/>
          <w:szCs w:val="28"/>
          <w:u w:val="none" w:color="auto"/>
          <w:lang w:val="en-US" w:eastAsia="zh-CN"/>
        </w:rPr>
        <w:t>2</w:t>
      </w:r>
      <w:r>
        <w:rPr>
          <w:rFonts w:hint="eastAsia" w:ascii="Times New Roman" w:hAnsi="Times New Roman" w:eastAsia="宋体" w:cs="Times New Roman"/>
          <w:b/>
          <w:bCs/>
          <w:color w:val="auto"/>
          <w:szCs w:val="28"/>
          <w:u w:val="none" w:color="auto"/>
          <w:lang w:eastAsia="zh-CN"/>
        </w:rPr>
        <w:t>）</w:t>
      </w:r>
      <w:r>
        <w:rPr>
          <w:rFonts w:hint="default" w:ascii="Times New Roman" w:hAnsi="Times New Roman" w:eastAsia="宋体" w:cs="Times New Roman"/>
          <w:b/>
          <w:bCs/>
          <w:color w:val="auto"/>
          <w:szCs w:val="28"/>
          <w:u w:val="none" w:color="auto"/>
          <w:lang w:eastAsia="zh-CN"/>
        </w:rPr>
        <w:t>《重点行业挥发性有机物综合治理方案》（环大气〔2019〕53号）</w:t>
      </w:r>
      <w:r>
        <w:rPr>
          <w:rFonts w:hint="eastAsia" w:ascii="Times New Roman" w:hAnsi="Times New Roman" w:eastAsia="宋体" w:cs="Times New Roman"/>
          <w:b/>
          <w:bCs/>
          <w:color w:val="auto"/>
          <w:szCs w:val="28"/>
          <w:u w:val="none" w:color="auto"/>
          <w:lang w:val="en-US" w:eastAsia="zh-CN"/>
        </w:rPr>
        <w:t>符合性分析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w:t>
      </w:r>
      <w:r>
        <w:rPr>
          <w:rFonts w:hint="default" w:ascii="Times New Roman" w:hAnsi="Times New Roman" w:cs="Times New Roman"/>
          <w:color w:val="auto"/>
          <w:szCs w:val="28"/>
          <w:u w:val="none" w:color="auto"/>
          <w:lang w:eastAsia="zh-CN"/>
        </w:rPr>
        <w:t>重点行业挥发性有机物综合治理</w:t>
      </w:r>
      <w:r>
        <w:rPr>
          <w:rFonts w:hint="default" w:ascii="Times New Roman" w:hAnsi="Times New Roman" w:cs="Times New Roman"/>
          <w:color w:val="auto"/>
          <w:szCs w:val="28"/>
          <w:u w:val="none" w:color="auto"/>
        </w:rPr>
        <w:t>方案》明确，重点行业挥发性有机物治理应提高废气收集率。遵循</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应收尽收、分质收集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强化源头控制。塑料软包装印刷企业推广使用</w:t>
      </w:r>
      <w:r>
        <w:rPr>
          <w:rFonts w:hint="eastAsia" w:ascii="Times New Roman" w:hAnsi="Times New Roman" w:eastAsia="宋体" w:cs="Times New Roman"/>
          <w:color w:val="auto"/>
          <w:szCs w:val="28"/>
          <w:u w:val="none" w:color="auto"/>
          <w:lang w:eastAsia="zh-CN"/>
        </w:rPr>
        <w:t>水溶</w:t>
      </w:r>
      <w:r>
        <w:rPr>
          <w:rFonts w:hint="default" w:ascii="Times New Roman" w:hAnsi="Times New Roman" w:cs="Times New Roman"/>
          <w:color w:val="auto"/>
          <w:szCs w:val="28"/>
          <w:u w:val="none" w:color="auto"/>
        </w:rPr>
        <w:t>性油墨、单一组分溶剂油墨，无溶剂复合技术、共挤出复合技术等，鼓励使用水性油墨、辐射固化油墨、紫外光固化光油、低（无）挥发和高沸点的清洁剂等。加强无组织排放控制。含VOCs物料储存和输送过程应保持密闭。调配在密闭装置内进行并有效收集，非即用状态应加盖密封。涂布、印刷、覆膜、复合、上光、清洗等含VOCs物料使用过程应采用密闭设备或在密闭空间内操作；无法密闭的，应采取局部气体收集措施，废气排至VOCs废气收集系统。凹版、柔版印刷机宜采用封闭刮刀，或通过安装盖板、改变墨槽开口形状等措施减少墨槽无组织逸散。鼓励重点区域印刷企业对涉VOCs排放车间进行负压改造或局部围风改造。</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本项目复合技术中优先使用无溶剂复合技术，无溶剂复合占总复合比例的60%以上；同时拟在日后</w:t>
      </w:r>
      <w:r>
        <w:rPr>
          <w:rFonts w:hint="eastAsia" w:ascii="Times New Roman" w:hAnsi="Times New Roman" w:eastAsia="宋体" w:cs="Times New Roman"/>
          <w:color w:val="auto"/>
          <w:szCs w:val="28"/>
          <w:u w:val="none" w:color="auto"/>
          <w:lang w:val="en-US" w:eastAsia="zh-CN"/>
        </w:rPr>
        <w:t>行业技术成熟后，</w:t>
      </w:r>
      <w:r>
        <w:rPr>
          <w:rFonts w:hint="default" w:ascii="Times New Roman" w:hAnsi="Times New Roman" w:cs="Times New Roman"/>
          <w:color w:val="auto"/>
          <w:szCs w:val="28"/>
          <w:u w:val="none" w:color="auto"/>
        </w:rPr>
        <w:t>逐步提高无溶剂复合技术占比</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逐步实现水性油墨、辐射固化油墨等替代现有使用的油性油墨；含VOCs物料储存和输送过程保持密闭；根据</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应收尽收、分质收集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的原则</w:t>
      </w:r>
      <w:r>
        <w:rPr>
          <w:rFonts w:hint="eastAsia" w:ascii="Times New Roman" w:hAnsi="Times New Roman" w:eastAsia="宋体" w:cs="Times New Roman"/>
          <w:color w:val="auto"/>
          <w:szCs w:val="28"/>
          <w:u w:val="none" w:color="auto"/>
          <w:lang w:eastAsia="zh-CN"/>
        </w:rPr>
        <w:t>对项</w:t>
      </w:r>
      <w:r>
        <w:rPr>
          <w:rFonts w:hint="default" w:ascii="Times New Roman" w:hAnsi="Times New Roman" w:cs="Times New Roman"/>
          <w:color w:val="auto"/>
          <w:szCs w:val="28"/>
          <w:u w:val="none" w:color="auto"/>
        </w:rPr>
        <w:t>目印刷、复合等重点工序车间采用密闭隔间设置，各产气点设置高效集气设施，低浓度尾气经收集后可进入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LEL减风增浓+RTO蓄热燃烧系统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，提高了废气收集率；经减风增浓后，本项目产生的有机废气为高浓度废气，采用RTO蓄热燃烧系统（高温焚烧）进行处理，经处理后可实现达标排放。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default" w:ascii="Times New Roman" w:hAnsi="Times New Roman" w:eastAsia="宋体" w:cs="Times New Roman"/>
          <w:b/>
          <w:bCs/>
          <w:color w:val="auto"/>
          <w:szCs w:val="28"/>
          <w:u w:val="none" w:color="auto"/>
          <w:lang w:eastAsia="zh-CN"/>
        </w:rPr>
      </w:pPr>
      <w:r>
        <w:rPr>
          <w:rFonts w:hint="eastAsia" w:ascii="Times New Roman" w:hAnsi="Times New Roman" w:eastAsia="宋体" w:cs="Times New Roman"/>
          <w:b/>
          <w:bCs/>
          <w:color w:val="auto"/>
          <w:szCs w:val="28"/>
          <w:u w:val="none" w:color="auto"/>
          <w:lang w:eastAsia="zh-CN"/>
        </w:rPr>
        <w:t>（</w:t>
      </w:r>
      <w:r>
        <w:rPr>
          <w:rFonts w:hint="eastAsia" w:ascii="Times New Roman" w:hAnsi="Times New Roman" w:eastAsia="宋体" w:cs="Times New Roman"/>
          <w:b/>
          <w:bCs/>
          <w:color w:val="auto"/>
          <w:szCs w:val="28"/>
          <w:u w:val="none" w:color="auto"/>
          <w:lang w:val="en-US" w:eastAsia="zh-CN"/>
        </w:rPr>
        <w:t>3</w:t>
      </w:r>
      <w:r>
        <w:rPr>
          <w:rFonts w:hint="eastAsia" w:ascii="Times New Roman" w:hAnsi="Times New Roman" w:eastAsia="宋体" w:cs="Times New Roman"/>
          <w:b/>
          <w:bCs/>
          <w:color w:val="auto"/>
          <w:szCs w:val="28"/>
          <w:u w:val="none" w:color="auto"/>
          <w:lang w:eastAsia="zh-CN"/>
        </w:rPr>
        <w:t>）</w:t>
      </w:r>
      <w:r>
        <w:rPr>
          <w:rFonts w:hint="default" w:ascii="Times New Roman" w:hAnsi="Times New Roman" w:eastAsia="宋体" w:cs="Times New Roman"/>
          <w:b/>
          <w:bCs/>
          <w:color w:val="auto"/>
          <w:szCs w:val="28"/>
          <w:u w:val="none" w:color="auto"/>
          <w:lang w:eastAsia="zh-CN"/>
        </w:rPr>
        <w:t>《挥发性有机物无组织排放控制标准》（GB37822</w:t>
      </w:r>
      <w:r>
        <w:rPr>
          <w:rFonts w:hint="eastAsia" w:ascii="Times New Roman" w:hAnsi="Times New Roman" w:eastAsia="宋体" w:cs="Times New Roman"/>
          <w:b/>
          <w:bCs/>
          <w:color w:val="auto"/>
          <w:szCs w:val="28"/>
          <w:u w:val="none" w:color="auto"/>
          <w:lang w:val="en-US" w:eastAsia="zh-CN"/>
        </w:rPr>
        <w:t>-</w:t>
      </w:r>
      <w:r>
        <w:rPr>
          <w:rFonts w:hint="default" w:ascii="Times New Roman" w:hAnsi="Times New Roman" w:eastAsia="宋体" w:cs="Times New Roman"/>
          <w:b/>
          <w:bCs/>
          <w:color w:val="auto"/>
          <w:szCs w:val="28"/>
          <w:u w:val="none" w:color="auto"/>
          <w:lang w:eastAsia="zh-CN"/>
        </w:rPr>
        <w:t>2019）</w:t>
      </w:r>
      <w:r>
        <w:rPr>
          <w:rFonts w:hint="eastAsia" w:ascii="Times New Roman" w:hAnsi="Times New Roman" w:eastAsia="宋体" w:cs="Times New Roman"/>
          <w:b/>
          <w:bCs/>
          <w:color w:val="auto"/>
          <w:szCs w:val="28"/>
          <w:u w:val="none" w:color="auto"/>
          <w:lang w:val="en-US" w:eastAsia="zh-CN"/>
        </w:rPr>
        <w:t>符合性分析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VOCs物料储存无组织排放控制要求：VOCs物料应储存于密闭的容器、包装袋、储罐、储库、料仓中，盛装VOCs物料的容器或包装袋应存放于室内，非取用状态时应加盖、封口，保持密闭。储库、料仓应满足3.6条对密闭空间的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液态VOCs物料应采用密闭管道输送方式或采用高位槽（罐）、桶泵等给料方式密闭投加。无法密闭投加的，应在密闭空间内操作，或进行局部气体收集，废气应排至VOCs废气收集处理系统。</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排放的废气应收集处理并满足相关行业排放标准的要求（无行业排放标准的应满足GB16297的要求），要求VOCs处理效率不低于80%，排气筒高度不低于15m（因安全考虑或有特殊工艺要求的除外），具体高度以及与周围建筑物的相对高度关系应根据环境影响评价文件确定。</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使用的VOCs物料为环保油墨、溶剂型聚氨酯胶水、异丙醇、正丙酯、乙酸乙酯，原料桶储存于VOCs原料库内，储存、转运及调配时均为密闭状态；本项目印刷、复合工序均在密闭车间内进行，重点产气点设置负压集气系统，尾气经负压收集后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LEL减风增浓+RTO蓄热燃烧系统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处理后高空排放</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该套系统处理效率为98%，排气筒高度15m。</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default" w:ascii="Times New Roman" w:hAnsi="Times New Roman" w:eastAsia="宋体" w:cs="Times New Roman"/>
          <w:b/>
          <w:bCs/>
          <w:color w:val="auto"/>
          <w:szCs w:val="28"/>
          <w:u w:val="none" w:color="auto"/>
          <w:lang w:eastAsia="zh-CN"/>
        </w:rPr>
      </w:pPr>
      <w:r>
        <w:rPr>
          <w:rFonts w:hint="eastAsia" w:ascii="Times New Roman" w:hAnsi="Times New Roman" w:eastAsia="宋体" w:cs="Times New Roman"/>
          <w:b/>
          <w:bCs/>
          <w:color w:val="auto"/>
          <w:szCs w:val="28"/>
          <w:u w:val="none" w:color="auto"/>
          <w:lang w:eastAsia="zh-CN"/>
        </w:rPr>
        <w:t>（</w:t>
      </w:r>
      <w:r>
        <w:rPr>
          <w:rFonts w:hint="eastAsia" w:ascii="Times New Roman" w:hAnsi="Times New Roman" w:eastAsia="宋体" w:cs="Times New Roman"/>
          <w:b/>
          <w:bCs/>
          <w:color w:val="auto"/>
          <w:szCs w:val="28"/>
          <w:u w:val="none" w:color="auto"/>
          <w:lang w:val="en-US" w:eastAsia="zh-CN"/>
        </w:rPr>
        <w:t>4</w:t>
      </w:r>
      <w:r>
        <w:rPr>
          <w:rFonts w:hint="eastAsia" w:ascii="Times New Roman" w:hAnsi="Times New Roman" w:eastAsia="宋体" w:cs="Times New Roman"/>
          <w:b/>
          <w:bCs/>
          <w:color w:val="auto"/>
          <w:szCs w:val="28"/>
          <w:u w:val="none" w:color="auto"/>
          <w:lang w:eastAsia="zh-CN"/>
        </w:rPr>
        <w:t>）</w:t>
      </w:r>
      <w:r>
        <w:rPr>
          <w:rFonts w:hint="default" w:ascii="Times New Roman" w:hAnsi="Times New Roman" w:eastAsia="宋体" w:cs="Times New Roman"/>
          <w:b/>
          <w:bCs/>
          <w:color w:val="auto"/>
          <w:szCs w:val="28"/>
          <w:u w:val="none" w:color="auto"/>
          <w:lang w:eastAsia="zh-CN"/>
        </w:rPr>
        <w:t>《湖南省VOCS污染防治三年实施方案（2018</w:t>
      </w:r>
      <w:r>
        <w:rPr>
          <w:rFonts w:hint="eastAsia" w:ascii="Times New Roman" w:hAnsi="Times New Roman" w:eastAsia="宋体" w:cs="Times New Roman"/>
          <w:b/>
          <w:bCs/>
          <w:color w:val="auto"/>
          <w:szCs w:val="28"/>
          <w:u w:val="none" w:color="auto"/>
          <w:lang w:val="en-US" w:eastAsia="zh-CN"/>
        </w:rPr>
        <w:t>-</w:t>
      </w:r>
      <w:r>
        <w:rPr>
          <w:rFonts w:hint="default" w:ascii="Times New Roman" w:hAnsi="Times New Roman" w:eastAsia="宋体" w:cs="Times New Roman"/>
          <w:b/>
          <w:bCs/>
          <w:color w:val="auto"/>
          <w:szCs w:val="28"/>
          <w:u w:val="none" w:color="auto"/>
          <w:lang w:eastAsia="zh-CN"/>
        </w:rPr>
        <w:t>2020年）》</w:t>
      </w:r>
      <w:r>
        <w:rPr>
          <w:rFonts w:hint="eastAsia" w:ascii="Times New Roman" w:hAnsi="Times New Roman" w:eastAsia="宋体" w:cs="Times New Roman"/>
          <w:b/>
          <w:bCs/>
          <w:color w:val="auto"/>
          <w:szCs w:val="28"/>
          <w:u w:val="none" w:color="auto"/>
          <w:lang w:val="en-US" w:eastAsia="zh-CN"/>
        </w:rPr>
        <w:t>符合性分析</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w:t>
      </w:r>
      <w:r>
        <w:rPr>
          <w:rFonts w:hint="default" w:ascii="Times New Roman" w:hAnsi="Times New Roman" w:cs="Times New Roman"/>
          <w:color w:val="auto"/>
          <w:szCs w:val="28"/>
          <w:u w:val="none" w:color="auto"/>
          <w:lang w:eastAsia="zh-CN"/>
        </w:rPr>
        <w:t>湖南省VOCS污染防治三年实施方案（2018</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eastAsia="zh-CN"/>
        </w:rPr>
        <w:t>2020年）</w:t>
      </w:r>
      <w:r>
        <w:rPr>
          <w:rFonts w:hint="default" w:ascii="Times New Roman" w:hAnsi="Times New Roman" w:cs="Times New Roman"/>
          <w:color w:val="auto"/>
          <w:szCs w:val="28"/>
          <w:u w:val="none" w:color="auto"/>
        </w:rPr>
        <w:t>》提出，提高VOCs排放重点行业环保准入门槛，严格控制新增污染物排放量。要严格限制石化、化工、包装印刷、工业涂装、家具制造、制药等高VOCs排放建设项目，新建涉VOCs排放的工业企业要入园区。加强有机废气收集与治理，有机废气收集率不低于80%，建设吸附燃烧等高效治理设施，实现达标排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加强无组织废气收集，对油墨、胶黏剂等有机原辅材料调配和使用等，要采取车间环境负压改造、安装高效集气装置等措施，有机废气收集率达到70%及以上，对转运、储存等，要采取密闭措施。使用溶剂型原辅材料的企业VOCs末端治理设施净化效率应达到90%以上，全面实施</w:t>
      </w:r>
      <w:r>
        <w:rPr>
          <w:rFonts w:hint="eastAsia" w:ascii="Times New Roman" w:hAnsi="Times New Roman" w:eastAsia="宋体" w:cs="Times New Roman"/>
          <w:color w:val="auto"/>
          <w:szCs w:val="28"/>
          <w:u w:val="none" w:color="auto"/>
          <w:lang w:eastAsia="zh-CN"/>
        </w:rPr>
        <w:t>《印刷工业大气污染物排放标准》（GB41616-2022）</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加强VOCs治理设施的运行监管，风量在五万立方米/小时以上的单个排气口必须安装满足排放标准要求的VOCs在线监测设备。</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，符合新建涉VOCs排放的工业企业要入园区的要求；本项目涉及有机废气排放的工序，做到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应收尽收</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，项目印刷、复合工序均在密闭车间内进行，重点产气点设置负压集气系统，尾气经负压收集后进入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工序，废气收集率高于</w:t>
      </w:r>
      <w:r>
        <w:rPr>
          <w:rFonts w:hint="eastAsia" w:ascii="Times New Roman" w:hAnsi="Times New Roman" w:eastAsia="宋体" w:cs="Times New Roman"/>
          <w:color w:val="auto"/>
          <w:szCs w:val="28"/>
          <w:u w:val="none" w:color="auto"/>
          <w:lang w:val="en-US" w:eastAsia="zh-CN"/>
        </w:rPr>
        <w:t>9</w:t>
      </w:r>
      <w:r>
        <w:rPr>
          <w:rFonts w:hint="default" w:ascii="Times New Roman" w:hAnsi="Times New Roman" w:cs="Times New Roman"/>
          <w:color w:val="auto"/>
          <w:szCs w:val="28"/>
          <w:u w:val="none" w:color="auto"/>
        </w:rPr>
        <w:t>0%；油墨、胶黏剂等有机原辅材料转运、储存、调配等均在密闭容器内进行；尾气处理采用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高效处理工艺，处理效率可达到9</w:t>
      </w:r>
      <w:r>
        <w:rPr>
          <w:rFonts w:hint="eastAsia" w:ascii="Times New Roman" w:hAnsi="Times New Roman" w:eastAsia="宋体" w:cs="Times New Roman"/>
          <w:color w:val="auto"/>
          <w:szCs w:val="28"/>
          <w:u w:val="none" w:color="auto"/>
          <w:lang w:val="en-US" w:eastAsia="zh-CN"/>
        </w:rPr>
        <w:t>8</w:t>
      </w:r>
      <w:r>
        <w:rPr>
          <w:rFonts w:hint="default" w:ascii="Times New Roman" w:hAnsi="Times New Roman" w:cs="Times New Roman"/>
          <w:color w:val="auto"/>
          <w:szCs w:val="28"/>
          <w:u w:val="none" w:color="auto"/>
        </w:rPr>
        <w:t>%以上，经处理后有机废气的排放可达到</w:t>
      </w:r>
      <w:r>
        <w:rPr>
          <w:rFonts w:hint="eastAsia" w:ascii="Times New Roman" w:hAnsi="Times New Roman" w:eastAsia="宋体" w:cs="Times New Roman"/>
          <w:color w:val="auto"/>
          <w:szCs w:val="28"/>
          <w:u w:val="none" w:color="auto"/>
          <w:lang w:eastAsia="zh-CN"/>
        </w:rPr>
        <w:t>《印刷工业大气污染物排放标准》（GB41616-2022）</w:t>
      </w:r>
      <w:r>
        <w:rPr>
          <w:rFonts w:hint="default" w:ascii="Times New Roman" w:hAnsi="Times New Roman" w:cs="Times New Roman"/>
          <w:color w:val="auto"/>
          <w:szCs w:val="28"/>
          <w:u w:val="none" w:color="auto"/>
        </w:rPr>
        <w:t>。本项目排气筒风量</w:t>
      </w:r>
      <w:r>
        <w:rPr>
          <w:rFonts w:hint="eastAsia" w:ascii="Times New Roman" w:hAnsi="Times New Roman" w:eastAsia="宋体" w:cs="Times New Roman"/>
          <w:color w:val="auto"/>
          <w:szCs w:val="28"/>
          <w:u w:val="none" w:color="auto"/>
          <w:lang w:val="en-US" w:eastAsia="zh-CN"/>
        </w:rPr>
        <w:t>为48000</w:t>
      </w:r>
      <w:r>
        <w:rPr>
          <w:rFonts w:hint="default" w:ascii="Times New Roman" w:hAnsi="Times New Roman" w:cs="Times New Roman"/>
          <w:color w:val="auto"/>
          <w:szCs w:val="28"/>
          <w:u w:val="none" w:color="auto"/>
        </w:rPr>
        <w:t>立方米/小时，</w:t>
      </w:r>
      <w:r>
        <w:rPr>
          <w:rFonts w:hint="eastAsia" w:ascii="Times New Roman" w:hAnsi="Times New Roman" w:eastAsia="宋体" w:cs="Times New Roman"/>
          <w:color w:val="auto"/>
          <w:szCs w:val="28"/>
          <w:u w:val="none" w:color="auto"/>
          <w:lang w:val="en-US" w:eastAsia="zh-CN"/>
        </w:rPr>
        <w:t>无需</w:t>
      </w:r>
      <w:r>
        <w:rPr>
          <w:rFonts w:hint="default" w:ascii="Times New Roman" w:hAnsi="Times New Roman" w:cs="Times New Roman"/>
          <w:color w:val="auto"/>
          <w:szCs w:val="28"/>
          <w:u w:val="none" w:color="auto"/>
        </w:rPr>
        <w:t>安装在线监测设备。</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default" w:ascii="Times New Roman" w:hAnsi="Times New Roman" w:eastAsia="宋体" w:cs="Times New Roman"/>
          <w:b/>
          <w:bCs/>
          <w:color w:val="auto"/>
          <w:szCs w:val="28"/>
          <w:u w:val="none" w:color="auto"/>
          <w:lang w:eastAsia="zh-CN"/>
        </w:rPr>
      </w:pPr>
      <w:r>
        <w:rPr>
          <w:rFonts w:hint="eastAsia" w:ascii="Times New Roman" w:hAnsi="Times New Roman" w:eastAsia="宋体" w:cs="Times New Roman"/>
          <w:b/>
          <w:bCs/>
          <w:color w:val="auto"/>
          <w:szCs w:val="28"/>
          <w:u w:val="none" w:color="auto"/>
          <w:lang w:eastAsia="zh-CN"/>
        </w:rPr>
        <w:t>（</w:t>
      </w:r>
      <w:r>
        <w:rPr>
          <w:rFonts w:hint="eastAsia" w:ascii="Times New Roman" w:hAnsi="Times New Roman" w:eastAsia="宋体" w:cs="Times New Roman"/>
          <w:b/>
          <w:bCs/>
          <w:color w:val="auto"/>
          <w:szCs w:val="28"/>
          <w:u w:val="none" w:color="auto"/>
          <w:lang w:val="en-US" w:eastAsia="zh-CN"/>
        </w:rPr>
        <w:t>5</w:t>
      </w:r>
      <w:r>
        <w:rPr>
          <w:rFonts w:hint="eastAsia" w:ascii="Times New Roman" w:hAnsi="Times New Roman" w:eastAsia="宋体" w:cs="Times New Roman"/>
          <w:b/>
          <w:bCs/>
          <w:color w:val="auto"/>
          <w:szCs w:val="28"/>
          <w:u w:val="none" w:color="auto"/>
          <w:lang w:eastAsia="zh-CN"/>
        </w:rPr>
        <w:t>）</w:t>
      </w:r>
      <w:r>
        <w:rPr>
          <w:rFonts w:hint="default" w:ascii="Times New Roman" w:hAnsi="Times New Roman" w:eastAsia="宋体" w:cs="Times New Roman"/>
          <w:b/>
          <w:bCs/>
          <w:color w:val="auto"/>
          <w:szCs w:val="28"/>
          <w:u w:val="none" w:color="auto"/>
          <w:lang w:eastAsia="zh-CN"/>
        </w:rPr>
        <w:t>《挥发性有机物污染防治技术政策》（公告2013年第31号）</w:t>
      </w:r>
      <w:r>
        <w:rPr>
          <w:rFonts w:hint="eastAsia" w:ascii="Times New Roman" w:hAnsi="Times New Roman" w:eastAsia="宋体" w:cs="Times New Roman"/>
          <w:b/>
          <w:bCs/>
          <w:color w:val="auto"/>
          <w:szCs w:val="28"/>
          <w:u w:val="none" w:color="auto"/>
          <w:lang w:val="en-US" w:eastAsia="zh-CN"/>
        </w:rPr>
        <w:t>符合性分析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鼓励使用通过环境标志产品认证的环保型涂料、油墨、</w:t>
      </w:r>
      <w:r>
        <w:rPr>
          <w:rFonts w:hint="eastAsia" w:ascii="Times New Roman" w:hAnsi="Times New Roman" w:eastAsia="宋体" w:cs="Times New Roman"/>
          <w:color w:val="auto"/>
          <w:szCs w:val="28"/>
          <w:u w:val="none" w:color="auto"/>
          <w:lang w:eastAsia="zh-CN"/>
        </w:rPr>
        <w:t>胶黏剂</w:t>
      </w:r>
      <w:r>
        <w:rPr>
          <w:rFonts w:hint="default" w:ascii="Times New Roman" w:hAnsi="Times New Roman" w:cs="Times New Roman"/>
          <w:color w:val="auto"/>
          <w:szCs w:val="28"/>
          <w:u w:val="none" w:color="auto"/>
        </w:rPr>
        <w:t>和清洗剂；在印刷工艺中推广使用水性油墨；含VOCs产品的使用过程中，应采取废气收集措施，提高废气收集效率，减少废气的无组织排放与逸散，并对收集后的废气进行回收或处理后达标排放。</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无溶剂复合占总复合比例的60%以上，同时拟在日后的生产运行中逐步提高无溶剂复合技术占比，逐步实现水性油墨、辐射固化油墨等替代现有使用的油性油墨；项目印刷、复合等重点工序车间采用密闭隔间设置，各产气点设置高效集气设施，低浓度尾气经收集后可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LEL减风增浓+RTO蓄热燃烧系统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，经处理后可实现达标排放</w:t>
      </w:r>
    </w:p>
    <w:p>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firstLine="0"/>
        <w:textAlignment w:val="baseline"/>
        <w:rPr>
          <w:rFonts w:hint="eastAsia"/>
          <w:b/>
          <w:bCs/>
          <w:color w:val="auto"/>
          <w:sz w:val="28"/>
          <w:szCs w:val="28"/>
          <w:lang w:eastAsia="zh-CN"/>
        </w:rPr>
      </w:pPr>
      <w:r>
        <w:rPr>
          <w:rFonts w:hint="eastAsia"/>
          <w:b/>
          <w:bCs/>
          <w:color w:val="auto"/>
          <w:sz w:val="28"/>
          <w:szCs w:val="28"/>
        </w:rPr>
        <w:t>与</w:t>
      </w:r>
      <w:r>
        <w:rPr>
          <w:rFonts w:hint="eastAsia"/>
          <w:b/>
          <w:bCs/>
          <w:color w:val="auto"/>
          <w:sz w:val="28"/>
          <w:szCs w:val="28"/>
          <w:lang w:eastAsia="zh-CN"/>
        </w:rPr>
        <w:t>“</w:t>
      </w:r>
      <w:r>
        <w:rPr>
          <w:rFonts w:hint="eastAsia"/>
          <w:b/>
          <w:bCs/>
          <w:color w:val="auto"/>
          <w:sz w:val="28"/>
          <w:szCs w:val="28"/>
        </w:rPr>
        <w:t>三线一单</w:t>
      </w:r>
      <w:r>
        <w:rPr>
          <w:rFonts w:hint="eastAsia"/>
          <w:b/>
          <w:bCs/>
          <w:color w:val="auto"/>
          <w:sz w:val="28"/>
          <w:szCs w:val="28"/>
          <w:lang w:eastAsia="zh-CN"/>
        </w:rPr>
        <w:t>”</w:t>
      </w:r>
      <w:r>
        <w:rPr>
          <w:rFonts w:hint="eastAsia"/>
          <w:b/>
          <w:bCs/>
          <w:color w:val="auto"/>
          <w:sz w:val="28"/>
          <w:szCs w:val="28"/>
        </w:rPr>
        <w:t>符合性分析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经查询《湖南省人民政府关于实施</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三线一单</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生态环境分区管控的意见》（湘政发〔2020〕12号）</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湖南省生态环境厅关于发布《湖南省生态环境分区管控总体管控要求暨省级以上产业园区生态环境准入清单》的函</w:t>
      </w:r>
      <w:r>
        <w:rPr>
          <w:rFonts w:hint="default" w:ascii="Times New Roman" w:hAnsi="Times New Roman" w:cs="Times New Roman"/>
          <w:color w:val="auto"/>
          <w:szCs w:val="28"/>
          <w:u w:val="none" w:color="auto"/>
        </w:rPr>
        <w:t>（湘</w:t>
      </w:r>
      <w:r>
        <w:rPr>
          <w:rFonts w:hint="eastAsia" w:ascii="Times New Roman" w:hAnsi="Times New Roman" w:eastAsia="宋体" w:cs="Times New Roman"/>
          <w:color w:val="auto"/>
          <w:szCs w:val="28"/>
          <w:u w:val="none" w:color="auto"/>
          <w:lang w:val="en-US" w:eastAsia="zh-CN"/>
        </w:rPr>
        <w:t>环函</w:t>
      </w:r>
      <w:r>
        <w:rPr>
          <w:rFonts w:hint="default" w:ascii="Times New Roman" w:hAnsi="Times New Roman" w:cs="Times New Roman"/>
          <w:color w:val="auto"/>
          <w:szCs w:val="28"/>
          <w:u w:val="none" w:color="auto"/>
        </w:rPr>
        <w:t>〔202</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26</w:t>
      </w:r>
      <w:r>
        <w:rPr>
          <w:rFonts w:hint="default" w:ascii="Times New Roman" w:hAnsi="Times New Roman" w:cs="Times New Roman"/>
          <w:color w:val="auto"/>
          <w:szCs w:val="28"/>
          <w:u w:val="none" w:color="auto"/>
        </w:rPr>
        <w:t>号）、《永州市人民政府关于实施</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三线一单</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生态环境分区管控的意见》，本项目所在地零陵高新技术产业开发区为重点管控单元，经济产业布局为</w:t>
      </w:r>
      <w:r>
        <w:rPr>
          <w:rFonts w:ascii="宋体" w:hAnsi="宋体" w:eastAsia="宋体" w:cs="宋体"/>
          <w:color w:val="auto"/>
          <w:sz w:val="24"/>
          <w:szCs w:val="24"/>
        </w:rPr>
        <w:t>河西片区：重点发展高新技术产业（锰产业高新技术研发、新材料等）、食品加工、生物制药、机械制造行业；珠山片区：重点发展锰常规产品加工、锰系新能源新材料加工等产业</w:t>
      </w:r>
      <w:r>
        <w:rPr>
          <w:rFonts w:hint="default" w:ascii="Times New Roman" w:hAnsi="Times New Roman" w:cs="Times New Roman"/>
          <w:color w:val="auto"/>
          <w:szCs w:val="28"/>
          <w:u w:val="none" w:color="auto"/>
        </w:rPr>
        <w:t>。主要环境问题和重要敏感目标：</w:t>
      </w:r>
      <w:r>
        <w:rPr>
          <w:rFonts w:ascii="宋体" w:hAnsi="宋体" w:eastAsia="宋体" w:cs="宋体"/>
          <w:color w:val="auto"/>
          <w:sz w:val="24"/>
          <w:szCs w:val="24"/>
        </w:rPr>
        <w:t>河西片区紧邻石山脚街道，且位于石山脚街道常年主导风向的上风向</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（1）生态红线</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项目位于</w:t>
      </w:r>
      <w:r>
        <w:rPr>
          <w:rFonts w:hint="eastAsia" w:ascii="Times New Roman" w:hAnsi="Times New Roman" w:eastAsia="宋体" w:cs="Times New Roman"/>
          <w:color w:val="auto"/>
          <w:szCs w:val="28"/>
          <w:u w:val="none" w:color="auto"/>
          <w:lang w:eastAsia="zh-CN"/>
        </w:rPr>
        <w:t>零陵高新技术产业开发区河西片区瑞翔大道南侧</w:t>
      </w:r>
      <w:r>
        <w:rPr>
          <w:rFonts w:hint="default" w:ascii="Times New Roman" w:hAnsi="Times New Roman" w:cs="Times New Roman"/>
          <w:color w:val="auto"/>
          <w:szCs w:val="28"/>
          <w:u w:val="none" w:color="auto"/>
        </w:rPr>
        <w:t>，属于</w:t>
      </w:r>
      <w:r>
        <w:rPr>
          <w:rFonts w:hint="eastAsia" w:ascii="Times New Roman" w:hAnsi="Times New Roman" w:eastAsia="宋体" w:cs="Times New Roman"/>
          <w:color w:val="auto"/>
          <w:szCs w:val="28"/>
          <w:u w:val="none" w:color="auto"/>
          <w:lang w:eastAsia="zh-CN"/>
        </w:rPr>
        <w:t>零陵高新技术产业开发区</w:t>
      </w:r>
      <w:r>
        <w:rPr>
          <w:rFonts w:hint="default" w:ascii="Times New Roman" w:hAnsi="Times New Roman" w:cs="Times New Roman"/>
          <w:color w:val="auto"/>
          <w:szCs w:val="28"/>
          <w:u w:val="none" w:color="auto"/>
        </w:rPr>
        <w:t>核准范围内，</w:t>
      </w:r>
      <w:r>
        <w:rPr>
          <w:rFonts w:hint="eastAsia" w:ascii="Times New Roman" w:hAnsi="Times New Roman" w:cs="Times New Roman"/>
          <w:color w:val="auto"/>
          <w:szCs w:val="28"/>
          <w:u w:val="none" w:color="auto"/>
          <w:lang w:val="en-US" w:eastAsia="zh-CN"/>
        </w:rPr>
        <w:t>不</w:t>
      </w:r>
      <w:r>
        <w:rPr>
          <w:rFonts w:hint="eastAsia" w:ascii="Times New Roman" w:hAnsi="Times New Roman" w:cs="Times New Roman"/>
          <w:color w:val="auto"/>
          <w:szCs w:val="28"/>
          <w:u w:val="none" w:color="auto"/>
        </w:rPr>
        <w:t>占用生态保护红线</w:t>
      </w:r>
      <w:r>
        <w:rPr>
          <w:rFonts w:hint="default" w:ascii="Times New Roman" w:hAnsi="Times New Roman" w:cs="Times New Roman"/>
          <w:color w:val="auto"/>
          <w:szCs w:val="28"/>
          <w:u w:val="none" w:color="auto"/>
        </w:rPr>
        <w:t>，因此，项目的建设与当地生态红线不相冲突。</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（2）环境质量底线</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除</w:t>
      </w:r>
      <w:r>
        <w:rPr>
          <w:rFonts w:hint="default" w:ascii="Times New Roman" w:hAnsi="Times New Roman" w:cs="Times New Roman"/>
          <w:color w:val="auto"/>
          <w:szCs w:val="28"/>
          <w:u w:val="none" w:color="auto"/>
          <w:lang w:val="en-US" w:eastAsia="zh-CN"/>
        </w:rPr>
        <w:t>PM</w:t>
      </w:r>
      <w:r>
        <w:rPr>
          <w:rFonts w:hint="default" w:ascii="Times New Roman" w:hAnsi="Times New Roman" w:cs="Times New Roman"/>
          <w:color w:val="auto"/>
          <w:szCs w:val="28"/>
          <w:u w:val="none" w:color="auto"/>
          <w:vertAlign w:val="subscript"/>
          <w:lang w:val="en-US" w:eastAsia="zh-CN"/>
        </w:rPr>
        <w:t>2.5</w:t>
      </w:r>
      <w:r>
        <w:rPr>
          <w:rFonts w:hint="eastAsia" w:ascii="Times New Roman" w:hAnsi="Times New Roman" w:eastAsia="宋体" w:cs="Times New Roman"/>
          <w:color w:val="auto"/>
          <w:szCs w:val="28"/>
          <w:u w:val="none" w:color="auto"/>
          <w:lang w:val="en-US" w:eastAsia="zh-CN"/>
        </w:rPr>
        <w:t>外，</w:t>
      </w:r>
      <w:r>
        <w:rPr>
          <w:rFonts w:hint="default" w:ascii="Times New Roman" w:hAnsi="Times New Roman" w:cs="Times New Roman"/>
          <w:color w:val="auto"/>
          <w:szCs w:val="28"/>
          <w:u w:val="none" w:color="auto"/>
        </w:rPr>
        <w:t>项目所在地大气环境满足《环境空气质量标准》（GB3095-2012）中二级标准要求；地表水满足《地表水环境质量标准》（GB3838-2002）中Ⅲ类标准要求；声环境达到《声环境质量标准》（GB3096-2008）中3类标准。本项目废气、废水、固体废物均得到合理处置，各污染物均达标排放，按要求报批环评文件，对企业环境保护措施提出了建议和要求，对周围环境质量的影响较小，符合改善环境质量的总体目标要求，不会突破项目所在地的环境质量底线。</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（3）资源利用上限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本项目施工期及运营期生活、</w:t>
      </w:r>
      <w:r>
        <w:rPr>
          <w:rFonts w:hint="eastAsia" w:ascii="Times New Roman" w:hAnsi="Times New Roman" w:eastAsia="宋体" w:cs="Times New Roman"/>
          <w:color w:val="auto"/>
          <w:szCs w:val="28"/>
          <w:u w:val="none" w:color="auto"/>
          <w:lang w:val="en-US" w:eastAsia="zh-CN"/>
        </w:rPr>
        <w:t>冷却</w:t>
      </w:r>
      <w:r>
        <w:rPr>
          <w:rFonts w:hint="default" w:ascii="Times New Roman" w:hAnsi="Times New Roman" w:cs="Times New Roman"/>
          <w:color w:val="auto"/>
          <w:szCs w:val="28"/>
          <w:u w:val="none" w:color="auto"/>
        </w:rPr>
        <w:t>用水取自市政自来水管网，项目用水量较当地供水量所占比例较小，项目施工、运营期用电量不会超过区域用电负荷，因此，不会达到水资源、能源利用上线。项目</w:t>
      </w:r>
      <w:r>
        <w:rPr>
          <w:rFonts w:hint="eastAsia" w:ascii="Times New Roman" w:hAnsi="Times New Roman" w:eastAsia="宋体" w:cs="Times New Roman"/>
          <w:color w:val="auto"/>
          <w:szCs w:val="28"/>
          <w:u w:val="none" w:color="auto"/>
          <w:lang w:val="en-US" w:eastAsia="zh-CN"/>
        </w:rPr>
        <w:t>租</w:t>
      </w:r>
      <w:r>
        <w:rPr>
          <w:rFonts w:hint="default" w:ascii="Times New Roman" w:hAnsi="Times New Roman" w:cs="Times New Roman"/>
          <w:color w:val="auto"/>
          <w:szCs w:val="28"/>
          <w:u w:val="none" w:color="auto"/>
        </w:rPr>
        <w:t>用地为工业用地，用地不占用基本农田，占地亦不会达到资源利用上线。</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（4）环境准入负面清单</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cs="Times New Roman"/>
          <w:color w:val="auto"/>
          <w:szCs w:val="28"/>
          <w:u w:val="none" w:color="auto"/>
        </w:rPr>
        <w:t>项目满足</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永州市产业准入负面清单</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的规定。本项目为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包装装潢及其他印刷</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，符合国家现行产业政策，采用的设备均不属于淘汰、限制类设备，项目各污染物均达标排放，符合环境准入负面清单管理的相关要求。</w:t>
      </w:r>
      <w:r>
        <w:rPr>
          <w:rFonts w:hint="default" w:ascii="Times New Roman" w:hAnsi="Times New Roman" w:eastAsia="宋体" w:cs="Times New Roman"/>
          <w:b/>
          <w:bCs/>
          <w:color w:val="auto"/>
          <w:spacing w:val="5"/>
          <w:sz w:val="24"/>
          <w:szCs w:val="24"/>
        </w:rPr>
        <w:br w:type="page"/>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sectPr>
          <w:headerReference r:id="rId9" w:type="default"/>
          <w:footerReference r:id="rId10" w:type="default"/>
          <w:pgSz w:w="11905" w:h="16839"/>
          <w:pgMar w:top="1440" w:right="1803" w:bottom="1440" w:left="1803" w:header="907" w:footer="1077" w:gutter="0"/>
          <w:pgBorders>
            <w:top w:val="none" w:sz="0" w:space="0"/>
            <w:left w:val="none" w:sz="0" w:space="0"/>
            <w:bottom w:val="none" w:sz="0" w:space="0"/>
            <w:right w:val="none" w:sz="0" w:space="0"/>
          </w:pgBorders>
          <w:pgNumType w:fmt="numberInDash" w:start="1"/>
          <w:cols w:space="720" w:num="1"/>
          <w:rtlGutter w:val="0"/>
          <w:docGrid w:linePitch="0" w:charSpace="0"/>
        </w:sectPr>
      </w:pPr>
    </w:p>
    <w:p>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firstLine="0"/>
        <w:textAlignment w:val="baseline"/>
        <w:rPr>
          <w:rFonts w:hint="eastAsia"/>
          <w:b/>
          <w:bCs/>
          <w:color w:val="auto"/>
          <w:sz w:val="28"/>
          <w:szCs w:val="28"/>
        </w:rPr>
      </w:pPr>
      <w:r>
        <w:rPr>
          <w:rFonts w:hint="eastAsia"/>
          <w:b/>
          <w:bCs/>
          <w:color w:val="auto"/>
          <w:sz w:val="28"/>
          <w:szCs w:val="28"/>
        </w:rPr>
        <w:t>与《</w:t>
      </w:r>
      <w:r>
        <w:rPr>
          <w:rFonts w:hint="eastAsia" w:ascii="Times New Roman" w:hAnsi="Times New Roman" w:eastAsia="宋体" w:cs="Times New Roman"/>
          <w:color w:val="auto"/>
          <w:szCs w:val="28"/>
          <w:u w:val="none" w:color="auto"/>
          <w:lang w:val="en-US" w:eastAsia="zh-CN"/>
        </w:rPr>
        <w:t>湖南省生态环境分区管控总体管控要求暨省级以上产业园区生态环境准入清单</w:t>
      </w:r>
      <w:r>
        <w:rPr>
          <w:rFonts w:hint="eastAsia"/>
          <w:b/>
          <w:bCs/>
          <w:color w:val="auto"/>
          <w:sz w:val="28"/>
          <w:szCs w:val="28"/>
        </w:rPr>
        <w:t>》相符性分析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color w:val="auto"/>
        </w:rPr>
      </w:pPr>
      <w:r>
        <w:rPr>
          <w:rFonts w:hint="eastAsia"/>
          <w:color w:val="auto"/>
        </w:rPr>
        <w:t>本项目与</w:t>
      </w:r>
      <w:r>
        <w:rPr>
          <w:rFonts w:hint="eastAsia"/>
          <w:color w:val="auto"/>
          <w:lang w:val="zh-CN"/>
        </w:rPr>
        <w:t>零陵高新技术产业开发区</w:t>
      </w:r>
      <w:r>
        <w:rPr>
          <w:rFonts w:hint="eastAsia"/>
          <w:color w:val="auto"/>
        </w:rPr>
        <w:t>生态环境准入清单符合性见下表。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eastAsia" w:ascii="Times New Roman" w:hAnsi="Times New Roman" w:eastAsia="宋体" w:cs="Times New Roman"/>
          <w:b/>
          <w:bCs/>
          <w:color w:val="auto"/>
          <w:spacing w:val="5"/>
          <w:sz w:val="24"/>
          <w:szCs w:val="24"/>
          <w:lang w:eastAsia="zh-CN"/>
        </w:rPr>
        <w:t>零陵高新技术产业开发区</w:t>
      </w:r>
      <w:r>
        <w:rPr>
          <w:rFonts w:hint="default" w:ascii="Times New Roman" w:hAnsi="Times New Roman" w:eastAsia="宋体" w:cs="Times New Roman"/>
          <w:b/>
          <w:bCs/>
          <w:color w:val="auto"/>
          <w:spacing w:val="5"/>
          <w:sz w:val="24"/>
          <w:szCs w:val="24"/>
        </w:rPr>
        <w:t>生态环境总体管控要求</w:t>
      </w:r>
    </w:p>
    <w:tbl>
      <w:tblPr>
        <w:tblStyle w:val="23"/>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921"/>
        <w:gridCol w:w="472"/>
        <w:gridCol w:w="428"/>
        <w:gridCol w:w="493"/>
        <w:gridCol w:w="527"/>
        <w:gridCol w:w="1036"/>
        <w:gridCol w:w="1065"/>
        <w:gridCol w:w="870"/>
        <w:gridCol w:w="2580"/>
        <w:gridCol w:w="1958"/>
        <w:gridCol w:w="1935"/>
        <w:gridCol w:w="6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环境管控单元编码</w:t>
            </w:r>
          </w:p>
        </w:tc>
        <w:tc>
          <w:tcPr>
            <w:tcW w:w="325"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单元名称</w:t>
            </w:r>
          </w:p>
        </w:tc>
        <w:tc>
          <w:tcPr>
            <w:tcW w:w="491" w:type="pct"/>
            <w:gridSpan w:val="3"/>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行政区划</w:t>
            </w:r>
          </w:p>
        </w:tc>
        <w:tc>
          <w:tcPr>
            <w:tcW w:w="186"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单元分类</w:t>
            </w:r>
          </w:p>
        </w:tc>
        <w:tc>
          <w:tcPr>
            <w:tcW w:w="365"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单元面积（km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w:t>
            </w:r>
          </w:p>
        </w:tc>
        <w:tc>
          <w:tcPr>
            <w:tcW w:w="375"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涉及乡镇（街道）</w:t>
            </w:r>
          </w:p>
        </w:tc>
        <w:tc>
          <w:tcPr>
            <w:tcW w:w="307"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区域主体功能定位</w:t>
            </w:r>
          </w:p>
        </w:tc>
        <w:tc>
          <w:tcPr>
            <w:tcW w:w="910"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主导产业</w:t>
            </w:r>
          </w:p>
        </w:tc>
        <w:tc>
          <w:tcPr>
            <w:tcW w:w="691"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主要环境问题和重要敏感目标</w:t>
            </w:r>
          </w:p>
        </w:tc>
        <w:tc>
          <w:tcPr>
            <w:tcW w:w="683"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项目</w:t>
            </w:r>
            <w:r>
              <w:rPr>
                <w:rFonts w:hint="eastAsia" w:ascii="Times New Roman" w:hAnsi="Times New Roman" w:cs="Times New Roman" w:eastAsiaTheme="minorEastAsia"/>
                <w:color w:val="auto"/>
                <w:sz w:val="21"/>
                <w:szCs w:val="21"/>
                <w:lang w:val="en-US" w:eastAsia="zh-CN"/>
              </w:rPr>
              <w:t>情况</w:t>
            </w:r>
          </w:p>
        </w:tc>
        <w:tc>
          <w:tcPr>
            <w:tcW w:w="225"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325"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166"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省</w:t>
            </w:r>
          </w:p>
        </w:tc>
        <w:tc>
          <w:tcPr>
            <w:tcW w:w="151"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市</w:t>
            </w:r>
          </w:p>
        </w:tc>
        <w:tc>
          <w:tcPr>
            <w:tcW w:w="174"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县</w:t>
            </w:r>
          </w:p>
        </w:tc>
        <w:tc>
          <w:tcPr>
            <w:tcW w:w="186"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365"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375"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307"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910"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691"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683"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225"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ZH43110220002</w:t>
            </w:r>
          </w:p>
        </w:tc>
        <w:tc>
          <w:tcPr>
            <w:tcW w:w="3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零陵高新技术产业开发区</w:t>
            </w:r>
          </w:p>
        </w:tc>
        <w:tc>
          <w:tcPr>
            <w:tcW w:w="166"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湖南省</w:t>
            </w:r>
          </w:p>
        </w:tc>
        <w:tc>
          <w:tcPr>
            <w:tcW w:w="151"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永州市</w:t>
            </w:r>
          </w:p>
        </w:tc>
        <w:tc>
          <w:tcPr>
            <w:tcW w:w="174"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零陵区</w:t>
            </w:r>
          </w:p>
        </w:tc>
        <w:tc>
          <w:tcPr>
            <w:tcW w:w="186"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重点管控单元</w:t>
            </w:r>
          </w:p>
        </w:tc>
        <w:tc>
          <w:tcPr>
            <w:tcW w:w="36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核准范围*：4.6694。</w:t>
            </w:r>
          </w:p>
        </w:tc>
        <w:tc>
          <w:tcPr>
            <w:tcW w:w="37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核准范围*：（一园两区）：区块一（珠山片区）涉及珠山镇；区块二（河西片区）涉及朝阳街道、石山脚街道。</w:t>
            </w:r>
          </w:p>
        </w:tc>
        <w:tc>
          <w:tcPr>
            <w:tcW w:w="30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珠山镇：城市化地区；朝阳街道：城市化地区；石山脚街道：城市化地区。</w:t>
            </w:r>
          </w:p>
        </w:tc>
        <w:tc>
          <w:tcPr>
            <w:tcW w:w="910"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left"/>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湘环评〔2013〕192号：湘环评〔2013〕192号：河西片区：重点发展高新技术产业（锰产业高新技术研发、新材料等）、食品加工、生物制药、机械制造行业；珠山片区：重点发展锰常规产品加工、锰系新能源新材料加工等产业；六部委公告2018年第4号：六部委公告2018年第4号：生物医学、电子、锰冶炼加工；湘发改地区〔2021〕394号：湘发改地区〔2021〕394号：主导产业：新材料；特色产业：电子信息。</w:t>
            </w:r>
          </w:p>
        </w:tc>
        <w:tc>
          <w:tcPr>
            <w:tcW w:w="691"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240" w:lineRule="auto"/>
              <w:jc w:val="left"/>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区块一（珠山片区）：1.珠山片区工业污水处理厂尚在规划；2.珠山片区内部分三类工业用地紧邻区外的岔江塘村、灶背村、翻身洞村，且位于其常年主导风向的上风向或侧风向；区块二（河西片区）：3.河西片区紧邻石山脚街道，且位于石山脚街道常年主导风向的上风向。</w:t>
            </w:r>
          </w:p>
        </w:tc>
        <w:tc>
          <w:tcPr>
            <w:tcW w:w="683" w:type="pct"/>
            <w:tcBorders>
              <w:tl2br w:val="nil"/>
              <w:tr2bl w:val="nil"/>
            </w:tcBorders>
            <w:noWrap w:val="0"/>
            <w:vAlign w:val="top"/>
          </w:tcPr>
          <w:p>
            <w:pPr>
              <w:pStyle w:val="7"/>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本项目属于</w:t>
            </w:r>
            <w:r>
              <w:rPr>
                <w:rFonts w:hint="eastAsia" w:ascii="Times New Roman" w:hAnsi="Times New Roman" w:cs="Times New Roman" w:eastAsiaTheme="minorEastAsia"/>
                <w:color w:val="auto"/>
                <w:sz w:val="21"/>
                <w:szCs w:val="21"/>
                <w:lang w:val="en-US" w:eastAsia="zh-CN"/>
              </w:rPr>
              <w:t>“</w:t>
            </w:r>
            <w:r>
              <w:rPr>
                <w:rFonts w:hint="default" w:ascii="Times New Roman" w:hAnsi="Times New Roman" w:cs="Times New Roman" w:eastAsiaTheme="minorEastAsia"/>
                <w:color w:val="auto"/>
                <w:sz w:val="21"/>
                <w:szCs w:val="21"/>
                <w:lang w:val="en-US" w:eastAsia="zh-CN"/>
              </w:rPr>
              <w:t>包装装潢及其他印刷</w:t>
            </w:r>
            <w:r>
              <w:rPr>
                <w:rFonts w:hint="eastAsia" w:ascii="Times New Roman" w:hAnsi="Times New Roman" w:cs="Times New Roman" w:eastAsiaTheme="minorEastAsia"/>
                <w:color w:val="auto"/>
                <w:sz w:val="21"/>
                <w:szCs w:val="21"/>
                <w:lang w:val="en-US" w:eastAsia="zh-CN"/>
              </w:rPr>
              <w:t>”</w:t>
            </w:r>
            <w:r>
              <w:rPr>
                <w:rFonts w:hint="default" w:ascii="Times New Roman" w:hAnsi="Times New Roman" w:cs="Times New Roman" w:eastAsiaTheme="minorEastAsia"/>
                <w:color w:val="auto"/>
                <w:sz w:val="21"/>
                <w:szCs w:val="21"/>
                <w:lang w:val="en-US" w:eastAsia="zh-CN"/>
              </w:rPr>
              <w:t>行业，不属于园区主导产业，本项目产生的废气，在通过采取大气污染防治措施后，对周边敏感目标影响较小；区域鹿坪污水处理厂已建成运营，项目产生的生活污水</w:t>
            </w:r>
            <w:r>
              <w:rPr>
                <w:rFonts w:hint="eastAsia" w:ascii="Times New Roman" w:hAnsi="Times New Roman" w:cs="Times New Roman" w:eastAsiaTheme="minorEastAsia"/>
                <w:color w:val="auto"/>
                <w:sz w:val="21"/>
                <w:szCs w:val="21"/>
                <w:lang w:val="en-US" w:eastAsia="zh-CN"/>
              </w:rPr>
              <w:t>、制软水废水及蓄水箱清洗</w:t>
            </w:r>
            <w:r>
              <w:rPr>
                <w:rFonts w:hint="default" w:ascii="Times New Roman" w:hAnsi="Times New Roman" w:cs="Times New Roman" w:eastAsiaTheme="minorEastAsia"/>
                <w:color w:val="auto"/>
                <w:sz w:val="21"/>
                <w:szCs w:val="21"/>
                <w:lang w:val="en-US" w:eastAsia="zh-CN"/>
              </w:rPr>
              <w:t>废水经园区管网进入鹿坪污水处理厂处理。</w:t>
            </w:r>
          </w:p>
        </w:tc>
        <w:tc>
          <w:tcPr>
            <w:tcW w:w="2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管控维度</w:t>
            </w:r>
          </w:p>
        </w:tc>
        <w:tc>
          <w:tcPr>
            <w:tcW w:w="3653" w:type="pct"/>
            <w:gridSpan w:val="10"/>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管控要求</w:t>
            </w:r>
          </w:p>
        </w:tc>
        <w:tc>
          <w:tcPr>
            <w:tcW w:w="68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2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空间布局约束</w:t>
            </w:r>
          </w:p>
        </w:tc>
        <w:tc>
          <w:tcPr>
            <w:tcW w:w="3653" w:type="pct"/>
            <w:gridSpan w:val="10"/>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（1.1）园区应尽快开展全面的规划优化调整，并重新进行规划环评论证，规划正式调整之前，与现有规划布局不符的已入驻的二、三类工业不得在原址扩大生产规模。</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（1.2）严格做好控规，在邻近已有敏感目标上风向的区域应避免布局气型污染企业及噪声污染企业，对已有企业要加强监管，按要求在环境敏感目标与气型污染企业之间设置隔离带。</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区块一（珠山片区）：</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（1.3）对紧邻区块一（珠山片区）1千米内的发展备用地块严格控规，不再规划居民集中区、疗养地等敏感目标。二、三类工业用地紧邻地块不得布置居住区。</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（1.4）编制区域锰产业整合规划并开展规划环评，以确保锰产业合理有序发展。在区域锰产业整合专项规划环评未完成前，园区内不得新增和扩建电解锰、富锰渣等产能规模。</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区块二（河西片区）</w:t>
            </w:r>
            <w:r>
              <w:rPr>
                <w:rFonts w:hint="default" w:ascii="Times New Roman" w:hAnsi="Times New Roman" w:cs="Times New Roman"/>
                <w:color w:val="auto"/>
                <w:sz w:val="21"/>
                <w:szCs w:val="21"/>
                <w:lang w:eastAsia="zh-CN"/>
              </w:rPr>
              <w:t>：</w:t>
            </w:r>
          </w:p>
          <w:p>
            <w:pPr>
              <w:pStyle w:val="2"/>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（1.5）限制涉重金属企业、气型污染企业入驻，河西片区排水项目的引入要与河西鹿坪污水处理厂的处理能力相匹配，避免超处理能力引进水型污染项目，稳步推动园区污水处理厂建设。</w:t>
            </w:r>
          </w:p>
          <w:p>
            <w:pPr>
              <w:pStyle w:val="2"/>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（1.6）河西片区允许适当布置三类工业用地，限制在邻近石山脚乡居住区的工业用地内引进气型污染企业。</w:t>
            </w:r>
          </w:p>
          <w:p>
            <w:pPr>
              <w:pStyle w:val="2"/>
              <w:jc w:val="both"/>
              <w:rPr>
                <w:rFonts w:hint="default" w:ascii="Times New Roman" w:hAnsi="Times New Roman" w:cs="Times New Roman"/>
                <w:color w:val="auto"/>
                <w:sz w:val="21"/>
                <w:szCs w:val="21"/>
                <w:lang w:eastAsia="zh-CN"/>
              </w:rPr>
            </w:pPr>
            <w:r>
              <w:rPr>
                <w:rFonts w:hint="default" w:ascii="Times New Roman" w:hAnsi="Times New Roman" w:eastAsia="宋体" w:cs="Times New Roman"/>
                <w:color w:val="auto"/>
                <w:sz w:val="21"/>
                <w:szCs w:val="21"/>
              </w:rPr>
              <w:t>（1.7）对于不符合园区规划要求的企业（包括部分已停产的企业）要予以整改、搬迁或退出。</w:t>
            </w:r>
          </w:p>
        </w:tc>
        <w:tc>
          <w:tcPr>
            <w:tcW w:w="68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本项目位于</w:t>
            </w:r>
            <w:r>
              <w:rPr>
                <w:rFonts w:hint="default" w:ascii="Times New Roman" w:hAnsi="Times New Roman" w:cs="Times New Roman" w:eastAsiaTheme="minorEastAsia"/>
                <w:color w:val="auto"/>
                <w:sz w:val="21"/>
                <w:szCs w:val="21"/>
                <w:lang w:eastAsia="zh-CN"/>
              </w:rPr>
              <w:t>零陵高新技术产业开发区河西片区</w:t>
            </w:r>
            <w:r>
              <w:rPr>
                <w:rFonts w:hint="default" w:ascii="Times New Roman" w:hAnsi="Times New Roman" w:cs="Times New Roman" w:eastAsiaTheme="minorEastAsia"/>
                <w:color w:val="auto"/>
                <w:sz w:val="21"/>
                <w:szCs w:val="21"/>
              </w:rPr>
              <w:t>，本项目为</w:t>
            </w:r>
            <w:r>
              <w:rPr>
                <w:rFonts w:hint="eastAsia"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包装装潢及其他印刷</w:t>
            </w:r>
            <w:r>
              <w:rPr>
                <w:rFonts w:hint="eastAsia"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lang w:val="en-US" w:eastAsia="zh-CN"/>
              </w:rPr>
              <w:t>行业，</w:t>
            </w:r>
            <w:r>
              <w:rPr>
                <w:rFonts w:hint="eastAsia" w:ascii="Times New Roman" w:hAnsi="Times New Roman" w:cs="Times New Roman" w:eastAsiaTheme="minorEastAsia"/>
                <w:color w:val="auto"/>
                <w:sz w:val="21"/>
                <w:szCs w:val="21"/>
                <w:lang w:val="en-US" w:eastAsia="zh-CN"/>
              </w:rPr>
              <w:t>本项目不涉重金属且</w:t>
            </w:r>
            <w:r>
              <w:rPr>
                <w:rFonts w:hint="default" w:ascii="Times New Roman" w:hAnsi="Times New Roman" w:cs="Times New Roman" w:eastAsiaTheme="minorEastAsia"/>
                <w:color w:val="auto"/>
                <w:sz w:val="21"/>
                <w:szCs w:val="21"/>
              </w:rPr>
              <w:t>与石山脚乡居住区距离相对较远</w:t>
            </w:r>
            <w:r>
              <w:rPr>
                <w:rFonts w:hint="eastAsia" w:ascii="Times New Roman" w:hAnsi="Times New Roman" w:cs="Times New Roman" w:eastAsiaTheme="minorEastAsia"/>
                <w:color w:val="auto"/>
                <w:sz w:val="21"/>
                <w:szCs w:val="21"/>
                <w:lang w:eastAsia="zh-CN"/>
              </w:rPr>
              <w:t>，</w:t>
            </w:r>
            <w:r>
              <w:rPr>
                <w:rFonts w:hint="eastAsia" w:ascii="Times New Roman" w:hAnsi="Times New Roman" w:cs="Times New Roman" w:eastAsiaTheme="minorEastAsia"/>
                <w:color w:val="auto"/>
                <w:sz w:val="21"/>
                <w:szCs w:val="21"/>
                <w:lang w:val="en-US" w:eastAsia="zh-CN"/>
              </w:rPr>
              <w:t>运营期废气采取有效治理措施，排放量不大</w:t>
            </w:r>
          </w:p>
        </w:tc>
        <w:tc>
          <w:tcPr>
            <w:tcW w:w="2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3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污染物排放管控</w:t>
            </w:r>
          </w:p>
        </w:tc>
        <w:tc>
          <w:tcPr>
            <w:tcW w:w="3653" w:type="pct"/>
            <w:gridSpan w:val="10"/>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（2.1）废水：工业园排水实施雨污分流。化工、电池等工业企业水污染物按规定执行特别排放限值。</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区块一（珠山片区）：</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（2.1.1）废水送至拟建工业污水处理厂，处理达标后排入具有纳污能力的水体。污水集中处理设施要与新建项目同步建设，同步投入使用，设施投入使用之前涉废水排放项目不得投产。</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区块二（河西片区）：</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2.1.2）加快园区配套污水处理厂建设进度，废水经处理达标后排入潇水。完善园区雨污分流系统、污水收集管网和泵站等污水输送配套设施建设，确保园区废水应收尽收，全部送至配套的集中污水处理厂处理。各企业自行处理初期雨水，处理后汇入片区雨水管网系统，排入小桃江、愚溪河。</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（2.2）废气：</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（2.2.1）加强企业管理，对各企业工艺废气产出的生产节点，应配置废气收集与处理净化装置，确保达标排放；加强生产工艺研究与技术改进，采取有效措施，减少入园企业工艺废气的无组织排放。</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（2.2.2）新、改、扩建涉及VOCs排放项目，从原辅材料和工艺过程大力推广使用低（无）VOCs含量的涂料、有机溶剂、胶黏剂、油墨等原辅材料，配套改进生产工艺。</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（2.2.3）园区内水泥制品、化工等行业大气污染物排放应满足《湖南省生态环境厅关于执行污染物特别排放限值（第一批）的公告》中的要求。督促水泥制品企业、砖瓦行业落实特护期错峰生产要求。</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2.3）固废：做好工业固体废物和生活垃圾的分类收集、转运、综合利用和无害化处理，建立完善的固废管理体系。一般工业固废、含重金属的除尘灰、废电极等危险废物尽量回收利用，铬渣等送至长沙市危险废物填埋场进行处置；规范珠山片区锰渣库的建设和管理，配套建设一般工业固体废物填埋场。严格预防和控制锰矿选矿、阳极泥利用、锰渣堆放、铬渣堆放以及资源化利用过程中产生二次污染。</w:t>
            </w:r>
          </w:p>
        </w:tc>
        <w:tc>
          <w:tcPr>
            <w:tcW w:w="68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Cs/>
                <w:color w:val="auto"/>
                <w:kern w:val="0"/>
                <w:sz w:val="21"/>
                <w:szCs w:val="21"/>
              </w:rPr>
              <w:t>项目</w:t>
            </w:r>
            <w:r>
              <w:rPr>
                <w:rFonts w:hint="default" w:ascii="Times New Roman" w:hAnsi="Times New Roman" w:cs="Times New Roman" w:eastAsiaTheme="minorEastAsia"/>
                <w:bCs/>
                <w:color w:val="auto"/>
                <w:kern w:val="0"/>
                <w:sz w:val="21"/>
                <w:szCs w:val="21"/>
                <w:lang w:val="en-US" w:eastAsia="zh-CN"/>
              </w:rPr>
              <w:t>运营无生产废水产生，生活污水</w:t>
            </w:r>
            <w:r>
              <w:rPr>
                <w:rFonts w:hint="eastAsia" w:ascii="Times New Roman" w:hAnsi="Times New Roman" w:cs="Times New Roman" w:eastAsiaTheme="minorEastAsia"/>
                <w:bCs/>
                <w:color w:val="auto"/>
                <w:kern w:val="0"/>
                <w:sz w:val="21"/>
                <w:szCs w:val="21"/>
                <w:lang w:val="en-US"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default" w:ascii="Times New Roman" w:hAnsi="Times New Roman" w:cs="Times New Roman" w:eastAsiaTheme="minorEastAsia"/>
                <w:bCs/>
                <w:color w:val="auto"/>
                <w:kern w:val="0"/>
                <w:sz w:val="21"/>
                <w:szCs w:val="21"/>
                <w:lang w:val="en-US" w:eastAsia="zh-CN"/>
              </w:rPr>
              <w:t>在厂区</w:t>
            </w:r>
            <w:r>
              <w:rPr>
                <w:rFonts w:hint="default" w:ascii="Times New Roman" w:hAnsi="Times New Roman" w:cs="Times New Roman" w:eastAsiaTheme="minorEastAsia"/>
                <w:bCs/>
                <w:color w:val="auto"/>
                <w:kern w:val="0"/>
                <w:sz w:val="21"/>
                <w:szCs w:val="21"/>
              </w:rPr>
              <w:t>收集</w:t>
            </w:r>
            <w:r>
              <w:rPr>
                <w:rFonts w:hint="default" w:ascii="Times New Roman" w:hAnsi="Times New Roman" w:cs="Times New Roman" w:eastAsiaTheme="minorEastAsia"/>
                <w:bCs/>
                <w:color w:val="auto"/>
                <w:kern w:val="0"/>
                <w:sz w:val="21"/>
                <w:szCs w:val="21"/>
                <w:lang w:eastAsia="zh-CN"/>
              </w:rPr>
              <w:t>、</w:t>
            </w:r>
            <w:r>
              <w:rPr>
                <w:rFonts w:hint="default" w:ascii="Times New Roman" w:hAnsi="Times New Roman" w:cs="Times New Roman" w:eastAsiaTheme="minorEastAsia"/>
                <w:bCs/>
                <w:color w:val="auto"/>
                <w:kern w:val="0"/>
                <w:sz w:val="21"/>
                <w:szCs w:val="21"/>
                <w:lang w:val="en-US" w:eastAsia="zh-CN"/>
              </w:rPr>
              <w:t>预处理</w:t>
            </w:r>
            <w:r>
              <w:rPr>
                <w:rFonts w:hint="default" w:ascii="Times New Roman" w:hAnsi="Times New Roman" w:cs="Times New Roman" w:eastAsiaTheme="minorEastAsia"/>
                <w:bCs/>
                <w:color w:val="auto"/>
                <w:kern w:val="0"/>
                <w:sz w:val="21"/>
                <w:szCs w:val="21"/>
              </w:rPr>
              <w:t>后</w:t>
            </w:r>
            <w:r>
              <w:rPr>
                <w:rFonts w:hint="default" w:ascii="Times New Roman" w:hAnsi="Times New Roman" w:cs="Times New Roman" w:eastAsiaTheme="minorEastAsia"/>
                <w:bCs/>
                <w:color w:val="auto"/>
                <w:kern w:val="0"/>
                <w:sz w:val="21"/>
                <w:szCs w:val="21"/>
                <w:lang w:eastAsia="zh-CN"/>
              </w:rPr>
              <w:t>，</w:t>
            </w:r>
            <w:r>
              <w:rPr>
                <w:rFonts w:hint="default" w:ascii="Times New Roman" w:hAnsi="Times New Roman" w:cs="Times New Roman" w:eastAsiaTheme="minorEastAsia"/>
                <w:bCs/>
                <w:color w:val="auto"/>
                <w:kern w:val="0"/>
                <w:sz w:val="21"/>
                <w:szCs w:val="21"/>
              </w:rPr>
              <w:t>进入鹿坪污水处理厂</w:t>
            </w:r>
            <w:r>
              <w:rPr>
                <w:rFonts w:hint="default" w:ascii="Times New Roman" w:hAnsi="Times New Roman" w:cs="Times New Roman" w:eastAsiaTheme="minorEastAsia"/>
                <w:bCs/>
                <w:color w:val="auto"/>
                <w:kern w:val="0"/>
                <w:sz w:val="21"/>
                <w:szCs w:val="21"/>
                <w:lang w:val="en-US" w:eastAsia="zh-CN"/>
              </w:rPr>
              <w:t>综合</w:t>
            </w:r>
            <w:r>
              <w:rPr>
                <w:rFonts w:hint="default" w:ascii="Times New Roman" w:hAnsi="Times New Roman" w:cs="Times New Roman" w:eastAsiaTheme="minorEastAsia"/>
                <w:bCs/>
                <w:color w:val="auto"/>
                <w:kern w:val="0"/>
                <w:sz w:val="21"/>
                <w:szCs w:val="21"/>
              </w:rPr>
              <w:t>处理；项目废气配套</w:t>
            </w:r>
            <w:r>
              <w:rPr>
                <w:rFonts w:hint="default" w:ascii="Times New Roman" w:hAnsi="Times New Roman" w:cs="Times New Roman"/>
                <w:color w:val="auto"/>
                <w:szCs w:val="28"/>
                <w:u w:val="none" w:color="auto"/>
              </w:rPr>
              <w:t>RTO蓄热式燃烧装置</w:t>
            </w:r>
            <w:r>
              <w:rPr>
                <w:rFonts w:hint="default" w:ascii="Times New Roman" w:hAnsi="Times New Roman" w:cs="Times New Roman" w:eastAsiaTheme="minorEastAsia"/>
                <w:bCs/>
                <w:color w:val="auto"/>
                <w:kern w:val="0"/>
                <w:sz w:val="21"/>
                <w:szCs w:val="21"/>
              </w:rPr>
              <w:t>；项目固废按要求处置</w:t>
            </w:r>
          </w:p>
        </w:tc>
        <w:tc>
          <w:tcPr>
            <w:tcW w:w="2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Cs/>
                <w:color w:val="auto"/>
                <w:kern w:val="0"/>
                <w:sz w:val="21"/>
                <w:szCs w:val="21"/>
              </w:rPr>
            </w:pPr>
            <w:r>
              <w:rPr>
                <w:rFonts w:hint="eastAsia" w:ascii="Times New Roman" w:hAnsi="Times New Roman" w:cs="Times New Roman" w:eastAsiaTheme="minorEastAsia"/>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环境风险防控</w:t>
            </w:r>
          </w:p>
        </w:tc>
        <w:tc>
          <w:tcPr>
            <w:tcW w:w="3653" w:type="pct"/>
            <w:gridSpan w:val="10"/>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健全开发区环境风险防控体系，组织严格落实开发区突发环境事件应急预案的相关要求，加强区内重要风险源管控。加强园区危险化学品储运的环境风险管理，严格落实应急响应联动机制，确保区域环境安全。重点加强对盛业有机科技等企业的环境风险监管。</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3.2）园区可能发生突发环境事件的污染物排放企业，生产、储存、运输、使用危险化学品的企业，产生、收集、贮存、运输危险废物的企业，应当编制和实施环境应急预案；鼓励其他企业制定单独的环境应急预案，或在突发事件应急预案中制定环境应急预案专章，并备案</w:t>
            </w:r>
            <w:r>
              <w:rPr>
                <w:rFonts w:hint="default" w:ascii="Times New Roman" w:hAnsi="Times New Roman" w:eastAsia="宋体" w:cs="Times New Roman"/>
                <w:color w:val="auto"/>
                <w:sz w:val="21"/>
                <w:szCs w:val="21"/>
                <w:lang w:eastAsia="zh-CN"/>
              </w:rPr>
              <w:t>。</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3.3）对各类涉及可能造成土壤污染的新（改、扩）建项目，依法进行环境影响评价，严格落实对土壤环境影响的评价内容，并提出可行的土壤污染防治具体措施，与主体工程同时设计、同时施工、同时投产使用。</w:t>
            </w:r>
          </w:p>
        </w:tc>
        <w:tc>
          <w:tcPr>
            <w:tcW w:w="68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kern w:val="0"/>
                <w:sz w:val="21"/>
                <w:szCs w:val="21"/>
              </w:rPr>
              <w:t>项目拟按要求完善环境风险防控措施</w:t>
            </w:r>
            <w:r>
              <w:rPr>
                <w:rFonts w:hint="eastAsia" w:ascii="Times New Roman" w:hAnsi="Times New Roman" w:cs="Times New Roman" w:eastAsiaTheme="minorEastAsia"/>
                <w:color w:val="auto"/>
                <w:kern w:val="0"/>
                <w:sz w:val="21"/>
                <w:szCs w:val="21"/>
                <w:lang w:eastAsia="zh-CN"/>
              </w:rPr>
              <w:t>、</w:t>
            </w:r>
            <w:r>
              <w:rPr>
                <w:rFonts w:hint="eastAsia" w:ascii="Times New Roman" w:hAnsi="Times New Roman" w:cs="Times New Roman" w:eastAsiaTheme="minorEastAsia"/>
                <w:color w:val="auto"/>
                <w:kern w:val="0"/>
                <w:sz w:val="21"/>
                <w:szCs w:val="21"/>
                <w:lang w:val="en-US" w:eastAsia="zh-CN"/>
              </w:rPr>
              <w:t>编制和实施环境应急预案</w:t>
            </w:r>
          </w:p>
        </w:tc>
        <w:tc>
          <w:tcPr>
            <w:tcW w:w="2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资源开发效率要求</w:t>
            </w:r>
          </w:p>
        </w:tc>
        <w:tc>
          <w:tcPr>
            <w:tcW w:w="3653" w:type="pct"/>
            <w:gridSpan w:val="10"/>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（4.1）能源：</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4.1.1）优化能源结构，积极推广清洁能源，推动园区天然气管网建设，河西片区远期全部使用燃气锅炉，涉及高污染燃料禁燃区范围严格执行禁燃区相关要求；珠山片区以电能作为主要能源，禁止使用燃煤锅炉。</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（4.1.2）到2025年园区</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十四五</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时期能源消费强度控制在0.0348吨标煤（当量值）/万元，能源消费增量控制在26347.84吨标煤（当量值）以内，到2025年能源消费总量控制在81197.24吨标煤（当量值）以内。</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（4.2）水资源：调整用能结构、推进工业</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四节</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实施清洁能源、可再生能源的替代和改造、提高资源、能源的高效利用水平、提高水资源利用效率、积极推行清洁生产、推行绿色建筑节能、着力推动商贸服务业节能、扎实推进公共机构节能、节能技术服务体系建设。到2025年，高耗水行业达到先进定额标准，零陵区用水总量控制在32676万立方米以内，万元地区生产总值用水量、万元工业增加值用水量分别比2020年降低18.06%、8.87%。</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4.3）土地资源：促进园区土地高质量利用；在详细规划编制、用地预审与选址、用地报批、土地出让、规划许可竣工验收等环节，全面推行工业项目建设用地引导指标和工业项目供地负面清单管理，工业用地固定资产投入强度须达到250万元/亩以上，工业用地均税收15万元/亩。</w:t>
            </w:r>
          </w:p>
        </w:tc>
        <w:tc>
          <w:tcPr>
            <w:tcW w:w="68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本项目用电</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lang w:val="en-US" w:eastAsia="zh-CN"/>
              </w:rPr>
              <w:t>天然气</w:t>
            </w:r>
            <w:r>
              <w:rPr>
                <w:rFonts w:hint="default" w:ascii="Times New Roman" w:hAnsi="Times New Roman" w:cs="Times New Roman" w:eastAsiaTheme="minorEastAsia"/>
                <w:color w:val="auto"/>
                <w:sz w:val="21"/>
                <w:szCs w:val="21"/>
              </w:rPr>
              <w:t>作为能源</w:t>
            </w:r>
          </w:p>
        </w:tc>
        <w:tc>
          <w:tcPr>
            <w:tcW w:w="2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sz w:val="21"/>
                <w:szCs w:val="21"/>
              </w:rPr>
              <w:t>备注*（湘发改园区〔2022〕601号）</w:t>
            </w:r>
          </w:p>
        </w:tc>
        <w:tc>
          <w:tcPr>
            <w:tcW w:w="3653" w:type="pct"/>
            <w:gridSpan w:val="10"/>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区块一面积：1.4949km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，四至范围：东至矿整办，南至翻身洞村北，西至长吉头村东，北至G3222国道以南100米处；</w:t>
            </w:r>
          </w:p>
          <w:p>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区块二面积：3.1745km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，四至范围：东至永州南站，南至G207国道以南320米处，西至G207国道，北至德棒西路</w:t>
            </w:r>
            <w:r>
              <w:rPr>
                <w:rFonts w:hint="default" w:ascii="Times New Roman" w:hAnsi="Times New Roman" w:eastAsia="宋体" w:cs="Times New Roman"/>
                <w:color w:val="auto"/>
                <w:sz w:val="21"/>
                <w:szCs w:val="21"/>
                <w:lang w:eastAsia="zh-CN"/>
              </w:rPr>
              <w:t>。</w:t>
            </w:r>
          </w:p>
        </w:tc>
        <w:tc>
          <w:tcPr>
            <w:tcW w:w="68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225"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对照上表可知，本项目满足《</w:t>
      </w:r>
      <w:r>
        <w:rPr>
          <w:rFonts w:hint="eastAsia" w:ascii="Times New Roman" w:hAnsi="Times New Roman" w:eastAsia="宋体" w:cs="Times New Roman"/>
          <w:color w:val="auto"/>
          <w:szCs w:val="28"/>
          <w:u w:val="none" w:color="auto"/>
          <w:lang w:val="en-US" w:eastAsia="zh-CN"/>
        </w:rPr>
        <w:t>湖南省生态环境分区管控总体管控要求暨省级以上产业园区生态环境准入清单</w:t>
      </w:r>
      <w:r>
        <w:rPr>
          <w:rFonts w:hint="eastAsia" w:ascii="Times New Roman" w:hAnsi="Times New Roman" w:cs="Times New Roman"/>
          <w:color w:val="auto"/>
          <w:szCs w:val="28"/>
          <w:u w:val="none" w:color="auto"/>
        </w:rPr>
        <w:t>》中</w:t>
      </w:r>
      <w:r>
        <w:rPr>
          <w:rFonts w:hint="eastAsia" w:ascii="Times New Roman" w:hAnsi="Times New Roman" w:eastAsia="宋体" w:cs="Times New Roman"/>
          <w:color w:val="auto"/>
          <w:szCs w:val="28"/>
          <w:u w:val="none" w:color="auto"/>
          <w:lang w:eastAsia="zh-CN"/>
        </w:rPr>
        <w:t>零陵高新技术产业开发区</w:t>
      </w:r>
      <w:r>
        <w:rPr>
          <w:rFonts w:hint="eastAsia" w:ascii="Times New Roman" w:hAnsi="Times New Roman" w:cs="Times New Roman"/>
          <w:color w:val="auto"/>
          <w:szCs w:val="28"/>
          <w:u w:val="none" w:color="auto"/>
        </w:rPr>
        <w:t>生态环境准入要求。</w:t>
      </w:r>
    </w:p>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sectPr>
          <w:footerReference r:id="rId11" w:type="default"/>
          <w:pgSz w:w="16839" w:h="11905" w:orient="landscape"/>
          <w:pgMar w:top="1803" w:right="1440" w:bottom="1803" w:left="1440" w:header="907" w:footer="1077" w:gutter="0"/>
          <w:pgBorders>
            <w:top w:val="none" w:sz="0" w:space="0"/>
            <w:left w:val="none" w:sz="0" w:space="0"/>
            <w:bottom w:val="none" w:sz="0" w:space="0"/>
            <w:right w:val="none" w:sz="0" w:space="0"/>
          </w:pgBorders>
          <w:pgNumType w:fmt="numberInDash"/>
          <w:cols w:space="0" w:num="1"/>
          <w:rtlGutter w:val="0"/>
          <w:docGrid w:linePitch="0" w:charSpace="0"/>
        </w:sectPr>
      </w:pPr>
    </w:p>
    <w:p>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firstLine="0"/>
        <w:textAlignment w:val="baseline"/>
        <w:rPr>
          <w:rFonts w:hint="eastAsia" w:ascii="Times New Roman" w:hAnsi="Times New Roman" w:eastAsia="宋体"/>
          <w:b/>
          <w:bCs/>
          <w:color w:val="auto"/>
          <w:kern w:val="0"/>
          <w:sz w:val="24"/>
        </w:rPr>
      </w:pPr>
      <w:r>
        <w:rPr>
          <w:rFonts w:hint="eastAsia" w:ascii="Times New Roman" w:hAnsi="Times New Roman" w:eastAsia="宋体"/>
          <w:b/>
          <w:bCs/>
          <w:color w:val="auto"/>
          <w:kern w:val="0"/>
          <w:sz w:val="24"/>
          <w:lang w:val="en-US" w:eastAsia="zh-CN"/>
        </w:rPr>
        <w:t>与《湖南省长江经济带发展负面清单实施细则（试行）》（</w:t>
      </w:r>
      <w:r>
        <w:rPr>
          <w:rFonts w:hint="default" w:ascii="Times New Roman" w:hAnsi="Times New Roman" w:eastAsia="宋体"/>
          <w:b/>
          <w:bCs/>
          <w:color w:val="auto"/>
          <w:kern w:val="0"/>
          <w:sz w:val="24"/>
          <w:lang w:val="en-US" w:eastAsia="zh-CN"/>
        </w:rPr>
        <w:t>2022</w:t>
      </w:r>
      <w:r>
        <w:rPr>
          <w:rFonts w:hint="eastAsia" w:ascii="Times New Roman" w:hAnsi="Times New Roman" w:eastAsia="宋体"/>
          <w:b/>
          <w:bCs/>
          <w:color w:val="auto"/>
          <w:kern w:val="0"/>
          <w:sz w:val="24"/>
          <w:lang w:val="en-US" w:eastAsia="zh-CN"/>
        </w:rPr>
        <w:t>年版）的符合性分析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根据国家长江办印发的《长江经济带发展负面清单指南（试行，2022年版）》和相关法律法规，湖南省结合实际，制定了《湖南省长江经济带发展负面清单实施细则（试行，2022年版）》，该细则涉及岸线、河段、区域和产业四个方面。本项目与该细则的符合性如下。</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与《湖南省长江经济带负面发展清单实施细则（试行）》的符合性分析</w:t>
      </w:r>
    </w:p>
    <w:tbl>
      <w:tblPr>
        <w:tblStyle w:val="2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83"/>
        <w:gridCol w:w="5272"/>
        <w:gridCol w:w="1725"/>
        <w:gridCol w:w="7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序号</w:t>
            </w:r>
          </w:p>
        </w:tc>
        <w:tc>
          <w:tcPr>
            <w:tcW w:w="316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要求内容</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项目</w:t>
            </w:r>
            <w:r>
              <w:rPr>
                <w:rFonts w:hint="default" w:ascii="Times New Roman" w:hAnsi="Times New Roman" w:eastAsia="宋体" w:cs="Times New Roman"/>
                <w:color w:val="auto"/>
                <w:sz w:val="21"/>
                <w:szCs w:val="21"/>
              </w:rPr>
              <w:t>情况</w:t>
            </w:r>
          </w:p>
        </w:tc>
        <w:tc>
          <w:tcPr>
            <w:tcW w:w="44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建设不符合全国和省级港口布局规划以及港口总体规划的码头项目。对不符合港口总体规划的新建、改建和扩建的码头工程（含舾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2020-2035年）》的过长江通道项目。</w:t>
            </w:r>
          </w:p>
        </w:tc>
        <w:tc>
          <w:tcPr>
            <w:tcW w:w="10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禁止在自然保护区核心区、缓冲区的岸线和河段范围内投资建设以下旅游和生产经营项目：……</w:t>
            </w:r>
          </w:p>
        </w:tc>
        <w:tc>
          <w:tcPr>
            <w:tcW w:w="10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本项目选址不涉及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机场、铁路、公路、水利、航运、围堰等公益性基础设施的选址选线应多方案优化比选，尽量避让相关自然保护区域、野生动物迁徙洄游通道；无法避让的，应当采取修建野生动物通道、过鱼设施等措施，消除或者减少对野生动物的不利影响。</w:t>
            </w:r>
          </w:p>
        </w:tc>
        <w:tc>
          <w:tcPr>
            <w:tcW w:w="10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项目所在区域不涉及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0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项目所在区域不涉及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饮用水水源一级保护区内禁止新建、改建、扩建与供水设施和保护水源无关的建设项目，以及网箱养殖、畜禽养殖、旅游等可能污染饮用水水体的投资建设项目；禁止向水域排放污水，已设置的排污口必须拆除；不得设置与供水需要无关的码头，禁止停靠船舶；禁止堆置和存放工业废渣、城市垃圾、粪便和其它废弃物；禁止设置油库；禁止使用含磷洗涤用品。</w:t>
            </w:r>
          </w:p>
        </w:tc>
        <w:tc>
          <w:tcPr>
            <w:tcW w:w="1035"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项目所在区域不涉及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饮用水水源二级保护区内禁止新建、改建、扩建向水体排放污染物的投资建设项目。原有排污口依法拆除或关闭。禁止设立装卸垃圾、粪便、油类和有毒物品的码头。</w:t>
            </w:r>
          </w:p>
        </w:tc>
        <w:tc>
          <w:tcPr>
            <w:tcW w:w="1035"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禁止在水产种质资源保护区的岸线和河段范围内新建排污口、实施非法围垦河道和围湖造田造地等投资建设项目。</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项目所在区域不涉及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除《中华人民共和国防洪法》规定的紧急防汛期采取的紧急措施外，禁止在国家湿地公园的岸线和河段范围内挖沙、采矿，以及以下不符合主体功能定位的行为和活动：（一）开（围）垦、填埋或者排干湿地。（二）截断湿地水源。（三）倾倒有毒有害物质、废弃物、垃圾。（四）从事房地产、度假村、高尔夫球场、风力发电、光伏发电等任何不符合主体功能定位的建设项目和开发活动。（五）破坏野生动物栖息地和迁徙通道、鱼类</w:t>
            </w:r>
            <w:r>
              <w:rPr>
                <w:rFonts w:hint="eastAsia" w:ascii="Times New Roman" w:hAnsi="Times New Roman" w:eastAsia="宋体" w:cs="Times New Roman"/>
                <w:color w:val="auto"/>
                <w:sz w:val="21"/>
                <w:szCs w:val="21"/>
                <w:lang w:eastAsia="zh-CN"/>
              </w:rPr>
              <w:t>洄</w:t>
            </w:r>
            <w:r>
              <w:rPr>
                <w:rFonts w:hint="default" w:ascii="Times New Roman" w:hAnsi="Times New Roman" w:eastAsia="宋体" w:cs="Times New Roman"/>
                <w:color w:val="auto"/>
                <w:sz w:val="21"/>
                <w:szCs w:val="21"/>
              </w:rPr>
              <w:t>游通道，滥采滥捕野生动植物。（六）引入外来物种。（七）擅自放牧、捕捞、取土、取水、排污、放生。（八）其他破坏湿地及其生态功能的活动。</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项目所在区域不涉及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填湖造地、围湖造田及非法围垦河道，禁止非法建设矮围网围、填埋湿地等侵占河湖水域或者违法利用、占用河湖岸线的行为。</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项目所在区域不涉及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禁止在《全国重要江河湖泊水功能区划》划定的河段及湖泊保护区、保留区内投资建设不利于水资源及自然生态保护的项目。</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项目所在区域不涉及</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禁止未经许可在长江干支流及湖泊新设、改设或扩大排污口。</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本项目</w:t>
            </w:r>
            <w:r>
              <w:rPr>
                <w:rFonts w:hint="default" w:ascii="Times New Roman" w:hAnsi="Times New Roman" w:cs="Times New Roman"/>
                <w:color w:val="auto"/>
                <w:szCs w:val="28"/>
                <w:u w:val="none" w:color="auto"/>
              </w:rPr>
              <w:t>废水</w:t>
            </w:r>
            <w:r>
              <w:rPr>
                <w:rFonts w:hint="eastAsia" w:ascii="Times New Roman" w:hAnsi="Times New Roman" w:cs="Times New Roman"/>
                <w:color w:val="auto"/>
                <w:sz w:val="21"/>
                <w:szCs w:val="21"/>
                <w:lang w:val="en-US" w:eastAsia="zh-CN"/>
              </w:rPr>
              <w:t>间接排放</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z w:val="21"/>
                <w:szCs w:val="21"/>
              </w:rPr>
              <w:t>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以提升安全、生态环境保护水平为目的的改建除外。</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本项目不属于化工项目，且选址不在禁止范围内</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禁止在合规园区外新建、扩建钢铁、石化、化工、焦化、建材、有色、制浆造纸等高污染项目。高污染项目严格按照生态环境部《环境保护综合名录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2021年版</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》有关要求执行。</w:t>
            </w:r>
          </w:p>
        </w:tc>
        <w:tc>
          <w:tcPr>
            <w:tcW w:w="1035"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本项目位于永州市零陵高新技术产业开发区河西片区范围内</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禁止新建、扩建不符合国家石化、现代煤化工等产业布局规划的项目。未通过认定的化工园区，不得新建、改扩建化工项目（安全、环保、节能和智能化改造项目除外</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w:t>
            </w:r>
          </w:p>
        </w:tc>
        <w:tc>
          <w:tcPr>
            <w:tcW w:w="1035"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31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本项目不属于法律法规和政策明令禁止的落后产能项目，且建设单位已与零陵高新技术产业开发区</w:t>
            </w:r>
            <w:r>
              <w:rPr>
                <w:rFonts w:hint="default" w:ascii="Times New Roman" w:hAnsi="Times New Roman" w:eastAsia="宋体" w:cs="Times New Roman"/>
                <w:color w:val="auto"/>
                <w:sz w:val="21"/>
                <w:szCs w:val="21"/>
                <w:lang w:val="en-US" w:eastAsia="zh-CN"/>
              </w:rPr>
              <w:t>管委会</w:t>
            </w:r>
            <w:r>
              <w:rPr>
                <w:rFonts w:hint="eastAsia" w:ascii="Times New Roman" w:hAnsi="Times New Roman" w:eastAsia="宋体" w:cs="Times New Roman"/>
                <w:color w:val="auto"/>
                <w:sz w:val="21"/>
                <w:szCs w:val="21"/>
                <w:lang w:val="en-US" w:eastAsia="zh-CN"/>
              </w:rPr>
              <w:t>签订入园合同</w:t>
            </w:r>
          </w:p>
        </w:tc>
        <w:tc>
          <w:tcPr>
            <w:tcW w:w="4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lang w:val="en-US" w:eastAsia="zh-CN"/>
              </w:rPr>
              <w:t>符合</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0" w:firstLine="0"/>
        <w:textAlignment w:val="baseline"/>
        <w:rPr>
          <w:rFonts w:hint="eastAsia" w:ascii="Times New Roman" w:hAnsi="Times New Roman" w:eastAsia="宋体"/>
          <w:b/>
          <w:bCs/>
          <w:color w:val="auto"/>
          <w:kern w:val="0"/>
          <w:sz w:val="24"/>
        </w:rPr>
      </w:pPr>
      <w:r>
        <w:rPr>
          <w:rFonts w:hint="eastAsia" w:ascii="Times New Roman" w:hAnsi="Times New Roman" w:eastAsia="宋体"/>
          <w:b/>
          <w:bCs/>
          <w:color w:val="auto"/>
          <w:kern w:val="0"/>
          <w:sz w:val="24"/>
          <w:lang w:val="en-US" w:eastAsia="zh-CN"/>
        </w:rPr>
        <w:t>与《永州市“十四五”生态环境保护规划》的符合性分析</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与</w:t>
      </w:r>
      <w:r>
        <w:rPr>
          <w:rFonts w:hint="eastAsia" w:ascii="Times New Roman" w:hAnsi="Times New Roman" w:eastAsia="宋体"/>
          <w:b/>
          <w:bCs/>
          <w:color w:val="auto"/>
          <w:kern w:val="0"/>
          <w:sz w:val="24"/>
          <w:lang w:val="en-US" w:eastAsia="zh-CN"/>
        </w:rPr>
        <w:t>《永州市“十四五”生态环境保护规划》</w:t>
      </w:r>
      <w:r>
        <w:rPr>
          <w:rFonts w:hint="default" w:ascii="Times New Roman" w:hAnsi="Times New Roman" w:eastAsia="宋体" w:cs="Times New Roman"/>
          <w:b/>
          <w:bCs/>
          <w:color w:val="auto"/>
          <w:spacing w:val="5"/>
          <w:sz w:val="24"/>
          <w:szCs w:val="24"/>
        </w:rPr>
        <w:t>的符合性分析</w:t>
      </w:r>
    </w:p>
    <w:tbl>
      <w:tblPr>
        <w:tblStyle w:val="2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44"/>
        <w:gridCol w:w="720"/>
        <w:gridCol w:w="3852"/>
        <w:gridCol w:w="2953"/>
        <w:gridCol w:w="4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0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43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领域</w:t>
            </w:r>
          </w:p>
        </w:tc>
        <w:tc>
          <w:tcPr>
            <w:tcW w:w="23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要求内容</w:t>
            </w:r>
          </w:p>
        </w:tc>
        <w:tc>
          <w:tcPr>
            <w:tcW w:w="177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项目</w:t>
            </w:r>
            <w:r>
              <w:rPr>
                <w:rFonts w:hint="default" w:ascii="Times New Roman" w:hAnsi="Times New Roman" w:eastAsia="宋体" w:cs="Times New Roman"/>
                <w:color w:val="auto"/>
                <w:sz w:val="21"/>
                <w:szCs w:val="21"/>
              </w:rPr>
              <w:t>情况</w:t>
            </w:r>
          </w:p>
        </w:tc>
        <w:tc>
          <w:tcPr>
            <w:tcW w:w="27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0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43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i w:val="0"/>
                <w:iCs w:val="0"/>
                <w:caps w:val="0"/>
                <w:color w:val="auto"/>
                <w:spacing w:val="0"/>
                <w:sz w:val="21"/>
                <w:szCs w:val="21"/>
                <w:shd w:val="clear" w:fill="FFFFFF"/>
              </w:rPr>
              <w:t>工业和信息化领域</w:t>
            </w:r>
          </w:p>
        </w:tc>
        <w:tc>
          <w:tcPr>
            <w:tcW w:w="231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aps w:val="0"/>
                <w:color w:val="auto"/>
                <w:spacing w:val="0"/>
                <w:sz w:val="21"/>
                <w:szCs w:val="21"/>
                <w:shd w:val="clear" w:fill="FFFFFF"/>
              </w:rPr>
              <w:t>3.加大低VOCs原辅材料替代力度。建立多部门联合执法机制，加大监督检查力度，确保生产、销售、使用符合VOCs含量限值标准的产品。以工业涂装、包装印刷和胶粘剂使用等为重点，在企业清洁生产审核中明确提出低VOCs原辅材料替代要求</w:t>
            </w:r>
          </w:p>
        </w:tc>
        <w:tc>
          <w:tcPr>
            <w:tcW w:w="177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Cs w:val="28"/>
                <w:u w:val="none" w:color="auto"/>
              </w:rPr>
              <w:t>本项目复合技术中无溶剂复合占总复合比例的60%以上；同时拟在日后</w:t>
            </w:r>
            <w:r>
              <w:rPr>
                <w:rFonts w:hint="eastAsia" w:ascii="Times New Roman" w:hAnsi="Times New Roman" w:eastAsia="宋体" w:cs="Times New Roman"/>
                <w:color w:val="auto"/>
                <w:szCs w:val="28"/>
                <w:u w:val="none" w:color="auto"/>
                <w:lang w:val="en-US" w:eastAsia="zh-CN"/>
              </w:rPr>
              <w:t>行业技术成熟后，</w:t>
            </w:r>
            <w:r>
              <w:rPr>
                <w:rFonts w:hint="default" w:ascii="Times New Roman" w:hAnsi="Times New Roman" w:cs="Times New Roman"/>
                <w:color w:val="auto"/>
                <w:szCs w:val="28"/>
                <w:u w:val="none" w:color="auto"/>
              </w:rPr>
              <w:t>逐步提高无溶剂复合技术占比</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逐步实现水性油墨、辐射固化油墨等替代现有使用的油性油墨</w:t>
            </w:r>
          </w:p>
        </w:tc>
        <w:tc>
          <w:tcPr>
            <w:tcW w:w="27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0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432"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i w:val="0"/>
                <w:iCs w:val="0"/>
                <w:caps w:val="0"/>
                <w:color w:val="auto"/>
                <w:spacing w:val="0"/>
                <w:sz w:val="21"/>
                <w:szCs w:val="21"/>
                <w:shd w:val="clear" w:fill="FFFFFF"/>
              </w:rPr>
              <w:t>工业治理领域</w:t>
            </w:r>
          </w:p>
        </w:tc>
        <w:tc>
          <w:tcPr>
            <w:tcW w:w="231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aps w:val="0"/>
                <w:color w:val="auto"/>
                <w:spacing w:val="0"/>
                <w:sz w:val="21"/>
                <w:szCs w:val="21"/>
                <w:shd w:val="clear" w:fill="FFFFFF"/>
              </w:rPr>
              <w:t>2.开展涉VOCs重点行业全流程整治。持续开展VOCs治理突出问题排查，清理整顿简易低效、不合规定治理设施，强化无组织和非正常工况废气排放管控。规范开展泄漏检测与修复。推动各市州分别新建1</w:t>
            </w:r>
            <w:r>
              <w:rPr>
                <w:rFonts w:hint="eastAsia"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eastAsia="宋体" w:cs="Times New Roman"/>
                <w:i w:val="0"/>
                <w:iCs w:val="0"/>
                <w:caps w:val="0"/>
                <w:color w:val="auto"/>
                <w:spacing w:val="0"/>
                <w:sz w:val="21"/>
                <w:szCs w:val="21"/>
                <w:shd w:val="clear" w:fill="FFFFFF"/>
              </w:rPr>
              <w:t>3个涉VOCs</w:t>
            </w:r>
            <w:r>
              <w:rPr>
                <w:rFonts w:hint="eastAsia"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eastAsia="宋体" w:cs="Times New Roman"/>
                <w:i w:val="0"/>
                <w:iCs w:val="0"/>
                <w:caps w:val="0"/>
                <w:color w:val="auto"/>
                <w:spacing w:val="0"/>
                <w:sz w:val="21"/>
                <w:szCs w:val="21"/>
                <w:shd w:val="clear" w:fill="FFFFFF"/>
              </w:rPr>
              <w:t>绿岛</w:t>
            </w:r>
            <w:r>
              <w:rPr>
                <w:rFonts w:hint="eastAsia"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eastAsia="宋体" w:cs="Times New Roman"/>
                <w:i w:val="0"/>
                <w:iCs w:val="0"/>
                <w:caps w:val="0"/>
                <w:color w:val="auto"/>
                <w:spacing w:val="0"/>
                <w:sz w:val="21"/>
                <w:szCs w:val="21"/>
                <w:shd w:val="clear" w:fill="FFFFFF"/>
              </w:rPr>
              <w:t>项目。</w:t>
            </w:r>
          </w:p>
        </w:tc>
        <w:tc>
          <w:tcPr>
            <w:tcW w:w="1772"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Cs w:val="28"/>
                <w:u w:val="none" w:color="auto"/>
                <w:lang w:eastAsia="zh-CN"/>
              </w:rPr>
              <w:t>项</w:t>
            </w:r>
            <w:r>
              <w:rPr>
                <w:rFonts w:hint="default" w:ascii="Times New Roman" w:hAnsi="Times New Roman" w:cs="Times New Roman"/>
                <w:color w:val="auto"/>
                <w:szCs w:val="28"/>
                <w:u w:val="none" w:color="auto"/>
              </w:rPr>
              <w:t>目印刷、复合等重点工序车间采用密闭隔间设置，各产气点设置高效集气设施，低浓度尾气经收集后可进入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LEL减风增浓+RTO蓄热燃烧系统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，提高了废气收集率；经减风增浓后，本项目产生的有机废气为高浓度废气，采用RTO蓄热燃烧系统（高温焚烧）进行处理，经处理后可实现达标排放</w:t>
            </w:r>
          </w:p>
        </w:tc>
        <w:tc>
          <w:tcPr>
            <w:tcW w:w="27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0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43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231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aps w:val="0"/>
                <w:color w:val="auto"/>
                <w:spacing w:val="0"/>
                <w:sz w:val="21"/>
                <w:szCs w:val="21"/>
                <w:shd w:val="clear" w:fill="FFFFFF"/>
              </w:rPr>
              <w:t>3.加强工业源重污染天气应对。完善应急减排清单，确保涉气企业全覆盖。将应急减排措施纳入排污许可证管理。严厉打击在线监控运维及手工监测报告弄虚作假、治理设施不正常运行和重污染应急减排措施未落实等违法行为。积极提升应急减排重点行业企业环境绩效水平。到2025年，全省非最低等级绩效水平企业占比力争达到10%，钢铁、水泥企业全部达到B（含B-）级及以上。</w:t>
            </w:r>
          </w:p>
        </w:tc>
        <w:tc>
          <w:tcPr>
            <w:tcW w:w="177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27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0" w:firstLine="0"/>
        <w:textAlignment w:val="baseline"/>
        <w:rPr>
          <w:rFonts w:hint="eastAsia" w:ascii="Times New Roman" w:hAnsi="Times New Roman" w:eastAsia="宋体"/>
          <w:b/>
          <w:bCs/>
          <w:color w:val="auto"/>
          <w:kern w:val="0"/>
          <w:sz w:val="24"/>
        </w:rPr>
      </w:pPr>
      <w:r>
        <w:rPr>
          <w:rFonts w:hint="eastAsia" w:ascii="Times New Roman" w:hAnsi="Times New Roman" w:eastAsia="宋体"/>
          <w:b/>
          <w:bCs/>
          <w:color w:val="auto"/>
          <w:kern w:val="0"/>
          <w:sz w:val="24"/>
          <w:lang w:val="en-US" w:eastAsia="zh-CN"/>
        </w:rPr>
        <w:t>与</w:t>
      </w:r>
      <w:r>
        <w:rPr>
          <w:rFonts w:hint="eastAsia" w:ascii="Times New Roman" w:hAnsi="Times New Roman" w:eastAsia="宋体"/>
          <w:b/>
          <w:bCs/>
          <w:color w:val="auto"/>
          <w:kern w:val="0"/>
          <w:sz w:val="24"/>
        </w:rPr>
        <w:t>《湖南省大气污染防治“守护蓝天”攻坚行动计划（2023</w:t>
      </w:r>
      <w:r>
        <w:rPr>
          <w:rFonts w:hint="eastAsia"/>
          <w:b/>
          <w:bCs/>
          <w:color w:val="auto"/>
          <w:kern w:val="0"/>
          <w:sz w:val="24"/>
          <w:lang w:val="en-US" w:eastAsia="zh-CN"/>
        </w:rPr>
        <w:t>-</w:t>
      </w:r>
      <w:r>
        <w:rPr>
          <w:rFonts w:hint="eastAsia" w:ascii="Times New Roman" w:hAnsi="Times New Roman" w:eastAsia="宋体"/>
          <w:b/>
          <w:bCs/>
          <w:color w:val="auto"/>
          <w:kern w:val="0"/>
          <w:sz w:val="24"/>
        </w:rPr>
        <w:t>2025年）》</w:t>
      </w:r>
      <w:r>
        <w:rPr>
          <w:rFonts w:hint="eastAsia" w:ascii="Times New Roman" w:hAnsi="Times New Roman" w:eastAsia="宋体"/>
          <w:b/>
          <w:bCs/>
          <w:color w:val="auto"/>
          <w:kern w:val="0"/>
          <w:sz w:val="24"/>
          <w:lang w:val="en-US" w:eastAsia="zh-CN"/>
        </w:rPr>
        <w:t>的符合性分析</w:t>
      </w:r>
    </w:p>
    <w:p>
      <w:pPr>
        <w:pStyle w:val="16"/>
        <w:keepNext w:val="0"/>
        <w:keepLines w:val="0"/>
        <w:pageBreakBefore w:val="0"/>
        <w:widowControl/>
        <w:numPr>
          <w:ilvl w:val="0"/>
          <w:numId w:val="0"/>
        </w:numPr>
        <w:tabs>
          <w:tab w:val="left" w:pos="0"/>
        </w:tabs>
        <w:kinsoku/>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与</w:t>
      </w:r>
      <w:r>
        <w:rPr>
          <w:rFonts w:hint="eastAsia" w:ascii="Times New Roman" w:hAnsi="Times New Roman" w:eastAsia="宋体"/>
          <w:b/>
          <w:bCs/>
          <w:color w:val="auto"/>
          <w:kern w:val="0"/>
          <w:sz w:val="24"/>
        </w:rPr>
        <w:t>《湖南省大气污染防治“守护蓝天”攻坚行动计划（2023</w:t>
      </w:r>
      <w:r>
        <w:rPr>
          <w:rFonts w:hint="eastAsia"/>
          <w:b/>
          <w:bCs/>
          <w:color w:val="auto"/>
          <w:kern w:val="0"/>
          <w:sz w:val="24"/>
          <w:lang w:val="en-US" w:eastAsia="zh-CN"/>
        </w:rPr>
        <w:t>-</w:t>
      </w:r>
      <w:r>
        <w:rPr>
          <w:rFonts w:hint="eastAsia" w:ascii="Times New Roman" w:hAnsi="Times New Roman" w:eastAsia="宋体"/>
          <w:b/>
          <w:bCs/>
          <w:color w:val="auto"/>
          <w:kern w:val="0"/>
          <w:sz w:val="24"/>
        </w:rPr>
        <w:t>2025年）》</w:t>
      </w:r>
      <w:r>
        <w:rPr>
          <w:rFonts w:hint="default" w:ascii="Times New Roman" w:hAnsi="Times New Roman" w:eastAsia="宋体" w:cs="Times New Roman"/>
          <w:b/>
          <w:bCs/>
          <w:color w:val="auto"/>
          <w:spacing w:val="5"/>
          <w:sz w:val="24"/>
          <w:szCs w:val="24"/>
        </w:rPr>
        <w:t>的符合性分析</w:t>
      </w:r>
    </w:p>
    <w:tbl>
      <w:tblPr>
        <w:tblStyle w:val="2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80"/>
        <w:gridCol w:w="4533"/>
        <w:gridCol w:w="2465"/>
        <w:gridCol w:w="7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4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序号</w:t>
            </w:r>
          </w:p>
        </w:tc>
        <w:tc>
          <w:tcPr>
            <w:tcW w:w="27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要求内容</w:t>
            </w:r>
          </w:p>
        </w:tc>
        <w:tc>
          <w:tcPr>
            <w:tcW w:w="148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项目</w:t>
            </w:r>
            <w:r>
              <w:rPr>
                <w:rFonts w:hint="default" w:ascii="Times New Roman" w:hAnsi="Times New Roman" w:eastAsia="宋体" w:cs="Times New Roman"/>
                <w:color w:val="auto"/>
                <w:sz w:val="21"/>
                <w:szCs w:val="21"/>
              </w:rPr>
              <w:t>情况</w:t>
            </w:r>
          </w:p>
        </w:tc>
        <w:tc>
          <w:tcPr>
            <w:tcW w:w="44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4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涉VOCs行业综合治理。继续推动重点监管企业安装VOCs在线监测设备，确保企业VOCs排放长效稳定达标，对单纯用活性炭治理的需进行技术改造，增加长效处理设施，否则需安装浓度在线监测设备。加快金属表面涂装、包装印刷等涉VOCs行业后处理效率，杜绝加工车间无气体收集处理设施、机械产品表面涂装露天喷涂、VOCs无组织排放的现象。新建涉及VOCs排放的工业企业要入园区，实行区域内VOCs排放等量削减替代。新、改、扩建涉及VOCs排放项目，从原辅材料和工艺过程大力推广使用低（无）VOCs含量的涂料、有机溶剂、胶黏剂、油墨等原辅材料，配套改进生产工艺。</w:t>
            </w:r>
          </w:p>
        </w:tc>
        <w:tc>
          <w:tcPr>
            <w:tcW w:w="14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w:t>
            </w:r>
            <w:r>
              <w:rPr>
                <w:rFonts w:hint="default" w:ascii="Times New Roman" w:hAnsi="Times New Roman" w:cs="Times New Roman"/>
                <w:color w:val="auto"/>
                <w:szCs w:val="28"/>
                <w:u w:val="none" w:color="auto"/>
              </w:rPr>
              <w:t>排气口排气量</w:t>
            </w:r>
            <w:r>
              <w:rPr>
                <w:rFonts w:hint="eastAsia" w:ascii="Times New Roman" w:hAnsi="Times New Roman" w:eastAsia="宋体" w:cs="Times New Roman"/>
                <w:color w:val="auto"/>
                <w:szCs w:val="28"/>
                <w:u w:val="none" w:color="auto"/>
                <w:lang w:val="en-US" w:eastAsia="zh-CN"/>
              </w:rPr>
              <w:t>为48000</w:t>
            </w:r>
            <w:r>
              <w:rPr>
                <w:rFonts w:hint="default" w:ascii="Times New Roman" w:hAnsi="Times New Roman" w:cs="Times New Roman"/>
                <w:color w:val="auto"/>
                <w:szCs w:val="28"/>
                <w:u w:val="none" w:color="auto"/>
              </w:rPr>
              <w:t>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w:t>
            </w:r>
            <w:r>
              <w:rPr>
                <w:rFonts w:hint="eastAsia" w:ascii="Times New Roman" w:hAnsi="Times New Roman" w:eastAsia="宋体" w:cs="Times New Roman"/>
                <w:color w:val="auto"/>
                <w:szCs w:val="28"/>
                <w:u w:val="none" w:color="auto"/>
                <w:lang w:val="en-US" w:eastAsia="zh-CN"/>
              </w:rPr>
              <w:t>，小于</w:t>
            </w:r>
            <w:r>
              <w:rPr>
                <w:rFonts w:hint="default" w:ascii="Times New Roman" w:hAnsi="Times New Roman" w:cs="Times New Roman"/>
                <w:color w:val="auto"/>
                <w:szCs w:val="28"/>
                <w:u w:val="none" w:color="auto"/>
              </w:rPr>
              <w:t>50000m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无需安装在线监测设备。</w:t>
            </w:r>
            <w:r>
              <w:rPr>
                <w:rFonts w:hint="default" w:ascii="Times New Roman" w:hAnsi="Times New Roman" w:cs="Times New Roman"/>
                <w:color w:val="auto"/>
                <w:szCs w:val="28"/>
                <w:u w:val="none" w:color="auto"/>
              </w:rPr>
              <w:t>废气经集气收集后进入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LEL减风增浓+RTO蓄热燃烧系统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，可实现达标排放</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且本项目选址于</w:t>
            </w:r>
            <w:r>
              <w:rPr>
                <w:rFonts w:hint="eastAsia" w:ascii="Times New Roman" w:hAnsi="Times New Roman" w:eastAsia="宋体" w:cs="Times New Roman"/>
                <w:color w:val="auto"/>
                <w:szCs w:val="28"/>
                <w:u w:val="none" w:color="auto"/>
                <w:lang w:eastAsia="zh-CN"/>
              </w:rPr>
              <w:t>零陵高新技术产业开发区河西片区</w:t>
            </w:r>
            <w:r>
              <w:rPr>
                <w:rFonts w:hint="eastAsia" w:ascii="Times New Roman" w:hAnsi="Times New Roman" w:eastAsia="宋体" w:cs="Times New Roman"/>
                <w:color w:val="auto"/>
                <w:szCs w:val="28"/>
                <w:u w:val="none" w:color="auto"/>
                <w:lang w:val="en-US" w:eastAsia="zh-CN"/>
              </w:rPr>
              <w:t>范围内。</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0" w:firstLine="0"/>
        <w:textAlignment w:val="baseline"/>
        <w:rPr>
          <w:rFonts w:hint="eastAsia" w:ascii="Times New Roman" w:hAnsi="Times New Roman" w:eastAsia="宋体"/>
          <w:b/>
          <w:bCs/>
          <w:color w:val="auto"/>
          <w:kern w:val="0"/>
          <w:sz w:val="24"/>
        </w:rPr>
      </w:pPr>
      <w:r>
        <w:rPr>
          <w:rFonts w:hint="eastAsia" w:ascii="Times New Roman" w:hAnsi="Times New Roman" w:eastAsia="宋体"/>
          <w:b/>
          <w:bCs/>
          <w:color w:val="auto"/>
          <w:kern w:val="0"/>
          <w:sz w:val="24"/>
        </w:rPr>
        <w:t>与规划环境影响评价结论的符合性分析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本项目位于零陵高新技术产业开发区河西片区瑞翔大道南侧，属于零陵高新技术产业开发区规划范围内，根据《</w:t>
      </w:r>
      <w:r>
        <w:rPr>
          <w:rFonts w:hint="default" w:ascii="Times New Roman" w:hAnsi="Times New Roman" w:cs="Times New Roman"/>
          <w:color w:val="auto"/>
          <w:szCs w:val="28"/>
          <w:u w:val="none" w:color="auto"/>
          <w:lang w:val="en-US" w:eastAsia="zh-CN"/>
        </w:rPr>
        <w:t>零陵高新技术产业开发区调区扩区规划环境影响报告书</w:t>
      </w:r>
      <w:r>
        <w:rPr>
          <w:rFonts w:hint="eastAsia" w:ascii="Times New Roman" w:hAnsi="Times New Roman" w:cs="Times New Roman"/>
          <w:color w:val="auto"/>
          <w:szCs w:val="28"/>
          <w:u w:val="none" w:color="auto"/>
          <w:lang w:val="en-US" w:eastAsia="zh-CN"/>
        </w:rPr>
        <w:t>》，零陵高新技术产业开发区河西片区产业定位发展以</w:t>
      </w:r>
      <w:r>
        <w:rPr>
          <w:rFonts w:hint="default" w:ascii="Times New Roman" w:hAnsi="Times New Roman" w:cs="Times New Roman"/>
          <w:color w:val="auto"/>
          <w:szCs w:val="28"/>
          <w:u w:val="none" w:color="auto"/>
          <w:lang w:val="en-US" w:eastAsia="zh-CN"/>
        </w:rPr>
        <w:t>生物医药、电子信息、新材料及卷烟制造为主导产业。</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零陵高新技术产业开发区河西片区</w:t>
      </w:r>
      <w:r>
        <w:rPr>
          <w:rFonts w:hint="default" w:ascii="Times New Roman" w:hAnsi="Times New Roman" w:cs="Times New Roman"/>
          <w:color w:val="auto"/>
          <w:szCs w:val="28"/>
          <w:u w:val="none" w:color="auto"/>
          <w:lang w:val="en-US" w:eastAsia="zh-CN"/>
        </w:rPr>
        <w:t>准入行业清单</w:t>
      </w:r>
      <w:r>
        <w:rPr>
          <w:rFonts w:hint="eastAsia" w:ascii="Times New Roman" w:hAnsi="Times New Roman" w:cs="Times New Roman"/>
          <w:color w:val="auto"/>
          <w:szCs w:val="28"/>
          <w:u w:val="none" w:color="auto"/>
          <w:lang w:val="en-US" w:eastAsia="zh-CN"/>
        </w:rPr>
        <w:t>详见表1.5-5、</w:t>
      </w:r>
      <w:r>
        <w:rPr>
          <w:rFonts w:hint="default" w:ascii="Times New Roman" w:hAnsi="Times New Roman" w:cs="Times New Roman"/>
          <w:color w:val="auto"/>
          <w:szCs w:val="28"/>
          <w:u w:val="none" w:color="auto"/>
          <w:lang w:val="en-US" w:eastAsia="zh-CN"/>
        </w:rPr>
        <w:t>准入工艺和产品负面清单</w:t>
      </w:r>
      <w:r>
        <w:rPr>
          <w:rFonts w:hint="eastAsia" w:ascii="Times New Roman" w:hAnsi="Times New Roman" w:cs="Times New Roman"/>
          <w:color w:val="auto"/>
          <w:szCs w:val="28"/>
          <w:u w:val="none" w:color="auto"/>
          <w:lang w:val="en-US" w:eastAsia="zh-CN"/>
        </w:rPr>
        <w:t>详见表1.5-6。</w:t>
      </w:r>
    </w:p>
    <w:p>
      <w:pPr>
        <w:pStyle w:val="16"/>
        <w:keepNext/>
        <w:keepLines w:val="0"/>
        <w:pageBreakBefore w:val="0"/>
        <w:widowControl/>
        <w:suppressLineNumbers w:val="0"/>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1.5</w:t>
      </w:r>
      <w:r>
        <w:rPr>
          <w:rFonts w:hint="default" w:ascii="Times New Roman" w:hAnsi="Times New Roman" w:cs="Times New Roman" w:eastAsiaTheme="minorEastAsia"/>
          <w:b/>
          <w:bCs/>
          <w:color w:val="auto"/>
          <w:sz w:val="24"/>
          <w:szCs w:val="24"/>
        </w:rPr>
        <w:fldChar w:fldCharType="end"/>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rPr>
        <w:fldChar w:fldCharType="end"/>
      </w:r>
      <w:r>
        <w:rPr>
          <w:rFonts w:hint="default" w:ascii="Times New Roman" w:hAnsi="Times New Roman" w:cs="Times New Roman" w:eastAsiaTheme="minorEastAsia"/>
          <w:b/>
          <w:bCs/>
          <w:color w:val="auto"/>
          <w:sz w:val="24"/>
          <w:szCs w:val="24"/>
          <w:lang w:eastAsia="zh-CN"/>
        </w:rPr>
        <w:t xml:space="preserve">   </w:t>
      </w:r>
      <w:r>
        <w:rPr>
          <w:rFonts w:hint="default" w:ascii="Times New Roman" w:hAnsi="Times New Roman" w:cs="Times New Roman" w:eastAsiaTheme="minorEastAsia"/>
          <w:b/>
          <w:bCs/>
          <w:color w:val="auto"/>
          <w:kern w:val="0"/>
          <w:sz w:val="24"/>
          <w:szCs w:val="24"/>
        </w:rPr>
        <w:t>本项目与</w:t>
      </w:r>
      <w:r>
        <w:rPr>
          <w:rFonts w:hint="default" w:ascii="Times New Roman" w:hAnsi="Times New Roman" w:cs="Times New Roman" w:eastAsiaTheme="minorEastAsia"/>
          <w:b/>
          <w:bCs/>
          <w:snapToGrid w:val="0"/>
          <w:color w:val="auto"/>
          <w:kern w:val="0"/>
          <w:sz w:val="24"/>
          <w:szCs w:val="24"/>
          <w:lang w:val="en-US" w:eastAsia="zh-CN" w:bidi="ar"/>
        </w:rPr>
        <w:t>开发区环境准入行业清单</w:t>
      </w:r>
      <w:r>
        <w:rPr>
          <w:rFonts w:hint="default" w:ascii="Times New Roman" w:hAnsi="Times New Roman" w:cs="Times New Roman" w:eastAsiaTheme="minorEastAsia"/>
          <w:b/>
          <w:bCs/>
          <w:color w:val="auto"/>
          <w:kern w:val="0"/>
          <w:sz w:val="24"/>
          <w:szCs w:val="24"/>
        </w:rPr>
        <w:t>符合性分析一览表</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102"/>
        <w:gridCol w:w="3420"/>
        <w:gridCol w:w="2388"/>
        <w:gridCol w:w="8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片区</w:t>
            </w:r>
          </w:p>
        </w:tc>
        <w:tc>
          <w:tcPr>
            <w:tcW w:w="647"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类型</w:t>
            </w:r>
          </w:p>
        </w:tc>
        <w:tc>
          <w:tcPr>
            <w:tcW w:w="2008" w:type="pct"/>
            <w:tcBorders>
              <w:tl2br w:val="nil"/>
              <w:tr2bl w:val="nil"/>
            </w:tcBorders>
            <w:noWrap w:val="0"/>
            <w:vAlign w:val="center"/>
          </w:tcPr>
          <w:p>
            <w:pPr>
              <w:keepNext w:val="0"/>
              <w:keepLines w:val="0"/>
              <w:widowControl/>
              <w:suppressLineNumbers w:val="0"/>
              <w:jc w:val="center"/>
              <w:rPr>
                <w:rFonts w:hint="default" w:ascii="Times New Roman" w:hAnsi="Times New Roman" w:cs="Times New Roman"/>
                <w:b/>
                <w:bCs/>
                <w:color w:val="auto"/>
                <w:sz w:val="21"/>
                <w:szCs w:val="21"/>
                <w:vertAlign w:val="baseline"/>
              </w:rPr>
            </w:pPr>
            <w:r>
              <w:rPr>
                <w:rFonts w:hint="default" w:ascii="Times New Roman" w:hAnsi="Times New Roman" w:eastAsia="CIDFont" w:cs="Times New Roman"/>
                <w:snapToGrid w:val="0"/>
                <w:color w:val="auto"/>
                <w:kern w:val="0"/>
                <w:sz w:val="21"/>
                <w:szCs w:val="21"/>
                <w:lang w:val="en-US" w:eastAsia="zh-CN" w:bidi="ar"/>
              </w:rPr>
              <w:t>负面清单</w:t>
            </w:r>
          </w:p>
        </w:tc>
        <w:tc>
          <w:tcPr>
            <w:tcW w:w="1402"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本项目情况</w:t>
            </w:r>
          </w:p>
        </w:tc>
        <w:tc>
          <w:tcPr>
            <w:tcW w:w="502"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9"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河西片区</w:t>
            </w:r>
          </w:p>
        </w:tc>
        <w:tc>
          <w:tcPr>
            <w:tcW w:w="647"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产业定位</w:t>
            </w:r>
          </w:p>
        </w:tc>
        <w:tc>
          <w:tcPr>
            <w:tcW w:w="2008" w:type="pct"/>
            <w:tcBorders>
              <w:tl2br w:val="nil"/>
              <w:tr2bl w:val="nil"/>
            </w:tcBorders>
            <w:noWrap w:val="0"/>
            <w:vAlign w:val="center"/>
          </w:tcPr>
          <w:p>
            <w:pPr>
              <w:keepNext w:val="0"/>
              <w:keepLines w:val="0"/>
              <w:widowControl/>
              <w:suppressLineNumbers w:val="0"/>
              <w:jc w:val="both"/>
              <w:rPr>
                <w:rFonts w:hint="default" w:ascii="Times New Roman" w:hAnsi="Times New Roman" w:cs="Times New Roman"/>
                <w:color w:val="auto"/>
                <w:sz w:val="21"/>
                <w:szCs w:val="21"/>
                <w:vertAlign w:val="baseline"/>
              </w:rPr>
            </w:pPr>
            <w:r>
              <w:rPr>
                <w:rFonts w:ascii="CIDFont" w:hAnsi="CIDFont" w:eastAsia="CIDFont" w:cs="CIDFont"/>
                <w:snapToGrid w:val="0"/>
                <w:color w:val="auto"/>
                <w:kern w:val="0"/>
                <w:sz w:val="21"/>
                <w:szCs w:val="21"/>
                <w:lang w:val="en-US" w:eastAsia="zh-CN" w:bidi="ar"/>
              </w:rPr>
              <w:t>以实施新能源新材料、电子信息、生物医药、卷烟制造</w:t>
            </w:r>
            <w:r>
              <w:rPr>
                <w:rFonts w:hint="default" w:ascii="Times New Roman" w:hAnsi="Times New Roman" w:eastAsia="CIDFont" w:cs="Times New Roman"/>
                <w:snapToGrid w:val="0"/>
                <w:color w:val="auto"/>
                <w:kern w:val="0"/>
                <w:sz w:val="21"/>
                <w:szCs w:val="21"/>
                <w:lang w:val="en-US" w:eastAsia="zh-CN" w:bidi="ar"/>
              </w:rPr>
              <w:t>为主导产业，重点发展锰系新能源材料产业链、电子材料、芯片、整机、软件与服务的电子信息产业链；中药材种植、中药和中成药精制、生物医药、化学合成原料药及制剂、医药器材及医药物流配送的医药产业链。</w:t>
            </w:r>
          </w:p>
        </w:tc>
        <w:tc>
          <w:tcPr>
            <w:tcW w:w="1402" w:type="pct"/>
            <w:tcBorders>
              <w:tl2br w:val="nil"/>
              <w:tr2bl w:val="nil"/>
            </w:tcBorders>
            <w:noWrap w:val="0"/>
            <w:vAlign w:val="center"/>
          </w:tcPr>
          <w:p>
            <w:pPr>
              <w:pStyle w:val="17"/>
              <w:widowControl w:val="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w:t>
            </w:r>
            <w:r>
              <w:rPr>
                <w:rFonts w:hint="default" w:ascii="Times New Roman" w:hAnsi="Times New Roman" w:cs="Times New Roman"/>
                <w:color w:val="auto"/>
                <w:szCs w:val="28"/>
                <w:u w:val="none" w:color="auto"/>
              </w:rPr>
              <w:t>为塑料复合软包装的生产</w:t>
            </w:r>
            <w:r>
              <w:rPr>
                <w:rFonts w:hint="eastAsia" w:ascii="Times New Roman" w:hAnsi="Times New Roman" w:eastAsia="宋体" w:cs="Times New Roman"/>
                <w:color w:val="auto"/>
                <w:szCs w:val="28"/>
                <w:u w:val="none" w:color="auto"/>
                <w:lang w:val="en-US" w:eastAsia="zh-CN"/>
              </w:rPr>
              <w:t>项目，不属于河西片区主导行业</w:t>
            </w:r>
          </w:p>
        </w:tc>
        <w:tc>
          <w:tcPr>
            <w:tcW w:w="502"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不冲突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9"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647"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禁止</w:t>
            </w:r>
            <w:r>
              <w:rPr>
                <w:rFonts w:hint="default" w:ascii="Times New Roman" w:hAnsi="Times New Roman" w:cs="Times New Roman"/>
                <w:color w:val="auto"/>
                <w:sz w:val="21"/>
                <w:szCs w:val="21"/>
                <w:vertAlign w:val="baseline"/>
              </w:rPr>
              <w:t>类</w:t>
            </w:r>
          </w:p>
        </w:tc>
        <w:tc>
          <w:tcPr>
            <w:tcW w:w="200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cs="Times New Roman"/>
                <w:color w:val="auto"/>
                <w:sz w:val="21"/>
                <w:szCs w:val="21"/>
              </w:rPr>
            </w:pPr>
            <w:r>
              <w:rPr>
                <w:rFonts w:hint="default" w:ascii="Times New Roman" w:hAnsi="Times New Roman" w:eastAsia="CIDFont" w:cs="Times New Roman"/>
                <w:snapToGrid w:val="0"/>
                <w:color w:val="auto"/>
                <w:kern w:val="0"/>
                <w:sz w:val="21"/>
                <w:szCs w:val="21"/>
                <w:lang w:val="en-US" w:eastAsia="zh-CN" w:bidi="ar"/>
              </w:rPr>
              <w:t>1、禁止在湘江干流岸线一公里范围内新建、扩建化工项目；</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cs="Times New Roman"/>
                <w:color w:val="auto"/>
                <w:sz w:val="21"/>
                <w:szCs w:val="21"/>
                <w:vertAlign w:val="baseline"/>
              </w:rPr>
            </w:pPr>
            <w:r>
              <w:rPr>
                <w:rFonts w:hint="default" w:ascii="Times New Roman" w:hAnsi="Times New Roman" w:eastAsia="CIDFont" w:cs="Times New Roman"/>
                <w:snapToGrid w:val="0"/>
                <w:color w:val="auto"/>
                <w:kern w:val="0"/>
                <w:sz w:val="21"/>
                <w:szCs w:val="21"/>
                <w:lang w:val="en-US" w:eastAsia="zh-CN" w:bidi="ar"/>
              </w:rPr>
              <w:t>2、禁止在湘江干流岸线一公里范围内新建、改建、扩建尾矿库，但是以提升安全、生态环境保护水平为目的的改建除外。</w:t>
            </w:r>
          </w:p>
        </w:tc>
        <w:tc>
          <w:tcPr>
            <w:tcW w:w="1402" w:type="pct"/>
            <w:tcBorders>
              <w:tl2br w:val="nil"/>
              <w:tr2bl w:val="nil"/>
            </w:tcBorders>
            <w:noWrap w:val="0"/>
            <w:vAlign w:val="center"/>
          </w:tcPr>
          <w:p>
            <w:pPr>
              <w:pStyle w:val="17"/>
              <w:widowControl w:val="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本项目不属于化工项目，且不位于</w:t>
            </w:r>
            <w:r>
              <w:rPr>
                <w:rFonts w:hint="default" w:ascii="Times New Roman" w:hAnsi="Times New Roman" w:eastAsia="CIDFont" w:cs="Times New Roman"/>
                <w:snapToGrid w:val="0"/>
                <w:color w:val="auto"/>
                <w:kern w:val="0"/>
                <w:sz w:val="21"/>
                <w:szCs w:val="21"/>
                <w:lang w:val="en-US" w:eastAsia="zh-CN" w:bidi="ar"/>
              </w:rPr>
              <w:t>湘江干流岸线一公里范围内</w:t>
            </w:r>
          </w:p>
        </w:tc>
        <w:tc>
          <w:tcPr>
            <w:tcW w:w="502"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647"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禁止类</w:t>
            </w:r>
          </w:p>
        </w:tc>
        <w:tc>
          <w:tcPr>
            <w:tcW w:w="200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cs="Times New Roman"/>
                <w:color w:val="auto"/>
                <w:sz w:val="21"/>
                <w:szCs w:val="21"/>
              </w:rPr>
            </w:pPr>
            <w:r>
              <w:rPr>
                <w:rFonts w:hint="default" w:ascii="Times New Roman" w:hAnsi="Times New Roman" w:eastAsia="CIDFont" w:cs="Times New Roman"/>
                <w:snapToGrid w:val="0"/>
                <w:color w:val="auto"/>
                <w:kern w:val="0"/>
                <w:sz w:val="21"/>
                <w:szCs w:val="21"/>
                <w:lang w:val="en-US" w:eastAsia="zh-CN" w:bidi="ar"/>
              </w:rPr>
              <w:t>1、高耗能、高排放的</w:t>
            </w:r>
            <w:r>
              <w:rPr>
                <w:rFonts w:hint="eastAsia" w:ascii="Times New Roman" w:hAnsi="Times New Roman" w:eastAsia="CIDFont" w:cs="Times New Roman"/>
                <w:snapToGrid w:val="0"/>
                <w:color w:val="auto"/>
                <w:kern w:val="0"/>
                <w:sz w:val="21"/>
                <w:szCs w:val="21"/>
                <w:lang w:val="en-US" w:eastAsia="zh-CN" w:bidi="ar"/>
              </w:rPr>
              <w:t>“</w:t>
            </w:r>
            <w:r>
              <w:rPr>
                <w:rFonts w:hint="default" w:ascii="Times New Roman" w:hAnsi="Times New Roman" w:eastAsia="CIDFont" w:cs="Times New Roman"/>
                <w:snapToGrid w:val="0"/>
                <w:color w:val="auto"/>
                <w:kern w:val="0"/>
                <w:sz w:val="21"/>
                <w:szCs w:val="21"/>
                <w:lang w:val="en-US" w:eastAsia="zh-CN" w:bidi="ar"/>
              </w:rPr>
              <w:t>两高</w:t>
            </w:r>
            <w:r>
              <w:rPr>
                <w:rFonts w:hint="eastAsia" w:ascii="Times New Roman" w:hAnsi="Times New Roman" w:eastAsia="CIDFont" w:cs="Times New Roman"/>
                <w:snapToGrid w:val="0"/>
                <w:color w:val="auto"/>
                <w:kern w:val="0"/>
                <w:sz w:val="21"/>
                <w:szCs w:val="21"/>
                <w:lang w:val="en-US" w:eastAsia="zh-CN" w:bidi="ar"/>
              </w:rPr>
              <w:t>”</w:t>
            </w:r>
            <w:r>
              <w:rPr>
                <w:rFonts w:hint="default" w:ascii="Times New Roman" w:hAnsi="Times New Roman" w:eastAsia="CIDFont" w:cs="Times New Roman"/>
                <w:snapToGrid w:val="0"/>
                <w:color w:val="auto"/>
                <w:kern w:val="0"/>
                <w:sz w:val="21"/>
                <w:szCs w:val="21"/>
                <w:lang w:val="en-US" w:eastAsia="zh-CN" w:bidi="ar"/>
              </w:rPr>
              <w:t>项目。</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cs="Times New Roman"/>
                <w:color w:val="auto"/>
                <w:sz w:val="21"/>
                <w:szCs w:val="21"/>
                <w:vertAlign w:val="baseline"/>
              </w:rPr>
            </w:pPr>
            <w:r>
              <w:rPr>
                <w:rFonts w:hint="default" w:ascii="Times New Roman" w:hAnsi="Times New Roman" w:eastAsia="CIDFont" w:cs="Times New Roman"/>
                <w:snapToGrid w:val="0"/>
                <w:color w:val="auto"/>
                <w:kern w:val="0"/>
                <w:sz w:val="21"/>
                <w:szCs w:val="21"/>
                <w:lang w:val="en-US" w:eastAsia="zh-CN" w:bidi="ar"/>
              </w:rPr>
              <w:t>2、《产业结构调整指导目录》中淘汰类项目。</w:t>
            </w:r>
          </w:p>
        </w:tc>
        <w:tc>
          <w:tcPr>
            <w:tcW w:w="1402"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本项目运营期各类污染物经污染防治措施处理后均能做到达标排放，不属于“两高”项目，且项目属于</w:t>
            </w:r>
            <w:r>
              <w:rPr>
                <w:rFonts w:hint="default" w:ascii="Times New Roman" w:hAnsi="Times New Roman" w:eastAsia="宋体" w:cs="Times New Roman"/>
                <w:color w:val="auto"/>
                <w:sz w:val="21"/>
                <w:szCs w:val="21"/>
                <w:vertAlign w:val="baseline"/>
                <w:lang w:val="en-US" w:eastAsia="zh-CN"/>
              </w:rPr>
              <w:t>允许类</w:t>
            </w:r>
            <w:r>
              <w:rPr>
                <w:rFonts w:hint="eastAsia" w:ascii="Times New Roman" w:hAnsi="Times New Roman" w:eastAsia="宋体" w:cs="Times New Roman"/>
                <w:color w:val="auto"/>
                <w:sz w:val="21"/>
                <w:szCs w:val="21"/>
                <w:vertAlign w:val="baseline"/>
                <w:lang w:val="en-US" w:eastAsia="zh-CN"/>
              </w:rPr>
              <w:t>项目</w:t>
            </w:r>
          </w:p>
        </w:tc>
        <w:tc>
          <w:tcPr>
            <w:tcW w:w="502"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符合</w:t>
            </w:r>
          </w:p>
        </w:tc>
      </w:tr>
    </w:tbl>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Lines="50"/>
        <w:jc w:val="center"/>
        <w:textAlignment w:val="baseline"/>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1.5</w:t>
      </w:r>
      <w:r>
        <w:rPr>
          <w:rFonts w:hint="default" w:ascii="Times New Roman" w:hAnsi="Times New Roman" w:cs="Times New Roman" w:eastAsiaTheme="minorEastAsia"/>
          <w:b/>
          <w:bCs/>
          <w:color w:val="auto"/>
          <w:sz w:val="24"/>
          <w:szCs w:val="24"/>
        </w:rPr>
        <w:fldChar w:fldCharType="end"/>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6</w:t>
      </w:r>
      <w:r>
        <w:rPr>
          <w:rFonts w:hint="default" w:ascii="Times New Roman" w:hAnsi="Times New Roman" w:cs="Times New Roman" w:eastAsiaTheme="minorEastAsia"/>
          <w:b/>
          <w:bCs/>
          <w:color w:val="auto"/>
          <w:sz w:val="24"/>
          <w:szCs w:val="24"/>
        </w:rPr>
        <w:fldChar w:fldCharType="end"/>
      </w:r>
      <w:r>
        <w:rPr>
          <w:rFonts w:hint="default" w:ascii="Times New Roman" w:hAnsi="Times New Roman" w:cs="Times New Roman" w:eastAsiaTheme="minorEastAsia"/>
          <w:b/>
          <w:bCs/>
          <w:color w:val="auto"/>
          <w:sz w:val="24"/>
          <w:szCs w:val="24"/>
          <w:lang w:eastAsia="zh-CN"/>
        </w:rPr>
        <w:t xml:space="preserve">   </w:t>
      </w:r>
      <w:r>
        <w:rPr>
          <w:rFonts w:hint="default" w:ascii="Times New Roman" w:hAnsi="Times New Roman" w:cs="Times New Roman" w:eastAsiaTheme="minorEastAsia"/>
          <w:b/>
          <w:bCs/>
          <w:color w:val="auto"/>
          <w:kern w:val="0"/>
          <w:sz w:val="24"/>
          <w:szCs w:val="24"/>
        </w:rPr>
        <w:t>本项目与</w:t>
      </w:r>
      <w:r>
        <w:rPr>
          <w:rFonts w:hint="default" w:ascii="Times New Roman" w:hAnsi="Times New Roman" w:cs="Times New Roman" w:eastAsiaTheme="minorEastAsia"/>
          <w:b/>
          <w:bCs/>
          <w:snapToGrid w:val="0"/>
          <w:color w:val="auto"/>
          <w:kern w:val="0"/>
          <w:sz w:val="24"/>
          <w:szCs w:val="24"/>
          <w:lang w:val="en-US" w:eastAsia="zh-CN" w:bidi="ar"/>
        </w:rPr>
        <w:t>开发区</w:t>
      </w:r>
      <w:r>
        <w:rPr>
          <w:rFonts w:ascii="CIDFont" w:hAnsi="CIDFont" w:eastAsia="CIDFont" w:cs="CIDFont"/>
          <w:b/>
          <w:bCs/>
          <w:snapToGrid w:val="0"/>
          <w:color w:val="auto"/>
          <w:kern w:val="0"/>
          <w:sz w:val="24"/>
          <w:szCs w:val="24"/>
          <w:lang w:val="en-US" w:eastAsia="zh-CN" w:bidi="ar"/>
        </w:rPr>
        <w:t>准入工艺和产品负面清单</w:t>
      </w:r>
      <w:r>
        <w:rPr>
          <w:rFonts w:hint="default" w:ascii="Times New Roman" w:hAnsi="Times New Roman" w:cs="Times New Roman" w:eastAsiaTheme="minorEastAsia"/>
          <w:b/>
          <w:bCs/>
          <w:color w:val="auto"/>
          <w:kern w:val="0"/>
          <w:sz w:val="24"/>
          <w:szCs w:val="24"/>
        </w:rPr>
        <w:t>符合性分析一览表</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901"/>
        <w:gridCol w:w="4666"/>
        <w:gridCol w:w="1313"/>
        <w:gridCol w:w="8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片区</w:t>
            </w:r>
          </w:p>
        </w:tc>
        <w:tc>
          <w:tcPr>
            <w:tcW w:w="52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类型</w:t>
            </w:r>
          </w:p>
        </w:tc>
        <w:tc>
          <w:tcPr>
            <w:tcW w:w="2740" w:type="pct"/>
            <w:tcBorders>
              <w:tl2br w:val="nil"/>
              <w:tr2bl w:val="nil"/>
            </w:tcBorders>
            <w:noWrap w:val="0"/>
            <w:vAlign w:val="center"/>
          </w:tcPr>
          <w:p>
            <w:pPr>
              <w:keepNext w:val="0"/>
              <w:keepLines w:val="0"/>
              <w:widowControl/>
              <w:suppressLineNumbers w:val="0"/>
              <w:jc w:val="center"/>
              <w:rPr>
                <w:rFonts w:hint="default" w:ascii="Times New Roman" w:hAnsi="Times New Roman" w:cs="Times New Roman"/>
                <w:b/>
                <w:bCs/>
                <w:color w:val="auto"/>
                <w:sz w:val="21"/>
                <w:szCs w:val="21"/>
                <w:vertAlign w:val="baseline"/>
              </w:rPr>
            </w:pPr>
            <w:r>
              <w:rPr>
                <w:rFonts w:hint="default" w:ascii="Times New Roman" w:hAnsi="Times New Roman" w:eastAsia="CIDFont" w:cs="Times New Roman"/>
                <w:snapToGrid w:val="0"/>
                <w:color w:val="auto"/>
                <w:kern w:val="0"/>
                <w:sz w:val="21"/>
                <w:szCs w:val="21"/>
                <w:lang w:val="en-US" w:eastAsia="zh-CN" w:bidi="ar"/>
              </w:rPr>
              <w:t>负面清单</w:t>
            </w:r>
          </w:p>
        </w:tc>
        <w:tc>
          <w:tcPr>
            <w:tcW w:w="771"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本项目情况</w:t>
            </w:r>
          </w:p>
        </w:tc>
        <w:tc>
          <w:tcPr>
            <w:tcW w:w="51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9"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河西片区</w:t>
            </w:r>
          </w:p>
        </w:tc>
        <w:tc>
          <w:tcPr>
            <w:tcW w:w="529" w:type="pct"/>
            <w:vMerge w:val="restart"/>
            <w:tcBorders>
              <w:tl2br w:val="nil"/>
              <w:tr2bl w:val="nil"/>
            </w:tcBorders>
            <w:noWrap w:val="0"/>
            <w:vAlign w:val="center"/>
          </w:tcPr>
          <w:p>
            <w:pPr>
              <w:keepNext w:val="0"/>
              <w:keepLines w:val="0"/>
              <w:widowControl/>
              <w:suppressLineNumbers w:val="0"/>
              <w:jc w:val="center"/>
              <w:rPr>
                <w:rFonts w:hint="default" w:ascii="Times New Roman" w:hAnsi="Times New Roman" w:cs="Times New Roman"/>
                <w:color w:val="auto"/>
                <w:sz w:val="21"/>
                <w:szCs w:val="21"/>
                <w:vertAlign w:val="baseline"/>
              </w:rPr>
            </w:pPr>
            <w:r>
              <w:rPr>
                <w:rFonts w:ascii="CIDFont" w:hAnsi="CIDFont" w:eastAsia="CIDFont" w:cs="CIDFont"/>
                <w:snapToGrid w:val="0"/>
                <w:color w:val="auto"/>
                <w:kern w:val="0"/>
                <w:sz w:val="21"/>
                <w:szCs w:val="21"/>
                <w:lang w:val="en-US" w:eastAsia="zh-CN" w:bidi="ar"/>
              </w:rPr>
              <w:t>禁止类</w:t>
            </w:r>
          </w:p>
        </w:tc>
        <w:tc>
          <w:tcPr>
            <w:tcW w:w="2740"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电子信息：</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1、汞电池（氧化汞原电池及电池组、锌汞电池）；</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2、开口式普通铅蓄电池、干式荷电铅蓄电池</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3、用于普通照明用途的高压汞灯。</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以及其他不符合产业政策的项目。</w:t>
            </w:r>
          </w:p>
        </w:tc>
        <w:tc>
          <w:tcPr>
            <w:tcW w:w="771" w:type="pct"/>
            <w:tcBorders>
              <w:tl2br w:val="nil"/>
              <w:tr2bl w:val="nil"/>
            </w:tcBorders>
            <w:noWrap w:val="0"/>
            <w:vAlign w:val="center"/>
          </w:tcPr>
          <w:p>
            <w:pPr>
              <w:pStyle w:val="17"/>
              <w:widowControl w:val="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本项目不属于电子信息行业</w:t>
            </w:r>
          </w:p>
        </w:tc>
        <w:tc>
          <w:tcPr>
            <w:tcW w:w="51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9"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529"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740"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生物制药：</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1．手工胶囊填充工艺；</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2．软木塞烫腊包装药品工艺。</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以及其他不符合产业政策的项目</w:t>
            </w:r>
          </w:p>
        </w:tc>
        <w:tc>
          <w:tcPr>
            <w:tcW w:w="771" w:type="pct"/>
            <w:tcBorders>
              <w:tl2br w:val="nil"/>
              <w:tr2bl w:val="nil"/>
            </w:tcBorders>
            <w:noWrap w:val="0"/>
            <w:vAlign w:val="center"/>
          </w:tcPr>
          <w:p>
            <w:pPr>
              <w:pStyle w:val="17"/>
              <w:widowControl w:val="0"/>
              <w:jc w:val="center"/>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本项目不属于</w:t>
            </w:r>
            <w:r>
              <w:rPr>
                <w:rFonts w:hint="default" w:ascii="Times New Roman" w:hAnsi="Times New Roman" w:eastAsia="CIDFont" w:cs="Times New Roman"/>
                <w:snapToGrid w:val="0"/>
                <w:color w:val="auto"/>
                <w:kern w:val="0"/>
                <w:sz w:val="21"/>
                <w:szCs w:val="21"/>
                <w:lang w:val="en-US" w:eastAsia="zh-CN" w:bidi="ar"/>
              </w:rPr>
              <w:t>生物制药</w:t>
            </w:r>
            <w:r>
              <w:rPr>
                <w:rFonts w:hint="eastAsia" w:ascii="Times New Roman" w:hAnsi="Times New Roman" w:eastAsia="宋体" w:cs="Times New Roman"/>
                <w:color w:val="auto"/>
                <w:sz w:val="21"/>
                <w:szCs w:val="21"/>
                <w:vertAlign w:val="baseline"/>
                <w:lang w:val="en-US" w:eastAsia="zh-CN"/>
              </w:rPr>
              <w:t>行业</w:t>
            </w:r>
          </w:p>
        </w:tc>
        <w:tc>
          <w:tcPr>
            <w:tcW w:w="51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529"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限制</w:t>
            </w:r>
            <w:r>
              <w:rPr>
                <w:rFonts w:hint="default" w:ascii="Times New Roman" w:hAnsi="Times New Roman" w:cs="Times New Roman"/>
                <w:color w:val="auto"/>
                <w:sz w:val="21"/>
                <w:szCs w:val="21"/>
                <w:vertAlign w:val="baseline"/>
              </w:rPr>
              <w:t>类</w:t>
            </w:r>
          </w:p>
        </w:tc>
        <w:tc>
          <w:tcPr>
            <w:tcW w:w="2740"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电子信息：</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1</w:t>
            </w:r>
            <w:r>
              <w:rPr>
                <w:rFonts w:hint="eastAsia" w:ascii="Times New Roman" w:hAnsi="Times New Roman" w:eastAsia="CIDFont" w:cs="Times New Roman"/>
                <w:snapToGrid w:val="0"/>
                <w:color w:val="auto"/>
                <w:kern w:val="0"/>
                <w:sz w:val="21"/>
                <w:szCs w:val="21"/>
                <w:lang w:val="en-US" w:eastAsia="zh-CN" w:bidi="ar"/>
              </w:rPr>
              <w:t>、</w:t>
            </w:r>
            <w:r>
              <w:rPr>
                <w:rFonts w:hint="default" w:ascii="Times New Roman" w:hAnsi="Times New Roman" w:eastAsia="CIDFont" w:cs="Times New Roman"/>
                <w:snapToGrid w:val="0"/>
                <w:color w:val="auto"/>
                <w:kern w:val="0"/>
                <w:sz w:val="21"/>
                <w:szCs w:val="21"/>
                <w:lang w:val="en-US" w:eastAsia="zh-CN" w:bidi="ar"/>
              </w:rPr>
              <w:t>激光视盘机生产线（VCD系列整机产品）</w:t>
            </w:r>
            <w:r>
              <w:rPr>
                <w:rFonts w:hint="eastAsia" w:ascii="Times New Roman" w:hAnsi="Times New Roman" w:eastAsia="CIDFont" w:cs="Times New Roman"/>
                <w:snapToGrid w:val="0"/>
                <w:color w:val="auto"/>
                <w:kern w:val="0"/>
                <w:sz w:val="21"/>
                <w:szCs w:val="21"/>
                <w:lang w:val="en-US" w:eastAsia="zh-CN" w:bidi="ar"/>
              </w:rPr>
              <w:t>；</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2、采用外化成工艺生产铅蓄电池。</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以及其他属于产业结构调整指导目录限制类的。</w:t>
            </w:r>
          </w:p>
        </w:tc>
        <w:tc>
          <w:tcPr>
            <w:tcW w:w="771" w:type="pct"/>
            <w:tcBorders>
              <w:tl2br w:val="nil"/>
              <w:tr2bl w:val="nil"/>
            </w:tcBorders>
            <w:noWrap w:val="0"/>
            <w:vAlign w:val="center"/>
          </w:tcPr>
          <w:p>
            <w:pPr>
              <w:pStyle w:val="17"/>
              <w:widowControl w:val="0"/>
              <w:jc w:val="center"/>
              <w:rPr>
                <w:rFonts w:hint="default" w:ascii="Times New Roman" w:hAnsi="Times New Roman"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本项目不属于电子信息行业</w:t>
            </w:r>
          </w:p>
        </w:tc>
        <w:tc>
          <w:tcPr>
            <w:tcW w:w="51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529"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2740"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生物制药：</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新建、改扩建原料含有尚未规模化种植或养殖的濒危动植物药材的产品生产装置。</w:t>
            </w:r>
          </w:p>
          <w:p>
            <w:pPr>
              <w:keepNext w:val="0"/>
              <w:keepLines w:val="0"/>
              <w:pageBreakBefore w:val="0"/>
              <w:widowControl/>
              <w:suppressLineNumbers w:val="0"/>
              <w:kinsoku/>
              <w:wordWrap/>
              <w:overflowPunct/>
              <w:topLinePunct w:val="0"/>
              <w:autoSpaceDE w:val="0"/>
              <w:autoSpaceDN w:val="0"/>
              <w:bidi w:val="0"/>
              <w:adjustRightInd w:val="0"/>
              <w:snapToGrid w:val="0"/>
              <w:jc w:val="both"/>
              <w:textAlignment w:val="baseline"/>
              <w:rPr>
                <w:rFonts w:hint="default" w:ascii="Times New Roman" w:hAnsi="Times New Roman" w:eastAsia="CIDFont" w:cs="Times New Roman"/>
                <w:snapToGrid w:val="0"/>
                <w:color w:val="auto"/>
                <w:kern w:val="0"/>
                <w:sz w:val="21"/>
                <w:szCs w:val="21"/>
                <w:lang w:val="en-US" w:eastAsia="zh-CN" w:bidi="ar"/>
              </w:rPr>
            </w:pPr>
            <w:r>
              <w:rPr>
                <w:rFonts w:hint="default" w:ascii="Times New Roman" w:hAnsi="Times New Roman" w:eastAsia="CIDFont" w:cs="Times New Roman"/>
                <w:snapToGrid w:val="0"/>
                <w:color w:val="auto"/>
                <w:kern w:val="0"/>
                <w:sz w:val="21"/>
                <w:szCs w:val="21"/>
                <w:lang w:val="en-US" w:eastAsia="zh-CN" w:bidi="ar"/>
              </w:rPr>
              <w:t>以及其他属于产业结构调整指导目录限制类的。</w:t>
            </w:r>
          </w:p>
        </w:tc>
        <w:tc>
          <w:tcPr>
            <w:tcW w:w="771" w:type="pct"/>
            <w:tcBorders>
              <w:tl2br w:val="nil"/>
              <w:tr2bl w:val="nil"/>
            </w:tcBorders>
            <w:noWrap w:val="0"/>
            <w:vAlign w:val="center"/>
          </w:tcPr>
          <w:p>
            <w:pPr>
              <w:pStyle w:val="17"/>
              <w:widowControl w:val="0"/>
              <w:jc w:val="center"/>
              <w:rPr>
                <w:rFonts w:hint="default" w:ascii="Times New Roman" w:hAnsi="Times New Roman"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本项目不属于</w:t>
            </w:r>
            <w:r>
              <w:rPr>
                <w:rFonts w:hint="default" w:ascii="Times New Roman" w:hAnsi="Times New Roman" w:eastAsia="CIDFont" w:cs="Times New Roman"/>
                <w:snapToGrid w:val="0"/>
                <w:color w:val="auto"/>
                <w:kern w:val="0"/>
                <w:sz w:val="21"/>
                <w:szCs w:val="21"/>
                <w:lang w:val="en-US" w:eastAsia="zh-CN" w:bidi="ar"/>
              </w:rPr>
              <w:t>生物制药</w:t>
            </w:r>
            <w:r>
              <w:rPr>
                <w:rFonts w:hint="eastAsia" w:ascii="Times New Roman" w:hAnsi="Times New Roman" w:eastAsia="宋体" w:cs="Times New Roman"/>
                <w:color w:val="auto"/>
                <w:sz w:val="21"/>
                <w:szCs w:val="21"/>
                <w:vertAlign w:val="baseline"/>
                <w:lang w:val="en-US" w:eastAsia="zh-CN"/>
              </w:rPr>
              <w:t>行业</w:t>
            </w:r>
          </w:p>
        </w:tc>
        <w:tc>
          <w:tcPr>
            <w:tcW w:w="519" w:type="pct"/>
            <w:tcBorders>
              <w:tl2br w:val="nil"/>
              <w:tr2bl w:val="nil"/>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符合</w:t>
            </w:r>
          </w:p>
        </w:tc>
      </w:tr>
    </w:tbl>
    <w:p>
      <w:pPr>
        <w:pStyle w:val="31"/>
        <w:keepNext w:val="0"/>
        <w:keepLines w:val="0"/>
        <w:pageBreakBefore w:val="0"/>
        <w:widowControl w:val="0"/>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lang w:val="en-US"/>
        </w:rPr>
      </w:pPr>
      <w:r>
        <w:rPr>
          <w:rFonts w:hint="eastAsia" w:ascii="Times New Roman" w:hAnsi="Times New Roman" w:cs="Times New Roman"/>
          <w:color w:val="auto"/>
          <w:szCs w:val="28"/>
          <w:u w:val="none" w:color="auto"/>
          <w:lang w:val="en-US" w:eastAsia="zh-CN"/>
        </w:rPr>
        <w:t>本项目建设满足</w:t>
      </w:r>
      <w:r>
        <w:rPr>
          <w:rFonts w:hint="default" w:ascii="Times New Roman" w:hAnsi="Times New Roman" w:cs="Times New Roman"/>
          <w:color w:val="auto"/>
          <w:szCs w:val="28"/>
          <w:u w:val="none" w:color="auto"/>
          <w:lang w:val="en-US" w:eastAsia="zh-CN"/>
        </w:rPr>
        <w:t>零陵高新技术产业开发区调区扩区规划</w:t>
      </w:r>
      <w:r>
        <w:rPr>
          <w:rFonts w:hint="eastAsia" w:ascii="Times New Roman" w:hAnsi="Times New Roman" w:cs="Times New Roman"/>
          <w:color w:val="auto"/>
          <w:szCs w:val="28"/>
          <w:u w:val="none" w:color="auto"/>
          <w:lang w:val="en-US" w:eastAsia="zh-CN"/>
        </w:rPr>
        <w:t>环评相关要求，且项目建设单位已与</w:t>
      </w:r>
      <w:r>
        <w:rPr>
          <w:rFonts w:hint="default" w:ascii="Times New Roman" w:hAnsi="Times New Roman" w:cs="Times New Roman"/>
          <w:color w:val="auto"/>
          <w:szCs w:val="28"/>
          <w:u w:val="none" w:color="auto"/>
          <w:lang w:val="en-US" w:eastAsia="zh-CN"/>
        </w:rPr>
        <w:t>零陵高新技术产业开发区</w:t>
      </w:r>
      <w:r>
        <w:rPr>
          <w:rFonts w:hint="eastAsia" w:ascii="Times New Roman" w:hAnsi="Times New Roman" w:cs="Times New Roman"/>
          <w:color w:val="auto"/>
          <w:szCs w:val="28"/>
          <w:u w:val="none" w:color="auto"/>
          <w:lang w:val="en-US" w:eastAsia="zh-CN"/>
        </w:rPr>
        <w:t>管理委员会签订入园合同，详见附件5。</w:t>
      </w:r>
    </w:p>
    <w:p>
      <w:pPr>
        <w:pStyle w:val="10"/>
        <w:bidi w:val="0"/>
        <w:spacing w:line="360" w:lineRule="auto"/>
        <w:rPr>
          <w:color w:val="auto"/>
          <w:sz w:val="32"/>
          <w:szCs w:val="32"/>
        </w:rPr>
      </w:pPr>
      <w:bookmarkStart w:id="12" w:name="_Toc27861"/>
      <w:r>
        <w:rPr>
          <w:color w:val="auto"/>
          <w:sz w:val="32"/>
          <w:szCs w:val="32"/>
        </w:rPr>
        <w:t>综合结论</w:t>
      </w:r>
      <w:bookmarkEnd w:id="12"/>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b w:val="0"/>
          <w:bCs w:val="0"/>
          <w:color w:val="auto"/>
          <w:szCs w:val="28"/>
          <w:u w:val="none" w:color="auto"/>
        </w:rPr>
      </w:pPr>
      <w:r>
        <w:rPr>
          <w:rFonts w:ascii="宋体" w:hAnsi="宋体" w:eastAsia="宋体" w:cs="宋体"/>
          <w:b w:val="0"/>
          <w:bCs w:val="0"/>
          <w:color w:val="auto"/>
          <w:spacing w:val="-2"/>
          <w:sz w:val="24"/>
          <w:szCs w:val="24"/>
        </w:rPr>
        <w:t>本项目基本符合产业政策，与</w:t>
      </w:r>
      <w:r>
        <w:rPr>
          <w:rFonts w:hint="eastAsia" w:ascii="宋体" w:hAnsi="宋体" w:eastAsia="宋体" w:cs="宋体"/>
          <w:b w:val="0"/>
          <w:bCs w:val="0"/>
          <w:color w:val="auto"/>
          <w:spacing w:val="-2"/>
          <w:sz w:val="24"/>
          <w:szCs w:val="24"/>
          <w:lang w:eastAsia="zh-CN"/>
        </w:rPr>
        <w:t>零陵高新技术产业开发区河西片区</w:t>
      </w:r>
      <w:r>
        <w:rPr>
          <w:rFonts w:ascii="宋体" w:hAnsi="宋体" w:eastAsia="宋体" w:cs="宋体"/>
          <w:b w:val="0"/>
          <w:bCs w:val="0"/>
          <w:color w:val="auto"/>
          <w:spacing w:val="-2"/>
          <w:sz w:val="24"/>
          <w:szCs w:val="24"/>
        </w:rPr>
        <w:t>规划基本</w:t>
      </w:r>
      <w:r>
        <w:rPr>
          <w:rFonts w:hint="eastAsia" w:ascii="宋体" w:hAnsi="宋体" w:eastAsia="宋体" w:cs="宋体"/>
          <w:b w:val="0"/>
          <w:bCs w:val="0"/>
          <w:color w:val="auto"/>
          <w:spacing w:val="-2"/>
          <w:sz w:val="24"/>
          <w:szCs w:val="24"/>
          <w:lang w:eastAsia="zh-CN"/>
        </w:rPr>
        <w:t>相符</w:t>
      </w:r>
      <w:r>
        <w:rPr>
          <w:rFonts w:ascii="宋体" w:hAnsi="宋体" w:eastAsia="宋体" w:cs="宋体"/>
          <w:b w:val="0"/>
          <w:bCs w:val="0"/>
          <w:color w:val="auto"/>
          <w:spacing w:val="-2"/>
          <w:sz w:val="24"/>
          <w:szCs w:val="24"/>
        </w:rPr>
        <w:t>，选址合理，污染防治措施经济技术可行。在认真落实各项环境污染治理和环境管理措施的前提下，均能实现达标排放且环境影响</w:t>
      </w:r>
      <w:r>
        <w:rPr>
          <w:rFonts w:hint="eastAsia" w:ascii="宋体" w:hAnsi="宋体" w:eastAsia="宋体" w:cs="宋体"/>
          <w:b w:val="0"/>
          <w:bCs w:val="0"/>
          <w:color w:val="auto"/>
          <w:spacing w:val="-2"/>
          <w:sz w:val="24"/>
          <w:szCs w:val="24"/>
          <w:lang w:val="en-US" w:eastAsia="zh-CN"/>
        </w:rPr>
        <w:t>可接受</w:t>
      </w:r>
      <w:r>
        <w:rPr>
          <w:rFonts w:ascii="宋体" w:hAnsi="宋体" w:eastAsia="宋体" w:cs="宋体"/>
          <w:b w:val="0"/>
          <w:bCs w:val="0"/>
          <w:color w:val="auto"/>
          <w:spacing w:val="-2"/>
          <w:sz w:val="24"/>
          <w:szCs w:val="24"/>
        </w:rPr>
        <w:t>。因</w:t>
      </w:r>
      <w:r>
        <w:rPr>
          <w:rFonts w:ascii="宋体" w:hAnsi="宋体" w:eastAsia="宋体" w:cs="宋体"/>
          <w:b w:val="0"/>
          <w:bCs w:val="0"/>
          <w:color w:val="auto"/>
          <w:spacing w:val="-3"/>
          <w:sz w:val="24"/>
          <w:szCs w:val="24"/>
        </w:rPr>
        <w:t>此，从环保角度看，本项目建设可行。</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p>
    <w:p>
      <w:pPr>
        <w:spacing w:line="377" w:lineRule="auto"/>
        <w:rPr>
          <w:rFonts w:ascii="宋体" w:hAnsi="宋体" w:eastAsia="宋体" w:cs="宋体"/>
          <w:color w:val="auto"/>
          <w:sz w:val="24"/>
          <w:szCs w:val="24"/>
        </w:rPr>
        <w:sectPr>
          <w:footerReference r:id="rId12" w:type="default"/>
          <w:pgSz w:w="11905" w:h="16839"/>
          <w:pgMar w:top="1440" w:right="1803" w:bottom="1440" w:left="1803" w:header="907" w:footer="1077"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13" w:name="bookmark16"/>
      <w:bookmarkEnd w:id="13"/>
      <w:bookmarkStart w:id="14" w:name="bookmark14"/>
      <w:bookmarkEnd w:id="14"/>
      <w:bookmarkStart w:id="15" w:name="_Toc8851"/>
      <w:r>
        <w:rPr>
          <w:rFonts w:hint="default" w:ascii="Times New Roman" w:hAnsi="Times New Roman" w:cs="Times New Roman" w:eastAsiaTheme="majorEastAsia"/>
          <w:color w:val="auto"/>
          <w:sz w:val="36"/>
          <w:szCs w:val="36"/>
        </w:rPr>
        <w:t>总则</w:t>
      </w:r>
      <w:bookmarkEnd w:id="15"/>
    </w:p>
    <w:p>
      <w:pPr>
        <w:pStyle w:val="10"/>
        <w:bidi w:val="0"/>
        <w:spacing w:line="360" w:lineRule="auto"/>
        <w:rPr>
          <w:color w:val="auto"/>
          <w:sz w:val="32"/>
          <w:szCs w:val="32"/>
        </w:rPr>
      </w:pPr>
      <w:bookmarkStart w:id="16" w:name="_Toc24039"/>
      <w:r>
        <w:rPr>
          <w:color w:val="auto"/>
          <w:sz w:val="32"/>
          <w:szCs w:val="32"/>
        </w:rPr>
        <w:t>评价目的</w:t>
      </w:r>
      <w:bookmarkEnd w:id="16"/>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（1）调查本项目所在地的环境状况和环境质量现状，区域环境特征，确定环境敏感点及其环境质量保护目标，论证项目的建设及其选址符合国家法律、法规、相关标准及政策的要求。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（2）根据本项目的</w:t>
      </w:r>
      <w:r>
        <w:rPr>
          <w:rFonts w:hint="eastAsia" w:eastAsia="宋体"/>
          <w:color w:val="auto"/>
          <w:lang w:val="en-US" w:eastAsia="zh-CN"/>
        </w:rPr>
        <w:t>原辅材料、生产规模、生产工艺</w:t>
      </w:r>
      <w:r>
        <w:rPr>
          <w:rFonts w:hint="default" w:ascii="Times New Roman" w:hAnsi="Times New Roman" w:cs="Times New Roman"/>
          <w:color w:val="auto"/>
          <w:szCs w:val="28"/>
          <w:u w:val="none" w:color="auto"/>
        </w:rPr>
        <w:t>特点，弄清主要环境影响因素、主要污染源和主要污染物，分析评价本项目所排放的废气、废水、废渣以及产生的噪声对当地环境空气、水体环境、声环境、生态环境、地下水的影响程度和范围；论证项目运营期对环境的影响可控制在法律、法规和标准的允许范围之内。</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（3）分析本项目运营期所采取的污染防治措施的经济技术可行性，为本项目提供切实可行的环境保护建议措施和对策。</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（4）提出运营期的环境管理与监测计划、环境风险防范措施和风险事故应急预案的实施方案，以保证环境保护措施和环境风险防范措施的有效实施。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（5）根据环境影响、环境风险、公众意见调查、环境经济损益分析的结论，结合国家和地方相关法规标准、政策和规划，对本项目的选址和</w:t>
      </w:r>
      <w:r>
        <w:rPr>
          <w:rFonts w:hint="eastAsia" w:ascii="Times New Roman" w:hAnsi="Times New Roman" w:eastAsia="宋体" w:cs="Times New Roman"/>
          <w:color w:val="auto"/>
          <w:szCs w:val="28"/>
          <w:u w:val="none" w:color="auto"/>
          <w:lang w:eastAsia="zh-CN"/>
        </w:rPr>
        <w:t>建设单位方</w:t>
      </w:r>
      <w:r>
        <w:rPr>
          <w:rFonts w:hint="default" w:ascii="Times New Roman" w:hAnsi="Times New Roman" w:cs="Times New Roman"/>
          <w:color w:val="auto"/>
          <w:szCs w:val="28"/>
          <w:u w:val="none" w:color="auto"/>
        </w:rPr>
        <w:t>案的合理合法性以及在环境保护方面的可行性给出结论。</w:t>
      </w:r>
    </w:p>
    <w:p>
      <w:pPr>
        <w:pStyle w:val="10"/>
        <w:bidi w:val="0"/>
        <w:spacing w:line="360" w:lineRule="auto"/>
        <w:rPr>
          <w:color w:val="auto"/>
          <w:sz w:val="32"/>
          <w:szCs w:val="32"/>
        </w:rPr>
      </w:pPr>
      <w:bookmarkStart w:id="17" w:name="bookmark18"/>
      <w:bookmarkEnd w:id="17"/>
      <w:bookmarkStart w:id="18" w:name="_Toc14647"/>
      <w:r>
        <w:rPr>
          <w:color w:val="auto"/>
          <w:sz w:val="32"/>
          <w:szCs w:val="32"/>
        </w:rPr>
        <w:t>编制依据</w:t>
      </w:r>
      <w:bookmarkEnd w:id="18"/>
    </w:p>
    <w:p>
      <w:pPr>
        <w:pStyle w:val="11"/>
        <w:bidi w:val="0"/>
        <w:spacing w:line="360" w:lineRule="auto"/>
        <w:ind w:left="851" w:hanging="851"/>
        <w:rPr>
          <w:color w:val="auto"/>
          <w:sz w:val="30"/>
          <w:szCs w:val="30"/>
        </w:rPr>
      </w:pPr>
      <w:r>
        <w:rPr>
          <w:color w:val="auto"/>
          <w:sz w:val="30"/>
          <w:szCs w:val="30"/>
        </w:rPr>
        <w:t>国家环境保护法律和法规</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（1）《中华人民共和国环境保护法》，2015年1月1日；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（2）《中华人民共和国环境影响评价法》，2018年12月29日第二次修正；</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（3）《中华人民共和国水污染防治法》，2018年1月1日；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（4）《中华人民共和国环境噪声污染防治法》，2018年12月29日修正；</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（5）《中华人民共和国大气污染防治法》，2018年10月26日第二次修正；</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（6）《中华人民共和国固体废物污染环境防治法》，2020年9月1日；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（7）《中华人民共和国土壤污染防治法》，2019年1月1日；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（8）《中华人民共和国水法》，2016年7月2日；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（9）《中华人民共和国土地管理法》，2004年8月28日；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（10）《中华人民共和国水土保持法》，2011年3月1日；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（11）《中华人民共和国清洁生产促进法》2012年7月1日；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（12）《中华人民共和国节约能源法》2016年7月2日修正；</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（13）《中华人民共和国循环经济促进法》，2018年10月26日修正</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（14）《建设项目环境影响评价分类管理名录（2021年版）》（</w:t>
      </w:r>
      <w:r>
        <w:rPr>
          <w:rFonts w:hint="eastAsia" w:ascii="Times New Roman" w:hAnsi="Times New Roman" w:eastAsia="宋体" w:cs="Times New Roman"/>
          <w:color w:val="auto"/>
          <w:szCs w:val="28"/>
          <w:u w:val="none" w:color="auto"/>
          <w:lang w:eastAsia="zh-CN"/>
        </w:rPr>
        <w:t>生态环境部</w:t>
      </w:r>
      <w:r>
        <w:rPr>
          <w:rFonts w:hint="default" w:ascii="Times New Roman" w:hAnsi="Times New Roman" w:cs="Times New Roman"/>
          <w:color w:val="auto"/>
          <w:szCs w:val="28"/>
          <w:u w:val="none" w:color="auto"/>
        </w:rPr>
        <w:t>令，第16号，2020年11月30日）；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（15）《</w:t>
      </w:r>
      <w:r>
        <w:rPr>
          <w:rFonts w:hint="eastAsia" w:ascii="Times New Roman" w:hAnsi="Times New Roman" w:eastAsia="宋体" w:cs="Times New Roman"/>
          <w:color w:val="auto"/>
          <w:szCs w:val="28"/>
          <w:u w:val="none" w:color="auto"/>
          <w:lang w:eastAsia="zh-CN"/>
        </w:rPr>
        <w:t>中华人民共和国国民经济和社会发展第十四个五年规划和2035年远景目标》</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（16）《建设项目环境保护管理条例》国务院令第682号，2017年10月1日；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（17）《</w:t>
      </w:r>
      <w:r>
        <w:rPr>
          <w:rFonts w:hint="eastAsia" w:ascii="Times New Roman" w:hAnsi="Times New Roman" w:eastAsia="宋体" w:cs="Times New Roman"/>
          <w:color w:val="auto"/>
          <w:szCs w:val="28"/>
          <w:u w:val="none" w:color="auto"/>
          <w:lang w:eastAsia="zh-CN"/>
        </w:rPr>
        <w:t>产业结构调整指导目录（2024本）</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（18）《关于落实大气污染防治行动计划严格环境影响评价准入的通知》（环办</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2014</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30号）；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（19）关于印发《建设项目环境影响评价政府信息公开指南（试行）的通知》（环办</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2013</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103号）；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（20）《</w:t>
      </w:r>
      <w:r>
        <w:rPr>
          <w:rFonts w:hint="eastAsia" w:ascii="Times New Roman" w:hAnsi="Times New Roman" w:eastAsia="宋体" w:cs="Times New Roman"/>
          <w:color w:val="auto"/>
          <w:szCs w:val="28"/>
          <w:u w:val="none" w:color="auto"/>
          <w:lang w:val="en-US" w:eastAsia="zh-CN"/>
        </w:rPr>
        <w:t>环境影响评价公众参与办法</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部令 第4号</w:t>
      </w:r>
      <w:r>
        <w:rPr>
          <w:rFonts w:hint="default" w:ascii="Times New Roman" w:hAnsi="Times New Roman" w:cs="Times New Roman"/>
          <w:color w:val="auto"/>
          <w:szCs w:val="28"/>
          <w:u w:val="none" w:color="auto"/>
        </w:rPr>
        <w:t>），20</w:t>
      </w:r>
      <w:r>
        <w:rPr>
          <w:rFonts w:hint="eastAsia" w:ascii="Times New Roman" w:hAnsi="Times New Roman" w:eastAsia="宋体" w:cs="Times New Roman"/>
          <w:color w:val="auto"/>
          <w:szCs w:val="28"/>
          <w:u w:val="none" w:color="auto"/>
          <w:lang w:val="en-US" w:eastAsia="zh-CN"/>
        </w:rPr>
        <w:t>19年1月1日起实施</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（21）《关于进一步加强环境影响评价管理防范环境风险的通知》（环发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77号）；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（22）《关于切实加强风险防范严格环境影响评价管理的通知》（环发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98号）；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（23）《关于印发地下水污染防治实施方案的通知》（环土壤〔2019〕25号）；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（24）《国务院关于印发土壤污染防治行动计划的通知》（国发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2016</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31号，2016年5月28日发布）；</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（25）《国务院关于印发水污染防治行动计划的通知》（国发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2015</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17号，2015年4月2日发布）；</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（26）《国务院关于印发大气污染防治行动计划的通知》（国发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2013</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37号，2013年9月10日发布）；</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（27）《国务院办公厅关于印发控制污染物排放许可制实施方案的通知》（国办发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2016</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81号，2016年11月10日）；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（28）《关于印发&lt;重点排污单位名录管理规定（试行）&gt;的通知》（环办监测〔2017〕86号）；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（29）《关于进一步加强危险废物和医疗废物监管工作的意见》，环发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19号；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（30）环境保护部《关于执行大气污染物特别排放限值的公告》，公告2013年第14号；</w:t>
      </w:r>
    </w:p>
    <w:p>
      <w:pPr>
        <w:pStyle w:val="11"/>
        <w:bidi w:val="0"/>
        <w:spacing w:line="360" w:lineRule="auto"/>
        <w:ind w:left="851" w:hanging="851"/>
        <w:rPr>
          <w:color w:val="auto"/>
          <w:sz w:val="30"/>
          <w:szCs w:val="30"/>
        </w:rPr>
      </w:pPr>
      <w:r>
        <w:rPr>
          <w:color w:val="auto"/>
          <w:sz w:val="30"/>
          <w:szCs w:val="30"/>
        </w:rPr>
        <w:t>地方性法规及规划文件</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（1）《湖南省人民政府关于印发〈湖南省污染防治攻坚战三年计划（2018-2020年）〉的通知》（湘政办发〔2018〕17号），2018年7月26日；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（2）《关于加强建设项目主要污染物排放总量指标管理工作的通知》（湘环发〔2013〕1号），2013年1月24日；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（3）《湖南省环境保护条例》，2019年9月28日修订；</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（4）《湖南省主体功能区划》（湘政发〔2012〕39）；</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（5）《湖南省主要水系地表水环境功能区划》（DB43/023-2005）；</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default" w:ascii="Times New Roman" w:hAnsi="Times New Roman" w:cs="Times New Roman"/>
          <w:color w:val="auto"/>
          <w:szCs w:val="28"/>
          <w:u w:val="none" w:color="auto"/>
        </w:rPr>
        <w:t>（6）《湖南省</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十四五</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生态环境保护规划》</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湘政办发〔2021〕61号</w:t>
      </w:r>
      <w:r>
        <w:rPr>
          <w:rFonts w:hint="eastAsia" w:ascii="Times New Roman" w:hAnsi="Times New Roman"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（7）《湖南实施&lt;中华人民共和国固体废物污染环境防治法&gt;办法》，2018年5月1日；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（8）《湖南省贯彻落实&lt;水污染防治行动计划&gt;实施方案（2016-2020年）的通知》，（湘政发</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2015</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53号）；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（9）《湖南省土壤污染防治工作方案》（湘政发</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2017</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4号）；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（10）《湖南省大气污染防治条例》（湘政发</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2015</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53号）；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）《湖南省湘江保护条例》（2018年11月30日修订）</w:t>
      </w:r>
      <w:r>
        <w:rPr>
          <w:rFonts w:hint="eastAsia" w:ascii="Times New Roman" w:hAnsi="Times New Roman" w:eastAsia="宋体" w:cs="Times New Roman"/>
          <w:color w:val="auto"/>
          <w:szCs w:val="28"/>
          <w:u w:val="none" w:color="auto"/>
          <w:lang w:val="en-US" w:eastAsia="zh-CN"/>
        </w:rPr>
        <w:t>及湖南省第十四届人民代表大会常务委员会公告（第2号）中（十三）对《湖南省湘江保护条例》作出修改（</w:t>
      </w:r>
      <w:r>
        <w:rPr>
          <w:rFonts w:hint="default" w:ascii="Times New Roman" w:hAnsi="Times New Roman" w:eastAsia="宋体" w:cs="Times New Roman"/>
          <w:color w:val="auto"/>
          <w:szCs w:val="28"/>
          <w:u w:val="none" w:color="auto"/>
          <w:lang w:val="en-US" w:eastAsia="zh-CN"/>
        </w:rPr>
        <w:t>2023</w:t>
      </w:r>
      <w:r>
        <w:rPr>
          <w:rFonts w:hint="eastAsia" w:ascii="Times New Roman" w:hAnsi="Times New Roman" w:eastAsia="宋体" w:cs="Times New Roman"/>
          <w:color w:val="auto"/>
          <w:szCs w:val="28"/>
          <w:u w:val="none" w:color="auto"/>
          <w:lang w:val="en-US" w:eastAsia="zh-CN"/>
        </w:rPr>
        <w:t>年</w:t>
      </w:r>
      <w:r>
        <w:rPr>
          <w:rFonts w:hint="default" w:ascii="Times New Roman" w:hAnsi="Times New Roman" w:eastAsia="宋体" w:cs="Times New Roman"/>
          <w:color w:val="auto"/>
          <w:szCs w:val="28"/>
          <w:u w:val="none" w:color="auto"/>
          <w:lang w:val="en-US" w:eastAsia="zh-CN"/>
        </w:rPr>
        <w:t>5月31日</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eastAsia="宋体" w:cs="Times New Roman"/>
          <w:color w:val="auto"/>
          <w:szCs w:val="28"/>
          <w:u w:val="none" w:color="auto"/>
          <w:lang w:val="en-US" w:eastAsia="zh-CN"/>
        </w:rPr>
        <w:t>；</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）湖南省人民政府办公厅关于印发《湖南省省级及以上产业园区名录》的通知（湘政办函</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2014</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66号）；</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）湖南省生态环境厅关于发布</w:t>
      </w:r>
      <w:r>
        <w:rPr>
          <w:rFonts w:hint="eastAsia" w:ascii="Times New Roman" w:hAnsi="Times New Roman" w:eastAsia="宋体" w:cs="Times New Roman"/>
          <w:color w:val="auto"/>
          <w:szCs w:val="28"/>
          <w:u w:val="none" w:color="auto"/>
          <w:lang w:val="en-US" w:eastAsia="zh-CN"/>
        </w:rPr>
        <w:t>《湖南省生态环境分区管控总体管控要求暨省级以上产业园区生态环境准入清单》的函</w:t>
      </w:r>
      <w:r>
        <w:rPr>
          <w:rFonts w:hint="default" w:ascii="Times New Roman" w:hAnsi="Times New Roman" w:cs="Times New Roman"/>
          <w:color w:val="auto"/>
          <w:szCs w:val="28"/>
          <w:u w:val="none" w:color="auto"/>
        </w:rPr>
        <w:t>（湘</w:t>
      </w:r>
      <w:r>
        <w:rPr>
          <w:rFonts w:hint="eastAsia" w:ascii="Times New Roman" w:hAnsi="Times New Roman" w:eastAsia="宋体" w:cs="Times New Roman"/>
          <w:color w:val="auto"/>
          <w:szCs w:val="28"/>
          <w:u w:val="none" w:color="auto"/>
          <w:lang w:val="en-US" w:eastAsia="zh-CN"/>
        </w:rPr>
        <w:t>环函</w:t>
      </w:r>
      <w:r>
        <w:rPr>
          <w:rFonts w:hint="default" w:ascii="Times New Roman" w:hAnsi="Times New Roman" w:cs="Times New Roman"/>
          <w:color w:val="auto"/>
          <w:szCs w:val="28"/>
          <w:u w:val="none" w:color="auto"/>
        </w:rPr>
        <w:t>〔202</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26</w:t>
      </w:r>
      <w:r>
        <w:rPr>
          <w:rFonts w:hint="default" w:ascii="Times New Roman" w:hAnsi="Times New Roman" w:cs="Times New Roman"/>
          <w:color w:val="auto"/>
          <w:szCs w:val="28"/>
          <w:u w:val="none" w:color="auto"/>
        </w:rPr>
        <w:t>号）；</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）《湖南省VOCs污染防治三年行动实施方案》（湘环发〔2018〕11号）；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15</w:t>
      </w:r>
      <w:r>
        <w:rPr>
          <w:rFonts w:hint="default" w:ascii="Times New Roman" w:hAnsi="Times New Roman" w:cs="Times New Roman"/>
          <w:color w:val="auto"/>
          <w:szCs w:val="28"/>
          <w:u w:val="none" w:color="auto"/>
        </w:rPr>
        <w:t>）《挥发性有机物污染防治技术政策》（公告2013年第31号）；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ab/>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16</w:t>
      </w:r>
      <w:r>
        <w:rPr>
          <w:rFonts w:hint="default" w:ascii="Times New Roman" w:hAnsi="Times New Roman" w:cs="Times New Roman"/>
          <w:color w:val="auto"/>
          <w:szCs w:val="28"/>
          <w:u w:val="none" w:color="auto"/>
        </w:rPr>
        <w:t>）《重点行业挥发性有机物综合治理方案》（环大气〔2019〕53号）；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ab/>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17</w:t>
      </w:r>
      <w:r>
        <w:rPr>
          <w:rFonts w:hint="default" w:ascii="Times New Roman" w:hAnsi="Times New Roman" w:cs="Times New Roman"/>
          <w:color w:val="auto"/>
          <w:szCs w:val="28"/>
          <w:u w:val="none" w:color="auto"/>
        </w:rPr>
        <w:t>）《2020年挥发性有机物治理攻坚方案》（环大气〔2020〕33号）；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18</w:t>
      </w:r>
      <w:r>
        <w:rPr>
          <w:rFonts w:hint="default" w:ascii="Times New Roman" w:hAnsi="Times New Roman" w:cs="Times New Roman"/>
          <w:color w:val="auto"/>
          <w:szCs w:val="28"/>
          <w:u w:val="none" w:color="auto"/>
        </w:rPr>
        <w:t>）</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"http://www.baidu.com/link?url=7Sy5uetjlmul07cuLZSmTIFuoI8pwHJrVaa1gEU94Rh0O72I0w4PocuNHgSEtzluR1ng8769Rc4mYVfrrJfQMWEp0FbxTXuxlENrCHo1rDMF1HOYeTbSqVTJsUkFYR3p" \t "https://www.baidu.com/_blank"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永州市国土空间总体规划</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2021-2035年</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fldChar w:fldCharType="end"/>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2024年</w:t>
      </w:r>
      <w:r>
        <w:rPr>
          <w:rFonts w:hint="eastAsia" w:ascii="Times New Roman" w:hAnsi="Times New Roman"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19</w:t>
      </w:r>
      <w:r>
        <w:rPr>
          <w:rFonts w:hint="default" w:ascii="Times New Roman" w:hAnsi="Times New Roman" w:cs="Times New Roman"/>
          <w:color w:val="auto"/>
          <w:szCs w:val="28"/>
          <w:u w:val="none" w:color="auto"/>
        </w:rPr>
        <w:t>）</w:t>
      </w:r>
      <w:r>
        <w:rPr>
          <w:rFonts w:hint="eastAsia" w:ascii="Times New Roman" w:hAnsi="Times New Roman" w:cs="Times New Roman"/>
          <w:color w:val="auto"/>
          <w:szCs w:val="28"/>
          <w:u w:val="none" w:color="auto"/>
          <w:lang w:val="en-US" w:eastAsia="zh-CN"/>
        </w:rPr>
        <w:t>《零陵高新技术产业开发区（河西片区）控制性详细规划》；</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eastAsia" w:ascii="Times New Roman" w:hAnsi="Times New Roman" w:cs="Times New Roman"/>
          <w:color w:val="auto"/>
          <w:szCs w:val="28"/>
          <w:u w:val="none" w:color="auto"/>
          <w:lang w:val="en-US" w:eastAsia="zh-CN"/>
        </w:rPr>
        <w:t>（20）《</w:t>
      </w:r>
      <w:r>
        <w:rPr>
          <w:rFonts w:hint="default" w:ascii="Times New Roman" w:hAnsi="Times New Roman" w:cs="Times New Roman"/>
          <w:color w:val="auto"/>
          <w:szCs w:val="28"/>
          <w:u w:val="none" w:color="auto"/>
          <w:lang w:val="en-US" w:eastAsia="zh-CN"/>
        </w:rPr>
        <w:t>零陵高新技术产业开发区调区扩区规划环境影响报告书</w:t>
      </w:r>
      <w:r>
        <w:rPr>
          <w:rFonts w:hint="eastAsia" w:ascii="Times New Roman" w:hAnsi="Times New Roman" w:cs="Times New Roman"/>
          <w:color w:val="auto"/>
          <w:szCs w:val="28"/>
          <w:u w:val="none" w:color="auto"/>
          <w:lang w:val="en-US" w:eastAsia="zh-CN"/>
        </w:rPr>
        <w:t>》及其审查意见的函（湘环评函〔2024〕49号）</w:t>
      </w:r>
      <w:r>
        <w:rPr>
          <w:rFonts w:hint="default" w:ascii="Times New Roman" w:hAnsi="Times New Roman" w:cs="Times New Roman"/>
          <w:color w:val="auto"/>
          <w:szCs w:val="28"/>
          <w:u w:val="none" w:color="auto"/>
          <w:lang w:val="en-US" w:eastAsia="zh-CN"/>
        </w:rPr>
        <w:t>。</w:t>
      </w:r>
    </w:p>
    <w:p>
      <w:pPr>
        <w:pStyle w:val="11"/>
        <w:bidi w:val="0"/>
        <w:spacing w:line="360" w:lineRule="auto"/>
        <w:ind w:left="851" w:hanging="851"/>
        <w:rPr>
          <w:color w:val="auto"/>
          <w:sz w:val="30"/>
          <w:szCs w:val="30"/>
        </w:rPr>
      </w:pPr>
      <w:r>
        <w:rPr>
          <w:color w:val="auto"/>
          <w:sz w:val="30"/>
          <w:szCs w:val="30"/>
        </w:rPr>
        <w:t>相关技术规范</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总纲》（HJ2.1-2016）；</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（2）《建设项目环境风险评价技术导则》（HJ169-2018）；</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地表水环境》（HJ2.3-2018）；</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地下水环境》（HJ610-2016）；</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大气环境》（HJ2.2-2018）；</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（6）《环境影响评价技术导则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声环境》（</w:t>
      </w:r>
      <w:r>
        <w:rPr>
          <w:rFonts w:hint="eastAsia" w:ascii="Times New Roman" w:hAnsi="Times New Roman" w:cs="Times New Roman"/>
          <w:color w:val="auto"/>
          <w:szCs w:val="28"/>
          <w:u w:val="none" w:color="auto"/>
          <w:lang w:eastAsia="zh-CN"/>
        </w:rPr>
        <w:t>HJ2.4-2021</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（7）《环境影响评价技术导则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生态影响》（</w:t>
      </w:r>
      <w:r>
        <w:rPr>
          <w:rFonts w:hint="eastAsia" w:ascii="Times New Roman" w:hAnsi="Times New Roman" w:cs="Times New Roman"/>
          <w:color w:val="auto"/>
          <w:szCs w:val="28"/>
          <w:u w:val="none" w:color="auto"/>
          <w:lang w:eastAsia="zh-CN"/>
        </w:rPr>
        <w:t>HJ19-2022</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（8）《环境影响评价技术导则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土壤环境（试行）》（HJ964-2018）；</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（9）《环境影响评价公众参与办法》（生态环境部令第4号）；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（10）《危险化学品重大危险源辨识》（GB18218-2018）；</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（11）《危险化学品名录（2015版）》；</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（12）《国家危险废物名录（2021年版）》，2021年1月1日起实施；</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（13）《固定污染源排污许可分类管理名录（2019年版）环保部令第11号</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（14）《环境保护图形标志固体废物贮存（处置）场》，</w:t>
      </w:r>
      <w:r>
        <w:rPr>
          <w:rFonts w:hint="eastAsia" w:ascii="Times New Roman" w:hAnsi="Times New Roman" w:cs="Times New Roman"/>
          <w:color w:val="auto"/>
          <w:szCs w:val="28"/>
          <w:u w:val="none" w:color="auto"/>
          <w:lang w:eastAsia="zh-CN"/>
        </w:rPr>
        <w:t>（GB15562.2-1995）修改单</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（15）《排污单位自行监测技术指南总则》（HJ891-2017）；</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（16）《排污许可证申请与核发技术规范</w:t>
      </w:r>
      <w:r>
        <w:rPr>
          <w:rFonts w:hint="eastAsia" w:ascii="Times New Roman" w:hAnsi="Times New Roman" w:cs="Times New Roman"/>
          <w:color w:val="auto"/>
          <w:szCs w:val="28"/>
          <w:u w:val="none" w:color="auto"/>
          <w:lang w:val="en-US" w:eastAsia="zh-CN"/>
        </w:rPr>
        <w:t xml:space="preserve"> </w:t>
      </w:r>
      <w:r>
        <w:rPr>
          <w:rFonts w:hint="default" w:ascii="Times New Roman" w:hAnsi="Times New Roman" w:cs="Times New Roman"/>
          <w:color w:val="auto"/>
          <w:szCs w:val="28"/>
          <w:u w:val="none" w:color="auto"/>
        </w:rPr>
        <w:t>印刷工业》（HJ1066</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rPr>
        <w:t>2019）</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（17）《建设项目主要污染物排放总量指标审核及管理暂行办法》，环发</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2014</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197号</w:t>
      </w:r>
      <w:r>
        <w:rPr>
          <w:rFonts w:hint="eastAsia" w:ascii="Times New Roman" w:hAnsi="Times New Roman" w:cs="Times New Roman"/>
          <w:color w:val="auto"/>
          <w:szCs w:val="28"/>
          <w:u w:val="none" w:color="auto"/>
          <w:lang w:eastAsia="zh-CN"/>
        </w:rPr>
        <w:t>。</w:t>
      </w:r>
    </w:p>
    <w:p>
      <w:pPr>
        <w:pStyle w:val="11"/>
        <w:bidi w:val="0"/>
        <w:spacing w:line="360" w:lineRule="auto"/>
        <w:ind w:left="851" w:hanging="851"/>
        <w:rPr>
          <w:color w:val="auto"/>
          <w:sz w:val="30"/>
          <w:szCs w:val="30"/>
        </w:rPr>
      </w:pPr>
      <w:r>
        <w:rPr>
          <w:rFonts w:hint="eastAsia"/>
          <w:color w:val="auto"/>
          <w:sz w:val="30"/>
          <w:szCs w:val="30"/>
          <w:lang w:val="en-US" w:eastAsia="zh-CN"/>
        </w:rPr>
        <w:t>相关标准</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（1）《环境空气质量标准》（GB3095-2012）</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（2）《地表水环境质量标准》（GB3838-2002）</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）《声环境质量标准》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GB3096-2008</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4</w:t>
      </w:r>
      <w:r>
        <w:rPr>
          <w:rFonts w:hint="eastAsia" w:ascii="Times New Roman" w:hAnsi="Times New Roman" w:cs="Times New Roman"/>
          <w:color w:val="auto"/>
          <w:szCs w:val="28"/>
          <w:u w:val="none" w:color="auto"/>
          <w:lang w:eastAsia="zh-CN"/>
        </w:rPr>
        <w:t>）《印刷工业大气污染物排放标准（GB41616</w:t>
      </w:r>
      <w:r>
        <w:rPr>
          <w:rFonts w:hint="eastAsia" w:ascii="Times New Roman" w:hAnsi="Times New Roman" w:cs="Times New Roman"/>
          <w:color w:val="auto"/>
          <w:szCs w:val="28"/>
          <w:u w:val="none" w:color="auto"/>
          <w:lang w:val="en-US" w:eastAsia="zh-CN"/>
        </w:rPr>
        <w:t>-</w:t>
      </w:r>
      <w:r>
        <w:rPr>
          <w:rFonts w:hint="eastAsia" w:ascii="Times New Roman" w:hAnsi="Times New Roman" w:cs="Times New Roman"/>
          <w:color w:val="auto"/>
          <w:szCs w:val="28"/>
          <w:u w:val="none" w:color="auto"/>
          <w:lang w:eastAsia="zh-CN"/>
        </w:rPr>
        <w:t>2022）》</w:t>
      </w:r>
      <w:r>
        <w:rPr>
          <w:rFonts w:hint="eastAsia" w:eastAsia="宋体"/>
          <w:color w:val="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5</w:t>
      </w:r>
      <w:r>
        <w:rPr>
          <w:rFonts w:hint="eastAsia" w:ascii="Times New Roman" w:hAnsi="Times New Roman" w:eastAsia="宋体" w:cs="Times New Roman"/>
          <w:color w:val="auto"/>
          <w:szCs w:val="28"/>
          <w:u w:val="none" w:color="auto"/>
          <w:lang w:eastAsia="zh-CN"/>
        </w:rPr>
        <w:t>）</w:t>
      </w:r>
      <w:r>
        <w:rPr>
          <w:rFonts w:hint="default" w:ascii="Times New Roman" w:hAnsi="Times New Roman" w:eastAsia="宋体" w:cs="Times New Roman"/>
          <w:color w:val="auto"/>
          <w:szCs w:val="28"/>
          <w:u w:val="none" w:color="auto"/>
          <w:lang w:eastAsia="zh-CN"/>
        </w:rPr>
        <w:t>《印刷业挥发性有机物排放标准》（DB43/1357-2017）</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6</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《污水综合排放标准》（GB8978-1996）</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7</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《工业企业厂界环境噪声排放标准》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GB12348-2008</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《危险废物贮存污染控制标准》</w:t>
      </w:r>
      <w:r>
        <w:rPr>
          <w:rFonts w:hint="eastAsia" w:ascii="Times New Roman" w:hAnsi="Times New Roman" w:cs="Times New Roman"/>
          <w:color w:val="auto"/>
          <w:szCs w:val="28"/>
          <w:u w:val="none" w:color="auto"/>
          <w:lang w:eastAsia="zh-CN"/>
        </w:rPr>
        <w:t>（GB18597-2023）</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9</w:t>
      </w:r>
      <w:r>
        <w:rPr>
          <w:rFonts w:hint="eastAsia" w:ascii="Times New Roman" w:hAnsi="Times New Roman" w:eastAsia="宋体" w:cs="Times New Roman"/>
          <w:color w:val="auto"/>
          <w:szCs w:val="28"/>
          <w:u w:val="none" w:color="auto"/>
          <w:lang w:eastAsia="zh-CN"/>
        </w:rPr>
        <w:t>）《一般工业固体废物贮存和填埋污染控制标准》（GB18599-2020）</w:t>
      </w:r>
      <w:r>
        <w:rPr>
          <w:rFonts w:hint="eastAsia" w:ascii="Times New Roman" w:hAnsi="Times New Roman" w:cs="Times New Roman"/>
          <w:color w:val="auto"/>
          <w:szCs w:val="28"/>
          <w:u w:val="none" w:color="auto"/>
          <w:lang w:eastAsia="zh-CN"/>
        </w:rPr>
        <w:t>。</w:t>
      </w:r>
    </w:p>
    <w:p>
      <w:pPr>
        <w:pStyle w:val="11"/>
        <w:bidi w:val="0"/>
        <w:spacing w:line="360" w:lineRule="auto"/>
        <w:ind w:left="851" w:hanging="851"/>
        <w:rPr>
          <w:color w:val="auto"/>
          <w:sz w:val="30"/>
          <w:szCs w:val="30"/>
        </w:rPr>
      </w:pPr>
      <w:r>
        <w:rPr>
          <w:color w:val="auto"/>
          <w:sz w:val="30"/>
          <w:szCs w:val="30"/>
        </w:rPr>
        <w:t>其他相关文件</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val="en-US" w:eastAsia="zh-CN"/>
        </w:rPr>
        <w:t>项目</w:t>
      </w:r>
      <w:r>
        <w:rPr>
          <w:rFonts w:hint="default" w:ascii="Times New Roman" w:hAnsi="Times New Roman" w:cs="Times New Roman"/>
          <w:color w:val="auto"/>
          <w:szCs w:val="28"/>
          <w:u w:val="none" w:color="auto"/>
        </w:rPr>
        <w:t>环境影响评价委托</w:t>
      </w:r>
      <w:r>
        <w:rPr>
          <w:rFonts w:hint="eastAsia" w:ascii="Times New Roman" w:hAnsi="Times New Roman" w:eastAsia="宋体" w:cs="Times New Roman"/>
          <w:color w:val="auto"/>
          <w:szCs w:val="28"/>
          <w:u w:val="none" w:color="auto"/>
          <w:lang w:val="en-US" w:eastAsia="zh-CN"/>
        </w:rPr>
        <w:t>书</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w:t>
      </w:r>
      <w:r>
        <w:rPr>
          <w:rFonts w:hint="eastAsia" w:ascii="Times New Roman" w:hAnsi="Times New Roman" w:cs="Times New Roman"/>
          <w:color w:val="auto"/>
          <w:szCs w:val="28"/>
          <w:u w:val="none" w:color="auto"/>
          <w:lang w:val="en-US" w:eastAsia="zh-CN"/>
        </w:rPr>
        <w:t>永州市三利报废汽车回收拆解及再生资源回收分拣中心</w:t>
      </w:r>
      <w:r>
        <w:rPr>
          <w:rFonts w:hint="default" w:ascii="Times New Roman" w:hAnsi="Times New Roman" w:cs="Times New Roman"/>
          <w:color w:val="auto"/>
          <w:szCs w:val="28"/>
          <w:u w:val="none" w:color="auto"/>
        </w:rPr>
        <w:t>建设项目环境影响报告表》及其批复</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永环评〔2012〕41号</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永州市三利报废汽车回收拆解项目竣工环境保护验收意见</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永环竣验〔2017〕60号</w:t>
      </w:r>
      <w:r>
        <w:rPr>
          <w:rFonts w:hint="eastAsia" w:ascii="Times New Roman" w:hAnsi="Times New Roman"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（4）零陵高新技术产业开发区管理委员会</w:t>
      </w:r>
      <w:r>
        <w:rPr>
          <w:rFonts w:hint="eastAsia" w:ascii="Times New Roman" w:hAnsi="Times New Roman" w:eastAsia="宋体" w:cs="Times New Roman"/>
          <w:color w:val="auto"/>
          <w:szCs w:val="28"/>
          <w:u w:val="none" w:color="auto"/>
          <w:lang w:val="en-US" w:eastAsia="zh-CN"/>
        </w:rPr>
        <w:t>与</w:t>
      </w:r>
      <w:r>
        <w:rPr>
          <w:rFonts w:hint="default" w:ascii="Times New Roman" w:hAnsi="Times New Roman" w:cs="Times New Roman"/>
          <w:color w:val="auto"/>
          <w:szCs w:val="28"/>
          <w:u w:val="none" w:color="auto"/>
        </w:rPr>
        <w:t>永州大道包装有限公司</w:t>
      </w:r>
      <w:r>
        <w:rPr>
          <w:rFonts w:hint="eastAsia" w:ascii="Times New Roman" w:hAnsi="Times New Roman" w:eastAsia="宋体" w:cs="Times New Roman"/>
          <w:color w:val="auto"/>
          <w:szCs w:val="28"/>
          <w:u w:val="none" w:color="auto"/>
          <w:lang w:val="en-US" w:eastAsia="zh-CN"/>
        </w:rPr>
        <w:t>签订的“</w:t>
      </w:r>
      <w:r>
        <w:rPr>
          <w:rFonts w:hint="default" w:ascii="Times New Roman" w:hAnsi="Times New Roman" w:cs="Times New Roman"/>
          <w:color w:val="auto"/>
          <w:szCs w:val="28"/>
          <w:u w:val="none" w:color="auto"/>
        </w:rPr>
        <w:t>零陵高新区塑料软包装卷膜及袋包印刷包装生产项目合同</w:t>
      </w:r>
      <w:r>
        <w:rPr>
          <w:rFonts w:hint="eastAsia" w:ascii="Times New Roman" w:hAnsi="Times New Roman" w:eastAsia="宋体" w:cs="Times New Roman"/>
          <w:color w:val="auto"/>
          <w:szCs w:val="28"/>
          <w:u w:val="none" w:color="auto"/>
          <w:lang w:val="en-US" w:eastAsia="zh-CN"/>
        </w:rPr>
        <w:t>”</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5</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eastAsia="zh-CN"/>
        </w:rPr>
        <w:t>永州大道包装有限公司</w:t>
      </w:r>
      <w:r>
        <w:rPr>
          <w:rFonts w:hint="default" w:ascii="Times New Roman" w:hAnsi="Times New Roman" w:cs="Times New Roman"/>
          <w:color w:val="auto"/>
          <w:szCs w:val="28"/>
          <w:u w:val="none" w:color="auto"/>
        </w:rPr>
        <w:t>提供的其他有关资料。</w:t>
      </w:r>
    </w:p>
    <w:p>
      <w:pPr>
        <w:pStyle w:val="10"/>
        <w:bidi w:val="0"/>
        <w:spacing w:line="360" w:lineRule="auto"/>
        <w:rPr>
          <w:color w:val="auto"/>
          <w:sz w:val="32"/>
          <w:szCs w:val="32"/>
        </w:rPr>
      </w:pPr>
      <w:bookmarkStart w:id="19" w:name="bookmark20"/>
      <w:bookmarkEnd w:id="19"/>
      <w:bookmarkStart w:id="20" w:name="_Toc22162"/>
      <w:r>
        <w:rPr>
          <w:color w:val="auto"/>
          <w:sz w:val="32"/>
          <w:szCs w:val="32"/>
        </w:rPr>
        <w:t>环境影响识别及评价因子筛选</w:t>
      </w:r>
      <w:bookmarkEnd w:id="20"/>
    </w:p>
    <w:p>
      <w:pPr>
        <w:pStyle w:val="11"/>
        <w:bidi w:val="0"/>
        <w:spacing w:line="360" w:lineRule="auto"/>
        <w:ind w:left="851" w:hanging="851"/>
        <w:rPr>
          <w:color w:val="auto"/>
          <w:sz w:val="30"/>
          <w:szCs w:val="30"/>
        </w:rPr>
      </w:pPr>
      <w:r>
        <w:rPr>
          <w:color w:val="auto"/>
          <w:sz w:val="30"/>
          <w:szCs w:val="30"/>
        </w:rPr>
        <w:t>环境影响要素识别</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根据工程特点、区域环境特征以及工程对环境的影响性质与程度，对项目环境影响要素进行识别。项目位于</w:t>
      </w:r>
      <w:r>
        <w:rPr>
          <w:rFonts w:hint="eastAsia" w:ascii="Times New Roman" w:hAnsi="Times New Roman" w:eastAsia="宋体" w:cs="Times New Roman"/>
          <w:color w:val="auto"/>
          <w:szCs w:val="28"/>
          <w:u w:val="none" w:color="auto"/>
          <w:lang w:eastAsia="zh-CN"/>
        </w:rPr>
        <w:t>永州市零陵高新技术产业开发区河西片区瑞翔大道南侧厂房</w:t>
      </w:r>
      <w:r>
        <w:rPr>
          <w:rFonts w:hint="default" w:ascii="Times New Roman" w:hAnsi="Times New Roman" w:cs="Times New Roman"/>
          <w:color w:val="auto"/>
          <w:szCs w:val="28"/>
          <w:u w:val="none" w:color="auto"/>
        </w:rPr>
        <w:t>（租用已建好的厂房进行建设），其环境影响因素主要表现在运营期的污染物排放。</w:t>
      </w:r>
      <w:r>
        <w:rPr>
          <w:rFonts w:hint="eastAsia" w:ascii="Times New Roman" w:hAnsi="Times New Roman" w:eastAsia="宋体" w:cs="Times New Roman"/>
          <w:color w:val="auto"/>
          <w:szCs w:val="28"/>
          <w:u w:val="none" w:color="auto"/>
          <w:lang w:val="en-US" w:eastAsia="zh-CN"/>
        </w:rPr>
        <w:t>通</w:t>
      </w:r>
      <w:r>
        <w:rPr>
          <w:rFonts w:hint="default" w:ascii="Times New Roman" w:hAnsi="Times New Roman" w:cs="Times New Roman"/>
          <w:color w:val="auto"/>
          <w:szCs w:val="28"/>
          <w:u w:val="none" w:color="auto"/>
        </w:rPr>
        <w:t>过对项目地周边环境现状调查和初步工程分析，识别出项目对环境影响的相关要素，具体内容详见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br w:type="page"/>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项目环境影响要素识别表</w:t>
      </w: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18"/>
        <w:gridCol w:w="1532"/>
        <w:gridCol w:w="1160"/>
        <w:gridCol w:w="1160"/>
        <w:gridCol w:w="1160"/>
        <w:gridCol w:w="1160"/>
        <w:gridCol w:w="116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26" w:type="pct"/>
            <w:gridSpan w:val="2"/>
            <w:vMerge w:val="restart"/>
            <w:tcBorders>
              <w:tl2br w:val="nil"/>
              <w:tr2bl w:val="nil"/>
            </w:tcBorders>
            <w:vAlign w:val="center"/>
            <mc:AlternateContent>
              <mc:Choice Requires="wpsCustomData">
                <wpsCustomData:diagonals>
                  <wpsCustomData:diagonal from="10000" to="30000">
                    <wpsCustomData:border w:val="single" w:color="000000" w:sz="12" w:space="0"/>
                  </wpsCustomData:diagonal>
                </wpsCustomData:diagonals>
              </mc:Choice>
            </mc:AlternateContent>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both"/>
              <w:textAlignment w:val="baseline"/>
              <mc:AlternateContent>
                <mc:Choice Requires="wpsCustomData">
                  <wpsCustomData:diagonalParaType/>
                </mc:Choice>
              </mc:AlternateContent>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影响因素</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right"/>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类别</w:t>
            </w:r>
          </w:p>
        </w:tc>
        <w:tc>
          <w:tcPr>
            <w:tcW w:w="3473" w:type="pct"/>
            <w:gridSpan w:val="5"/>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运营期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26" w:type="pct"/>
            <w:gridSpan w:val="2"/>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69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废水</w:t>
            </w:r>
          </w:p>
        </w:tc>
        <w:tc>
          <w:tcPr>
            <w:tcW w:w="69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废气</w:t>
            </w:r>
          </w:p>
        </w:tc>
        <w:tc>
          <w:tcPr>
            <w:tcW w:w="69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固废</w:t>
            </w:r>
          </w:p>
        </w:tc>
        <w:tc>
          <w:tcPr>
            <w:tcW w:w="69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噪声</w:t>
            </w:r>
          </w:p>
        </w:tc>
        <w:tc>
          <w:tcPr>
            <w:tcW w:w="69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效益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自然生态环境</w:t>
            </w: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地表水</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地下水</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土壤</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大气环境</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声环境</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动植物</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社会经济环境</w:t>
            </w: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工业</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+1L</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农业</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交通</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公众健康</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生活质量</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-1L</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+1L</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9"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91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就业</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4"/>
                <w:w w:val="119"/>
                <w:position w:val="2"/>
                <w:sz w:val="21"/>
                <w:szCs w:val="21"/>
              </w:rPr>
              <w:t>/</w:t>
            </w:r>
          </w:p>
        </w:tc>
        <w:tc>
          <w:tcPr>
            <w:tcW w:w="69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+2L</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5000" w:type="pct"/>
            <w:gridSpan w:val="7"/>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0"/>
              <w:jc w:val="both"/>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rPr>
              <w:t>说明：</w:t>
            </w:r>
            <w:r>
              <w:rPr>
                <w:rFonts w:hint="eastAsia" w:ascii="Times New Roman" w:hAnsi="Times New Roman" w:cs="Times New Roman"/>
                <w:color w:val="auto"/>
                <w:spacing w:val="5"/>
                <w:sz w:val="21"/>
                <w:szCs w:val="21"/>
                <w:lang w:eastAsia="zh-CN"/>
              </w:rPr>
              <w:t>“</w:t>
            </w:r>
            <w:r>
              <w:rPr>
                <w:rFonts w:hint="eastAsia" w:ascii="Times New Roman" w:hAnsi="Times New Roman" w:eastAsia="宋体" w:cs="Times New Roman"/>
                <w:color w:val="auto"/>
                <w:spacing w:val="5"/>
                <w:sz w:val="21"/>
                <w:szCs w:val="21"/>
                <w:lang w:val="en-US" w:eastAsia="zh-CN"/>
              </w:rPr>
              <w:t>+</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分别表示有利、不利影响；</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660" w:firstLineChars="300"/>
              <w:jc w:val="both"/>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5"/>
                <w:sz w:val="21"/>
                <w:szCs w:val="21"/>
                <w:lang w:eastAsia="zh-CN"/>
              </w:rPr>
              <w:t>“</w:t>
            </w:r>
            <w:r>
              <w:rPr>
                <w:rFonts w:hint="default" w:ascii="Times New Roman" w:hAnsi="Times New Roman" w:eastAsia="Times New Roman" w:cs="Times New Roman"/>
                <w:color w:val="auto"/>
                <w:spacing w:val="5"/>
                <w:sz w:val="21"/>
                <w:szCs w:val="21"/>
              </w:rPr>
              <w:t>L</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eastAsia" w:ascii="Times New Roman" w:hAnsi="Times New Roman" w:cs="Times New Roman"/>
                <w:color w:val="auto"/>
                <w:spacing w:val="5"/>
                <w:sz w:val="21"/>
                <w:szCs w:val="21"/>
                <w:lang w:eastAsia="zh-CN"/>
              </w:rPr>
              <w:t>“</w:t>
            </w:r>
            <w:r>
              <w:rPr>
                <w:rFonts w:hint="default" w:ascii="Times New Roman" w:hAnsi="Times New Roman" w:eastAsia="Times New Roman" w:cs="Times New Roman"/>
                <w:color w:val="auto"/>
                <w:spacing w:val="5"/>
                <w:sz w:val="21"/>
                <w:szCs w:val="21"/>
              </w:rPr>
              <w:t>S</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4"/>
                <w:sz w:val="21"/>
                <w:szCs w:val="21"/>
              </w:rPr>
              <w:t>分别表示长期、短期影响；</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firstLine="684" w:firstLineChars="300"/>
              <w:jc w:val="both"/>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9"/>
                <w:sz w:val="21"/>
                <w:szCs w:val="21"/>
                <w:lang w:eastAsia="zh-CN"/>
              </w:rPr>
              <w:t>“</w:t>
            </w:r>
            <w:r>
              <w:rPr>
                <w:rFonts w:hint="eastAsia" w:ascii="Times New Roman" w:hAnsi="Times New Roman" w:eastAsia="宋体" w:cs="Times New Roman"/>
                <w:color w:val="auto"/>
                <w:spacing w:val="9"/>
                <w:sz w:val="21"/>
                <w:szCs w:val="21"/>
                <w:lang w:val="en-US" w:eastAsia="zh-CN"/>
              </w:rPr>
              <w:t>1</w:t>
            </w:r>
            <w:r>
              <w:rPr>
                <w:rFonts w:hint="eastAsia" w:ascii="Times New Roman" w:hAnsi="Times New Roman" w:cs="Times New Roman"/>
                <w:color w:val="auto"/>
                <w:spacing w:val="9"/>
                <w:sz w:val="21"/>
                <w:szCs w:val="21"/>
                <w:lang w:eastAsia="zh-CN"/>
              </w:rPr>
              <w:t>”</w:t>
            </w:r>
            <w:r>
              <w:rPr>
                <w:rFonts w:hint="default" w:ascii="Times New Roman" w:hAnsi="Times New Roman" w:cs="Times New Roman"/>
                <w:color w:val="auto"/>
                <w:spacing w:val="9"/>
                <w:sz w:val="21"/>
                <w:szCs w:val="21"/>
              </w:rPr>
              <w:t>至</w:t>
            </w:r>
            <w:r>
              <w:rPr>
                <w:rFonts w:hint="eastAsia" w:ascii="Times New Roman" w:hAnsi="Times New Roman" w:cs="Times New Roman"/>
                <w:color w:val="auto"/>
                <w:spacing w:val="9"/>
                <w:sz w:val="21"/>
                <w:szCs w:val="21"/>
                <w:lang w:eastAsia="zh-CN"/>
              </w:rPr>
              <w:t>“</w:t>
            </w:r>
            <w:r>
              <w:rPr>
                <w:rFonts w:hint="default" w:ascii="Times New Roman" w:hAnsi="Times New Roman" w:eastAsia="Times New Roman" w:cs="Times New Roman"/>
                <w:color w:val="auto"/>
                <w:spacing w:val="9"/>
                <w:sz w:val="21"/>
                <w:szCs w:val="21"/>
              </w:rPr>
              <w:t>3</w:t>
            </w:r>
            <w:r>
              <w:rPr>
                <w:rFonts w:hint="eastAsia" w:ascii="Times New Roman" w:hAnsi="Times New Roman" w:cs="Times New Roman"/>
                <w:color w:val="auto"/>
                <w:spacing w:val="9"/>
                <w:sz w:val="21"/>
                <w:szCs w:val="21"/>
                <w:lang w:eastAsia="zh-CN"/>
              </w:rPr>
              <w:t>”</w:t>
            </w:r>
            <w:r>
              <w:rPr>
                <w:rFonts w:hint="default" w:ascii="Times New Roman" w:hAnsi="Times New Roman" w:cs="Times New Roman"/>
                <w:color w:val="auto"/>
                <w:spacing w:val="9"/>
                <w:sz w:val="21"/>
                <w:szCs w:val="21"/>
              </w:rPr>
              <w:t>数值分别表示轻微影响、中等影响、重</w:t>
            </w:r>
            <w:r>
              <w:rPr>
                <w:rFonts w:hint="default" w:ascii="Times New Roman" w:hAnsi="Times New Roman" w:cs="Times New Roman"/>
                <w:color w:val="auto"/>
                <w:spacing w:val="8"/>
                <w:sz w:val="21"/>
                <w:szCs w:val="21"/>
              </w:rPr>
              <w:t>大影响</w:t>
            </w:r>
            <w:r>
              <w:rPr>
                <w:rFonts w:hint="eastAsia" w:ascii="Times New Roman" w:hAnsi="Times New Roman" w:cs="Times New Roman"/>
                <w:color w:val="auto"/>
                <w:spacing w:val="8"/>
                <w:sz w:val="21"/>
                <w:szCs w:val="21"/>
                <w:lang w:eastAsia="zh-CN"/>
              </w:rPr>
              <w:t>。</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从上表可以看出：工程生产运营期间废气排放、</w:t>
      </w:r>
      <w:r>
        <w:rPr>
          <w:rFonts w:hint="eastAsia" w:ascii="Times New Roman" w:hAnsi="Times New Roman" w:eastAsia="宋体" w:cs="Times New Roman"/>
          <w:color w:val="auto"/>
          <w:szCs w:val="28"/>
          <w:u w:val="none" w:color="auto"/>
          <w:lang w:val="en-US" w:eastAsia="zh-CN"/>
        </w:rPr>
        <w:t>废水排放</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噪声及固废将对评价区环境质量产生长期影响。通过上述环境影响因素识别，根据工程运行期产生的不利长期环境影响，评价将进行详细预测分析，提出有效的污染防治措施，将不利影响降至最低程度，使工程建设实现经济、社会和环境效益的统一。</w:t>
      </w:r>
    </w:p>
    <w:p>
      <w:pPr>
        <w:pStyle w:val="11"/>
        <w:bidi w:val="0"/>
        <w:spacing w:line="360" w:lineRule="auto"/>
        <w:ind w:left="851" w:hanging="851"/>
        <w:rPr>
          <w:color w:val="auto"/>
          <w:sz w:val="30"/>
          <w:szCs w:val="30"/>
        </w:rPr>
      </w:pPr>
      <w:r>
        <w:rPr>
          <w:color w:val="auto"/>
          <w:sz w:val="30"/>
          <w:szCs w:val="30"/>
        </w:rPr>
        <w:t>评价因子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依据环境影响要素识别结果，按照《建设项目环境影响评价技术导则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总纲》</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H2.1-2016</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，结合区域环境功能要求、环境保护目标、评价标准，在重点关注环境影响要素的前提下，筛选确定评价因子。评价因子须能反映环境影响的主要特征、区域环境的基本状况及建设项目特点和排污特征。</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评价因子具体见下表。</w:t>
      </w:r>
    </w:p>
    <w:p>
      <w:pPr>
        <w:pStyle w:val="16"/>
        <w:keepNext/>
        <w:keepLines w:val="0"/>
        <w:pageBreakBefore w:val="0"/>
        <w:widowControl w:val="0"/>
        <w:numPr>
          <w:ilvl w:val="0"/>
          <w:numId w:val="0"/>
        </w:numPr>
        <w:tabs>
          <w:tab w:val="left" w:pos="0"/>
        </w:tabs>
        <w:kinsoku w:val="0"/>
        <w:wordWrap/>
        <w:overflowPunct w:val="0"/>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评价因子一览表</w:t>
      </w:r>
    </w:p>
    <w:tbl>
      <w:tblPr>
        <w:tblStyle w:val="29"/>
        <w:tblW w:w="5052"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46"/>
        <w:gridCol w:w="1446"/>
        <w:gridCol w:w="1921"/>
        <w:gridCol w:w="40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环境要素</w:t>
            </w: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b/>
                <w:bCs/>
                <w:color w:val="auto"/>
                <w:spacing w:val="2"/>
                <w:sz w:val="21"/>
                <w:szCs w:val="21"/>
              </w:rPr>
              <w:t>项目</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6"/>
                <w:sz w:val="21"/>
                <w:szCs w:val="21"/>
              </w:rPr>
              <w:t>现状评价因子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空气环境</w:t>
            </w:r>
          </w:p>
        </w:tc>
        <w:tc>
          <w:tcPr>
            <w:tcW w:w="859"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6"/>
                <w:sz w:val="21"/>
                <w:szCs w:val="21"/>
              </w:rPr>
              <w:t>现状评价</w:t>
            </w:r>
          </w:p>
        </w:tc>
        <w:tc>
          <w:tcPr>
            <w:tcW w:w="1141" w:type="pct"/>
            <w:tcBorders>
              <w:tl2br w:val="nil"/>
              <w:tr2bl w:val="nil"/>
            </w:tcBorders>
            <w:shd w:val="clear" w:color="auto" w:fill="auto"/>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常规因子</w:t>
            </w:r>
          </w:p>
        </w:tc>
        <w:tc>
          <w:tcPr>
            <w:tcW w:w="2377" w:type="pct"/>
            <w:tcBorders>
              <w:tl2br w:val="nil"/>
              <w:tr2bl w:val="nil"/>
            </w:tcBorders>
            <w:shd w:val="clear" w:color="auto" w:fill="auto"/>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hint="default" w:ascii="Times New Roman" w:hAnsi="Times New Roman" w:eastAsia="Times New Roman" w:cs="Times New Roman"/>
                <w:color w:val="auto"/>
                <w:spacing w:val="-5"/>
                <w:sz w:val="21"/>
                <w:szCs w:val="21"/>
              </w:rPr>
              <w:t>PM</w:t>
            </w:r>
            <w:r>
              <w:rPr>
                <w:rFonts w:hint="default" w:ascii="Times New Roman" w:hAnsi="Times New Roman" w:eastAsia="Times New Roman" w:cs="Times New Roman"/>
                <w:color w:val="auto"/>
                <w:spacing w:val="-5"/>
                <w:sz w:val="21"/>
                <w:szCs w:val="21"/>
                <w:vertAlign w:val="subscript"/>
              </w:rPr>
              <w:t>10</w:t>
            </w:r>
            <w:r>
              <w:rPr>
                <w:rFonts w:hint="default" w:ascii="Times New Roman" w:hAnsi="Times New Roman" w:cs="Times New Roman"/>
                <w:color w:val="auto"/>
                <w:spacing w:val="-5"/>
                <w:sz w:val="21"/>
                <w:szCs w:val="21"/>
              </w:rPr>
              <w:t>、</w:t>
            </w:r>
            <w:r>
              <w:rPr>
                <w:rFonts w:hint="default" w:ascii="Times New Roman" w:hAnsi="Times New Roman" w:eastAsia="Times New Roman" w:cs="Times New Roman"/>
                <w:color w:val="auto"/>
                <w:spacing w:val="-5"/>
                <w:sz w:val="21"/>
                <w:szCs w:val="21"/>
              </w:rPr>
              <w:t>SO</w:t>
            </w:r>
            <w:r>
              <w:rPr>
                <w:rFonts w:hint="default" w:ascii="Times New Roman" w:hAnsi="Times New Roman" w:eastAsia="Times New Roman" w:cs="Times New Roman"/>
                <w:color w:val="auto"/>
                <w:spacing w:val="-5"/>
                <w:sz w:val="21"/>
                <w:szCs w:val="21"/>
                <w:vertAlign w:val="subscript"/>
              </w:rPr>
              <w:t>2</w:t>
            </w:r>
            <w:r>
              <w:rPr>
                <w:rFonts w:hint="default" w:ascii="Times New Roman" w:hAnsi="Times New Roman" w:cs="Times New Roman"/>
                <w:color w:val="auto"/>
                <w:spacing w:val="-5"/>
                <w:sz w:val="21"/>
                <w:szCs w:val="21"/>
              </w:rPr>
              <w:t>、</w:t>
            </w:r>
            <w:r>
              <w:rPr>
                <w:rFonts w:hint="default" w:ascii="Times New Roman" w:hAnsi="Times New Roman" w:eastAsia="Times New Roman" w:cs="Times New Roman"/>
                <w:color w:val="auto"/>
                <w:spacing w:val="-5"/>
                <w:sz w:val="21"/>
                <w:szCs w:val="21"/>
              </w:rPr>
              <w:t>NO</w:t>
            </w:r>
            <w:r>
              <w:rPr>
                <w:rFonts w:hint="default" w:ascii="Times New Roman" w:hAnsi="Times New Roman" w:eastAsia="Times New Roman" w:cs="Times New Roman"/>
                <w:color w:val="auto"/>
                <w:spacing w:val="-5"/>
                <w:sz w:val="21"/>
                <w:szCs w:val="21"/>
                <w:vertAlign w:val="subscript"/>
              </w:rPr>
              <w:t>2</w:t>
            </w:r>
            <w:r>
              <w:rPr>
                <w:rFonts w:hint="default" w:ascii="Times New Roman" w:hAnsi="Times New Roman" w:cs="Times New Roman"/>
                <w:color w:val="auto"/>
                <w:spacing w:val="-5"/>
                <w:sz w:val="21"/>
                <w:szCs w:val="21"/>
              </w:rPr>
              <w:t>、</w:t>
            </w:r>
            <w:r>
              <w:rPr>
                <w:rFonts w:hint="default" w:ascii="Times New Roman" w:hAnsi="Times New Roman" w:eastAsia="Times New Roman" w:cs="Times New Roman"/>
                <w:color w:val="auto"/>
                <w:spacing w:val="-1"/>
                <w:sz w:val="21"/>
                <w:szCs w:val="21"/>
              </w:rPr>
              <w:t>CO</w:t>
            </w:r>
            <w:r>
              <w:rPr>
                <w:rFonts w:hint="default" w:ascii="Times New Roman" w:hAnsi="Times New Roman" w:cs="Times New Roman"/>
                <w:color w:val="auto"/>
                <w:spacing w:val="-1"/>
                <w:sz w:val="21"/>
                <w:szCs w:val="21"/>
              </w:rPr>
              <w:t>、</w:t>
            </w:r>
            <w:r>
              <w:rPr>
                <w:rFonts w:hint="eastAsia" w:ascii="Times New Roman" w:hAnsi="Times New Roman" w:cs="Times New Roman"/>
                <w:color w:val="auto"/>
                <w:spacing w:val="-1"/>
                <w:sz w:val="21"/>
                <w:szCs w:val="21"/>
                <w:lang w:val="en-US" w:eastAsia="zh-CN"/>
              </w:rPr>
              <w:t>O</w:t>
            </w:r>
            <w:r>
              <w:rPr>
                <w:rFonts w:hint="eastAsia" w:ascii="Times New Roman" w:hAnsi="Times New Roman" w:cs="Times New Roman"/>
                <w:color w:val="auto"/>
                <w:spacing w:val="-1"/>
                <w:sz w:val="21"/>
                <w:szCs w:val="21"/>
                <w:vertAlign w:val="subscript"/>
                <w:lang w:val="en-US" w:eastAsia="zh-CN"/>
              </w:rPr>
              <w:t>3</w:t>
            </w:r>
            <w:r>
              <w:rPr>
                <w:rFonts w:hint="default" w:ascii="Times New Roman" w:hAnsi="Times New Roman" w:cs="Times New Roman"/>
                <w:color w:val="auto"/>
                <w:spacing w:val="-1"/>
                <w:sz w:val="21"/>
                <w:szCs w:val="21"/>
              </w:rPr>
              <w:t>、</w:t>
            </w:r>
            <w:r>
              <w:rPr>
                <w:rFonts w:hint="default" w:ascii="Times New Roman" w:hAnsi="Times New Roman" w:eastAsia="Times New Roman" w:cs="Times New Roman"/>
                <w:color w:val="auto"/>
                <w:spacing w:val="-1"/>
                <w:sz w:val="21"/>
                <w:szCs w:val="21"/>
              </w:rPr>
              <w:t>PM</w:t>
            </w:r>
            <w:r>
              <w:rPr>
                <w:rFonts w:hint="default" w:ascii="Times New Roman" w:hAnsi="Times New Roman" w:eastAsia="Times New Roman" w:cs="Times New Roman"/>
                <w:color w:val="auto"/>
                <w:spacing w:val="-1"/>
                <w:sz w:val="21"/>
                <w:szCs w:val="21"/>
                <w:vertAlign w:val="subscript"/>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59" w:type="pct"/>
            <w:vMerge w:val="continue"/>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7"/>
                <w:sz w:val="21"/>
                <w:szCs w:val="21"/>
              </w:rPr>
            </w:pPr>
          </w:p>
        </w:tc>
        <w:tc>
          <w:tcPr>
            <w:tcW w:w="1141" w:type="pct"/>
            <w:tcBorders>
              <w:tl2br w:val="nil"/>
              <w:tr2bl w:val="nil"/>
            </w:tcBorders>
            <w:shd w:val="clear" w:color="auto" w:fill="auto"/>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7"/>
                <w:sz w:val="21"/>
                <w:szCs w:val="21"/>
              </w:rPr>
              <w:t>特征因子</w:t>
            </w:r>
          </w:p>
        </w:tc>
        <w:tc>
          <w:tcPr>
            <w:tcW w:w="2377" w:type="pct"/>
            <w:tcBorders>
              <w:tl2br w:val="nil"/>
              <w:tr2bl w:val="nil"/>
            </w:tcBorders>
            <w:shd w:val="clear" w:color="auto" w:fill="auto"/>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hint="default" w:ascii="Times New Roman" w:hAnsi="Times New Roman" w:eastAsia="Times New Roman" w:cs="Times New Roman"/>
                <w:color w:val="auto"/>
                <w:spacing w:val="-10"/>
                <w:w w:val="97"/>
                <w:sz w:val="21"/>
                <w:szCs w:val="21"/>
              </w:rPr>
              <w:t>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影响评价</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VOCs</w:t>
            </w:r>
            <w:r>
              <w:rPr>
                <w:rFonts w:hint="default" w:ascii="Times New Roman" w:hAnsi="Times New Roman" w:cs="Times New Roman"/>
                <w:color w:val="auto"/>
                <w:spacing w:val="3"/>
                <w:sz w:val="21"/>
                <w:szCs w:val="21"/>
              </w:rPr>
              <w:t>、</w:t>
            </w: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3"/>
                <w:position w:val="-1"/>
                <w:sz w:val="21"/>
                <w:szCs w:val="21"/>
                <w:vertAlign w:val="subscript"/>
              </w:rPr>
              <w:t>2</w:t>
            </w:r>
            <w:r>
              <w:rPr>
                <w:rFonts w:hint="default" w:ascii="Times New Roman" w:hAnsi="Times New Roman" w:cs="Times New Roman"/>
                <w:color w:val="auto"/>
                <w:spacing w:val="3"/>
                <w:sz w:val="21"/>
                <w:szCs w:val="21"/>
              </w:rPr>
              <w:t>、</w:t>
            </w:r>
            <w:r>
              <w:rPr>
                <w:rFonts w:hint="default" w:ascii="Times New Roman" w:hAnsi="Times New Roman" w:eastAsia="Calibri" w:cs="Times New Roman"/>
                <w:color w:val="auto"/>
                <w:sz w:val="21"/>
                <w:szCs w:val="21"/>
              </w:rPr>
              <w:t>NOx</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总量控制因子</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VOCs</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4"/>
                <w:position w:val="-1"/>
                <w:sz w:val="21"/>
                <w:szCs w:val="21"/>
                <w:vertAlign w:val="subscript"/>
              </w:rPr>
              <w:t>2</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z w:val="21"/>
                <w:szCs w:val="21"/>
              </w:rPr>
              <w:t>NOx</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地表水</w:t>
            </w: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现状评价</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rPr>
            </w:pPr>
            <w:r>
              <w:rPr>
                <w:rFonts w:hint="default" w:ascii="Times New Roman" w:hAnsi="Times New Roman" w:eastAsia="Calibri" w:cs="Times New Roman"/>
                <w:color w:val="auto"/>
                <w:sz w:val="21"/>
                <w:szCs w:val="21"/>
              </w:rPr>
              <w:t>pH</w:t>
            </w:r>
            <w:r>
              <w:rPr>
                <w:rFonts w:hint="default" w:ascii="Times New Roman" w:hAnsi="Times New Roman" w:cs="Times New Roman"/>
                <w:color w:val="auto"/>
                <w:spacing w:val="1"/>
                <w:sz w:val="21"/>
                <w:szCs w:val="21"/>
              </w:rPr>
              <w:t>值、溶解氧、高锰酸盐指数、化学需氧量、</w:t>
            </w:r>
            <w:r>
              <w:rPr>
                <w:rFonts w:hint="default" w:ascii="Times New Roman" w:hAnsi="Times New Roman" w:eastAsia="Calibri" w:cs="Times New Roman"/>
                <w:color w:val="auto"/>
                <w:sz w:val="21"/>
                <w:szCs w:val="21"/>
              </w:rPr>
              <w:t>BOD</w:t>
            </w:r>
            <w:r>
              <w:rPr>
                <w:rFonts w:hint="default" w:ascii="Times New Roman" w:hAnsi="Times New Roman" w:eastAsia="Calibri" w:cs="Times New Roman"/>
                <w:color w:val="auto"/>
                <w:spacing w:val="1"/>
                <w:position w:val="-1"/>
                <w:sz w:val="21"/>
                <w:szCs w:val="21"/>
                <w:vertAlign w:val="subscript"/>
              </w:rPr>
              <w:t>5</w:t>
            </w:r>
            <w:r>
              <w:rPr>
                <w:rFonts w:hint="default" w:ascii="Times New Roman" w:hAnsi="Times New Roman" w:cs="Times New Roman"/>
                <w:color w:val="auto"/>
                <w:spacing w:val="1"/>
                <w:sz w:val="21"/>
                <w:szCs w:val="21"/>
              </w:rPr>
              <w:t>、氨氮、</w:t>
            </w:r>
            <w:r>
              <w:rPr>
                <w:rFonts w:hint="default" w:ascii="Times New Roman" w:hAnsi="Times New Roman" w:cs="Times New Roman"/>
                <w:color w:val="auto"/>
                <w:spacing w:val="8"/>
                <w:sz w:val="21"/>
                <w:szCs w:val="21"/>
              </w:rPr>
              <w:t>总磷、</w:t>
            </w:r>
            <w:r>
              <w:rPr>
                <w:rFonts w:hint="eastAsia" w:ascii="Times New Roman" w:hAnsi="Times New Roman" w:cs="Times New Roman"/>
                <w:color w:val="auto"/>
                <w:spacing w:val="8"/>
                <w:sz w:val="21"/>
                <w:szCs w:val="21"/>
                <w:lang w:val="en-US" w:eastAsia="zh-CN"/>
              </w:rPr>
              <w:t>总氮、铜、锌、氟化物、硒、砷、汞、镉、六价铬、铅、铊、氰化物、</w:t>
            </w:r>
            <w:r>
              <w:rPr>
                <w:rFonts w:hint="default" w:ascii="Times New Roman" w:hAnsi="Times New Roman" w:cs="Times New Roman"/>
                <w:color w:val="auto"/>
                <w:spacing w:val="8"/>
                <w:sz w:val="21"/>
                <w:szCs w:val="21"/>
              </w:rPr>
              <w:t>挥发酚、石油类、</w:t>
            </w:r>
            <w:r>
              <w:rPr>
                <w:rFonts w:hint="eastAsia" w:ascii="Times New Roman" w:hAnsi="Times New Roman" w:cs="Times New Roman"/>
                <w:color w:val="auto"/>
                <w:spacing w:val="8"/>
                <w:sz w:val="21"/>
                <w:szCs w:val="21"/>
                <w:lang w:val="en-US" w:eastAsia="zh-CN"/>
              </w:rPr>
              <w:t>阴离子表面活性剂、</w:t>
            </w:r>
            <w:r>
              <w:rPr>
                <w:rFonts w:hint="default" w:ascii="Times New Roman" w:hAnsi="Times New Roman" w:cs="Times New Roman"/>
                <w:color w:val="auto"/>
                <w:spacing w:val="8"/>
                <w:sz w:val="21"/>
                <w:szCs w:val="21"/>
              </w:rPr>
              <w:t>硫化物</w:t>
            </w:r>
            <w:r>
              <w:rPr>
                <w:rFonts w:hint="eastAsia" w:ascii="Times New Roman" w:hAnsi="Times New Roman" w:cs="Times New Roman"/>
                <w:color w:val="auto"/>
                <w:spacing w:val="1"/>
                <w:sz w:val="21"/>
                <w:szCs w:val="21"/>
                <w:lang w:val="en-US" w:eastAsia="zh-CN"/>
              </w:rPr>
              <w:t>、氯化物、硫酸盐、粪大肠菌群、甲醛、苯、甲苯、二甲苯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影响分析</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2"/>
                <w:sz w:val="21"/>
                <w:szCs w:val="21"/>
                <w:u w:val="none" w:color="auto"/>
              </w:rPr>
              <w:t>简单分析：</w:t>
            </w:r>
            <w:r>
              <w:rPr>
                <w:rFonts w:hint="default" w:ascii="Times New Roman" w:hAnsi="Times New Roman" w:eastAsia="Calibri" w:cs="Times New Roman"/>
                <w:color w:val="auto"/>
                <w:sz w:val="21"/>
                <w:szCs w:val="21"/>
                <w:u w:val="none" w:color="auto"/>
              </w:rPr>
              <w:t>pH</w:t>
            </w:r>
            <w:r>
              <w:rPr>
                <w:rFonts w:hint="default" w:ascii="Times New Roman" w:hAnsi="Times New Roman" w:cs="Times New Roman"/>
                <w:color w:val="auto"/>
                <w:spacing w:val="2"/>
                <w:sz w:val="21"/>
                <w:szCs w:val="21"/>
                <w:u w:val="none" w:color="auto"/>
              </w:rPr>
              <w:t>值、悬浮物、化学需氧量、五日生化需氧量、</w:t>
            </w:r>
            <w:r>
              <w:rPr>
                <w:rFonts w:hint="default" w:ascii="Times New Roman" w:hAnsi="Times New Roman" w:cs="Times New Roman"/>
                <w:color w:val="auto"/>
                <w:spacing w:val="8"/>
                <w:sz w:val="21"/>
                <w:szCs w:val="21"/>
                <w:u w:val="none" w:color="auto"/>
              </w:rPr>
              <w:t>氨氮、</w:t>
            </w:r>
            <w:r>
              <w:rPr>
                <w:rFonts w:hint="eastAsia" w:ascii="Times New Roman" w:hAnsi="Times New Roman" w:cs="Times New Roman"/>
                <w:color w:val="auto"/>
                <w:spacing w:val="8"/>
                <w:sz w:val="21"/>
                <w:szCs w:val="21"/>
                <w:u w:val="none" w:color="auto"/>
                <w:lang w:val="en-US" w:eastAsia="zh-CN"/>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总量控制因子</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COD</w:t>
            </w:r>
            <w:r>
              <w:rPr>
                <w:rFonts w:hint="default" w:ascii="Times New Roman" w:hAnsi="Times New Roman" w:cs="Times New Roman"/>
                <w:color w:val="auto"/>
                <w:spacing w:val="4"/>
                <w:sz w:val="21"/>
                <w:szCs w:val="21"/>
              </w:rPr>
              <w:t>、氨氮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噪声</w:t>
            </w: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现状评价</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等效连续</w:t>
            </w:r>
            <w:r>
              <w:rPr>
                <w:rFonts w:hint="default" w:ascii="Times New Roman" w:hAnsi="Times New Roman" w:eastAsia="Calibri" w:cs="Times New Roman"/>
                <w:color w:val="auto"/>
                <w:spacing w:val="4"/>
                <w:sz w:val="21"/>
                <w:szCs w:val="21"/>
              </w:rPr>
              <w:t>A</w:t>
            </w:r>
            <w:r>
              <w:rPr>
                <w:rFonts w:hint="default" w:ascii="Times New Roman" w:hAnsi="Times New Roman" w:cs="Times New Roman"/>
                <w:color w:val="auto"/>
                <w:spacing w:val="4"/>
                <w:sz w:val="21"/>
                <w:szCs w:val="21"/>
              </w:rPr>
              <w:t>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影响分析</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等效连续</w:t>
            </w:r>
            <w:r>
              <w:rPr>
                <w:rFonts w:hint="default" w:ascii="Times New Roman" w:hAnsi="Times New Roman" w:eastAsia="Calibri" w:cs="Times New Roman"/>
                <w:color w:val="auto"/>
                <w:spacing w:val="4"/>
                <w:sz w:val="21"/>
                <w:szCs w:val="21"/>
              </w:rPr>
              <w:t>A</w:t>
            </w:r>
            <w:r>
              <w:rPr>
                <w:rFonts w:hint="default" w:ascii="Times New Roman" w:hAnsi="Times New Roman" w:cs="Times New Roman"/>
                <w:color w:val="auto"/>
                <w:spacing w:val="4"/>
                <w:sz w:val="21"/>
                <w:szCs w:val="21"/>
              </w:rPr>
              <w:t>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固体废物</w:t>
            </w:r>
          </w:p>
        </w:tc>
        <w:tc>
          <w:tcPr>
            <w:tcW w:w="85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影响分析</w:t>
            </w:r>
          </w:p>
        </w:tc>
        <w:tc>
          <w:tcPr>
            <w:tcW w:w="3518"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一般工业固废、危险废物和生活垃圾</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20" w:line="360" w:lineRule="auto"/>
        <w:ind w:left="567" w:hanging="567"/>
        <w:textAlignment w:val="baseline"/>
        <w:rPr>
          <w:color w:val="auto"/>
          <w:sz w:val="32"/>
          <w:szCs w:val="32"/>
        </w:rPr>
      </w:pPr>
      <w:bookmarkStart w:id="21" w:name="bookmark22"/>
      <w:bookmarkEnd w:id="21"/>
      <w:bookmarkStart w:id="22" w:name="_Toc11021"/>
      <w:r>
        <w:rPr>
          <w:color w:val="auto"/>
          <w:sz w:val="32"/>
          <w:szCs w:val="32"/>
        </w:rPr>
        <w:t>评价标准</w:t>
      </w:r>
      <w:bookmarkEnd w:id="22"/>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本项目的环境影响评价以国家标准和地方标准为主要依据，</w:t>
      </w:r>
      <w:r>
        <w:rPr>
          <w:rFonts w:hint="eastAsia" w:ascii="Times New Roman" w:hAnsi="Times New Roman" w:eastAsia="宋体" w:cs="Times New Roman"/>
          <w:color w:val="auto"/>
          <w:szCs w:val="28"/>
          <w:u w:val="none" w:color="auto"/>
          <w:lang w:val="en-US" w:eastAsia="zh-CN"/>
        </w:rPr>
        <w:t>本</w:t>
      </w:r>
      <w:r>
        <w:rPr>
          <w:rFonts w:hint="default" w:ascii="Times New Roman" w:hAnsi="Times New Roman" w:cs="Times New Roman"/>
          <w:color w:val="auto"/>
          <w:szCs w:val="28"/>
          <w:u w:val="none" w:color="auto"/>
        </w:rPr>
        <w:t>项目执行以下标准。</w:t>
      </w:r>
    </w:p>
    <w:p>
      <w:pPr>
        <w:pStyle w:val="11"/>
        <w:bidi w:val="0"/>
        <w:spacing w:line="360" w:lineRule="auto"/>
        <w:ind w:left="851" w:hanging="851"/>
        <w:rPr>
          <w:color w:val="auto"/>
          <w:sz w:val="30"/>
          <w:szCs w:val="30"/>
        </w:rPr>
      </w:pPr>
      <w:r>
        <w:rPr>
          <w:color w:val="auto"/>
          <w:sz w:val="30"/>
          <w:szCs w:val="30"/>
        </w:rPr>
        <w:t>环境质量标准</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1</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环境空气</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项目选址所在区域为环境空气质量二类功能区，其中常规因子SO₂、NO₂、PM</w:t>
      </w:r>
      <w:r>
        <w:rPr>
          <w:rFonts w:hint="default" w:ascii="Times New Roman" w:hAnsi="Times New Roman" w:cs="Times New Roman"/>
          <w:color w:val="auto"/>
          <w:szCs w:val="28"/>
          <w:u w:val="none" w:color="auto"/>
          <w:vertAlign w:val="subscript"/>
        </w:rPr>
        <w:t>2.5</w:t>
      </w:r>
      <w:r>
        <w:rPr>
          <w:rFonts w:hint="default" w:ascii="Times New Roman" w:hAnsi="Times New Roman" w:cs="Times New Roman"/>
          <w:color w:val="auto"/>
          <w:szCs w:val="28"/>
          <w:u w:val="none" w:color="auto"/>
        </w:rPr>
        <w:t>、PM</w:t>
      </w:r>
      <w:r>
        <w:rPr>
          <w:rFonts w:hint="default" w:ascii="Times New Roman" w:hAnsi="Times New Roman" w:cs="Times New Roman"/>
          <w:color w:val="auto"/>
          <w:szCs w:val="28"/>
          <w:u w:val="none" w:color="auto"/>
          <w:vertAlign w:val="subscript"/>
        </w:rPr>
        <w:t>10</w:t>
      </w:r>
      <w:r>
        <w:rPr>
          <w:rFonts w:hint="default" w:ascii="Times New Roman" w:hAnsi="Times New Roman" w:cs="Times New Roman"/>
          <w:color w:val="auto"/>
          <w:szCs w:val="28"/>
          <w:u w:val="none" w:color="auto"/>
        </w:rPr>
        <w:t>、O</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、CO执行《环境空气质量标准》（GB3095-2012）二级标准；特征因子VOCs参考《环境影响评价技术导则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大气环境》（HJ2.2-2018）附录D中TVOC质量浓度参考限值，具体标准限值详见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环境空气质量评价标准</w:t>
      </w:r>
    </w:p>
    <w:tbl>
      <w:tblPr>
        <w:tblStyle w:val="2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361"/>
        <w:gridCol w:w="1013"/>
        <w:gridCol w:w="1581"/>
        <w:gridCol w:w="1369"/>
        <w:gridCol w:w="30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污染物名称</w:t>
            </w:r>
          </w:p>
        </w:tc>
        <w:tc>
          <w:tcPr>
            <w:tcW w:w="60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年平均</w:t>
            </w:r>
          </w:p>
        </w:tc>
        <w:tc>
          <w:tcPr>
            <w:tcW w:w="94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日平均</w:t>
            </w:r>
          </w:p>
        </w:tc>
        <w:tc>
          <w:tcPr>
            <w:tcW w:w="82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小时平均</w:t>
            </w:r>
          </w:p>
        </w:tc>
        <w:tc>
          <w:tcPr>
            <w:tcW w:w="18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选用标准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SO</w:t>
            </w:r>
            <w:r>
              <w:rPr>
                <w:rFonts w:hint="default" w:ascii="Times New Roman" w:hAnsi="Times New Roman" w:eastAsia="宋体" w:cs="Times New Roman"/>
                <w:color w:val="auto"/>
                <w:spacing w:val="-1"/>
                <w:sz w:val="21"/>
                <w:szCs w:val="21"/>
                <w:vertAlign w:val="subscript"/>
                <w:lang w:val="en-US" w:eastAsia="zh-CN"/>
              </w:rPr>
              <w:t>2</w:t>
            </w:r>
          </w:p>
        </w:tc>
        <w:tc>
          <w:tcPr>
            <w:tcW w:w="60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60μg/m³</w:t>
            </w:r>
          </w:p>
        </w:tc>
        <w:tc>
          <w:tcPr>
            <w:tcW w:w="9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150μg/m³</w:t>
            </w:r>
          </w:p>
        </w:tc>
        <w:tc>
          <w:tcPr>
            <w:tcW w:w="82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position w:val="3"/>
                <w:sz w:val="21"/>
                <w:szCs w:val="21"/>
              </w:rPr>
              <w:t>500μg/m³</w:t>
            </w:r>
          </w:p>
        </w:tc>
        <w:tc>
          <w:tcPr>
            <w:tcW w:w="180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《环境空气质量标准》</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w:t>
            </w:r>
            <w:r>
              <w:rPr>
                <w:rFonts w:hint="default" w:ascii="Times New Roman" w:hAnsi="Times New Roman" w:eastAsia="Calibri" w:cs="Times New Roman"/>
                <w:color w:val="auto"/>
                <w:sz w:val="21"/>
                <w:szCs w:val="21"/>
              </w:rPr>
              <w:t>GB</w:t>
            </w:r>
            <w:r>
              <w:rPr>
                <w:rFonts w:hint="default" w:ascii="Times New Roman" w:hAnsi="Times New Roman" w:eastAsia="Calibri" w:cs="Times New Roman"/>
                <w:color w:val="auto"/>
                <w:spacing w:val="6"/>
                <w:sz w:val="21"/>
                <w:szCs w:val="21"/>
              </w:rPr>
              <w:t>3095-2012</w:t>
            </w:r>
            <w:r>
              <w:rPr>
                <w:rFonts w:hint="default" w:ascii="Times New Roman" w:hAnsi="Times New Roman" w:cs="Times New Roman"/>
                <w:color w:val="auto"/>
                <w:spacing w:val="6"/>
                <w:sz w:val="21"/>
                <w:szCs w:val="21"/>
              </w:rPr>
              <w:t>）二级标准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NO</w:t>
            </w:r>
            <w:r>
              <w:rPr>
                <w:rFonts w:hint="default" w:ascii="Times New Roman" w:hAnsi="Times New Roman" w:eastAsia="宋体" w:cs="Times New Roman"/>
                <w:color w:val="auto"/>
                <w:spacing w:val="-1"/>
                <w:sz w:val="21"/>
                <w:szCs w:val="21"/>
                <w:vertAlign w:val="subscript"/>
                <w:lang w:val="en-US" w:eastAsia="zh-CN"/>
              </w:rPr>
              <w:t>2</w:t>
            </w:r>
          </w:p>
        </w:tc>
        <w:tc>
          <w:tcPr>
            <w:tcW w:w="60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position w:val="3"/>
                <w:sz w:val="21"/>
                <w:szCs w:val="21"/>
              </w:rPr>
              <w:t>40μg/m³</w:t>
            </w:r>
          </w:p>
        </w:tc>
        <w:tc>
          <w:tcPr>
            <w:tcW w:w="9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80μg/m³</w:t>
            </w:r>
          </w:p>
        </w:tc>
        <w:tc>
          <w:tcPr>
            <w:tcW w:w="82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position w:val="3"/>
                <w:sz w:val="21"/>
                <w:szCs w:val="21"/>
              </w:rPr>
              <w:t>200μg/m³</w:t>
            </w:r>
          </w:p>
        </w:tc>
        <w:tc>
          <w:tcPr>
            <w:tcW w:w="18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PM</w:t>
            </w:r>
            <w:r>
              <w:rPr>
                <w:rFonts w:hint="default" w:ascii="Times New Roman" w:hAnsi="Times New Roman" w:eastAsia="Calibri" w:cs="Times New Roman"/>
                <w:color w:val="auto"/>
                <w:spacing w:val="1"/>
                <w:position w:val="-1"/>
                <w:sz w:val="21"/>
                <w:szCs w:val="21"/>
                <w:vertAlign w:val="subscript"/>
              </w:rPr>
              <w:t>2.5</w:t>
            </w:r>
          </w:p>
        </w:tc>
        <w:tc>
          <w:tcPr>
            <w:tcW w:w="60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35μg/m³</w:t>
            </w:r>
          </w:p>
        </w:tc>
        <w:tc>
          <w:tcPr>
            <w:tcW w:w="9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75μg/m³</w:t>
            </w:r>
          </w:p>
        </w:tc>
        <w:tc>
          <w:tcPr>
            <w:tcW w:w="82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2"/>
                <w:sz w:val="21"/>
                <w:szCs w:val="21"/>
              </w:rPr>
              <w:t>--</w:t>
            </w:r>
          </w:p>
        </w:tc>
        <w:tc>
          <w:tcPr>
            <w:tcW w:w="18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PM</w:t>
            </w:r>
            <w:r>
              <w:rPr>
                <w:rFonts w:hint="default" w:ascii="Times New Roman" w:hAnsi="Times New Roman" w:eastAsia="Calibri" w:cs="Times New Roman"/>
                <w:color w:val="auto"/>
                <w:spacing w:val="1"/>
                <w:position w:val="-1"/>
                <w:sz w:val="21"/>
                <w:szCs w:val="21"/>
                <w:vertAlign w:val="subscript"/>
              </w:rPr>
              <w:t>10</w:t>
            </w:r>
          </w:p>
        </w:tc>
        <w:tc>
          <w:tcPr>
            <w:tcW w:w="60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position w:val="3"/>
                <w:sz w:val="21"/>
                <w:szCs w:val="21"/>
              </w:rPr>
              <w:t>70μg/m³</w:t>
            </w:r>
          </w:p>
        </w:tc>
        <w:tc>
          <w:tcPr>
            <w:tcW w:w="9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150μg/m³</w:t>
            </w:r>
          </w:p>
        </w:tc>
        <w:tc>
          <w:tcPr>
            <w:tcW w:w="82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2"/>
                <w:sz w:val="21"/>
                <w:szCs w:val="21"/>
              </w:rPr>
              <w:t>--</w:t>
            </w:r>
          </w:p>
        </w:tc>
        <w:tc>
          <w:tcPr>
            <w:tcW w:w="18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O</w:t>
            </w:r>
            <w:r>
              <w:rPr>
                <w:rFonts w:hint="default" w:ascii="Times New Roman" w:hAnsi="Times New Roman" w:eastAsia="Calibri" w:cs="Times New Roman"/>
                <w:color w:val="auto"/>
                <w:position w:val="-1"/>
                <w:sz w:val="21"/>
                <w:szCs w:val="21"/>
                <w:vertAlign w:val="subscript"/>
              </w:rPr>
              <w:t>3</w:t>
            </w:r>
          </w:p>
        </w:tc>
        <w:tc>
          <w:tcPr>
            <w:tcW w:w="60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94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4"/>
                <w:position w:val="3"/>
                <w:sz w:val="21"/>
                <w:szCs w:val="21"/>
              </w:rPr>
              <w:t>160μg/m³</w:t>
            </w:r>
            <w:r>
              <w:rPr>
                <w:rFonts w:hint="default" w:ascii="Times New Roman" w:hAnsi="Times New Roman" w:cs="Times New Roman"/>
                <w:color w:val="auto"/>
                <w:spacing w:val="4"/>
                <w:position w:val="3"/>
                <w:sz w:val="21"/>
                <w:szCs w:val="21"/>
              </w:rPr>
              <w:t>（</w:t>
            </w:r>
            <w:r>
              <w:rPr>
                <w:rFonts w:hint="default" w:ascii="Times New Roman" w:hAnsi="Times New Roman" w:eastAsia="Calibri" w:cs="Times New Roman"/>
                <w:color w:val="auto"/>
                <w:spacing w:val="4"/>
                <w:position w:val="3"/>
                <w:sz w:val="21"/>
                <w:szCs w:val="21"/>
              </w:rPr>
              <w:t>8h</w:t>
            </w:r>
            <w:r>
              <w:rPr>
                <w:rFonts w:hint="default" w:ascii="Times New Roman" w:hAnsi="Times New Roman" w:cs="Times New Roman"/>
                <w:color w:val="auto"/>
                <w:spacing w:val="4"/>
                <w:position w:val="3"/>
                <w:sz w:val="21"/>
                <w:szCs w:val="21"/>
              </w:rPr>
              <w:t>）</w:t>
            </w:r>
          </w:p>
        </w:tc>
        <w:tc>
          <w:tcPr>
            <w:tcW w:w="82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position w:val="3"/>
                <w:sz w:val="21"/>
                <w:szCs w:val="21"/>
              </w:rPr>
              <w:t>200μg/m³</w:t>
            </w:r>
          </w:p>
        </w:tc>
        <w:tc>
          <w:tcPr>
            <w:tcW w:w="18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CO</w:t>
            </w:r>
          </w:p>
        </w:tc>
        <w:tc>
          <w:tcPr>
            <w:tcW w:w="60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9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position w:val="3"/>
                <w:sz w:val="21"/>
                <w:szCs w:val="21"/>
              </w:rPr>
              <w:t>4μg/m³</w:t>
            </w:r>
          </w:p>
        </w:tc>
        <w:tc>
          <w:tcPr>
            <w:tcW w:w="82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position w:val="3"/>
                <w:sz w:val="21"/>
                <w:szCs w:val="21"/>
              </w:rPr>
              <w:t>10μg/m³</w:t>
            </w:r>
          </w:p>
        </w:tc>
        <w:tc>
          <w:tcPr>
            <w:tcW w:w="18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8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TVOC</w:t>
            </w:r>
          </w:p>
        </w:tc>
        <w:tc>
          <w:tcPr>
            <w:tcW w:w="60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9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position w:val="3"/>
                <w:sz w:val="21"/>
                <w:szCs w:val="21"/>
              </w:rPr>
              <w:t>/</w:t>
            </w:r>
          </w:p>
        </w:tc>
        <w:tc>
          <w:tcPr>
            <w:tcW w:w="82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2"/>
                <w:sz w:val="21"/>
                <w:szCs w:val="21"/>
              </w:rPr>
              <w:t>600μg/m</w:t>
            </w:r>
            <w:r>
              <w:rPr>
                <w:rFonts w:hint="default" w:ascii="Times New Roman" w:hAnsi="Times New Roman" w:cs="Times New Roman"/>
                <w:color w:val="auto"/>
                <w:spacing w:val="2"/>
                <w:sz w:val="21"/>
                <w:szCs w:val="21"/>
                <w:vertAlign w:val="superscript"/>
                <w:lang w:val="en-US" w:eastAsia="zh-CN"/>
              </w:rPr>
              <w:t>3</w:t>
            </w:r>
            <w:r>
              <w:rPr>
                <w:rFonts w:hint="default" w:ascii="Times New Roman" w:hAnsi="Times New Roman" w:cs="Times New Roman"/>
                <w:color w:val="auto"/>
                <w:spacing w:val="2"/>
                <w:sz w:val="21"/>
                <w:szCs w:val="21"/>
              </w:rPr>
              <w:t>（</w:t>
            </w:r>
            <w:r>
              <w:rPr>
                <w:rFonts w:hint="default" w:ascii="Times New Roman" w:hAnsi="Times New Roman" w:eastAsia="Calibri" w:cs="Times New Roman"/>
                <w:color w:val="auto"/>
                <w:spacing w:val="2"/>
                <w:sz w:val="21"/>
                <w:szCs w:val="21"/>
              </w:rPr>
              <w:t>8</w:t>
            </w:r>
            <w:r>
              <w:rPr>
                <w:rFonts w:hint="default" w:ascii="Times New Roman" w:hAnsi="Times New Roman" w:cs="Times New Roman"/>
                <w:color w:val="auto"/>
                <w:spacing w:val="2"/>
                <w:sz w:val="21"/>
                <w:szCs w:val="21"/>
              </w:rPr>
              <w:t>小时</w:t>
            </w:r>
            <w:r>
              <w:rPr>
                <w:rFonts w:hint="default" w:ascii="Times New Roman" w:hAnsi="Times New Roman" w:cs="Times New Roman"/>
                <w:color w:val="auto"/>
                <w:spacing w:val="3"/>
                <w:sz w:val="21"/>
                <w:szCs w:val="21"/>
              </w:rPr>
              <w:t>平均）</w:t>
            </w:r>
          </w:p>
        </w:tc>
        <w:tc>
          <w:tcPr>
            <w:tcW w:w="18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参照《环境影响评价技术导</w:t>
            </w:r>
            <w:r>
              <w:rPr>
                <w:rFonts w:hint="default" w:ascii="Times New Roman" w:hAnsi="Times New Roman" w:cs="Times New Roman"/>
                <w:color w:val="auto"/>
                <w:spacing w:val="-5"/>
                <w:sz w:val="21"/>
                <w:szCs w:val="21"/>
              </w:rPr>
              <w:t>则</w:t>
            </w:r>
            <w:r>
              <w:rPr>
                <w:rFonts w:hint="default" w:ascii="Times New Roman" w:hAnsi="Times New Roman" w:eastAsia="Calibri" w:cs="Times New Roman"/>
                <w:color w:val="auto"/>
                <w:spacing w:val="-5"/>
                <w:sz w:val="21"/>
                <w:szCs w:val="21"/>
              </w:rPr>
              <w:t>-</w:t>
            </w:r>
            <w:r>
              <w:rPr>
                <w:rFonts w:hint="default" w:ascii="Times New Roman" w:hAnsi="Times New Roman" w:cs="Times New Roman"/>
                <w:color w:val="auto"/>
                <w:spacing w:val="-5"/>
                <w:sz w:val="21"/>
                <w:szCs w:val="21"/>
              </w:rPr>
              <w:t>大气环境》（</w:t>
            </w:r>
            <w:r>
              <w:rPr>
                <w:rFonts w:hint="default" w:ascii="Times New Roman" w:hAnsi="Times New Roman" w:eastAsia="Calibri" w:cs="Times New Roman"/>
                <w:color w:val="auto"/>
                <w:spacing w:val="-5"/>
                <w:sz w:val="21"/>
                <w:szCs w:val="21"/>
              </w:rPr>
              <w:t>HJ2.2-2018</w:t>
            </w:r>
            <w:r>
              <w:rPr>
                <w:rFonts w:hint="default" w:ascii="Times New Roman" w:hAnsi="Times New Roman" w:cs="Times New Roman"/>
                <w:color w:val="auto"/>
                <w:spacing w:val="-5"/>
                <w:sz w:val="21"/>
                <w:szCs w:val="21"/>
              </w:rPr>
              <w:t>）附录</w:t>
            </w:r>
            <w:r>
              <w:rPr>
                <w:rFonts w:hint="default" w:ascii="Times New Roman" w:hAnsi="Times New Roman" w:eastAsia="Calibri" w:cs="Times New Roman"/>
                <w:color w:val="auto"/>
                <w:spacing w:val="-5"/>
                <w:sz w:val="21"/>
                <w:szCs w:val="21"/>
              </w:rPr>
              <w:t>D</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493"/>
        <w:textAlignment w:val="baseline"/>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2</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水环境</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废水由鹿坪污水处理厂</w:t>
      </w:r>
      <w:r>
        <w:rPr>
          <w:rFonts w:hint="eastAsia" w:ascii="Times New Roman" w:hAnsi="Times New Roman" w:eastAsia="宋体" w:cs="Times New Roman"/>
          <w:color w:val="auto"/>
          <w:szCs w:val="28"/>
          <w:u w:val="none" w:color="auto"/>
          <w:lang w:val="en-US" w:eastAsia="zh-CN"/>
        </w:rPr>
        <w:t>综合</w:t>
      </w:r>
      <w:r>
        <w:rPr>
          <w:rFonts w:hint="default" w:ascii="Times New Roman" w:hAnsi="Times New Roman" w:cs="Times New Roman"/>
          <w:color w:val="auto"/>
          <w:szCs w:val="28"/>
          <w:u w:val="none" w:color="auto"/>
        </w:rPr>
        <w:t>处理，</w:t>
      </w:r>
      <w:r>
        <w:rPr>
          <w:rFonts w:hint="eastAsia" w:ascii="Times New Roman" w:hAnsi="Times New Roman" w:eastAsia="宋体" w:cs="Times New Roman"/>
          <w:color w:val="auto"/>
          <w:szCs w:val="28"/>
          <w:u w:val="none" w:color="auto"/>
          <w:lang w:val="en-US" w:eastAsia="zh-CN"/>
        </w:rPr>
        <w:t>尾水</w:t>
      </w:r>
      <w:r>
        <w:rPr>
          <w:rFonts w:hint="default" w:ascii="Times New Roman" w:hAnsi="Times New Roman" w:cs="Times New Roman"/>
          <w:color w:val="auto"/>
          <w:szCs w:val="28"/>
          <w:u w:val="none" w:color="auto"/>
        </w:rPr>
        <w:t>排入湘江</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紫水河与湘江汇合口上游500米至芝山萍岛上端</w:t>
      </w:r>
      <w:r>
        <w:rPr>
          <w:rFonts w:hint="eastAsia" w:ascii="Times New Roman" w:hAnsi="Times New Roman" w:eastAsia="宋体" w:cs="Times New Roman"/>
          <w:color w:val="auto"/>
          <w:szCs w:val="28"/>
          <w:u w:val="none" w:color="auto"/>
          <w:lang w:val="en-US" w:eastAsia="zh-CN"/>
        </w:rPr>
        <w:t>”段</w:t>
      </w:r>
      <w:r>
        <w:rPr>
          <w:rFonts w:hint="default" w:ascii="Times New Roman" w:hAnsi="Times New Roman" w:cs="Times New Roman"/>
          <w:color w:val="auto"/>
          <w:szCs w:val="28"/>
          <w:u w:val="none" w:color="auto"/>
        </w:rPr>
        <w:t>水域</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该段水质</w:t>
      </w:r>
      <w:r>
        <w:rPr>
          <w:rFonts w:hint="default" w:ascii="Times New Roman" w:hAnsi="Times New Roman" w:cs="Times New Roman"/>
          <w:color w:val="auto"/>
          <w:szCs w:val="28"/>
          <w:u w:val="none" w:color="auto"/>
        </w:rPr>
        <w:t>执行《地表水环境质量标准》（GB3838-2002）Ⅲ类标准限值。具体标准限值见下表。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地表水环境质量标准</w:t>
      </w:r>
    </w:p>
    <w:tbl>
      <w:tblPr>
        <w:tblStyle w:val="2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3"/>
        <w:gridCol w:w="2917"/>
        <w:gridCol w:w="41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项目</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Ⅳ类标准限值（mg/L）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pH值（无量纲）</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r>
              <w:rPr>
                <w:rFonts w:hint="eastAsia"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r>
              <w:rPr>
                <w:rFonts w:hint="default" w:ascii="Times New Roman" w:hAnsi="Times New Roman" w:cs="Times New Roman"/>
                <w:color w:val="auto"/>
                <w:sz w:val="21"/>
                <w:szCs w:val="21"/>
                <w:vertAlign w:val="subscript"/>
              </w:rPr>
              <w:t>Cr</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总氮</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总磷</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17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石油类</w:t>
            </w:r>
          </w:p>
        </w:tc>
        <w:tc>
          <w:tcPr>
            <w:tcW w:w="2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contextualSpacing/>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493"/>
        <w:textAlignment w:val="baseline"/>
        <w:rPr>
          <w:rFonts w:hint="default" w:ascii="Times New Roman" w:hAnsi="Times New Roman" w:eastAsia="宋体" w:cs="Times New Roman"/>
          <w:b/>
          <w:bCs/>
          <w:color w:val="auto"/>
          <w:spacing w:val="-5"/>
          <w:sz w:val="24"/>
          <w:szCs w:val="24"/>
          <w:lang w:eastAsia="zh-CN"/>
        </w:rPr>
      </w:pP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lang w:eastAsia="zh-CN"/>
        </w:rPr>
        <w:t>3</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lang w:eastAsia="zh-CN"/>
        </w:rPr>
        <w:t>声环境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本项目位于</w:t>
      </w:r>
      <w:r>
        <w:rPr>
          <w:rFonts w:hint="eastAsia" w:ascii="Times New Roman" w:hAnsi="Times New Roman" w:eastAsia="宋体" w:cs="Times New Roman"/>
          <w:color w:val="auto"/>
          <w:szCs w:val="32"/>
          <w:lang w:eastAsia="zh-CN"/>
        </w:rPr>
        <w:t>零陵高新技术产业开发区河西片区，</w:t>
      </w:r>
      <w:r>
        <w:rPr>
          <w:rFonts w:hint="eastAsia" w:ascii="Times New Roman" w:hAnsi="Times New Roman" w:eastAsia="宋体" w:cs="Times New Roman"/>
          <w:color w:val="auto"/>
          <w:szCs w:val="32"/>
          <w:lang w:val="en-US" w:eastAsia="zh-CN"/>
        </w:rPr>
        <w:t>属于工业集中区，区域声环境</w:t>
      </w:r>
      <w:r>
        <w:rPr>
          <w:rFonts w:hint="default" w:ascii="Times New Roman" w:hAnsi="Times New Roman" w:cs="Times New Roman"/>
          <w:color w:val="auto"/>
          <w:szCs w:val="28"/>
          <w:u w:val="none" w:color="auto"/>
        </w:rPr>
        <w:t>执行《声环境质量标准》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GB3096-2008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中3类标准。</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eastAsia" w:ascii="Times New Roman" w:hAnsi="Times New Roman" w:eastAsia="宋体" w:cs="Times New Roman"/>
          <w:b/>
          <w:bCs/>
          <w:color w:val="auto"/>
          <w:spacing w:val="5"/>
          <w:sz w:val="24"/>
          <w:szCs w:val="24"/>
          <w:lang w:eastAsia="zh-CN"/>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环境噪声评价标准单位：dB</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A</w:t>
      </w:r>
      <w:r>
        <w:rPr>
          <w:rFonts w:hint="eastAsia" w:ascii="Times New Roman" w:hAnsi="Times New Roman" w:eastAsia="宋体" w:cs="Times New Roman"/>
          <w:b/>
          <w:bCs/>
          <w:color w:val="auto"/>
          <w:spacing w:val="5"/>
          <w:sz w:val="24"/>
          <w:szCs w:val="24"/>
          <w:lang w:eastAsia="zh-CN"/>
        </w:rPr>
        <w:t>）</w:t>
      </w:r>
    </w:p>
    <w:tbl>
      <w:tblPr>
        <w:tblStyle w:val="29"/>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827"/>
        <w:gridCol w:w="4785"/>
        <w:gridCol w:w="891"/>
        <w:gridCol w:w="88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8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cs="Times New Roman"/>
                <w:b/>
                <w:bCs/>
                <w:color w:val="auto"/>
                <w:spacing w:val="6"/>
                <w:sz w:val="21"/>
                <w:szCs w:val="21"/>
              </w:rPr>
              <w:t>声环境功能区</w:t>
            </w:r>
            <w:r>
              <w:rPr>
                <w:rFonts w:hint="default" w:ascii="Times New Roman" w:hAnsi="Times New Roman" w:cs="Times New Roman"/>
                <w:b/>
                <w:bCs/>
                <w:color w:val="auto"/>
                <w:spacing w:val="3"/>
                <w:sz w:val="21"/>
                <w:szCs w:val="21"/>
              </w:rPr>
              <w:t>类别</w:t>
            </w:r>
          </w:p>
        </w:tc>
        <w:tc>
          <w:tcPr>
            <w:tcW w:w="2852"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cs="Times New Roman"/>
                <w:b/>
                <w:bCs/>
                <w:color w:val="auto"/>
                <w:spacing w:val="8"/>
                <w:sz w:val="21"/>
                <w:szCs w:val="21"/>
              </w:rPr>
              <w:t>适用地带范围</w:t>
            </w:r>
          </w:p>
        </w:tc>
        <w:tc>
          <w:tcPr>
            <w:tcW w:w="53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2"/>
                <w:sz w:val="21"/>
                <w:szCs w:val="21"/>
                <w:lang w:val="en-US" w:eastAsia="zh-CN"/>
              </w:rPr>
            </w:pPr>
            <w:r>
              <w:rPr>
                <w:rFonts w:hint="default" w:ascii="Times New Roman" w:hAnsi="Times New Roman" w:eastAsia="宋体" w:cs="Times New Roman"/>
                <w:b/>
                <w:bCs/>
                <w:color w:val="auto"/>
                <w:spacing w:val="-2"/>
                <w:sz w:val="21"/>
                <w:szCs w:val="21"/>
                <w:lang w:val="en-US" w:eastAsia="zh-CN"/>
              </w:rPr>
              <w:t>昼间</w:t>
            </w:r>
          </w:p>
        </w:tc>
        <w:tc>
          <w:tcPr>
            <w:tcW w:w="5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1"/>
                <w:sz w:val="21"/>
                <w:szCs w:val="21"/>
                <w:lang w:val="en-US" w:eastAsia="zh-CN"/>
              </w:rPr>
            </w:pPr>
            <w:r>
              <w:rPr>
                <w:rFonts w:hint="default" w:ascii="Times New Roman" w:hAnsi="Times New Roman" w:eastAsia="宋体" w:cs="Times New Roman"/>
                <w:b/>
                <w:bCs/>
                <w:color w:val="auto"/>
                <w:spacing w:val="-1"/>
                <w:sz w:val="21"/>
                <w:szCs w:val="21"/>
                <w:lang w:val="en-US"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8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z w:val="21"/>
                <w:szCs w:val="21"/>
              </w:rPr>
            </w:pPr>
            <w:r>
              <w:rPr>
                <w:rFonts w:hint="default" w:ascii="Times New Roman" w:hAnsi="Times New Roman" w:eastAsia="Calibri" w:cs="Times New Roman"/>
                <w:b w:val="0"/>
                <w:bCs w:val="0"/>
                <w:color w:val="auto"/>
                <w:spacing w:val="-3"/>
                <w:sz w:val="21"/>
                <w:szCs w:val="21"/>
              </w:rPr>
              <w:t>3</w:t>
            </w:r>
            <w:r>
              <w:rPr>
                <w:rFonts w:hint="default" w:ascii="Times New Roman" w:hAnsi="Times New Roman" w:cs="Times New Roman"/>
                <w:b w:val="0"/>
                <w:bCs w:val="0"/>
                <w:color w:val="auto"/>
                <w:spacing w:val="-3"/>
                <w:sz w:val="21"/>
                <w:szCs w:val="21"/>
              </w:rPr>
              <w:t>类</w:t>
            </w:r>
          </w:p>
        </w:tc>
        <w:tc>
          <w:tcPr>
            <w:tcW w:w="285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pacing w:val="8"/>
                <w:sz w:val="21"/>
                <w:szCs w:val="21"/>
              </w:rPr>
              <w:t>以工业生产、仓储物流为主要功能，需要防止工业噪声对</w:t>
            </w:r>
            <w:r>
              <w:rPr>
                <w:rFonts w:hint="default" w:ascii="Times New Roman" w:hAnsi="Times New Roman" w:cs="Times New Roman"/>
                <w:b w:val="0"/>
                <w:bCs w:val="0"/>
                <w:color w:val="auto"/>
                <w:spacing w:val="7"/>
                <w:sz w:val="21"/>
                <w:szCs w:val="21"/>
              </w:rPr>
              <w:t>周围环境产生</w:t>
            </w:r>
            <w:r>
              <w:rPr>
                <w:rFonts w:hint="default" w:ascii="Times New Roman" w:hAnsi="Times New Roman" w:cs="Times New Roman"/>
                <w:b w:val="0"/>
                <w:bCs w:val="0"/>
                <w:color w:val="auto"/>
                <w:spacing w:val="8"/>
                <w:sz w:val="21"/>
                <w:szCs w:val="21"/>
              </w:rPr>
              <w:t>严重影响的区域</w:t>
            </w:r>
          </w:p>
        </w:tc>
        <w:tc>
          <w:tcPr>
            <w:tcW w:w="53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b w:val="0"/>
                <w:bCs w:val="0"/>
                <w:color w:val="auto"/>
                <w:sz w:val="21"/>
                <w:szCs w:val="21"/>
              </w:rPr>
            </w:pPr>
            <w:r>
              <w:rPr>
                <w:rFonts w:hint="default" w:ascii="Times New Roman" w:hAnsi="Times New Roman" w:eastAsia="Calibri" w:cs="Times New Roman"/>
                <w:b w:val="0"/>
                <w:bCs w:val="0"/>
                <w:color w:val="auto"/>
                <w:spacing w:val="-2"/>
                <w:sz w:val="21"/>
                <w:szCs w:val="21"/>
              </w:rPr>
              <w:t>65</w:t>
            </w:r>
          </w:p>
        </w:tc>
        <w:tc>
          <w:tcPr>
            <w:tcW w:w="5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b w:val="0"/>
                <w:bCs w:val="0"/>
                <w:color w:val="auto"/>
                <w:sz w:val="21"/>
                <w:szCs w:val="21"/>
              </w:rPr>
            </w:pPr>
            <w:r>
              <w:rPr>
                <w:rFonts w:hint="default" w:ascii="Times New Roman" w:hAnsi="Times New Roman" w:eastAsia="Calibri" w:cs="Times New Roman"/>
                <w:b w:val="0"/>
                <w:bCs w:val="0"/>
                <w:color w:val="auto"/>
                <w:spacing w:val="-1"/>
                <w:sz w:val="21"/>
                <w:szCs w:val="21"/>
              </w:rPr>
              <w:t>55</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rFonts w:hint="eastAsia"/>
          <w:color w:val="auto"/>
          <w:lang w:val="en-US" w:eastAsia="zh-CN"/>
        </w:rPr>
        <w:t>污染物</w:t>
      </w:r>
      <w:r>
        <w:rPr>
          <w:color w:val="auto"/>
          <w:sz w:val="30"/>
          <w:szCs w:val="30"/>
        </w:rPr>
        <w:t>排放标准</w:t>
      </w:r>
    </w:p>
    <w:p>
      <w:pPr>
        <w:keepNext w:val="0"/>
        <w:keepLines w:val="0"/>
        <w:pageBreakBefore w:val="0"/>
        <w:widowControl/>
        <w:kinsoku w:val="0"/>
        <w:wordWrap/>
        <w:overflowPunct/>
        <w:topLinePunct w:val="0"/>
        <w:autoSpaceDE w:val="0"/>
        <w:autoSpaceDN w:val="0"/>
        <w:bidi w:val="0"/>
        <w:adjustRightInd w:val="0"/>
        <w:snapToGrid w:val="0"/>
        <w:spacing w:before="0" w:line="360" w:lineRule="auto"/>
        <w:ind w:left="493"/>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（1）废气排放标准</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Cs w:val="28"/>
          <w:u w:val="none" w:color="auto"/>
          <w:lang w:val="en-US" w:eastAsia="zh-CN"/>
        </w:rPr>
      </w:pPr>
      <w:r>
        <w:rPr>
          <w:rFonts w:hint="eastAsia" w:ascii="Times New Roman" w:hAnsi="Times New Roman" w:eastAsia="宋体" w:cs="Times New Roman"/>
          <w:color w:val="auto"/>
          <w:szCs w:val="28"/>
          <w:u w:val="none" w:color="auto"/>
          <w:lang w:val="en-US" w:eastAsia="zh-CN"/>
        </w:rPr>
        <w:t>本项目有组织排放挥发性有机废气执行《</w:t>
      </w:r>
      <w:r>
        <w:rPr>
          <w:rFonts w:hint="eastAsia" w:ascii="Times New Roman" w:hAnsi="Times New Roman" w:eastAsia="宋体" w:cs="Times New Roman"/>
          <w:color w:val="auto"/>
          <w:szCs w:val="28"/>
          <w:u w:val="none" w:color="auto"/>
          <w:lang w:eastAsia="zh-CN"/>
        </w:rPr>
        <w:t>印刷工业大气污染物排放标准》（GB41616-2022）</w:t>
      </w:r>
      <w:r>
        <w:rPr>
          <w:rFonts w:hint="eastAsia" w:ascii="Times New Roman" w:hAnsi="Times New Roman" w:eastAsia="宋体" w:cs="Times New Roman"/>
          <w:color w:val="auto"/>
          <w:szCs w:val="28"/>
          <w:u w:val="none" w:color="auto"/>
          <w:lang w:val="en-US" w:eastAsia="zh-CN"/>
        </w:rPr>
        <w:t>表1大气污染物排放限值，VOCs燃烧装置燃烧废气二氧化硫、氮氧化物排放执行《</w:t>
      </w:r>
      <w:r>
        <w:rPr>
          <w:rFonts w:hint="eastAsia" w:ascii="Times New Roman" w:hAnsi="Times New Roman" w:eastAsia="宋体" w:cs="Times New Roman"/>
          <w:color w:val="auto"/>
          <w:szCs w:val="28"/>
          <w:u w:val="none" w:color="auto"/>
          <w:lang w:eastAsia="zh-CN"/>
        </w:rPr>
        <w:t>印刷工业大气污染物排放标准》（GB41616-2022）</w:t>
      </w:r>
      <w:r>
        <w:rPr>
          <w:rFonts w:hint="eastAsia" w:ascii="Times New Roman" w:hAnsi="Times New Roman" w:eastAsia="宋体" w:cs="Times New Roman"/>
          <w:color w:val="auto"/>
          <w:szCs w:val="28"/>
          <w:u w:val="none" w:color="auto"/>
          <w:lang w:val="en-US" w:eastAsia="zh-CN"/>
        </w:rPr>
        <w:t>表2</w:t>
      </w:r>
      <w:r>
        <w:rPr>
          <w:rFonts w:hint="default" w:ascii="Times New Roman" w:hAnsi="Times New Roman" w:cs="Times New Roman"/>
          <w:color w:val="auto"/>
          <w:szCs w:val="28"/>
          <w:u w:val="none" w:color="auto"/>
          <w:lang w:val="en-US" w:eastAsia="zh-CN"/>
        </w:rPr>
        <w:t>燃烧装置大气污染物排放限值</w:t>
      </w:r>
      <w:r>
        <w:rPr>
          <w:rFonts w:hint="eastAsia" w:ascii="Times New Roman" w:hAnsi="Times New Roman" w:eastAsia="宋体" w:cs="Times New Roman"/>
          <w:color w:val="auto"/>
          <w:szCs w:val="28"/>
          <w:u w:val="none" w:color="auto"/>
          <w:lang w:val="en-US" w:eastAsia="zh-CN"/>
        </w:rPr>
        <w:t>，厂区内VOCs浓度执行《</w:t>
      </w:r>
      <w:r>
        <w:rPr>
          <w:rFonts w:hint="eastAsia" w:ascii="Times New Roman" w:hAnsi="Times New Roman" w:eastAsia="宋体" w:cs="Times New Roman"/>
          <w:color w:val="auto"/>
          <w:szCs w:val="28"/>
          <w:u w:val="none" w:color="auto"/>
          <w:lang w:eastAsia="zh-CN"/>
        </w:rPr>
        <w:t>印刷工业大气污染物排放标准》（GB41616-2022）</w:t>
      </w:r>
      <w:r>
        <w:rPr>
          <w:rFonts w:hint="eastAsia" w:ascii="Times New Roman" w:hAnsi="Times New Roman" w:eastAsia="宋体" w:cs="Times New Roman"/>
          <w:color w:val="auto"/>
          <w:szCs w:val="28"/>
          <w:u w:val="none" w:color="auto"/>
          <w:lang w:val="en-US" w:eastAsia="zh-CN"/>
        </w:rPr>
        <w:t>表A.1</w:t>
      </w:r>
      <w:r>
        <w:rPr>
          <w:rFonts w:hint="default" w:ascii="Times New Roman" w:hAnsi="Times New Roman" w:eastAsia="宋体" w:cs="Times New Roman"/>
          <w:color w:val="auto"/>
          <w:szCs w:val="28"/>
          <w:u w:val="none" w:color="auto"/>
          <w:lang w:val="en-US" w:eastAsia="zh-CN"/>
        </w:rPr>
        <w:t>厂区内</w:t>
      </w:r>
      <w:r>
        <w:rPr>
          <w:rFonts w:hint="eastAsia" w:ascii="Times New Roman" w:hAnsi="Times New Roman" w:eastAsia="宋体" w:cs="Times New Roman"/>
          <w:color w:val="auto"/>
          <w:szCs w:val="28"/>
          <w:u w:val="none" w:color="auto"/>
          <w:lang w:val="en-US" w:eastAsia="zh-CN"/>
        </w:rPr>
        <w:t>VOCs</w:t>
      </w:r>
      <w:r>
        <w:rPr>
          <w:rFonts w:hint="default" w:ascii="Times New Roman" w:hAnsi="Times New Roman" w:eastAsia="宋体" w:cs="Times New Roman"/>
          <w:color w:val="auto"/>
          <w:szCs w:val="28"/>
          <w:u w:val="none" w:color="auto"/>
          <w:lang w:val="en-US" w:eastAsia="zh-CN"/>
        </w:rPr>
        <w:t>无组织排放限值</w:t>
      </w:r>
      <w:r>
        <w:rPr>
          <w:rFonts w:hint="eastAsia" w:ascii="Times New Roman" w:hAnsi="Times New Roman" w:eastAsia="宋体" w:cs="Times New Roman"/>
          <w:color w:val="auto"/>
          <w:szCs w:val="28"/>
          <w:u w:val="none" w:color="auto"/>
          <w:lang w:val="en-US" w:eastAsia="zh-CN"/>
        </w:rPr>
        <w:t>，厂界VOCs浓度执行</w:t>
      </w:r>
      <w:r>
        <w:rPr>
          <w:rFonts w:hint="default" w:ascii="Times New Roman" w:hAnsi="Times New Roman" w:eastAsia="宋体" w:cs="Times New Roman"/>
          <w:color w:val="auto"/>
          <w:szCs w:val="28"/>
          <w:u w:val="none" w:color="auto"/>
          <w:lang w:eastAsia="zh-CN"/>
        </w:rPr>
        <w:t>《印刷业挥发性有机物排放标准》（DB43/1357-2017）表2中厂界浓度标准限值</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各标准限值详见表2.4-4</w:t>
      </w:r>
      <w:r>
        <w:rPr>
          <w:rFonts w:hint="default" w:ascii="Times New Roman" w:hAnsi="Times New Roman" w:eastAsia="宋体" w:cs="Times New Roman"/>
          <w:color w:val="auto"/>
          <w:szCs w:val="28"/>
          <w:u w:val="none" w:color="auto"/>
          <w:lang w:val="en-US" w:eastAsia="zh-CN"/>
        </w:rPr>
        <w:t>~</w:t>
      </w:r>
      <w:r>
        <w:rPr>
          <w:rFonts w:hint="eastAsia" w:ascii="Times New Roman" w:hAnsi="Times New Roman" w:eastAsia="宋体" w:cs="Times New Roman"/>
          <w:color w:val="auto"/>
          <w:szCs w:val="28"/>
          <w:u w:val="none" w:color="auto"/>
          <w:lang w:val="en-US" w:eastAsia="zh-CN"/>
        </w:rPr>
        <w:t>2.4-7。</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right"/>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大气污染物排放限值</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单位：mg/m</w:t>
      </w:r>
      <w:r>
        <w:rPr>
          <w:rFonts w:hint="default" w:ascii="Times New Roman" w:hAnsi="Times New Roman" w:eastAsia="宋体" w:cs="Times New Roman"/>
          <w:b/>
          <w:bCs/>
          <w:color w:val="auto"/>
          <w:spacing w:val="5"/>
          <w:sz w:val="24"/>
          <w:szCs w:val="24"/>
          <w:vertAlign w:val="superscript"/>
        </w:rPr>
        <w:t>3</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34"/>
        <w:gridCol w:w="2713"/>
        <w:gridCol w:w="29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tcBorders>
              <w:tl2br w:val="nil"/>
              <w:tr2bl w:val="nil"/>
            </w:tcBorders>
            <w:vAlign w:val="center"/>
          </w:tcPr>
          <w:p>
            <w:pPr>
              <w:pStyle w:val="2"/>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污染物项目</w:t>
            </w:r>
          </w:p>
        </w:tc>
        <w:tc>
          <w:tcPr>
            <w:tcW w:w="1593" w:type="pct"/>
            <w:tcBorders>
              <w:tl2br w:val="nil"/>
              <w:tr2bl w:val="nil"/>
            </w:tcBorders>
            <w:vAlign w:val="center"/>
          </w:tcPr>
          <w:p>
            <w:pPr>
              <w:pStyle w:val="2"/>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限值</w:t>
            </w:r>
          </w:p>
        </w:tc>
        <w:tc>
          <w:tcPr>
            <w:tcW w:w="1741" w:type="pct"/>
            <w:tcBorders>
              <w:tl2br w:val="nil"/>
              <w:tr2bl w:val="nil"/>
            </w:tcBorders>
            <w:vAlign w:val="center"/>
          </w:tcPr>
          <w:p>
            <w:pPr>
              <w:pStyle w:val="2"/>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tcBorders>
              <w:tl2br w:val="nil"/>
              <w:tr2bl w:val="nil"/>
            </w:tcBorders>
            <w:vAlign w:val="center"/>
          </w:tcPr>
          <w:p>
            <w:pPr>
              <w:pStyle w:val="2"/>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NMHC</w:t>
            </w:r>
          </w:p>
        </w:tc>
        <w:tc>
          <w:tcPr>
            <w:tcW w:w="1593" w:type="pct"/>
            <w:tcBorders>
              <w:tl2br w:val="nil"/>
              <w:tr2bl w:val="nil"/>
            </w:tcBorders>
            <w:vAlign w:val="center"/>
          </w:tcPr>
          <w:p>
            <w:pPr>
              <w:pStyle w:val="2"/>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70</w:t>
            </w:r>
          </w:p>
        </w:tc>
        <w:tc>
          <w:tcPr>
            <w:tcW w:w="1741" w:type="pct"/>
            <w:tcBorders>
              <w:tl2br w:val="nil"/>
              <w:tr2bl w:val="nil"/>
            </w:tcBorders>
            <w:vAlign w:val="center"/>
          </w:tcPr>
          <w:p>
            <w:pPr>
              <w:pStyle w:val="2"/>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车间或生产设施排气筒</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240" w:lineRule="auto"/>
        <w:ind w:firstLine="480"/>
        <w:jc w:val="both"/>
        <w:textAlignment w:val="baseline"/>
        <w:rPr>
          <w:rFonts w:hint="default" w:ascii="Times New Roman" w:hAnsi="Times New Roman" w:eastAsia="宋体" w:cs="Times New Roman"/>
          <w:b/>
          <w:bCs/>
          <w:color w:val="auto"/>
          <w:sz w:val="21"/>
          <w:szCs w:val="21"/>
          <w:u w:val="none" w:color="auto"/>
          <w:lang w:val="en-US" w:eastAsia="zh-CN"/>
        </w:rPr>
      </w:pPr>
      <w:r>
        <w:rPr>
          <w:rFonts w:hint="eastAsia" w:ascii="Times New Roman" w:hAnsi="Times New Roman" w:eastAsia="宋体" w:cs="Times New Roman"/>
          <w:b/>
          <w:bCs/>
          <w:color w:val="auto"/>
          <w:sz w:val="21"/>
          <w:szCs w:val="21"/>
          <w:u w:val="none" w:color="auto"/>
          <w:lang w:val="en-US" w:eastAsia="zh-CN"/>
        </w:rPr>
        <w:t>注：本项目运营期使用油墨为无苯油墨；且无纸毛收集系统、挤出复合工序和热熔复合工序等，故项目生产设施排气筒无苯、苯系物、颗粒物排放。</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right"/>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燃烧装置大气污染物排放限值</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单位：mg/m</w:t>
      </w:r>
      <w:r>
        <w:rPr>
          <w:rFonts w:hint="default" w:ascii="Times New Roman" w:hAnsi="Times New Roman" w:eastAsia="宋体" w:cs="Times New Roman"/>
          <w:b/>
          <w:bCs/>
          <w:color w:val="auto"/>
          <w:spacing w:val="5"/>
          <w:sz w:val="24"/>
          <w:szCs w:val="24"/>
          <w:vertAlign w:val="superscript"/>
        </w:rPr>
        <w:t>3</w:t>
      </w:r>
    </w:p>
    <w:tbl>
      <w:tblPr>
        <w:tblStyle w:val="29"/>
        <w:tblW w:w="5051"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760"/>
        <w:gridCol w:w="2506"/>
        <w:gridCol w:w="314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4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污染物项目</w:t>
            </w:r>
          </w:p>
        </w:tc>
        <w:tc>
          <w:tcPr>
            <w:tcW w:w="148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排放限值</w:t>
            </w:r>
          </w:p>
        </w:tc>
        <w:tc>
          <w:tcPr>
            <w:tcW w:w="187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rPr>
            </w:pPr>
            <w:r>
              <w:rPr>
                <w:rFonts w:hint="eastAsia" w:ascii="Times New Roman" w:hAnsi="Times New Roman" w:eastAsia="宋体" w:cs="Times New Roman"/>
                <w:b/>
                <w:bCs/>
                <w:color w:val="auto"/>
                <w:spacing w:val="7"/>
                <w:sz w:val="21"/>
                <w:szCs w:val="21"/>
                <w:lang w:val="en-US" w:eastAsia="zh-CN"/>
              </w:rPr>
              <w:t>污染物排放监控位置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4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b w:val="0"/>
                <w:bCs w:val="0"/>
                <w:color w:val="auto"/>
                <w:spacing w:val="6"/>
                <w:sz w:val="21"/>
                <w:szCs w:val="21"/>
                <w:lang w:val="en-US" w:eastAsia="zh-CN"/>
              </w:rPr>
            </w:pPr>
            <w:r>
              <w:rPr>
                <w:rFonts w:hint="eastAsia" w:ascii="Times New Roman" w:hAnsi="Times New Roman" w:cs="Times New Roman"/>
                <w:b w:val="0"/>
                <w:bCs w:val="0"/>
                <w:color w:val="auto"/>
                <w:spacing w:val="6"/>
                <w:sz w:val="21"/>
                <w:szCs w:val="21"/>
                <w:lang w:val="en-US" w:eastAsia="zh-CN"/>
              </w:rPr>
              <w:t>二氧化硫</w:t>
            </w:r>
          </w:p>
        </w:tc>
        <w:tc>
          <w:tcPr>
            <w:tcW w:w="148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color w:val="auto"/>
                <w:spacing w:val="7"/>
                <w:sz w:val="21"/>
                <w:szCs w:val="21"/>
                <w:lang w:val="en-US" w:eastAsia="zh-CN"/>
              </w:rPr>
            </w:pPr>
            <w:r>
              <w:rPr>
                <w:rFonts w:hint="eastAsia" w:ascii="Times New Roman" w:hAnsi="Times New Roman" w:cs="Times New Roman"/>
                <w:b w:val="0"/>
                <w:bCs w:val="0"/>
                <w:color w:val="auto"/>
                <w:spacing w:val="7"/>
                <w:sz w:val="21"/>
                <w:szCs w:val="21"/>
                <w:lang w:val="en-US" w:eastAsia="zh-CN"/>
              </w:rPr>
              <w:t>200</w:t>
            </w:r>
          </w:p>
        </w:tc>
        <w:tc>
          <w:tcPr>
            <w:tcW w:w="1870"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color w:val="auto"/>
                <w:spacing w:val="2"/>
                <w:sz w:val="21"/>
                <w:szCs w:val="21"/>
                <w:lang w:val="en-US" w:eastAsia="zh-CN"/>
              </w:rPr>
            </w:pPr>
            <w:r>
              <w:rPr>
                <w:rFonts w:hint="eastAsia" w:ascii="Times New Roman" w:hAnsi="Times New Roman" w:cs="Times New Roman"/>
                <w:b w:val="0"/>
                <w:bCs w:val="0"/>
                <w:color w:val="auto"/>
                <w:spacing w:val="2"/>
                <w:sz w:val="21"/>
                <w:szCs w:val="21"/>
                <w:lang w:val="en-US" w:eastAsia="zh-CN"/>
              </w:rPr>
              <w:t>燃烧（焚烧、氧化）装置排气筒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4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b w:val="0"/>
                <w:bCs w:val="0"/>
                <w:color w:val="auto"/>
                <w:spacing w:val="6"/>
                <w:sz w:val="21"/>
                <w:szCs w:val="21"/>
                <w:lang w:val="en-US" w:eastAsia="zh-CN"/>
              </w:rPr>
            </w:pPr>
            <w:r>
              <w:rPr>
                <w:rFonts w:hint="eastAsia" w:ascii="Times New Roman" w:hAnsi="Times New Roman" w:cs="Times New Roman"/>
                <w:b w:val="0"/>
                <w:bCs w:val="0"/>
                <w:color w:val="auto"/>
                <w:spacing w:val="6"/>
                <w:sz w:val="21"/>
                <w:szCs w:val="21"/>
                <w:lang w:val="en-US" w:eastAsia="zh-CN"/>
              </w:rPr>
              <w:t>氮氧化物</w:t>
            </w:r>
          </w:p>
        </w:tc>
        <w:tc>
          <w:tcPr>
            <w:tcW w:w="148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color w:val="auto"/>
                <w:spacing w:val="7"/>
                <w:sz w:val="21"/>
                <w:szCs w:val="21"/>
                <w:lang w:val="en-US" w:eastAsia="zh-CN"/>
              </w:rPr>
            </w:pPr>
            <w:r>
              <w:rPr>
                <w:rFonts w:hint="eastAsia" w:ascii="Times New Roman" w:hAnsi="Times New Roman" w:cs="Times New Roman"/>
                <w:b w:val="0"/>
                <w:bCs w:val="0"/>
                <w:color w:val="auto"/>
                <w:spacing w:val="7"/>
                <w:sz w:val="21"/>
                <w:szCs w:val="21"/>
                <w:lang w:val="en-US" w:eastAsia="zh-CN"/>
              </w:rPr>
              <w:t>200</w:t>
            </w:r>
          </w:p>
        </w:tc>
        <w:tc>
          <w:tcPr>
            <w:tcW w:w="1870"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val="0"/>
                <w:bCs w:val="0"/>
                <w:color w:val="auto"/>
                <w:spacing w:val="2"/>
                <w:sz w:val="21"/>
                <w:szCs w:val="21"/>
              </w:rPr>
            </w:pP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right"/>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厂区内</w:t>
      </w:r>
      <w:r>
        <w:rPr>
          <w:rFonts w:hint="eastAsia" w:ascii="Times New Roman" w:hAnsi="Times New Roman" w:eastAsia="宋体" w:cs="Times New Roman"/>
          <w:b/>
          <w:bCs/>
          <w:color w:val="auto"/>
          <w:spacing w:val="5"/>
          <w:sz w:val="24"/>
          <w:szCs w:val="24"/>
          <w:lang w:val="en-US" w:eastAsia="zh-CN"/>
        </w:rPr>
        <w:t>VOCs</w:t>
      </w:r>
      <w:r>
        <w:rPr>
          <w:rFonts w:hint="default" w:ascii="Times New Roman" w:hAnsi="Times New Roman" w:eastAsia="宋体" w:cs="Times New Roman"/>
          <w:b/>
          <w:bCs/>
          <w:color w:val="auto"/>
          <w:spacing w:val="5"/>
          <w:sz w:val="24"/>
          <w:szCs w:val="24"/>
          <w:lang w:val="en-US" w:eastAsia="zh-CN"/>
        </w:rPr>
        <w:t>无组织排放限值</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单位：mg/m</w:t>
      </w:r>
      <w:r>
        <w:rPr>
          <w:rFonts w:hint="default" w:ascii="Times New Roman" w:hAnsi="Times New Roman" w:eastAsia="宋体" w:cs="Times New Roman"/>
          <w:b/>
          <w:bCs/>
          <w:color w:val="auto"/>
          <w:spacing w:val="5"/>
          <w:sz w:val="24"/>
          <w:szCs w:val="24"/>
          <w:vertAlign w:val="superscript"/>
        </w:rPr>
        <w:t>3</w:t>
      </w:r>
    </w:p>
    <w:tbl>
      <w:tblPr>
        <w:tblStyle w:val="29"/>
        <w:tblW w:w="504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832"/>
        <w:gridCol w:w="1869"/>
        <w:gridCol w:w="2478"/>
        <w:gridCol w:w="22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8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污染物项目</w:t>
            </w:r>
          </w:p>
        </w:tc>
        <w:tc>
          <w:tcPr>
            <w:tcW w:w="111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b/>
                <w:bCs/>
                <w:snapToGrid w:val="0"/>
                <w:color w:val="auto"/>
                <w:spacing w:val="7"/>
                <w:kern w:val="0"/>
                <w:sz w:val="21"/>
                <w:szCs w:val="21"/>
                <w:lang w:val="en-US" w:eastAsia="en-US" w:bidi="ar-SA"/>
              </w:rPr>
            </w:pPr>
            <w:r>
              <w:rPr>
                <w:rFonts w:hint="default" w:ascii="Times New Roman" w:hAnsi="Times New Roman" w:eastAsia="宋体" w:cs="Times New Roman"/>
                <w:b/>
                <w:bCs/>
                <w:color w:val="auto"/>
                <w:spacing w:val="7"/>
                <w:sz w:val="21"/>
                <w:szCs w:val="21"/>
              </w:rPr>
              <w:t>排放限值</w:t>
            </w:r>
          </w:p>
        </w:tc>
        <w:tc>
          <w:tcPr>
            <w:tcW w:w="147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lang w:val="en-US" w:eastAsia="zh-CN"/>
              </w:rPr>
            </w:pPr>
            <w:r>
              <w:rPr>
                <w:rFonts w:hint="eastAsia" w:ascii="Times New Roman" w:hAnsi="Times New Roman" w:eastAsia="宋体" w:cs="Times New Roman"/>
                <w:b/>
                <w:bCs/>
                <w:color w:val="auto"/>
                <w:spacing w:val="7"/>
                <w:sz w:val="21"/>
                <w:szCs w:val="21"/>
                <w:lang w:val="en-US" w:eastAsia="zh-CN"/>
              </w:rPr>
              <w:t>限值含义</w:t>
            </w:r>
          </w:p>
        </w:tc>
        <w:tc>
          <w:tcPr>
            <w:tcW w:w="13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rPr>
            </w:pPr>
            <w:r>
              <w:rPr>
                <w:rFonts w:hint="eastAsia" w:ascii="Times New Roman" w:hAnsi="Times New Roman" w:eastAsia="宋体" w:cs="Times New Roman"/>
                <w:b/>
                <w:bCs/>
                <w:color w:val="auto"/>
                <w:spacing w:val="7"/>
                <w:sz w:val="21"/>
                <w:szCs w:val="21"/>
                <w:lang w:val="en-US" w:eastAsia="zh-CN"/>
              </w:rPr>
              <w:t>无组织排放监控位置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89"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b w:val="0"/>
                <w:bCs w:val="0"/>
                <w:color w:val="auto"/>
                <w:spacing w:val="6"/>
                <w:sz w:val="21"/>
                <w:szCs w:val="21"/>
                <w:lang w:val="en-US" w:eastAsia="zh-CN"/>
              </w:rPr>
            </w:pPr>
            <w:r>
              <w:rPr>
                <w:rFonts w:hint="eastAsia" w:ascii="Times New Roman" w:hAnsi="Times New Roman" w:eastAsia="宋体" w:cs="Times New Roman"/>
                <w:snapToGrid w:val="0"/>
                <w:color w:val="auto"/>
                <w:kern w:val="0"/>
                <w:sz w:val="21"/>
                <w:szCs w:val="21"/>
                <w:lang w:val="en-US" w:eastAsia="zh-CN"/>
              </w:rPr>
              <w:t>NMHC</w:t>
            </w:r>
          </w:p>
        </w:tc>
        <w:tc>
          <w:tcPr>
            <w:tcW w:w="111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b w:val="0"/>
                <w:bCs w:val="0"/>
                <w:snapToGrid w:val="0"/>
                <w:color w:val="auto"/>
                <w:spacing w:val="7"/>
                <w:kern w:val="0"/>
                <w:sz w:val="21"/>
                <w:szCs w:val="21"/>
                <w:lang w:val="en-US" w:eastAsia="zh-CN" w:bidi="ar-SA"/>
              </w:rPr>
            </w:pPr>
            <w:r>
              <w:rPr>
                <w:rFonts w:hint="eastAsia" w:ascii="Times New Roman" w:hAnsi="Times New Roman" w:cs="Times New Roman"/>
                <w:b w:val="0"/>
                <w:bCs w:val="0"/>
                <w:color w:val="auto"/>
                <w:spacing w:val="7"/>
                <w:sz w:val="21"/>
                <w:szCs w:val="21"/>
                <w:lang w:val="en-US" w:eastAsia="zh-CN"/>
              </w:rPr>
              <w:t>10</w:t>
            </w:r>
          </w:p>
        </w:tc>
        <w:tc>
          <w:tcPr>
            <w:tcW w:w="147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val="0"/>
                <w:bCs w:val="0"/>
                <w:color w:val="auto"/>
                <w:spacing w:val="6"/>
                <w:sz w:val="21"/>
                <w:szCs w:val="21"/>
                <w:lang w:val="en-US" w:eastAsia="zh-CN"/>
              </w:rPr>
            </w:pPr>
            <w:r>
              <w:rPr>
                <w:rFonts w:hint="eastAsia" w:ascii="Times New Roman" w:hAnsi="Times New Roman" w:cs="Times New Roman"/>
                <w:b w:val="0"/>
                <w:bCs w:val="0"/>
                <w:color w:val="auto"/>
                <w:spacing w:val="6"/>
                <w:sz w:val="21"/>
                <w:szCs w:val="21"/>
                <w:lang w:val="en-US" w:eastAsia="zh-CN"/>
              </w:rPr>
              <w:t>监控点1h平均浓度值</w:t>
            </w:r>
          </w:p>
        </w:tc>
        <w:tc>
          <w:tcPr>
            <w:tcW w:w="1325"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color w:val="auto"/>
                <w:spacing w:val="2"/>
                <w:sz w:val="21"/>
                <w:szCs w:val="21"/>
                <w:lang w:val="en-US" w:eastAsia="zh-CN"/>
              </w:rPr>
            </w:pPr>
            <w:r>
              <w:rPr>
                <w:rFonts w:hint="eastAsia" w:ascii="Times New Roman" w:hAnsi="Times New Roman" w:cs="Times New Roman"/>
                <w:b w:val="0"/>
                <w:bCs w:val="0"/>
                <w:color w:val="auto"/>
                <w:spacing w:val="2"/>
                <w:sz w:val="21"/>
                <w:szCs w:val="21"/>
                <w:lang w:val="en-US" w:eastAsia="zh-CN"/>
              </w:rPr>
              <w:t>在厂房外设置监控点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89"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b w:val="0"/>
                <w:bCs w:val="0"/>
                <w:color w:val="auto"/>
                <w:spacing w:val="6"/>
                <w:sz w:val="21"/>
                <w:szCs w:val="21"/>
                <w:lang w:val="en-US" w:eastAsia="zh-CN"/>
              </w:rPr>
            </w:pPr>
          </w:p>
        </w:tc>
        <w:tc>
          <w:tcPr>
            <w:tcW w:w="111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b w:val="0"/>
                <w:bCs w:val="0"/>
                <w:snapToGrid w:val="0"/>
                <w:color w:val="auto"/>
                <w:spacing w:val="7"/>
                <w:kern w:val="0"/>
                <w:sz w:val="21"/>
                <w:szCs w:val="21"/>
                <w:lang w:val="en-US" w:eastAsia="zh-CN" w:bidi="ar-SA"/>
              </w:rPr>
            </w:pPr>
            <w:r>
              <w:rPr>
                <w:rFonts w:hint="eastAsia" w:ascii="Times New Roman" w:hAnsi="Times New Roman" w:cs="Times New Roman"/>
                <w:b w:val="0"/>
                <w:bCs w:val="0"/>
                <w:color w:val="auto"/>
                <w:spacing w:val="7"/>
                <w:sz w:val="21"/>
                <w:szCs w:val="21"/>
                <w:lang w:val="en-US" w:eastAsia="zh-CN"/>
              </w:rPr>
              <w:t>30</w:t>
            </w:r>
          </w:p>
        </w:tc>
        <w:tc>
          <w:tcPr>
            <w:tcW w:w="147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val="0"/>
                <w:bCs w:val="0"/>
                <w:color w:val="auto"/>
                <w:spacing w:val="6"/>
                <w:sz w:val="21"/>
                <w:szCs w:val="21"/>
                <w:lang w:val="en-US" w:eastAsia="zh-CN"/>
              </w:rPr>
            </w:pPr>
            <w:r>
              <w:rPr>
                <w:rFonts w:hint="eastAsia" w:ascii="Times New Roman" w:hAnsi="Times New Roman" w:cs="Times New Roman"/>
                <w:b w:val="0"/>
                <w:bCs w:val="0"/>
                <w:color w:val="auto"/>
                <w:spacing w:val="6"/>
                <w:sz w:val="21"/>
                <w:szCs w:val="21"/>
                <w:lang w:val="en-US" w:eastAsia="zh-CN"/>
              </w:rPr>
              <w:t>监控点任意一次浓度值</w:t>
            </w:r>
          </w:p>
        </w:tc>
        <w:tc>
          <w:tcPr>
            <w:tcW w:w="1325"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val="0"/>
                <w:bCs w:val="0"/>
                <w:color w:val="auto"/>
                <w:spacing w:val="2"/>
                <w:sz w:val="21"/>
                <w:szCs w:val="21"/>
              </w:rPr>
            </w:pP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right"/>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无组织</w:t>
      </w:r>
      <w:r>
        <w:rPr>
          <w:rFonts w:hint="eastAsia" w:ascii="Times New Roman" w:hAnsi="Times New Roman" w:eastAsia="宋体" w:cs="Times New Roman"/>
          <w:b/>
          <w:bCs/>
          <w:color w:val="auto"/>
          <w:spacing w:val="5"/>
          <w:sz w:val="24"/>
          <w:szCs w:val="24"/>
          <w:lang w:val="en-US" w:eastAsia="zh-CN"/>
        </w:rPr>
        <w:t>监控点挥发性有机物浓度</w:t>
      </w:r>
      <w:r>
        <w:rPr>
          <w:rFonts w:hint="default" w:ascii="Times New Roman" w:hAnsi="Times New Roman" w:eastAsia="宋体" w:cs="Times New Roman"/>
          <w:b/>
          <w:bCs/>
          <w:color w:val="auto"/>
          <w:spacing w:val="5"/>
          <w:sz w:val="24"/>
          <w:szCs w:val="24"/>
          <w:lang w:val="en-US" w:eastAsia="zh-CN"/>
        </w:rPr>
        <w:t>限值</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单位：mg/m</w:t>
      </w:r>
      <w:r>
        <w:rPr>
          <w:rFonts w:hint="default" w:ascii="Times New Roman" w:hAnsi="Times New Roman" w:eastAsia="宋体" w:cs="Times New Roman"/>
          <w:b/>
          <w:bCs/>
          <w:color w:val="auto"/>
          <w:spacing w:val="5"/>
          <w:sz w:val="24"/>
          <w:szCs w:val="24"/>
          <w:vertAlign w:val="superscript"/>
        </w:rPr>
        <w:t>3</w:t>
      </w: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137"/>
        <w:gridCol w:w="42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2475"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污染物项目</w:t>
            </w:r>
          </w:p>
        </w:tc>
        <w:tc>
          <w:tcPr>
            <w:tcW w:w="2524"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b/>
                <w:bCs/>
                <w:snapToGrid w:val="0"/>
                <w:color w:val="auto"/>
                <w:spacing w:val="7"/>
                <w:kern w:val="0"/>
                <w:sz w:val="21"/>
                <w:szCs w:val="21"/>
                <w:lang w:val="en-US" w:eastAsia="en-US" w:bidi="ar-SA"/>
              </w:rPr>
            </w:pPr>
            <w:r>
              <w:rPr>
                <w:rFonts w:hint="eastAsia" w:ascii="Times New Roman" w:hAnsi="Times New Roman" w:cs="Times New Roman"/>
                <w:b/>
                <w:bCs/>
                <w:color w:val="auto"/>
                <w:spacing w:val="7"/>
                <w:sz w:val="21"/>
                <w:szCs w:val="21"/>
                <w:lang w:val="en-US" w:eastAsia="zh-CN"/>
              </w:rPr>
              <w:t>浓度限值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2475"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7"/>
                <w:sz w:val="21"/>
                <w:szCs w:val="21"/>
              </w:rPr>
            </w:pPr>
          </w:p>
        </w:tc>
        <w:tc>
          <w:tcPr>
            <w:tcW w:w="2524"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cs="Times New Roman"/>
                <w:b/>
                <w:bCs/>
                <w:color w:val="auto"/>
                <w:spacing w:val="7"/>
                <w:sz w:val="21"/>
                <w:szCs w:val="21"/>
                <w:lang w:val="en-US" w:eastAsia="zh-CN"/>
              </w:rPr>
            </w:pPr>
            <w:r>
              <w:rPr>
                <w:rFonts w:hint="eastAsia" w:ascii="Times New Roman" w:hAnsi="Times New Roman" w:cs="Times New Roman"/>
                <w:b/>
                <w:bCs/>
                <w:color w:val="auto"/>
                <w:spacing w:val="7"/>
                <w:sz w:val="21"/>
                <w:szCs w:val="21"/>
                <w:lang w:val="en-US" w:eastAsia="zh-CN"/>
              </w:rPr>
              <w:t>厂界</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247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val="0"/>
                <w:bCs w:val="0"/>
                <w:color w:val="auto"/>
                <w:spacing w:val="6"/>
                <w:sz w:val="21"/>
                <w:szCs w:val="21"/>
                <w:lang w:val="en-US" w:eastAsia="zh-CN"/>
              </w:rPr>
            </w:pPr>
            <w:r>
              <w:rPr>
                <w:rFonts w:hint="eastAsia" w:ascii="Times New Roman" w:hAnsi="Times New Roman" w:cs="Times New Roman"/>
                <w:snapToGrid w:val="0"/>
                <w:color w:val="auto"/>
                <w:kern w:val="0"/>
                <w:sz w:val="21"/>
                <w:szCs w:val="21"/>
                <w:lang w:val="en-US" w:eastAsia="zh-CN"/>
              </w:rPr>
              <w:t>挥发性有机物</w:t>
            </w:r>
          </w:p>
        </w:tc>
        <w:tc>
          <w:tcPr>
            <w:tcW w:w="2524"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b w:val="0"/>
                <w:bCs w:val="0"/>
                <w:snapToGrid w:val="0"/>
                <w:color w:val="auto"/>
                <w:spacing w:val="7"/>
                <w:kern w:val="0"/>
                <w:sz w:val="21"/>
                <w:szCs w:val="21"/>
                <w:lang w:val="en-US" w:eastAsia="zh-CN" w:bidi="ar-SA"/>
              </w:rPr>
            </w:pPr>
            <w:r>
              <w:rPr>
                <w:rFonts w:hint="eastAsia" w:ascii="Times New Roman" w:hAnsi="Times New Roman" w:cs="Times New Roman"/>
                <w:b w:val="0"/>
                <w:bCs w:val="0"/>
                <w:color w:val="auto"/>
                <w:spacing w:val="7"/>
                <w:sz w:val="21"/>
                <w:szCs w:val="21"/>
                <w:lang w:val="en-US" w:eastAsia="zh-CN"/>
              </w:rPr>
              <w:t>4.0</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493"/>
        <w:textAlignment w:val="baseline"/>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2</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水污染物排放标准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cs="Times New Roman"/>
          <w:color w:val="auto"/>
          <w:szCs w:val="28"/>
          <w:u w:val="none" w:color="auto"/>
        </w:rPr>
        <w:t>鹿坪污水处理厂的纳污范围。项目</w:t>
      </w:r>
      <w:r>
        <w:rPr>
          <w:rFonts w:hint="eastAsia" w:ascii="Times New Roman" w:hAnsi="Times New Roman" w:eastAsia="宋体" w:cs="Times New Roman"/>
          <w:color w:val="auto"/>
          <w:szCs w:val="28"/>
          <w:u w:val="none" w:color="auto"/>
          <w:lang w:val="en-US" w:eastAsia="zh-CN"/>
        </w:rPr>
        <w:t>废水</w:t>
      </w:r>
      <w:r>
        <w:rPr>
          <w:rFonts w:hint="eastAsia" w:ascii="Times New Roman" w:hAnsi="Times New Roman" w:cs="Times New Roman"/>
          <w:color w:val="auto"/>
          <w:szCs w:val="28"/>
          <w:u w:val="none" w:color="auto"/>
        </w:rPr>
        <w:t>排放</w:t>
      </w:r>
      <w:r>
        <w:rPr>
          <w:rFonts w:hint="default" w:ascii="Times New Roman" w:hAnsi="Times New Roman" w:cs="Times New Roman"/>
          <w:color w:val="auto"/>
          <w:szCs w:val="28"/>
          <w:u w:val="none" w:color="auto"/>
        </w:rPr>
        <w:t>执行《污水综合排放标准》（GB8978-1996）中的三级标准</w:t>
      </w:r>
      <w:r>
        <w:rPr>
          <w:rFonts w:hint="eastAsia" w:ascii="Times New Roman" w:hAnsi="Times New Roman" w:cs="Times New Roman"/>
          <w:color w:val="auto"/>
          <w:szCs w:val="28"/>
          <w:u w:val="none" w:color="auto"/>
        </w:rPr>
        <w:t>及鹿坪污水处理厂纳污水质要求中的较严值</w:t>
      </w:r>
      <w:r>
        <w:rPr>
          <w:rFonts w:hint="default" w:ascii="Times New Roman" w:hAnsi="Times New Roman" w:cs="Times New Roman"/>
          <w:color w:val="auto"/>
          <w:szCs w:val="28"/>
          <w:u w:val="none" w:color="auto"/>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right"/>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 xml:space="preserve">废水排放执行标准  </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 xml:space="preserve">  单位：mg/L，pH除外</w:t>
      </w:r>
    </w:p>
    <w:tbl>
      <w:tblPr>
        <w:tblStyle w:val="2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828"/>
        <w:gridCol w:w="536"/>
        <w:gridCol w:w="651"/>
        <w:gridCol w:w="661"/>
        <w:gridCol w:w="671"/>
        <w:gridCol w:w="938"/>
        <w:gridCol w:w="10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98" w:type="pct"/>
            <w:vMerge w:val="restar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执行标准</w:t>
            </w:r>
          </w:p>
        </w:tc>
        <w:tc>
          <w:tcPr>
            <w:tcW w:w="2701" w:type="pct"/>
            <w:gridSpan w:val="6"/>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98" w:type="pct"/>
            <w:vMerge w:val="continue"/>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b/>
                <w:bCs/>
                <w:color w:val="auto"/>
                <w:sz w:val="21"/>
                <w:szCs w:val="21"/>
              </w:rPr>
            </w:pPr>
          </w:p>
        </w:tc>
        <w:tc>
          <w:tcPr>
            <w:tcW w:w="322"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pH</w:t>
            </w:r>
          </w:p>
        </w:tc>
        <w:tc>
          <w:tcPr>
            <w:tcW w:w="391" w:type="pct"/>
            <w:tcBorders>
              <w:tl2br w:val="nil"/>
              <w:tr2bl w:val="nil"/>
            </w:tcBorders>
            <w:noWrap w:val="0"/>
            <w:vAlign w:val="center"/>
          </w:tcPr>
          <w:p>
            <w:pPr>
              <w:pStyle w:val="35"/>
              <w:keepNext w:val="0"/>
              <w:keepLines w:val="0"/>
              <w:pageBreakBefore w:val="0"/>
              <w:widowControl w:val="0"/>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COD</w:t>
            </w:r>
            <w:r>
              <w:rPr>
                <w:rFonts w:hint="default" w:ascii="Times New Roman" w:hAnsi="Times New Roman" w:cs="Times New Roman"/>
                <w:b/>
                <w:bCs/>
                <w:color w:val="auto"/>
                <w:sz w:val="21"/>
                <w:szCs w:val="21"/>
                <w:vertAlign w:val="subscript"/>
              </w:rPr>
              <w:t>Cr</w:t>
            </w:r>
          </w:p>
        </w:tc>
        <w:tc>
          <w:tcPr>
            <w:tcW w:w="397" w:type="pct"/>
            <w:tcBorders>
              <w:tl2br w:val="nil"/>
              <w:tr2bl w:val="nil"/>
            </w:tcBorders>
            <w:noWrap w:val="0"/>
            <w:vAlign w:val="center"/>
          </w:tcPr>
          <w:p>
            <w:pPr>
              <w:pStyle w:val="35"/>
              <w:keepNext w:val="0"/>
              <w:keepLines w:val="0"/>
              <w:pageBreakBefore w:val="0"/>
              <w:widowControl w:val="0"/>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BOD</w:t>
            </w:r>
            <w:r>
              <w:rPr>
                <w:rFonts w:hint="default" w:ascii="Times New Roman" w:hAnsi="Times New Roman" w:cs="Times New Roman"/>
                <w:b/>
                <w:bCs/>
                <w:color w:val="auto"/>
                <w:sz w:val="21"/>
                <w:szCs w:val="21"/>
                <w:vertAlign w:val="subscript"/>
              </w:rPr>
              <w:t>5</w:t>
            </w:r>
          </w:p>
        </w:tc>
        <w:tc>
          <w:tcPr>
            <w:tcW w:w="403" w:type="pct"/>
            <w:tcBorders>
              <w:tl2br w:val="nil"/>
              <w:tr2bl w:val="nil"/>
            </w:tcBorders>
            <w:noWrap w:val="0"/>
            <w:vAlign w:val="center"/>
          </w:tcPr>
          <w:p>
            <w:pPr>
              <w:pStyle w:val="35"/>
              <w:keepNext w:val="0"/>
              <w:keepLines w:val="0"/>
              <w:pageBreakBefore w:val="0"/>
              <w:widowControl w:val="0"/>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SS</w:t>
            </w:r>
          </w:p>
        </w:tc>
        <w:tc>
          <w:tcPr>
            <w:tcW w:w="563" w:type="pct"/>
            <w:tcBorders>
              <w:tl2br w:val="nil"/>
              <w:tr2bl w:val="nil"/>
            </w:tcBorders>
            <w:noWrap w:val="0"/>
            <w:vAlign w:val="center"/>
          </w:tcPr>
          <w:p>
            <w:pPr>
              <w:pStyle w:val="35"/>
              <w:keepNext w:val="0"/>
              <w:keepLines w:val="0"/>
              <w:pageBreakBefore w:val="0"/>
              <w:widowControl w:val="0"/>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NH</w:t>
            </w:r>
            <w:r>
              <w:rPr>
                <w:rFonts w:hint="default" w:ascii="Times New Roman" w:hAnsi="Times New Roman" w:cs="Times New Roman"/>
                <w:b/>
                <w:bCs/>
                <w:color w:val="auto"/>
                <w:sz w:val="21"/>
                <w:szCs w:val="21"/>
                <w:vertAlign w:val="subscript"/>
              </w:rPr>
              <w:t>3</w:t>
            </w:r>
            <w:r>
              <w:rPr>
                <w:rFonts w:hint="default" w:ascii="Times New Roman" w:hAnsi="Times New Roman" w:cs="Times New Roman"/>
                <w:b/>
                <w:bCs/>
                <w:color w:val="auto"/>
                <w:sz w:val="21"/>
                <w:szCs w:val="21"/>
              </w:rPr>
              <w:t>-N</w:t>
            </w:r>
          </w:p>
        </w:tc>
        <w:tc>
          <w:tcPr>
            <w:tcW w:w="621" w:type="pct"/>
            <w:tcBorders>
              <w:tl2br w:val="nil"/>
              <w:tr2bl w:val="nil"/>
            </w:tcBorders>
            <w:noWrap w:val="0"/>
            <w:vAlign w:val="center"/>
          </w:tcPr>
          <w:p>
            <w:pPr>
              <w:pStyle w:val="35"/>
              <w:keepNext w:val="0"/>
              <w:keepLines w:val="0"/>
              <w:pageBreakBefore w:val="0"/>
              <w:widowControl w:val="0"/>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98"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snapToGrid w:val="0"/>
                <w:color w:val="auto"/>
                <w:kern w:val="0"/>
                <w:sz w:val="21"/>
                <w:szCs w:val="21"/>
              </w:rPr>
              <w:t>（GB8978-1996）</w:t>
            </w:r>
            <w:r>
              <w:rPr>
                <w:rFonts w:hint="default" w:ascii="Times New Roman" w:hAnsi="Times New Roman" w:eastAsia="宋体" w:cs="Times New Roman"/>
                <w:snapToGrid w:val="0"/>
                <w:color w:val="auto"/>
                <w:kern w:val="0"/>
                <w:sz w:val="21"/>
                <w:szCs w:val="21"/>
                <w:lang w:val="en-US" w:eastAsia="zh-CN"/>
              </w:rPr>
              <w:t>表4</w:t>
            </w:r>
            <w:r>
              <w:rPr>
                <w:rFonts w:hint="default" w:ascii="Times New Roman" w:hAnsi="Times New Roman" w:cs="Times New Roman"/>
                <w:snapToGrid w:val="0"/>
                <w:color w:val="auto"/>
                <w:kern w:val="0"/>
                <w:sz w:val="21"/>
                <w:szCs w:val="21"/>
              </w:rPr>
              <w:t>三级标准</w:t>
            </w:r>
          </w:p>
        </w:tc>
        <w:tc>
          <w:tcPr>
            <w:tcW w:w="322"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w:t>
            </w:r>
          </w:p>
        </w:tc>
        <w:tc>
          <w:tcPr>
            <w:tcW w:w="391"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w:t>
            </w:r>
          </w:p>
        </w:tc>
        <w:tc>
          <w:tcPr>
            <w:tcW w:w="397"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w:t>
            </w:r>
          </w:p>
        </w:tc>
        <w:tc>
          <w:tcPr>
            <w:tcW w:w="403"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400</w:t>
            </w:r>
          </w:p>
        </w:tc>
        <w:tc>
          <w:tcPr>
            <w:tcW w:w="563"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snapToGrid w:val="0"/>
                <w:color w:val="auto"/>
                <w:kern w:val="0"/>
                <w:sz w:val="21"/>
                <w:szCs w:val="21"/>
              </w:rPr>
              <w:t>/</w:t>
            </w:r>
          </w:p>
        </w:tc>
        <w:tc>
          <w:tcPr>
            <w:tcW w:w="621"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98"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鹿坪污水处理厂进水水质要求</w:t>
            </w:r>
          </w:p>
        </w:tc>
        <w:tc>
          <w:tcPr>
            <w:tcW w:w="322"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w:t>
            </w:r>
          </w:p>
        </w:tc>
        <w:tc>
          <w:tcPr>
            <w:tcW w:w="391"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350</w:t>
            </w:r>
          </w:p>
        </w:tc>
        <w:tc>
          <w:tcPr>
            <w:tcW w:w="397"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403"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w:t>
            </w:r>
          </w:p>
        </w:tc>
        <w:tc>
          <w:tcPr>
            <w:tcW w:w="563"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621"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98"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eastAsia" w:ascii="Times New Roman" w:hAnsi="Times New Roman" w:eastAsia="宋体" w:cs="Times New Roman"/>
                <w:color w:val="auto"/>
                <w:sz w:val="21"/>
                <w:szCs w:val="21"/>
                <w:lang w:val="en-US" w:eastAsia="zh-CN"/>
              </w:rPr>
              <w:t>废水</w:t>
            </w:r>
            <w:r>
              <w:rPr>
                <w:rFonts w:hint="default" w:ascii="Times New Roman" w:hAnsi="Times New Roman" w:cs="Times New Roman"/>
                <w:color w:val="auto"/>
                <w:sz w:val="21"/>
                <w:szCs w:val="21"/>
              </w:rPr>
              <w:t>外排执行标准限值</w:t>
            </w:r>
          </w:p>
        </w:tc>
        <w:tc>
          <w:tcPr>
            <w:tcW w:w="322"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w:t>
            </w:r>
          </w:p>
        </w:tc>
        <w:tc>
          <w:tcPr>
            <w:tcW w:w="391"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350</w:t>
            </w:r>
          </w:p>
        </w:tc>
        <w:tc>
          <w:tcPr>
            <w:tcW w:w="397"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403"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w:t>
            </w:r>
          </w:p>
        </w:tc>
        <w:tc>
          <w:tcPr>
            <w:tcW w:w="563"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621" w:type="pct"/>
            <w:tcBorders>
              <w:tl2br w:val="nil"/>
              <w:tr2bl w:val="nil"/>
            </w:tcBorders>
            <w:noWrap w:val="0"/>
            <w:vAlign w:val="center"/>
          </w:tcPr>
          <w:p>
            <w:pPr>
              <w:pStyle w:val="2"/>
              <w:keepNext w:val="0"/>
              <w:keepLines w:val="0"/>
              <w:pageBreakBefore w:val="0"/>
              <w:widowControl w:val="0"/>
              <w:kinsoku w:val="0"/>
              <w:wordWrap/>
              <w:overflowPunct/>
              <w:topLinePunct w:val="0"/>
              <w:autoSpaceDE w:val="0"/>
              <w:autoSpaceDN w:val="0"/>
              <w:bidi w:val="0"/>
              <w:adjustRightInd w:val="0"/>
              <w:snapToGrid w:val="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493"/>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（3）噪声控制标准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项目厂界噪声执行《工业企业厂界环境噪声排放标准》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GB12348-2008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3类标准，即昼间65dB</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A</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、夜间55dB</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A</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（4）固体废物</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危险废物执行</w:t>
      </w:r>
      <w:r>
        <w:rPr>
          <w:rFonts w:hint="eastAsia" w:ascii="Times New Roman" w:hAnsi="Times New Roman" w:eastAsia="宋体" w:cs="Times New Roman"/>
          <w:color w:val="auto"/>
          <w:szCs w:val="28"/>
          <w:u w:val="none" w:color="auto"/>
          <w:lang w:eastAsia="zh-CN"/>
        </w:rPr>
        <w:t>《危险废物贮存污染物控制标准》（GB18597-2023）</w:t>
      </w:r>
      <w:r>
        <w:rPr>
          <w:rFonts w:hint="default" w:ascii="Times New Roman" w:hAnsi="Times New Roman" w:cs="Times New Roman"/>
          <w:color w:val="auto"/>
          <w:szCs w:val="28"/>
          <w:u w:val="none" w:color="auto"/>
        </w:rPr>
        <w:t>。一般工业固体废物执行</w:t>
      </w:r>
      <w:r>
        <w:rPr>
          <w:rFonts w:hint="eastAsia" w:ascii="Times New Roman" w:hAnsi="Times New Roman" w:eastAsia="宋体" w:cs="Times New Roman"/>
          <w:color w:val="auto"/>
          <w:szCs w:val="28"/>
          <w:u w:val="none" w:color="auto"/>
          <w:lang w:eastAsia="zh-CN"/>
        </w:rPr>
        <w:t>《一般工业固体废物贮存和填埋污染控制标准》（GB18599-2020）</w:t>
      </w:r>
      <w:r>
        <w:rPr>
          <w:rFonts w:hint="default" w:ascii="Times New Roman" w:hAnsi="Times New Roman" w:cs="Times New Roman"/>
          <w:color w:val="auto"/>
          <w:szCs w:val="28"/>
          <w:u w:val="none" w:color="auto"/>
        </w:rPr>
        <w:t>。</w:t>
      </w:r>
    </w:p>
    <w:p>
      <w:pPr>
        <w:pStyle w:val="10"/>
        <w:bidi w:val="0"/>
        <w:spacing w:line="360" w:lineRule="auto"/>
        <w:rPr>
          <w:color w:val="auto"/>
          <w:sz w:val="32"/>
          <w:szCs w:val="32"/>
        </w:rPr>
      </w:pPr>
      <w:bookmarkStart w:id="23" w:name="bookmark24"/>
      <w:bookmarkEnd w:id="23"/>
      <w:bookmarkStart w:id="24" w:name="_Toc14502"/>
      <w:r>
        <w:rPr>
          <w:color w:val="auto"/>
          <w:sz w:val="32"/>
          <w:szCs w:val="32"/>
        </w:rPr>
        <w:t>评价等级及评价范围</w:t>
      </w:r>
      <w:bookmarkEnd w:id="24"/>
    </w:p>
    <w:p>
      <w:pPr>
        <w:pStyle w:val="11"/>
        <w:bidi w:val="0"/>
        <w:spacing w:line="360" w:lineRule="auto"/>
        <w:ind w:left="851" w:hanging="851"/>
        <w:rPr>
          <w:color w:val="auto"/>
          <w:sz w:val="30"/>
          <w:szCs w:val="30"/>
        </w:rPr>
      </w:pPr>
      <w:r>
        <w:rPr>
          <w:color w:val="auto"/>
          <w:sz w:val="30"/>
          <w:szCs w:val="30"/>
        </w:rPr>
        <w:t>评价等级</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（1）地表水环境</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w:t>
      </w:r>
      <w:r>
        <w:rPr>
          <w:rFonts w:hint="eastAsia" w:ascii="Times New Roman" w:hAnsi="Times New Roman" w:cs="Times New Roman"/>
          <w:color w:val="auto"/>
          <w:szCs w:val="28"/>
          <w:u w:val="none" w:color="auto"/>
          <w:lang w:val="en-US" w:eastAsia="zh-CN"/>
        </w:rPr>
        <w:t>食堂废水经隔油池处理，再与其他</w:t>
      </w:r>
      <w:r>
        <w:rPr>
          <w:rFonts w:hint="eastAsia"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废水经化粪池预处理</w:t>
      </w:r>
      <w:r>
        <w:rPr>
          <w:rFonts w:hint="eastAsia" w:ascii="Times New Roman" w:hAnsi="Times New Roman" w:eastAsia="宋体" w:cs="Times New Roman"/>
          <w:color w:val="auto"/>
          <w:szCs w:val="28"/>
          <w:u w:val="none" w:color="auto"/>
          <w:lang w:val="en-US" w:eastAsia="zh-CN"/>
        </w:rPr>
        <w:t>符合</w:t>
      </w:r>
      <w:r>
        <w:rPr>
          <w:rFonts w:hint="default" w:ascii="Times New Roman" w:hAnsi="Times New Roman" w:cs="Times New Roman"/>
          <w:color w:val="auto"/>
          <w:szCs w:val="28"/>
          <w:u w:val="none" w:color="auto"/>
        </w:rPr>
        <w:t>《污水综合排放标准》（GB8978-1996）表4三级标准</w:t>
      </w:r>
      <w:r>
        <w:rPr>
          <w:rFonts w:hint="eastAsia" w:ascii="Times New Roman" w:hAnsi="Times New Roman" w:cs="Times New Roman"/>
          <w:color w:val="auto"/>
          <w:szCs w:val="28"/>
          <w:u w:val="none" w:color="auto"/>
        </w:rPr>
        <w:t>及鹿坪污水处理厂进水水质标准</w:t>
      </w:r>
      <w:r>
        <w:rPr>
          <w:rFonts w:hint="eastAsia" w:ascii="Times New Roman" w:hAnsi="Times New Roman" w:eastAsia="宋体" w:cs="Times New Roman"/>
          <w:color w:val="auto"/>
          <w:szCs w:val="28"/>
          <w:u w:val="none" w:color="auto"/>
          <w:lang w:val="en-US" w:eastAsia="zh-CN"/>
        </w:rPr>
        <w:t>后</w:t>
      </w:r>
      <w:r>
        <w:rPr>
          <w:rFonts w:hint="default" w:ascii="Times New Roman" w:hAnsi="Times New Roman" w:cs="Times New Roman"/>
          <w:color w:val="auto"/>
          <w:szCs w:val="28"/>
          <w:u w:val="none" w:color="auto"/>
        </w:rPr>
        <w:t>排入市政污水管网</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纳入</w:t>
      </w:r>
      <w:r>
        <w:rPr>
          <w:rFonts w:hint="eastAsia" w:ascii="Times New Roman" w:hAnsi="Times New Roman" w:cs="Times New Roman"/>
          <w:color w:val="auto"/>
          <w:szCs w:val="28"/>
          <w:u w:val="none" w:color="auto"/>
        </w:rPr>
        <w:t>鹿坪污水处理厂</w:t>
      </w:r>
      <w:r>
        <w:rPr>
          <w:rFonts w:hint="eastAsia" w:ascii="Times New Roman" w:hAnsi="Times New Roman" w:cs="Times New Roman"/>
          <w:color w:val="auto"/>
          <w:szCs w:val="28"/>
          <w:u w:val="none" w:color="auto"/>
          <w:lang w:val="en-US" w:eastAsia="zh-CN"/>
        </w:rPr>
        <w:t>综合处理后外排。</w:t>
      </w:r>
      <w:r>
        <w:rPr>
          <w:rFonts w:hint="default" w:ascii="Times New Roman" w:hAnsi="Times New Roman" w:cs="Times New Roman"/>
          <w:color w:val="auto"/>
          <w:szCs w:val="28"/>
          <w:u w:val="none" w:color="auto"/>
        </w:rPr>
        <w:t>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地表水环境》（HJ2.3-2018）的评价工作等级确定要求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详见下表，本项目属于间接排放建设项目，其评价等级为三级B。</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水污染影响型建设项目评价等级判定</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360"/>
        <w:gridCol w:w="2564"/>
        <w:gridCol w:w="340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7"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评价等级</w:t>
            </w:r>
          </w:p>
        </w:tc>
        <w:tc>
          <w:tcPr>
            <w:tcW w:w="3582"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判定依据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5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排放方式</w:t>
            </w:r>
          </w:p>
        </w:tc>
        <w:tc>
          <w:tcPr>
            <w:tcW w:w="20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position w:val="2"/>
                <w:sz w:val="21"/>
                <w:szCs w:val="21"/>
              </w:rPr>
              <w:t>废水排放量</w:t>
            </w:r>
            <w:r>
              <w:rPr>
                <w:rFonts w:hint="default" w:ascii="Times New Roman" w:hAnsi="Times New Roman" w:eastAsia="Calibri" w:cs="Times New Roman"/>
                <w:b/>
                <w:bCs/>
                <w:color w:val="auto"/>
                <w:spacing w:val="3"/>
                <w:position w:val="2"/>
                <w:sz w:val="21"/>
                <w:szCs w:val="21"/>
              </w:rPr>
              <w:t>Q/</w:t>
            </w:r>
            <w:r>
              <w:rPr>
                <w:rFonts w:hint="default" w:ascii="Times New Roman" w:hAnsi="Times New Roman" w:cs="Times New Roman"/>
                <w:b/>
                <w:bCs/>
                <w:color w:val="auto"/>
                <w:spacing w:val="3"/>
                <w:position w:val="2"/>
                <w:sz w:val="21"/>
                <w:szCs w:val="21"/>
              </w:rPr>
              <w:t>（</w:t>
            </w:r>
            <w:r>
              <w:rPr>
                <w:rFonts w:hint="default" w:ascii="Times New Roman" w:hAnsi="Times New Roman" w:eastAsia="Calibri" w:cs="Times New Roman"/>
                <w:b/>
                <w:bCs/>
                <w:color w:val="auto"/>
                <w:spacing w:val="3"/>
                <w:position w:val="2"/>
                <w:sz w:val="21"/>
                <w:szCs w:val="21"/>
              </w:rPr>
              <w:t>m</w:t>
            </w:r>
            <w:r>
              <w:rPr>
                <w:rFonts w:hint="default" w:ascii="Times New Roman" w:hAnsi="Times New Roman" w:eastAsia="Calibri" w:cs="Times New Roman"/>
                <w:b/>
                <w:bCs/>
                <w:color w:val="auto"/>
                <w:spacing w:val="3"/>
                <w:position w:val="2"/>
                <w:sz w:val="21"/>
                <w:szCs w:val="21"/>
                <w:vertAlign w:val="superscript"/>
              </w:rPr>
              <w:t>3</w:t>
            </w:r>
            <w:r>
              <w:rPr>
                <w:rFonts w:hint="default" w:ascii="Times New Roman" w:hAnsi="Times New Roman" w:eastAsia="Calibri" w:cs="Times New Roman"/>
                <w:b/>
                <w:bCs/>
                <w:color w:val="auto"/>
                <w:spacing w:val="3"/>
                <w:position w:val="2"/>
                <w:sz w:val="21"/>
                <w:szCs w:val="21"/>
              </w:rPr>
              <w:t>/d</w:t>
            </w:r>
            <w:r>
              <w:rPr>
                <w:rFonts w:hint="default" w:ascii="Times New Roman" w:hAnsi="Times New Roman" w:cs="Times New Roman"/>
                <w:b/>
                <w:bCs/>
                <w:color w:val="auto"/>
                <w:spacing w:val="3"/>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5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20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position w:val="2"/>
                <w:sz w:val="21"/>
                <w:szCs w:val="21"/>
              </w:rPr>
              <w:t>水污染物当量数</w:t>
            </w:r>
            <w:r>
              <w:rPr>
                <w:rFonts w:hint="default" w:ascii="Times New Roman" w:hAnsi="Times New Roman" w:eastAsia="Calibri" w:cs="Times New Roman"/>
                <w:b/>
                <w:bCs/>
                <w:color w:val="auto"/>
                <w:spacing w:val="6"/>
                <w:position w:val="2"/>
                <w:sz w:val="21"/>
                <w:szCs w:val="21"/>
              </w:rPr>
              <w:t>W/</w:t>
            </w:r>
            <w:r>
              <w:rPr>
                <w:rFonts w:hint="default" w:ascii="Times New Roman" w:hAnsi="Times New Roman" w:cs="Times New Roman"/>
                <w:b/>
                <w:bCs/>
                <w:color w:val="auto"/>
                <w:spacing w:val="6"/>
                <w:position w:val="2"/>
                <w:sz w:val="21"/>
                <w:szCs w:val="21"/>
              </w:rPr>
              <w:t>（无量纲）</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一级</w:t>
            </w:r>
          </w:p>
        </w:tc>
        <w:tc>
          <w:tcPr>
            <w:tcW w:w="15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直接排放</w:t>
            </w:r>
          </w:p>
        </w:tc>
        <w:tc>
          <w:tcPr>
            <w:tcW w:w="20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Q≥20000</w:t>
            </w:r>
            <w:r>
              <w:rPr>
                <w:rFonts w:hint="default" w:ascii="Times New Roman" w:hAnsi="Times New Roman" w:cs="Times New Roman"/>
                <w:color w:val="auto"/>
                <w:spacing w:val="4"/>
                <w:sz w:val="21"/>
                <w:szCs w:val="21"/>
              </w:rPr>
              <w:t>或</w:t>
            </w:r>
            <w:r>
              <w:rPr>
                <w:rFonts w:hint="default" w:ascii="Times New Roman" w:hAnsi="Times New Roman" w:eastAsia="Calibri" w:cs="Times New Roman"/>
                <w:color w:val="auto"/>
                <w:spacing w:val="4"/>
                <w:sz w:val="21"/>
                <w:szCs w:val="21"/>
              </w:rPr>
              <w:t>W≥600000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二级</w:t>
            </w:r>
          </w:p>
        </w:tc>
        <w:tc>
          <w:tcPr>
            <w:tcW w:w="15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直接排放</w:t>
            </w:r>
          </w:p>
        </w:tc>
        <w:tc>
          <w:tcPr>
            <w:tcW w:w="20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其他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三级</w:t>
            </w:r>
            <w:r>
              <w:rPr>
                <w:rFonts w:hint="default" w:ascii="Times New Roman" w:hAnsi="Times New Roman" w:eastAsia="Calibri" w:cs="Times New Roman"/>
                <w:color w:val="auto"/>
                <w:spacing w:val="3"/>
                <w:sz w:val="21"/>
                <w:szCs w:val="21"/>
              </w:rPr>
              <w:t>A</w:t>
            </w:r>
          </w:p>
        </w:tc>
        <w:tc>
          <w:tcPr>
            <w:tcW w:w="15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直接排放</w:t>
            </w:r>
          </w:p>
        </w:tc>
        <w:tc>
          <w:tcPr>
            <w:tcW w:w="20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Q</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200</w:t>
            </w:r>
            <w:r>
              <w:rPr>
                <w:rFonts w:hint="default" w:ascii="Times New Roman" w:hAnsi="Times New Roman" w:cs="Times New Roman"/>
                <w:color w:val="auto"/>
                <w:spacing w:val="4"/>
                <w:sz w:val="21"/>
                <w:szCs w:val="21"/>
              </w:rPr>
              <w:t>且</w:t>
            </w:r>
            <w:r>
              <w:rPr>
                <w:rFonts w:hint="default" w:ascii="Times New Roman" w:hAnsi="Times New Roman" w:eastAsia="Calibri" w:cs="Times New Roman"/>
                <w:color w:val="auto"/>
                <w:spacing w:val="4"/>
                <w:sz w:val="21"/>
                <w:szCs w:val="21"/>
              </w:rPr>
              <w:t>W</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6000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三级</w:t>
            </w:r>
            <w:r>
              <w:rPr>
                <w:rFonts w:hint="default" w:ascii="Times New Roman" w:hAnsi="Times New Roman" w:eastAsia="Calibri" w:cs="Times New Roman"/>
                <w:color w:val="auto"/>
                <w:spacing w:val="3"/>
                <w:sz w:val="21"/>
                <w:szCs w:val="21"/>
              </w:rPr>
              <w:t>B</w:t>
            </w:r>
          </w:p>
        </w:tc>
        <w:tc>
          <w:tcPr>
            <w:tcW w:w="15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间接排放</w:t>
            </w:r>
          </w:p>
        </w:tc>
        <w:tc>
          <w:tcPr>
            <w:tcW w:w="204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position w:val="-2"/>
                <w:sz w:val="21"/>
                <w:szCs w:val="21"/>
              </w:rPr>
              <w:t>—</w:t>
            </w:r>
          </w:p>
        </w:tc>
      </w:tr>
    </w:tbl>
    <w:p>
      <w:pPr>
        <w:keepNext w:val="0"/>
        <w:keepLines w:val="0"/>
        <w:pageBreakBefore w:val="0"/>
        <w:widowControl/>
        <w:kinsoku w:val="0"/>
        <w:wordWrap/>
        <w:overflowPunct/>
        <w:topLinePunct w:val="0"/>
        <w:autoSpaceDE w:val="0"/>
        <w:autoSpaceDN w:val="0"/>
        <w:bidi w:val="0"/>
        <w:adjustRightInd w:val="0"/>
        <w:snapToGrid w:val="0"/>
        <w:spacing w:before="157" w:line="360" w:lineRule="auto"/>
        <w:ind w:left="493"/>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（2）大气环境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本项目排放的大气污染物主要为</w:t>
      </w:r>
      <w:r>
        <w:rPr>
          <w:rFonts w:hint="eastAsia" w:ascii="Times New Roman" w:hAnsi="Times New Roman" w:cs="Times New Roman"/>
          <w:color w:val="auto"/>
          <w:szCs w:val="28"/>
          <w:u w:val="none" w:color="auto"/>
        </w:rPr>
        <w:t>生产过程中产生的有机废气</w:t>
      </w:r>
      <w:r>
        <w:rPr>
          <w:rFonts w:hint="eastAsia" w:ascii="Times New Roman" w:hAnsi="Times New Roman" w:eastAsia="宋体" w:cs="Times New Roman"/>
          <w:color w:val="auto"/>
          <w:szCs w:val="28"/>
          <w:u w:val="none" w:color="auto"/>
          <w:lang w:val="en-US" w:eastAsia="zh-CN"/>
        </w:rPr>
        <w:t>及天然气燃烧废气</w:t>
      </w:r>
      <w:r>
        <w:rPr>
          <w:rFonts w:hint="default" w:ascii="Times New Roman" w:hAnsi="Times New Roman" w:cs="Times New Roman"/>
          <w:color w:val="auto"/>
          <w:szCs w:val="28"/>
          <w:u w:val="none" w:color="auto"/>
        </w:rPr>
        <w:t>。根据《环境影响评价技术导则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大气环境》（HJ2.2-2018）中评价等级的划分方法，采用《导则》附录A中推荐的AERSCREEN模型中估算模型分别计算项目排放主要污染物的最大地面空气质量浓度占标率Pi（第i个污染物，简称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最大浓度占标率</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），及第i个污染物的地面空气质量浓度达到标准值的10%时所对应的最远距离D10%。其中Pi定义见下公式：</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0"/>
        <w:jc w:val="center"/>
        <w:textAlignment w:val="baseline"/>
        <w:rPr>
          <w:color w:val="auto"/>
        </w:rPr>
      </w:pPr>
      <w:r>
        <w:rPr>
          <w:color w:val="auto"/>
        </w:rPr>
        <w:drawing>
          <wp:inline distT="0" distB="0" distL="114300" distR="114300">
            <wp:extent cx="1190625" cy="477520"/>
            <wp:effectExtent l="0" t="0" r="0" b="17780"/>
            <wp:docPr id="81" name="图片 8" descr="环境影响评价技术导则 大气环境 2018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 descr="环境影响评价技术导则 大气环境 2018 -9"/>
                    <pic:cNvPicPr>
                      <a:picLocks noChangeAspect="true"/>
                    </pic:cNvPicPr>
                  </pic:nvPicPr>
                  <pic:blipFill>
                    <a:blip r:embed="rId16"/>
                    <a:stretch>
                      <a:fillRect/>
                    </a:stretch>
                  </pic:blipFill>
                  <pic:spPr>
                    <a:xfrm>
                      <a:off x="0" y="0"/>
                      <a:ext cx="1190625" cy="477520"/>
                    </a:xfrm>
                    <a:prstGeom prst="rect">
                      <a:avLst/>
                    </a:prstGeom>
                    <a:noFill/>
                    <a:ln>
                      <a:noFill/>
                    </a:ln>
                  </pic:spPr>
                </pic:pic>
              </a:graphicData>
            </a:graphic>
          </wp:inline>
        </w:drawing>
      </w:r>
    </w:p>
    <w:p>
      <w:pPr>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w:t>
      </w:r>
      <w:r>
        <w:rPr>
          <w:rFonts w:hint="default" w:ascii="Times New Roman" w:hAnsi="Times New Roman" w:cs="Times New Roman" w:eastAsiaTheme="minorEastAsia"/>
          <w:i/>
          <w:iCs/>
          <w:color w:val="auto"/>
          <w:sz w:val="24"/>
          <w:szCs w:val="24"/>
        </w:rPr>
        <w:t>P</w:t>
      </w:r>
      <w:r>
        <w:rPr>
          <w:rFonts w:hint="default" w:ascii="Times New Roman" w:hAnsi="Times New Roman" w:cs="Times New Roman" w:eastAsiaTheme="minorEastAsia"/>
          <w:i/>
          <w:iCs/>
          <w:color w:val="auto"/>
          <w:sz w:val="24"/>
          <w:szCs w:val="24"/>
          <w:vertAlign w:val="subscript"/>
        </w:rPr>
        <w:t>i</w:t>
      </w:r>
      <w:r>
        <w:rPr>
          <w:rFonts w:hint="default" w:ascii="Times New Roman" w:hAnsi="Times New Roman" w:cs="Times New Roman" w:eastAsiaTheme="minorEastAsia"/>
          <w:color w:val="auto"/>
          <w:sz w:val="24"/>
          <w:szCs w:val="24"/>
        </w:rPr>
        <w:t>—第</w:t>
      </w:r>
      <w:r>
        <w:rPr>
          <w:rFonts w:hint="default" w:ascii="Times New Roman" w:hAnsi="Times New Roman" w:cs="Times New Roman" w:eastAsiaTheme="minorEastAsia"/>
          <w:i/>
          <w:iCs/>
          <w:color w:val="auto"/>
          <w:sz w:val="24"/>
          <w:szCs w:val="24"/>
        </w:rPr>
        <w:t>i</w:t>
      </w:r>
      <w:r>
        <w:rPr>
          <w:rFonts w:hint="default" w:ascii="Times New Roman" w:hAnsi="Times New Roman" w:cs="Times New Roman" w:eastAsiaTheme="minorEastAsia"/>
          <w:color w:val="auto"/>
          <w:sz w:val="24"/>
          <w:szCs w:val="24"/>
        </w:rPr>
        <w:t>个污染物的最大地面空气的质量浓度占标率，</w:t>
      </w:r>
      <w:r>
        <w:rPr>
          <w:rFonts w:hint="eastAsia" w:ascii="Times New Roman" w:hAnsi="Times New Roman" w:cs="Times New Roman" w:eastAsiaTheme="minorEastAsia"/>
          <w:color w:val="auto"/>
          <w:sz w:val="24"/>
          <w:szCs w:val="24"/>
          <w:lang w:val="en-US" w:eastAsia="zh-CN"/>
        </w:rPr>
        <w:t>%</w:t>
      </w:r>
    </w:p>
    <w:p>
      <w:pPr>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i/>
          <w:iCs/>
          <w:color w:val="auto"/>
          <w:sz w:val="24"/>
          <w:szCs w:val="24"/>
        </w:rPr>
        <w:t>C</w:t>
      </w:r>
      <w:r>
        <w:rPr>
          <w:rFonts w:hint="default" w:ascii="Times New Roman" w:hAnsi="Times New Roman" w:cs="Times New Roman" w:eastAsiaTheme="minorEastAsia"/>
          <w:i/>
          <w:iCs/>
          <w:color w:val="auto"/>
          <w:sz w:val="24"/>
          <w:szCs w:val="24"/>
          <w:vertAlign w:val="subscript"/>
        </w:rPr>
        <w:t>i</w:t>
      </w:r>
      <w:r>
        <w:rPr>
          <w:rFonts w:hint="default" w:ascii="Times New Roman" w:hAnsi="Times New Roman" w:cs="Times New Roman" w:eastAsiaTheme="minorEastAsia"/>
          <w:color w:val="auto"/>
          <w:sz w:val="24"/>
          <w:szCs w:val="24"/>
        </w:rPr>
        <w:t>—采用估算模式计算出的第</w:t>
      </w:r>
      <w:r>
        <w:rPr>
          <w:rFonts w:hint="default" w:ascii="Times New Roman" w:hAnsi="Times New Roman" w:cs="Times New Roman" w:eastAsiaTheme="minorEastAsia"/>
          <w:i/>
          <w:iCs/>
          <w:color w:val="auto"/>
          <w:sz w:val="24"/>
          <w:szCs w:val="24"/>
        </w:rPr>
        <w:t>i</w:t>
      </w:r>
      <w:r>
        <w:rPr>
          <w:rFonts w:hint="default" w:ascii="Times New Roman" w:hAnsi="Times New Roman" w:cs="Times New Roman" w:eastAsiaTheme="minorEastAsia"/>
          <w:color w:val="auto"/>
          <w:sz w:val="24"/>
          <w:szCs w:val="24"/>
        </w:rPr>
        <w:t>个污染物的最大1h地面空气质量浓度</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1200" w:firstLineChars="500"/>
        <w:jc w:val="both"/>
        <w:textAlignment w:val="baseline"/>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i/>
          <w:iCs/>
          <w:color w:val="auto"/>
          <w:sz w:val="24"/>
          <w:szCs w:val="24"/>
        </w:rPr>
        <w:t>C</w:t>
      </w:r>
      <w:r>
        <w:rPr>
          <w:rFonts w:hint="default" w:ascii="Times New Roman" w:hAnsi="Times New Roman" w:cs="Times New Roman" w:eastAsiaTheme="minorEastAsia"/>
          <w:i/>
          <w:iCs/>
          <w:color w:val="auto"/>
          <w:sz w:val="24"/>
          <w:szCs w:val="24"/>
          <w:vertAlign w:val="subscript"/>
        </w:rPr>
        <w:t>0i</w:t>
      </w:r>
      <w:r>
        <w:rPr>
          <w:rFonts w:hint="default" w:ascii="Times New Roman" w:hAnsi="Times New Roman" w:cs="Times New Roman" w:eastAsiaTheme="minorEastAsia"/>
          <w:color w:val="auto"/>
          <w:sz w:val="24"/>
          <w:szCs w:val="24"/>
        </w:rPr>
        <w:t>—第i个污染物的环境空气质量标准，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评价等级按下表的分级判据进行划分。</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评价等级判别表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128"/>
        <w:gridCol w:w="419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评价工作等级</w:t>
            </w:r>
          </w:p>
        </w:tc>
        <w:tc>
          <w:tcPr>
            <w:tcW w:w="25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一级评价</w:t>
            </w:r>
          </w:p>
        </w:tc>
        <w:tc>
          <w:tcPr>
            <w:tcW w:w="25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position w:val="1"/>
                <w:sz w:val="21"/>
                <w:szCs w:val="21"/>
              </w:rPr>
              <w:t>Pmax</w:t>
            </w:r>
            <w:r>
              <w:rPr>
                <w:rFonts w:hint="default" w:ascii="Times New Roman" w:hAnsi="Times New Roman" w:cs="Times New Roman"/>
                <w:color w:val="auto"/>
                <w:spacing w:val="7"/>
                <w:position w:val="1"/>
                <w:sz w:val="21"/>
                <w:szCs w:val="21"/>
              </w:rPr>
              <w:t>≧</w:t>
            </w:r>
            <w:r>
              <w:rPr>
                <w:rFonts w:hint="default" w:ascii="Times New Roman" w:hAnsi="Times New Roman" w:eastAsia="Calibri" w:cs="Times New Roman"/>
                <w:color w:val="auto"/>
                <w:spacing w:val="7"/>
                <w:position w:val="1"/>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二级评价</w:t>
            </w:r>
          </w:p>
        </w:tc>
        <w:tc>
          <w:tcPr>
            <w:tcW w:w="25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position w:val="1"/>
                <w:sz w:val="21"/>
                <w:szCs w:val="21"/>
              </w:rPr>
              <w:t>1%</w:t>
            </w:r>
            <w:r>
              <w:rPr>
                <w:rFonts w:hint="default" w:ascii="Times New Roman" w:hAnsi="Times New Roman" w:cs="Times New Roman"/>
                <w:color w:val="auto"/>
                <w:spacing w:val="6"/>
                <w:position w:val="1"/>
                <w:sz w:val="21"/>
                <w:szCs w:val="21"/>
              </w:rPr>
              <w:t>≦</w:t>
            </w:r>
            <w:r>
              <w:rPr>
                <w:rFonts w:hint="default" w:ascii="Times New Roman" w:hAnsi="Times New Roman" w:eastAsia="Calibri" w:cs="Times New Roman"/>
                <w:color w:val="auto"/>
                <w:position w:val="1"/>
                <w:sz w:val="21"/>
                <w:szCs w:val="21"/>
              </w:rPr>
              <w:t>Pmax</w:t>
            </w:r>
            <w:r>
              <w:rPr>
                <w:rFonts w:hint="default" w:ascii="Times New Roman" w:hAnsi="Times New Roman" w:eastAsia="Calibri" w:cs="Times New Roman"/>
                <w:color w:val="auto"/>
                <w:spacing w:val="6"/>
                <w:position w:val="1"/>
                <w:sz w:val="21"/>
                <w:szCs w:val="21"/>
              </w:rPr>
              <w:t>&lt;10%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三级评价</w:t>
            </w:r>
          </w:p>
        </w:tc>
        <w:tc>
          <w:tcPr>
            <w:tcW w:w="25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Pmax</w:t>
            </w:r>
            <w:r>
              <w:rPr>
                <w:rFonts w:hint="default" w:ascii="Times New Roman" w:hAnsi="Times New Roman" w:eastAsia="Calibri" w:cs="Times New Roman"/>
                <w:color w:val="auto"/>
                <w:spacing w:val="6"/>
                <w:sz w:val="21"/>
                <w:szCs w:val="21"/>
              </w:rPr>
              <w:t>&lt;1%</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依据《环境影响评价技术导则</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rPr>
        <w:t>大气环境》</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rPr>
        <w:t>HJ2.2-2018</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rPr>
        <w:t>中5.3节工作等级的确定方法，结合项目工程分析结果，选择正常排放的主要污染物及排放参数，采用附录A推荐模型中的AERSCREEN模式计算项目污染源的最大环境影响，并考虑地形影响，具体选择参数见下表。</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估算模型参数表</w:t>
      </w:r>
    </w:p>
    <w:tbl>
      <w:tblPr>
        <w:tblStyle w:val="2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89"/>
        <w:gridCol w:w="2343"/>
        <w:gridCol w:w="41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44"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参数</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8"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城市农村/选项</w:t>
            </w:r>
          </w:p>
        </w:tc>
        <w:tc>
          <w:tcPr>
            <w:tcW w:w="13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城市/农村</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8"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13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人口数（城市人口数）</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335900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44"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最高环境温度</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44"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最低环境温度</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44"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土地利用类型</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44"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区域湿度条件</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潮湿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8"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是否考虑地形</w:t>
            </w:r>
          </w:p>
        </w:tc>
        <w:tc>
          <w:tcPr>
            <w:tcW w:w="13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考虑地形</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8"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13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地形数据分辨率（m）</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8"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是否考虑岸线熏烟</w:t>
            </w:r>
          </w:p>
        </w:tc>
        <w:tc>
          <w:tcPr>
            <w:tcW w:w="13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考虑岸线熏烟</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8"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13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岸线距离/km</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8"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13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岸线方向/o</w:t>
            </w:r>
          </w:p>
        </w:tc>
        <w:tc>
          <w:tcPr>
            <w:tcW w:w="245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环境空气等级划分表（Pmax和D10%预测和计算结果一览表）</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397"/>
        <w:gridCol w:w="1405"/>
        <w:gridCol w:w="1322"/>
        <w:gridCol w:w="1421"/>
        <w:gridCol w:w="14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污染源名称</w:t>
            </w:r>
          </w:p>
        </w:tc>
        <w:tc>
          <w:tcPr>
            <w:tcW w:w="82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评价因子</w:t>
            </w:r>
          </w:p>
        </w:tc>
        <w:tc>
          <w:tcPr>
            <w:tcW w:w="82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评价标准</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μg/m³</w:t>
            </w:r>
            <w:r>
              <w:rPr>
                <w:rFonts w:hint="default" w:ascii="Times New Roman" w:hAnsi="Times New Roman" w:eastAsia="宋体" w:cs="Times New Roman"/>
                <w:color w:val="auto"/>
                <w:kern w:val="0"/>
                <w:sz w:val="21"/>
                <w:szCs w:val="21"/>
                <w:highlight w:val="none"/>
                <w:lang w:eastAsia="zh-CN"/>
              </w:rPr>
              <w:t>）</w:t>
            </w:r>
          </w:p>
        </w:tc>
        <w:tc>
          <w:tcPr>
            <w:tcW w:w="7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Cmax</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μg/m³</w:t>
            </w:r>
            <w:r>
              <w:rPr>
                <w:rFonts w:hint="default" w:ascii="Times New Roman" w:hAnsi="Times New Roman" w:eastAsia="宋体" w:cs="Times New Roman"/>
                <w:color w:val="auto"/>
                <w:kern w:val="0"/>
                <w:sz w:val="21"/>
                <w:szCs w:val="21"/>
                <w:highlight w:val="none"/>
                <w:lang w:eastAsia="zh-CN"/>
              </w:rPr>
              <w:t>）</w:t>
            </w:r>
          </w:p>
        </w:tc>
        <w:tc>
          <w:tcPr>
            <w:tcW w:w="83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rPr>
              <w:t>Pmax</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eastAsia="zh-CN"/>
              </w:rPr>
              <w:t>）</w:t>
            </w:r>
          </w:p>
        </w:tc>
        <w:tc>
          <w:tcPr>
            <w:tcW w:w="83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rPr>
              <w:t>D10%</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DA001排气筒</w:t>
            </w:r>
          </w:p>
        </w:tc>
        <w:tc>
          <w:tcPr>
            <w:tcW w:w="82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Cs w:val="28"/>
                <w:u w:val="none" w:color="auto"/>
                <w:lang w:val="en-US" w:eastAsia="zh-CN"/>
              </w:rPr>
              <w:t>NMHC</w:t>
            </w:r>
          </w:p>
        </w:tc>
        <w:tc>
          <w:tcPr>
            <w:tcW w:w="825"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1200</w:t>
            </w:r>
          </w:p>
        </w:tc>
        <w:tc>
          <w:tcPr>
            <w:tcW w:w="7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sz w:val="21"/>
                <w:szCs w:val="21"/>
                <w:highlight w:val="none"/>
                <w:lang w:val="en-US" w:eastAsia="zh-CN"/>
              </w:rPr>
              <w:t>265</w:t>
            </w:r>
          </w:p>
        </w:tc>
        <w:tc>
          <w:tcPr>
            <w:tcW w:w="834"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22.09</w:t>
            </w:r>
          </w:p>
        </w:tc>
        <w:tc>
          <w:tcPr>
            <w:tcW w:w="832"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265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DA001排气筒</w:t>
            </w:r>
          </w:p>
        </w:tc>
        <w:tc>
          <w:tcPr>
            <w:tcW w:w="82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ascii="TimesNewRomanPSMT" w:hAnsi="TimesNewRomanPSMT" w:eastAsia="TimesNewRomanPSMT" w:cs="TimesNewRomanPSMT"/>
                <w:b w:val="0"/>
                <w:bCs w:val="0"/>
                <w:color w:val="auto"/>
                <w:sz w:val="21"/>
                <w:szCs w:val="21"/>
                <w:highlight w:val="none"/>
              </w:rPr>
              <w:t>SO₂</w:t>
            </w:r>
          </w:p>
        </w:tc>
        <w:tc>
          <w:tcPr>
            <w:tcW w:w="825"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500</w:t>
            </w:r>
          </w:p>
        </w:tc>
        <w:tc>
          <w:tcPr>
            <w:tcW w:w="7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sz w:val="21"/>
                <w:szCs w:val="21"/>
                <w:highlight w:val="none"/>
                <w:lang w:val="en-US" w:eastAsia="zh-CN"/>
              </w:rPr>
              <w:t>0.372</w:t>
            </w:r>
          </w:p>
        </w:tc>
        <w:tc>
          <w:tcPr>
            <w:tcW w:w="834"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0.07</w:t>
            </w:r>
          </w:p>
        </w:tc>
        <w:tc>
          <w:tcPr>
            <w:tcW w:w="832"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DA001排气筒</w:t>
            </w:r>
          </w:p>
        </w:tc>
        <w:tc>
          <w:tcPr>
            <w:tcW w:w="82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ascii="TimesNewRomanPSMT" w:hAnsi="TimesNewRomanPSMT" w:eastAsia="TimesNewRomanPSMT" w:cs="TimesNewRomanPSMT"/>
                <w:b w:val="0"/>
                <w:bCs w:val="0"/>
                <w:color w:val="auto"/>
                <w:sz w:val="21"/>
                <w:szCs w:val="21"/>
                <w:highlight w:val="none"/>
              </w:rPr>
              <w:t>NOx</w:t>
            </w:r>
          </w:p>
        </w:tc>
        <w:tc>
          <w:tcPr>
            <w:tcW w:w="825"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250</w:t>
            </w:r>
          </w:p>
        </w:tc>
        <w:tc>
          <w:tcPr>
            <w:tcW w:w="7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sz w:val="21"/>
                <w:szCs w:val="21"/>
                <w:highlight w:val="none"/>
                <w:lang w:val="en-US" w:eastAsia="zh-CN"/>
              </w:rPr>
              <w:t>2.35</w:t>
            </w:r>
          </w:p>
        </w:tc>
        <w:tc>
          <w:tcPr>
            <w:tcW w:w="834"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lang w:val="en-US"/>
              </w:rPr>
            </w:pPr>
            <w:r>
              <w:rPr>
                <w:rFonts w:hint="eastAsia" w:ascii="Times New Roman" w:hAnsi="Times New Roman" w:cs="Times New Roman"/>
                <w:color w:val="auto"/>
                <w:sz w:val="21"/>
                <w:szCs w:val="21"/>
                <w:highlight w:val="none"/>
                <w:lang w:val="en-US" w:eastAsia="zh-CN"/>
              </w:rPr>
              <w:t>0.94</w:t>
            </w:r>
          </w:p>
        </w:tc>
        <w:tc>
          <w:tcPr>
            <w:tcW w:w="832"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厂区面源</w:t>
            </w:r>
          </w:p>
        </w:tc>
        <w:tc>
          <w:tcPr>
            <w:tcW w:w="82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Cs w:val="28"/>
                <w:u w:val="none" w:color="auto"/>
                <w:lang w:val="en-US" w:eastAsia="zh-CN"/>
              </w:rPr>
              <w:t>NMHC</w:t>
            </w:r>
          </w:p>
        </w:tc>
        <w:tc>
          <w:tcPr>
            <w:tcW w:w="825"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1200</w:t>
            </w:r>
          </w:p>
        </w:tc>
        <w:tc>
          <w:tcPr>
            <w:tcW w:w="7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sz w:val="21"/>
                <w:szCs w:val="21"/>
                <w:highlight w:val="none"/>
                <w:lang w:val="en-US" w:eastAsia="zh-CN"/>
              </w:rPr>
              <w:t>8.34</w:t>
            </w:r>
          </w:p>
        </w:tc>
        <w:tc>
          <w:tcPr>
            <w:tcW w:w="834"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0.69</w:t>
            </w:r>
          </w:p>
        </w:tc>
        <w:tc>
          <w:tcPr>
            <w:tcW w:w="832" w:type="pct"/>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sz w:val="21"/>
                <w:szCs w:val="21"/>
                <w:highlight w:val="none"/>
                <w:lang w:val="en-US" w:eastAsia="zh-CN"/>
              </w:rPr>
              <w:t>/</w:t>
            </w:r>
          </w:p>
        </w:tc>
      </w:tr>
    </w:tbl>
    <w:p>
      <w:pPr>
        <w:pStyle w:val="31"/>
        <w:keepNext w:val="0"/>
        <w:keepLines w:val="0"/>
        <w:pageBreakBefore w:val="0"/>
        <w:widowControl w:val="0"/>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根据估算模式计算结果，本项目</w:t>
      </w:r>
      <w:r>
        <w:rPr>
          <w:rFonts w:hint="eastAsia" w:ascii="Times New Roman" w:hAnsi="Times New Roman" w:eastAsia="宋体" w:cs="Times New Roman"/>
          <w:color w:val="auto"/>
          <w:sz w:val="24"/>
          <w:szCs w:val="24"/>
          <w:u w:val="none" w:color="auto"/>
          <w:lang w:val="en-US" w:eastAsia="zh-CN"/>
        </w:rPr>
        <w:t>排放的废气中</w:t>
      </w:r>
      <w:r>
        <w:rPr>
          <w:rFonts w:hint="default" w:ascii="Times New Roman" w:hAnsi="Times New Roman" w:cs="Times New Roman"/>
          <w:color w:val="auto"/>
          <w:szCs w:val="28"/>
          <w:u w:val="none" w:color="auto"/>
          <w:lang w:val="en-US" w:eastAsia="zh-CN"/>
        </w:rPr>
        <w:t>NMHC</w:t>
      </w:r>
      <w:r>
        <w:rPr>
          <w:rFonts w:hint="default" w:ascii="Times New Roman" w:hAnsi="Times New Roman" w:cs="Times New Roman"/>
          <w:color w:val="auto"/>
          <w:sz w:val="24"/>
          <w:szCs w:val="24"/>
          <w:u w:val="none" w:color="auto"/>
        </w:rPr>
        <w:t>最大占标率为</w:t>
      </w:r>
      <w:r>
        <w:rPr>
          <w:rFonts w:hint="eastAsia" w:ascii="Times New Roman" w:hAnsi="Times New Roman" w:eastAsia="宋体" w:cs="Times New Roman"/>
          <w:color w:val="auto"/>
          <w:sz w:val="24"/>
          <w:szCs w:val="24"/>
          <w:u w:val="none" w:color="auto"/>
          <w:lang w:val="en-US" w:eastAsia="zh-CN"/>
        </w:rPr>
        <w:t>22.08</w:t>
      </w:r>
      <w:r>
        <w:rPr>
          <w:rFonts w:hint="default" w:ascii="Times New Roman" w:hAnsi="Times New Roman" w:cs="Times New Roman"/>
          <w:color w:val="auto"/>
          <w:sz w:val="24"/>
          <w:szCs w:val="24"/>
          <w:u w:val="none" w:color="auto"/>
        </w:rPr>
        <w:t>%</w:t>
      </w:r>
      <w:r>
        <w:rPr>
          <w:rFonts w:hint="eastAsia" w:ascii="Times New Roman" w:hAnsi="Times New Roman" w:eastAsia="宋体" w:cs="Times New Roman"/>
          <w:color w:val="auto"/>
          <w:spacing w:val="7"/>
          <w:position w:val="1"/>
          <w:sz w:val="24"/>
          <w:szCs w:val="24"/>
          <w:lang w:val="en-US" w:eastAsia="zh-CN"/>
        </w:rPr>
        <w:t>＞</w:t>
      </w:r>
      <w:r>
        <w:rPr>
          <w:rFonts w:hint="default" w:ascii="Times New Roman" w:hAnsi="Times New Roman" w:cs="Times New Roman"/>
          <w:color w:val="auto"/>
          <w:sz w:val="24"/>
          <w:szCs w:val="24"/>
          <w:u w:val="none" w:color="auto"/>
        </w:rPr>
        <w:t>10%，根据《环境影响评价技术导则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 w:val="24"/>
          <w:szCs w:val="24"/>
          <w:u w:val="none" w:color="auto"/>
        </w:rPr>
        <w:t>大气环境》分级判据，确定本项目大气环境影响评价工作等级为</w:t>
      </w:r>
      <w:r>
        <w:rPr>
          <w:rFonts w:hint="eastAsia" w:ascii="Times New Roman" w:hAnsi="Times New Roman" w:eastAsia="宋体" w:cs="Times New Roman"/>
          <w:color w:val="auto"/>
          <w:sz w:val="24"/>
          <w:szCs w:val="24"/>
          <w:u w:val="none" w:color="auto"/>
          <w:lang w:val="en-US" w:eastAsia="zh-CN"/>
        </w:rPr>
        <w:t>一</w:t>
      </w:r>
      <w:r>
        <w:rPr>
          <w:rFonts w:hint="default" w:ascii="Times New Roman" w:hAnsi="Times New Roman" w:cs="Times New Roman"/>
          <w:color w:val="auto"/>
          <w:sz w:val="24"/>
          <w:szCs w:val="24"/>
          <w:u w:val="none" w:color="auto"/>
        </w:rPr>
        <w:t>级</w:t>
      </w:r>
      <w:r>
        <w:rPr>
          <w:rFonts w:hint="eastAsia" w:ascii="Times New Roman" w:hAnsi="Times New Roman" w:eastAsia="宋体" w:cs="Times New Roman"/>
          <w:color w:val="auto"/>
          <w:sz w:val="24"/>
          <w:szCs w:val="24"/>
          <w:u w:val="none" w:color="auto"/>
          <w:lang w:eastAsia="zh-CN"/>
        </w:rPr>
        <w:t>。</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（3）噪声</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项目所在地噪声功能区为《声环境质量标准》（GB3096-2008）3类区，本项目无大型高噪声设备，由于项目建设前后噪声级增加小于3dB（A）且受影响的人口变化不大，根据《环境影响评价技术导则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声环境》（</w:t>
      </w:r>
      <w:r>
        <w:rPr>
          <w:rFonts w:hint="eastAsia" w:ascii="Times New Roman" w:hAnsi="Times New Roman" w:cs="Times New Roman"/>
          <w:color w:val="auto"/>
          <w:szCs w:val="28"/>
          <w:u w:val="none" w:color="auto"/>
          <w:lang w:eastAsia="zh-CN"/>
        </w:rPr>
        <w:t>HJ2.4-2021</w:t>
      </w:r>
      <w:r>
        <w:rPr>
          <w:rFonts w:hint="default" w:ascii="Times New Roman" w:hAnsi="Times New Roman" w:cs="Times New Roman"/>
          <w:color w:val="auto"/>
          <w:szCs w:val="28"/>
          <w:u w:val="none" w:color="auto"/>
        </w:rPr>
        <w:t>）中评价等级的划分方法，声环境评价等级定为三级。</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（4）地下水环境</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 w:val="24"/>
          <w:szCs w:val="28"/>
          <w:u w:val="none" w:color="auto"/>
        </w:rPr>
      </w:pPr>
      <w:r>
        <w:rPr>
          <w:rFonts w:hint="default" w:ascii="Times New Roman" w:hAnsi="Times New Roman" w:cs="Times New Roman"/>
          <w:color w:val="auto"/>
          <w:sz w:val="24"/>
          <w:szCs w:val="28"/>
          <w:u w:val="none" w:color="auto"/>
        </w:rPr>
        <w:t>本项目塑料复合软包装生产项目，属于《环境影响评价技术导则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 w:val="24"/>
          <w:szCs w:val="28"/>
          <w:u w:val="none" w:color="auto"/>
        </w:rPr>
        <w:t>地下水环境》（HJ610-2016）中</w:t>
      </w:r>
      <w:r>
        <w:rPr>
          <w:rFonts w:hint="eastAsia" w:ascii="Times New Roman" w:hAnsi="Times New Roman" w:eastAsia="宋体" w:cs="Times New Roman"/>
          <w:color w:val="auto"/>
          <w:sz w:val="24"/>
          <w:szCs w:val="28"/>
          <w:u w:val="none" w:color="auto"/>
          <w:lang w:eastAsia="zh-CN"/>
        </w:rPr>
        <w:t>“</w:t>
      </w:r>
      <w:r>
        <w:rPr>
          <w:rFonts w:hint="default" w:ascii="Times New Roman" w:hAnsi="Times New Roman" w:cs="Times New Roman"/>
          <w:color w:val="auto"/>
          <w:sz w:val="24"/>
          <w:szCs w:val="28"/>
          <w:u w:val="none" w:color="auto"/>
        </w:rPr>
        <w:t>N轻工114印刷</w:t>
      </w:r>
      <w:r>
        <w:rPr>
          <w:rFonts w:hint="eastAsia" w:ascii="Times New Roman" w:hAnsi="Times New Roman" w:eastAsia="宋体" w:cs="Times New Roman"/>
          <w:color w:val="auto"/>
          <w:sz w:val="24"/>
          <w:szCs w:val="28"/>
          <w:u w:val="none" w:color="auto"/>
          <w:lang w:eastAsia="zh-CN"/>
        </w:rPr>
        <w:t>”</w:t>
      </w:r>
      <w:r>
        <w:rPr>
          <w:rFonts w:hint="default" w:ascii="Times New Roman" w:hAnsi="Times New Roman" w:cs="Times New Roman"/>
          <w:color w:val="auto"/>
          <w:sz w:val="24"/>
          <w:szCs w:val="28"/>
          <w:u w:val="none" w:color="auto"/>
        </w:rPr>
        <w:t>类，因此本项目为</w:t>
      </w:r>
      <w:r>
        <w:rPr>
          <w:rFonts w:hint="default" w:ascii="Times New Roman" w:hAnsi="Times New Roman" w:eastAsia="宋体" w:cs="Times New Roman"/>
          <w:color w:val="auto"/>
          <w:sz w:val="24"/>
          <w:szCs w:val="28"/>
          <w:u w:val="none" w:color="auto"/>
          <w:lang w:eastAsia="zh-CN"/>
        </w:rPr>
        <w:t>Ⅳ类</w:t>
      </w:r>
      <w:r>
        <w:rPr>
          <w:rFonts w:hint="default" w:ascii="Times New Roman" w:hAnsi="Times New Roman" w:cs="Times New Roman"/>
          <w:color w:val="auto"/>
          <w:sz w:val="24"/>
          <w:szCs w:val="28"/>
          <w:u w:val="none" w:color="auto"/>
        </w:rPr>
        <w:t>项目。可不开展地下水环境影响评价。</w:t>
      </w:r>
    </w:p>
    <w:p>
      <w:pPr>
        <w:keepNext w:val="0"/>
        <w:keepLines w:val="0"/>
        <w:pageBreakBefore w:val="0"/>
        <w:widowControl w:val="0"/>
        <w:kinsoku w:val="0"/>
        <w:wordWrap/>
        <w:overflowPunct/>
        <w:topLinePunct w:val="0"/>
        <w:autoSpaceDE w:val="0"/>
        <w:autoSpaceDN w:val="0"/>
        <w:bidi w:val="0"/>
        <w:adjustRightInd w:val="0"/>
        <w:snapToGrid w:val="0"/>
        <w:spacing w:before="37" w:line="360" w:lineRule="auto"/>
        <w:ind w:left="493"/>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（5）土壤环境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w:t>
      </w:r>
      <w:r>
        <w:rPr>
          <w:rFonts w:hint="eastAsia" w:ascii="Times New Roman" w:hAnsi="Times New Roman" w:eastAsia="宋体" w:cs="Times New Roman"/>
          <w:color w:val="auto"/>
          <w:szCs w:val="28"/>
          <w:u w:val="none" w:color="auto"/>
          <w:lang w:eastAsia="zh-CN"/>
        </w:rPr>
        <w:t>环境影响评价技术导则—</w:t>
      </w:r>
      <w:r>
        <w:rPr>
          <w:rFonts w:hint="default" w:ascii="Times New Roman" w:hAnsi="Times New Roman" w:cs="Times New Roman"/>
          <w:color w:val="auto"/>
          <w:szCs w:val="28"/>
          <w:u w:val="none" w:color="auto"/>
        </w:rPr>
        <w:t>土壤环境（试行）》（HJ964-2018）4.2.2小节的要求，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根据行业特征、工艺特点或规模大小等将建设项目类别分为Ⅰ类、Ⅱ类、Ⅲ类、Ⅳ类，见附录A，其中Ⅳ类建设项目可不开展土壤环境影响评价</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，本项目为塑料软包装卷膜及袋包生产项目，根据附录A属于</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其他行业</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，为Ⅳ类项目，可不开展土壤环境影响评价。</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（6）生态环境评价等级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根据《环境影响评价技术导则</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rPr>
        <w:t>生态影响》（HJ19</w:t>
      </w:r>
      <w:r>
        <w:rPr>
          <w:rFonts w:hint="eastAsia" w:ascii="Times New Roman" w:hAnsi="Times New Roman" w:eastAsia="宋体" w:cs="Times New Roman"/>
          <w:color w:val="auto"/>
          <w:szCs w:val="28"/>
          <w:u w:val="none" w:color="auto"/>
          <w:lang w:val="en-US" w:eastAsia="zh-CN"/>
        </w:rPr>
        <w:t>-</w:t>
      </w:r>
      <w:r>
        <w:rPr>
          <w:rFonts w:hint="eastAsia" w:ascii="Times New Roman" w:hAnsi="Times New Roman" w:cs="Times New Roman"/>
          <w:color w:val="auto"/>
          <w:szCs w:val="28"/>
          <w:u w:val="none" w:color="auto"/>
        </w:rPr>
        <w:t>2022）中6.1.8</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rPr>
        <w:t>，项目位于</w:t>
      </w:r>
      <w:r>
        <w:rPr>
          <w:rFonts w:hint="eastAsia" w:ascii="Times New Roman" w:hAnsi="Times New Roman" w:eastAsia="宋体" w:cs="Times New Roman"/>
          <w:color w:val="auto"/>
          <w:szCs w:val="28"/>
          <w:u w:val="none" w:color="auto"/>
          <w:lang w:eastAsia="zh-CN"/>
        </w:rPr>
        <w:t>零陵高新技术产业开发区</w:t>
      </w:r>
      <w:r>
        <w:rPr>
          <w:rFonts w:hint="eastAsia" w:ascii="Times New Roman" w:hAnsi="Times New Roman" w:cs="Times New Roman"/>
          <w:color w:val="auto"/>
          <w:szCs w:val="28"/>
          <w:u w:val="none" w:color="auto"/>
        </w:rPr>
        <w:t>河西片区。因此可</w:t>
      </w:r>
      <w:r>
        <w:rPr>
          <w:rFonts w:hint="eastAsia" w:ascii="Times New Roman" w:hAnsi="Times New Roman" w:eastAsia="宋体" w:cs="Times New Roman"/>
          <w:color w:val="auto"/>
          <w:szCs w:val="28"/>
          <w:u w:val="none" w:color="auto"/>
          <w:lang w:val="en-US" w:eastAsia="zh-CN"/>
        </w:rPr>
        <w:t>不</w:t>
      </w:r>
      <w:r>
        <w:rPr>
          <w:rFonts w:hint="eastAsia" w:ascii="Times New Roman" w:hAnsi="Times New Roman" w:cs="Times New Roman"/>
          <w:color w:val="auto"/>
          <w:szCs w:val="28"/>
          <w:u w:val="none" w:color="auto"/>
        </w:rPr>
        <w:t>确定评价等级，直接进行生态影响简单分析。</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（7）环境风险评价工作等级</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根据《建设项目环境风险评价技术导则》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HJ/T169-2018）的要求，评价工作等级判定依据如</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表所示。</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环境风险评价等级判定结果</w:t>
      </w:r>
    </w:p>
    <w:tbl>
      <w:tblPr>
        <w:tblStyle w:val="29"/>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04"/>
        <w:gridCol w:w="1492"/>
        <w:gridCol w:w="1492"/>
        <w:gridCol w:w="2111"/>
        <w:gridCol w:w="172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0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环境风险潜势</w:t>
            </w:r>
          </w:p>
        </w:tc>
        <w:tc>
          <w:tcPr>
            <w:tcW w:w="8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position w:val="1"/>
                <w:sz w:val="21"/>
                <w:szCs w:val="21"/>
              </w:rPr>
              <w:t>Ⅳ、Ⅳ</w:t>
            </w:r>
            <w:r>
              <w:rPr>
                <w:rFonts w:hint="default" w:ascii="Times New Roman" w:hAnsi="Times New Roman" w:eastAsia="Calibri" w:cs="Times New Roman"/>
                <w:color w:val="auto"/>
                <w:spacing w:val="-2"/>
                <w:position w:val="1"/>
                <w:sz w:val="21"/>
                <w:szCs w:val="21"/>
              </w:rPr>
              <w:t>+</w:t>
            </w:r>
          </w:p>
        </w:tc>
        <w:tc>
          <w:tcPr>
            <w:tcW w:w="8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position w:val="1"/>
                <w:sz w:val="21"/>
                <w:szCs w:val="21"/>
              </w:rPr>
              <w:t>Ⅲ</w:t>
            </w:r>
          </w:p>
        </w:tc>
        <w:tc>
          <w:tcPr>
            <w:tcW w:w="12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position w:val="1"/>
                <w:sz w:val="21"/>
                <w:szCs w:val="21"/>
              </w:rPr>
              <w:t>Ⅱ</w:t>
            </w:r>
          </w:p>
        </w:tc>
        <w:tc>
          <w:tcPr>
            <w:tcW w:w="10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position w:val="1"/>
                <w:sz w:val="21"/>
                <w:szCs w:val="21"/>
              </w:rPr>
              <w:t>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0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评价工作等级</w:t>
            </w:r>
          </w:p>
        </w:tc>
        <w:tc>
          <w:tcPr>
            <w:tcW w:w="8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position w:val="-4"/>
                <w:sz w:val="21"/>
                <w:szCs w:val="21"/>
              </w:rPr>
              <w:t>一</w:t>
            </w:r>
          </w:p>
        </w:tc>
        <w:tc>
          <w:tcPr>
            <w:tcW w:w="8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w:t>
            </w:r>
          </w:p>
        </w:tc>
        <w:tc>
          <w:tcPr>
            <w:tcW w:w="12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w:t>
            </w:r>
          </w:p>
        </w:tc>
        <w:tc>
          <w:tcPr>
            <w:tcW w:w="10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简单分析</w:t>
            </w:r>
            <w:r>
              <w:rPr>
                <w:rFonts w:hint="default" w:ascii="Times New Roman" w:hAnsi="Times New Roman" w:eastAsia="Calibri" w:cs="Times New Roman"/>
                <w:color w:val="auto"/>
                <w:spacing w:val="5"/>
                <w:sz w:val="21"/>
                <w:szCs w:val="21"/>
              </w:rPr>
              <w: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7" w:hRule="atLeast"/>
        </w:trPr>
        <w:tc>
          <w:tcPr>
            <w:tcW w:w="5000" w:type="pct"/>
            <w:gridSpan w:val="5"/>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9"/>
                <w:sz w:val="21"/>
                <w:szCs w:val="21"/>
              </w:rPr>
              <w:t>a</w:t>
            </w:r>
            <w:r>
              <w:rPr>
                <w:rFonts w:hint="eastAsia" w:ascii="Times New Roman" w:hAnsi="Times New Roman" w:eastAsia="宋体" w:cs="Times New Roman"/>
                <w:color w:val="auto"/>
                <w:spacing w:val="9"/>
                <w:sz w:val="21"/>
                <w:szCs w:val="21"/>
                <w:lang w:val="en-US" w:eastAsia="zh-CN"/>
              </w:rPr>
              <w:t>.</w:t>
            </w:r>
            <w:r>
              <w:rPr>
                <w:rFonts w:hint="default" w:ascii="Times New Roman" w:hAnsi="Times New Roman" w:cs="Times New Roman"/>
                <w:color w:val="auto"/>
                <w:spacing w:val="9"/>
                <w:sz w:val="21"/>
                <w:szCs w:val="21"/>
              </w:rPr>
              <w:t>是相对于详细评价工作内容而言，在描述危险物质、环境影响途径、环境</w:t>
            </w:r>
            <w:r>
              <w:rPr>
                <w:rFonts w:hint="eastAsia" w:ascii="Times New Roman" w:hAnsi="Times New Roman" w:cs="Times New Roman"/>
                <w:color w:val="auto"/>
                <w:spacing w:val="9"/>
                <w:sz w:val="21"/>
                <w:szCs w:val="21"/>
                <w:lang w:val="en-US" w:eastAsia="zh-CN"/>
              </w:rPr>
              <w:t>危害</w:t>
            </w:r>
            <w:r>
              <w:rPr>
                <w:rFonts w:hint="default" w:ascii="Times New Roman" w:hAnsi="Times New Roman" w:cs="Times New Roman"/>
                <w:color w:val="auto"/>
                <w:spacing w:val="9"/>
                <w:sz w:val="21"/>
                <w:szCs w:val="21"/>
              </w:rPr>
              <w:t>后果、风险防范</w:t>
            </w:r>
            <w:r>
              <w:rPr>
                <w:rFonts w:hint="default" w:ascii="Times New Roman" w:hAnsi="Times New Roman" w:cs="Times New Roman"/>
                <w:color w:val="auto"/>
                <w:spacing w:val="8"/>
                <w:sz w:val="21"/>
                <w:szCs w:val="21"/>
              </w:rPr>
              <w:t>措施等方面给出定性的说明。见《建设项目环境风险评价技术导则》</w:t>
            </w:r>
            <w:r>
              <w:rPr>
                <w:rFonts w:hint="default" w:ascii="Times New Roman" w:hAnsi="Times New Roman" w:cs="Times New Roman"/>
                <w:color w:val="auto"/>
                <w:spacing w:val="8"/>
                <w:sz w:val="21"/>
                <w:szCs w:val="21"/>
                <w:lang w:eastAsia="zh-CN"/>
              </w:rPr>
              <w:t>（</w:t>
            </w:r>
            <w:r>
              <w:rPr>
                <w:rFonts w:hint="default" w:ascii="Times New Roman" w:hAnsi="Times New Roman" w:eastAsia="Calibri" w:cs="Times New Roman"/>
                <w:color w:val="auto"/>
                <w:sz w:val="21"/>
                <w:szCs w:val="21"/>
              </w:rPr>
              <w:t>HJ</w:t>
            </w:r>
            <w:r>
              <w:rPr>
                <w:rFonts w:hint="default" w:ascii="Times New Roman" w:hAnsi="Times New Roman" w:eastAsia="Calibri" w:cs="Times New Roman"/>
                <w:color w:val="auto"/>
                <w:spacing w:val="8"/>
                <w:sz w:val="21"/>
                <w:szCs w:val="21"/>
              </w:rPr>
              <w:t>/T169-2018</w:t>
            </w:r>
            <w:r>
              <w:rPr>
                <w:rFonts w:hint="default" w:ascii="Times New Roman" w:hAnsi="Times New Roman" w:cs="Times New Roman"/>
                <w:color w:val="auto"/>
                <w:spacing w:val="8"/>
                <w:sz w:val="21"/>
                <w:szCs w:val="21"/>
                <w:lang w:eastAsia="zh-CN"/>
              </w:rPr>
              <w:t>）</w:t>
            </w:r>
            <w:r>
              <w:rPr>
                <w:rFonts w:hint="default" w:ascii="Times New Roman" w:hAnsi="Times New Roman" w:cs="Times New Roman"/>
                <w:color w:val="auto"/>
                <w:spacing w:val="8"/>
                <w:sz w:val="21"/>
                <w:szCs w:val="21"/>
              </w:rPr>
              <w:t>附录</w:t>
            </w:r>
            <w:r>
              <w:rPr>
                <w:rFonts w:hint="default" w:ascii="Times New Roman" w:hAnsi="Times New Roman" w:eastAsia="Calibri" w:cs="Times New Roman"/>
                <w:color w:val="auto"/>
                <w:spacing w:val="8"/>
                <w:sz w:val="21"/>
                <w:szCs w:val="21"/>
              </w:rPr>
              <w:t>A</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根据计算，本项目大气环境、地表水环境、地下水环境风险潜势分别为</w:t>
      </w:r>
      <w:r>
        <w:rPr>
          <w:rFonts w:hint="default" w:ascii="Times New Roman" w:hAnsi="Times New Roman" w:cs="Times New Roman"/>
          <w:color w:val="auto"/>
          <w:spacing w:val="1"/>
          <w:position w:val="1"/>
          <w:sz w:val="24"/>
          <w:szCs w:val="24"/>
        </w:rPr>
        <w:t>Ⅲ</w:t>
      </w:r>
      <w:r>
        <w:rPr>
          <w:rFonts w:hint="default" w:ascii="Times New Roman" w:hAnsi="Times New Roman" w:cs="Times New Roman"/>
          <w:color w:val="auto"/>
          <w:sz w:val="24"/>
          <w:szCs w:val="24"/>
          <w:u w:val="none" w:color="auto"/>
        </w:rPr>
        <w:t>、Ⅰ、I级，大气环境、地表水环境、地下水环境风险评价工作等级分别划分为</w:t>
      </w:r>
      <w:r>
        <w:rPr>
          <w:rFonts w:hint="eastAsia" w:ascii="Times New Roman" w:hAnsi="Times New Roman" w:eastAsia="宋体" w:cs="Times New Roman"/>
          <w:color w:val="auto"/>
          <w:sz w:val="24"/>
          <w:szCs w:val="24"/>
          <w:u w:val="none" w:color="auto"/>
          <w:lang w:val="en-US" w:eastAsia="zh-CN"/>
        </w:rPr>
        <w:t>二</w:t>
      </w:r>
      <w:r>
        <w:rPr>
          <w:rFonts w:hint="default" w:ascii="Times New Roman" w:hAnsi="Times New Roman" w:cs="Times New Roman"/>
          <w:color w:val="auto"/>
          <w:sz w:val="24"/>
          <w:szCs w:val="24"/>
          <w:u w:val="none" w:color="auto"/>
        </w:rPr>
        <w:t>级、简单分析、简单分析</w:t>
      </w:r>
      <w:r>
        <w:rPr>
          <w:rFonts w:hint="eastAsia" w:ascii="Times New Roman" w:hAnsi="Times New Roman" w:eastAsia="宋体" w:cs="Times New Roman"/>
          <w:color w:val="auto"/>
          <w:sz w:val="24"/>
          <w:szCs w:val="24"/>
          <w:u w:val="none" w:color="auto"/>
          <w:lang w:eastAsia="zh-CN"/>
        </w:rPr>
        <w:t>，</w:t>
      </w:r>
      <w:r>
        <w:rPr>
          <w:rFonts w:hint="eastAsia"/>
          <w:color w:val="auto"/>
        </w:rPr>
        <w:t>本项目的环境风险评价工作等级为</w:t>
      </w:r>
      <w:r>
        <w:rPr>
          <w:rFonts w:hint="eastAsia" w:eastAsia="宋体"/>
          <w:color w:val="auto"/>
          <w:lang w:val="en-US" w:eastAsia="zh-CN"/>
        </w:rPr>
        <w:t>二级</w:t>
      </w:r>
      <w:r>
        <w:rPr>
          <w:rFonts w:hint="default" w:ascii="Times New Roman" w:hAnsi="Times New Roman" w:cs="Times New Roman"/>
          <w:color w:val="auto"/>
          <w:sz w:val="24"/>
          <w:szCs w:val="24"/>
          <w:u w:val="none" w:color="auto"/>
        </w:rPr>
        <w:t>。</w:t>
      </w:r>
    </w:p>
    <w:p>
      <w:pPr>
        <w:pStyle w:val="11"/>
        <w:bidi w:val="0"/>
        <w:spacing w:line="360" w:lineRule="auto"/>
        <w:ind w:left="851" w:hanging="851"/>
        <w:rPr>
          <w:color w:val="auto"/>
          <w:sz w:val="30"/>
          <w:szCs w:val="30"/>
        </w:rPr>
      </w:pPr>
      <w:r>
        <w:rPr>
          <w:color w:val="auto"/>
          <w:sz w:val="30"/>
          <w:szCs w:val="30"/>
        </w:rPr>
        <w:t>评价范围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w:t>
      </w:r>
      <w:r>
        <w:rPr>
          <w:rFonts w:hint="eastAsia" w:ascii="Times New Roman" w:hAnsi="Times New Roman" w:eastAsia="宋体" w:cs="Times New Roman"/>
          <w:color w:val="auto"/>
          <w:szCs w:val="28"/>
          <w:u w:val="none" w:color="auto"/>
          <w:lang w:val="en-US" w:eastAsia="zh-CN"/>
        </w:rPr>
        <w:t>次</w:t>
      </w:r>
      <w:r>
        <w:rPr>
          <w:rFonts w:hint="default" w:ascii="Times New Roman" w:hAnsi="Times New Roman" w:cs="Times New Roman"/>
          <w:color w:val="auto"/>
          <w:szCs w:val="28"/>
          <w:u w:val="none" w:color="auto"/>
        </w:rPr>
        <w:t>评价</w:t>
      </w:r>
      <w:r>
        <w:rPr>
          <w:rFonts w:hint="eastAsia" w:ascii="Times New Roman" w:hAnsi="Times New Roman" w:eastAsia="宋体" w:cs="Times New Roman"/>
          <w:color w:val="auto"/>
          <w:szCs w:val="28"/>
          <w:u w:val="none" w:color="auto"/>
          <w:lang w:val="en-US" w:eastAsia="zh-CN"/>
        </w:rPr>
        <w:t>各环境要素的</w:t>
      </w:r>
      <w:r>
        <w:rPr>
          <w:rFonts w:hint="default" w:ascii="Times New Roman" w:hAnsi="Times New Roman" w:cs="Times New Roman"/>
          <w:color w:val="auto"/>
          <w:szCs w:val="28"/>
          <w:u w:val="none" w:color="auto"/>
        </w:rPr>
        <w:t>评价工作等级与范围见下表：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各要素评价工作等级与范围汇总表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06"/>
        <w:gridCol w:w="988"/>
        <w:gridCol w:w="1096"/>
        <w:gridCol w:w="2735"/>
        <w:gridCol w:w="230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环境要素</w:t>
            </w:r>
          </w:p>
        </w:tc>
        <w:tc>
          <w:tcPr>
            <w:tcW w:w="1251"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评价等级</w:t>
            </w:r>
          </w:p>
        </w:tc>
        <w:tc>
          <w:tcPr>
            <w:tcW w:w="16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评价范围</w:t>
            </w:r>
          </w:p>
        </w:tc>
        <w:tc>
          <w:tcPr>
            <w:tcW w:w="13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判据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大气环境</w:t>
            </w:r>
          </w:p>
        </w:tc>
        <w:tc>
          <w:tcPr>
            <w:tcW w:w="1251"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一</w:t>
            </w:r>
            <w:r>
              <w:rPr>
                <w:rFonts w:hint="default" w:ascii="Times New Roman" w:hAnsi="Times New Roman" w:cs="Times New Roman"/>
                <w:color w:val="auto"/>
                <w:spacing w:val="0"/>
                <w:sz w:val="21"/>
                <w:szCs w:val="21"/>
              </w:rPr>
              <w:t>级</w:t>
            </w:r>
          </w:p>
        </w:tc>
        <w:tc>
          <w:tcPr>
            <w:tcW w:w="16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以项目排气筒为中心，边长</w:t>
            </w:r>
            <w:r>
              <w:rPr>
                <w:rFonts w:hint="default" w:ascii="Times New Roman" w:hAnsi="Times New Roman" w:eastAsia="Calibri" w:cs="Times New Roman"/>
                <w:color w:val="auto"/>
                <w:spacing w:val="0"/>
                <w:sz w:val="21"/>
                <w:szCs w:val="21"/>
              </w:rPr>
              <w:t>5km</w:t>
            </w:r>
            <w:r>
              <w:rPr>
                <w:rFonts w:hint="default" w:ascii="Times New Roman" w:hAnsi="Times New Roman" w:cs="Times New Roman"/>
                <w:color w:val="auto"/>
                <w:spacing w:val="0"/>
                <w:sz w:val="21"/>
                <w:szCs w:val="21"/>
              </w:rPr>
              <w:t>的矩形区域。</w:t>
            </w:r>
          </w:p>
        </w:tc>
        <w:tc>
          <w:tcPr>
            <w:tcW w:w="13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Calibri" w:cs="Times New Roman"/>
                <w:color w:val="auto"/>
                <w:spacing w:val="0"/>
                <w:sz w:val="21"/>
                <w:szCs w:val="21"/>
              </w:rPr>
              <w:t>HJ2.2-2018</w:t>
            </w:r>
            <w:r>
              <w:rPr>
                <w:rFonts w:hint="eastAsia" w:ascii="Times New Roman" w:hAnsi="Times New Roman" w:eastAsia="宋体" w:cs="Times New Roman"/>
                <w:color w:val="auto"/>
                <w:spacing w:val="0"/>
                <w:sz w:val="21"/>
                <w:szCs w:val="21"/>
                <w:lang w:eastAsia="zh-CN"/>
              </w:rPr>
              <w:t>（</w:t>
            </w:r>
            <w:r>
              <w:rPr>
                <w:rFonts w:hint="eastAsia" w:ascii="Times New Roman" w:hAnsi="Times New Roman" w:eastAsia="宋体" w:cs="Times New Roman"/>
                <w:color w:val="auto"/>
                <w:spacing w:val="0"/>
                <w:sz w:val="21"/>
                <w:szCs w:val="21"/>
                <w:lang w:val="en-US" w:eastAsia="zh-CN"/>
              </w:rPr>
              <w:t>D10%为265m﹤2.5km</w:t>
            </w:r>
            <w:r>
              <w:rPr>
                <w:rFonts w:hint="eastAsia" w:ascii="Times New Roman" w:hAnsi="Times New Roman" w:eastAsia="宋体" w:cs="Times New Roman"/>
                <w:color w:val="auto"/>
                <w:spacing w:val="0"/>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地表水环境</w:t>
            </w:r>
          </w:p>
        </w:tc>
        <w:tc>
          <w:tcPr>
            <w:tcW w:w="1251"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三级</w:t>
            </w:r>
            <w:r>
              <w:rPr>
                <w:rFonts w:hint="default" w:ascii="Times New Roman" w:hAnsi="Times New Roman" w:eastAsia="Calibri" w:cs="Times New Roman"/>
                <w:color w:val="auto"/>
                <w:spacing w:val="3"/>
                <w:sz w:val="21"/>
                <w:szCs w:val="21"/>
              </w:rPr>
              <w:t>B</w:t>
            </w:r>
          </w:p>
        </w:tc>
        <w:tc>
          <w:tcPr>
            <w:tcW w:w="164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13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HJ</w:t>
            </w:r>
            <w:r>
              <w:rPr>
                <w:rFonts w:hint="default" w:ascii="Times New Roman" w:hAnsi="Times New Roman" w:eastAsia="Calibri" w:cs="Times New Roman"/>
                <w:color w:val="auto"/>
                <w:spacing w:val="1"/>
                <w:sz w:val="21"/>
                <w:szCs w:val="21"/>
              </w:rPr>
              <w:t>2.3-2018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声环境</w:t>
            </w:r>
          </w:p>
        </w:tc>
        <w:tc>
          <w:tcPr>
            <w:tcW w:w="1251"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三级</w:t>
            </w:r>
          </w:p>
        </w:tc>
        <w:tc>
          <w:tcPr>
            <w:tcW w:w="16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项目厂界及厂界外</w:t>
            </w:r>
            <w:r>
              <w:rPr>
                <w:rFonts w:hint="default" w:ascii="Times New Roman" w:hAnsi="Times New Roman" w:eastAsia="Calibri" w:cs="Times New Roman"/>
                <w:color w:val="auto"/>
                <w:spacing w:val="5"/>
                <w:sz w:val="21"/>
                <w:szCs w:val="21"/>
              </w:rPr>
              <w:t>200m</w:t>
            </w:r>
            <w:r>
              <w:rPr>
                <w:rFonts w:hint="default" w:ascii="Times New Roman" w:hAnsi="Times New Roman" w:cs="Times New Roman"/>
                <w:color w:val="auto"/>
                <w:spacing w:val="5"/>
                <w:sz w:val="21"/>
                <w:szCs w:val="21"/>
              </w:rPr>
              <w:t>范围</w:t>
            </w:r>
          </w:p>
        </w:tc>
        <w:tc>
          <w:tcPr>
            <w:tcW w:w="13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HJ2.4-2021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生态环境</w:t>
            </w:r>
          </w:p>
        </w:tc>
        <w:tc>
          <w:tcPr>
            <w:tcW w:w="1251"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简单分析</w:t>
            </w:r>
          </w:p>
        </w:tc>
        <w:tc>
          <w:tcPr>
            <w:tcW w:w="16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13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HJ19-2022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环境风险</w:t>
            </w:r>
          </w:p>
        </w:tc>
        <w:tc>
          <w:tcPr>
            <w:tcW w:w="59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大气</w:t>
            </w:r>
          </w:p>
        </w:tc>
        <w:tc>
          <w:tcPr>
            <w:tcW w:w="65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4"/>
                <w:sz w:val="21"/>
                <w:szCs w:val="21"/>
                <w:lang w:val="en-US" w:eastAsia="zh-CN"/>
              </w:rPr>
              <w:t>二</w:t>
            </w:r>
            <w:r>
              <w:rPr>
                <w:rFonts w:hint="default" w:ascii="Times New Roman" w:hAnsi="Times New Roman" w:cs="Times New Roman"/>
                <w:color w:val="auto"/>
                <w:spacing w:val="4"/>
                <w:sz w:val="21"/>
                <w:szCs w:val="21"/>
              </w:rPr>
              <w:t>级</w:t>
            </w:r>
          </w:p>
        </w:tc>
        <w:tc>
          <w:tcPr>
            <w:tcW w:w="16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7"/>
                <w:sz w:val="21"/>
                <w:szCs w:val="21"/>
              </w:rPr>
              <w:t>项目边界外延</w:t>
            </w:r>
            <w:r>
              <w:rPr>
                <w:rFonts w:hint="default" w:ascii="Times New Roman" w:hAnsi="Times New Roman" w:eastAsia="Calibri" w:cs="Times New Roman"/>
                <w:color w:val="auto"/>
                <w:spacing w:val="7"/>
                <w:sz w:val="21"/>
                <w:szCs w:val="21"/>
              </w:rPr>
              <w:t>5</w:t>
            </w:r>
            <w:r>
              <w:rPr>
                <w:rFonts w:hint="default" w:ascii="Times New Roman" w:hAnsi="Times New Roman" w:eastAsia="Calibri" w:cs="Times New Roman"/>
                <w:color w:val="auto"/>
                <w:sz w:val="21"/>
                <w:szCs w:val="21"/>
              </w:rPr>
              <w:t>km</w:t>
            </w:r>
          </w:p>
        </w:tc>
        <w:tc>
          <w:tcPr>
            <w:tcW w:w="13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position w:val="3"/>
                <w:sz w:val="21"/>
                <w:szCs w:val="21"/>
              </w:rPr>
              <w:t>HJ</w:t>
            </w:r>
            <w:r>
              <w:rPr>
                <w:rFonts w:hint="default" w:ascii="Times New Roman" w:hAnsi="Times New Roman" w:eastAsia="Calibri" w:cs="Times New Roman"/>
                <w:color w:val="auto"/>
                <w:spacing w:val="1"/>
                <w:position w:val="3"/>
                <w:sz w:val="21"/>
                <w:szCs w:val="21"/>
              </w:rPr>
              <w:t>/169-2018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59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地表水</w:t>
            </w:r>
          </w:p>
        </w:tc>
        <w:tc>
          <w:tcPr>
            <w:tcW w:w="65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简单分析</w:t>
            </w:r>
          </w:p>
        </w:tc>
        <w:tc>
          <w:tcPr>
            <w:tcW w:w="164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13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position w:val="3"/>
                <w:sz w:val="21"/>
                <w:szCs w:val="21"/>
              </w:rPr>
              <w:t>HJ</w:t>
            </w:r>
            <w:r>
              <w:rPr>
                <w:rFonts w:hint="default" w:ascii="Times New Roman" w:hAnsi="Times New Roman" w:eastAsia="Calibri" w:cs="Times New Roman"/>
                <w:color w:val="auto"/>
                <w:spacing w:val="3"/>
                <w:position w:val="3"/>
                <w:sz w:val="21"/>
                <w:szCs w:val="21"/>
              </w:rPr>
              <w:t>/T169-2018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59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地下水</w:t>
            </w:r>
          </w:p>
        </w:tc>
        <w:tc>
          <w:tcPr>
            <w:tcW w:w="65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简单分析</w:t>
            </w:r>
          </w:p>
        </w:tc>
        <w:tc>
          <w:tcPr>
            <w:tcW w:w="164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13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position w:val="3"/>
                <w:sz w:val="21"/>
                <w:szCs w:val="21"/>
              </w:rPr>
              <w:t>HJ</w:t>
            </w:r>
            <w:r>
              <w:rPr>
                <w:rFonts w:hint="default" w:ascii="Times New Roman" w:hAnsi="Times New Roman" w:eastAsia="Calibri" w:cs="Times New Roman"/>
                <w:color w:val="auto"/>
                <w:spacing w:val="3"/>
                <w:position w:val="3"/>
                <w:sz w:val="21"/>
                <w:szCs w:val="21"/>
              </w:rPr>
              <w:t>/T169-2018</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50" w:line="360" w:lineRule="auto"/>
        <w:ind w:left="567" w:hanging="567"/>
        <w:textAlignment w:val="baseline"/>
        <w:rPr>
          <w:color w:val="auto"/>
          <w:sz w:val="32"/>
          <w:szCs w:val="32"/>
          <w:highlight w:val="none"/>
        </w:rPr>
      </w:pPr>
      <w:bookmarkStart w:id="25" w:name="bookmark26"/>
      <w:bookmarkEnd w:id="25"/>
      <w:bookmarkStart w:id="26" w:name="_Toc31916"/>
      <w:r>
        <w:rPr>
          <w:color w:val="auto"/>
          <w:sz w:val="32"/>
          <w:szCs w:val="32"/>
          <w:highlight w:val="none"/>
        </w:rPr>
        <w:t>环境保护目标</w:t>
      </w:r>
      <w:bookmarkEnd w:id="26"/>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根据项目污染物排放特征和区域的水文、气象情况，结合现场踏勘和初步调查，区域内无重点保护文物和珍稀动植物。项目厂区周围环境敏感保护目标见表</w:t>
      </w:r>
      <w:r>
        <w:rPr>
          <w:rFonts w:hint="eastAsia" w:ascii="Times New Roman" w:hAnsi="Times New Roman" w:eastAsia="宋体" w:cs="Times New Roman"/>
          <w:color w:val="auto"/>
          <w:szCs w:val="28"/>
          <w:u w:val="none" w:color="auto"/>
          <w:lang w:val="en-US" w:eastAsia="zh-CN"/>
        </w:rPr>
        <w:t>2.6</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及表</w:t>
      </w:r>
      <w:r>
        <w:rPr>
          <w:rFonts w:hint="eastAsia" w:ascii="Times New Roman" w:hAnsi="Times New Roman" w:eastAsia="宋体" w:cs="Times New Roman"/>
          <w:color w:val="auto"/>
          <w:szCs w:val="28"/>
          <w:u w:val="none" w:color="auto"/>
          <w:lang w:val="en-US" w:eastAsia="zh-CN"/>
        </w:rPr>
        <w:t>2.6</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大气环境保护目标</w:t>
      </w:r>
    </w:p>
    <w:p>
      <w:pPr>
        <w:spacing w:line="25" w:lineRule="exact"/>
        <w:rPr>
          <w:color w:val="auto"/>
        </w:rPr>
      </w:pP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651"/>
        <w:gridCol w:w="1368"/>
        <w:gridCol w:w="928"/>
        <w:gridCol w:w="941"/>
        <w:gridCol w:w="681"/>
        <w:gridCol w:w="969"/>
        <w:gridCol w:w="1227"/>
        <w:gridCol w:w="677"/>
        <w:gridCol w:w="9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环境要素</w:t>
            </w:r>
          </w:p>
        </w:tc>
        <w:tc>
          <w:tcPr>
            <w:tcW w:w="813"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环境敏感点名称</w:t>
            </w:r>
          </w:p>
        </w:tc>
        <w:tc>
          <w:tcPr>
            <w:tcW w:w="1111"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坐标</w:t>
            </w:r>
          </w:p>
        </w:tc>
        <w:tc>
          <w:tcPr>
            <w:tcW w:w="404"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保护对象</w:t>
            </w:r>
          </w:p>
        </w:tc>
        <w:tc>
          <w:tcPr>
            <w:tcW w:w="576"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rPr>
              <w:t>保护内容</w:t>
            </w:r>
          </w:p>
        </w:tc>
        <w:tc>
          <w:tcPr>
            <w:tcW w:w="729"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环境功能</w:t>
            </w:r>
          </w:p>
        </w:tc>
        <w:tc>
          <w:tcPr>
            <w:tcW w:w="402"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方位</w:t>
            </w:r>
          </w:p>
        </w:tc>
        <w:tc>
          <w:tcPr>
            <w:tcW w:w="575"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与</w:t>
            </w:r>
            <w:r>
              <w:rPr>
                <w:rFonts w:hint="eastAsia" w:ascii="Times New Roman" w:hAnsi="Times New Roman" w:eastAsia="宋体" w:cs="Times New Roman"/>
                <w:b/>
                <w:color w:val="auto"/>
                <w:sz w:val="21"/>
                <w:szCs w:val="21"/>
                <w:lang w:val="en-US" w:eastAsia="zh-CN"/>
              </w:rPr>
              <w:t>本项目</w:t>
            </w:r>
            <w:r>
              <w:rPr>
                <w:rFonts w:hint="default" w:ascii="Times New Roman" w:hAnsi="Times New Roman" w:cs="Times New Roman"/>
                <w:b/>
                <w:color w:val="auto"/>
                <w:sz w:val="21"/>
                <w:szCs w:val="21"/>
              </w:rPr>
              <w:t>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p>
        </w:tc>
        <w:tc>
          <w:tcPr>
            <w:tcW w:w="81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经度</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纬度</w:t>
            </w:r>
          </w:p>
        </w:tc>
        <w:tc>
          <w:tcPr>
            <w:tcW w:w="404"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p>
        </w:tc>
        <w:tc>
          <w:tcPr>
            <w:tcW w:w="576"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p>
        </w:tc>
        <w:tc>
          <w:tcPr>
            <w:tcW w:w="402"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p>
        </w:tc>
        <w:tc>
          <w:tcPr>
            <w:tcW w:w="575"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restar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环境空气</w:t>
            </w:r>
          </w:p>
        </w:tc>
        <w:tc>
          <w:tcPr>
            <w:tcW w:w="813" w:type="pc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 w:val="21"/>
                <w:szCs w:val="21"/>
              </w:rPr>
              <w:t>瑞祥公租房</w:t>
            </w:r>
          </w:p>
        </w:tc>
        <w:tc>
          <w:tcPr>
            <w:tcW w:w="551" w:type="pc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 w:val="21"/>
                <w:szCs w:val="21"/>
              </w:rPr>
              <w:t>111.5717</w:t>
            </w:r>
          </w:p>
        </w:tc>
        <w:tc>
          <w:tcPr>
            <w:tcW w:w="559" w:type="pc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 w:val="21"/>
                <w:szCs w:val="21"/>
              </w:rPr>
              <w:t>26.2117</w:t>
            </w:r>
          </w:p>
        </w:tc>
        <w:tc>
          <w:tcPr>
            <w:tcW w:w="404" w:type="pc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 w:val="21"/>
                <w:szCs w:val="21"/>
              </w:rPr>
              <w:t>居民</w:t>
            </w:r>
          </w:p>
        </w:tc>
        <w:tc>
          <w:tcPr>
            <w:tcW w:w="576" w:type="pc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 w:val="21"/>
                <w:szCs w:val="21"/>
              </w:rPr>
              <w:t>约</w:t>
            </w:r>
            <w:r>
              <w:rPr>
                <w:rFonts w:hint="eastAsia" w:ascii="Times New Roman" w:hAnsi="Times New Roman" w:eastAsia="宋体" w:cs="Times New Roman"/>
                <w:color w:val="auto"/>
                <w:sz w:val="21"/>
                <w:szCs w:val="21"/>
                <w:lang w:val="en-US" w:eastAsia="zh-CN"/>
              </w:rPr>
              <w:t>2</w:t>
            </w:r>
            <w:r>
              <w:rPr>
                <w:rFonts w:hint="default" w:ascii="Times New Roman" w:hAnsi="Times New Roman" w:cs="Times New Roman"/>
                <w:color w:val="auto"/>
                <w:sz w:val="21"/>
                <w:szCs w:val="21"/>
              </w:rPr>
              <w:t>00人</w:t>
            </w:r>
          </w:p>
        </w:tc>
        <w:tc>
          <w:tcPr>
            <w:tcW w:w="729"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rPr>
              <w:t>GB3095-2012</w:t>
            </w:r>
            <w:r>
              <w:rPr>
                <w:rFonts w:hint="eastAsia"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rPr>
              <w:t>二类区</w:t>
            </w:r>
          </w:p>
        </w:tc>
        <w:tc>
          <w:tcPr>
            <w:tcW w:w="402" w:type="pc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西北</w:t>
            </w:r>
          </w:p>
        </w:tc>
        <w:tc>
          <w:tcPr>
            <w:tcW w:w="575" w:type="pct"/>
            <w:tcBorders>
              <w:tl2br w:val="nil"/>
              <w:tr2bl w:val="nil"/>
            </w:tcBorders>
            <w:shd w:val="clear" w:color="auto" w:fill="auto"/>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val="en-US" w:eastAsia="zh-CN"/>
              </w:rPr>
              <w:t>24</w:t>
            </w:r>
            <w:r>
              <w:rPr>
                <w:rFonts w:hint="default" w:ascii="Times New Roman" w:hAnsi="Times New Roman" w:cs="Times New Roman"/>
                <w:color w:val="auto"/>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蒋家田</w:t>
            </w:r>
            <w:r>
              <w:rPr>
                <w:rFonts w:hint="eastAsia" w:ascii="Times New Roman" w:hAnsi="Times New Roman" w:cs="Times New Roman"/>
                <w:color w:val="auto"/>
                <w:sz w:val="21"/>
                <w:szCs w:val="21"/>
                <w:lang w:val="en-US" w:eastAsia="zh-CN"/>
              </w:rPr>
              <w:t>小区</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111.5760</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26.2132</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居民</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约300人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东北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蒋家田村</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eastAsia="Arial" w:cs="Times New Roman"/>
                <w:snapToGrid w:val="0"/>
                <w:color w:val="auto"/>
                <w:kern w:val="0"/>
                <w:sz w:val="21"/>
                <w:szCs w:val="21"/>
                <w:lang w:val="en-US" w:eastAsia="en-US" w:bidi="ar-SA"/>
              </w:rPr>
              <w:t>111.5829</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eastAsia="Arial" w:cs="Times New Roman"/>
                <w:snapToGrid w:val="0"/>
                <w:color w:val="auto"/>
                <w:kern w:val="0"/>
                <w:sz w:val="21"/>
                <w:szCs w:val="21"/>
                <w:lang w:val="en-US" w:eastAsia="en-US" w:bidi="ar-SA"/>
              </w:rPr>
              <w:t>26.2223</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 w:val="21"/>
                <w:szCs w:val="21"/>
              </w:rPr>
              <w:t>居民</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rPr>
              <w:t>约</w:t>
            </w:r>
            <w:r>
              <w:rPr>
                <w:rFonts w:hint="eastAsia" w:ascii="Times New Roman" w:hAnsi="Times New Roman" w:eastAsia="宋体" w:cs="Times New Roman"/>
                <w:snapToGrid w:val="0"/>
                <w:color w:val="auto"/>
                <w:kern w:val="0"/>
                <w:sz w:val="21"/>
                <w:szCs w:val="21"/>
                <w:lang w:val="en-US" w:eastAsia="zh-CN" w:bidi="ar-SA"/>
              </w:rPr>
              <w:t>608</w:t>
            </w:r>
            <w:r>
              <w:rPr>
                <w:rFonts w:hint="default" w:ascii="Times New Roman" w:hAnsi="Times New Roman" w:cs="Times New Roman"/>
                <w:color w:val="auto"/>
                <w:sz w:val="21"/>
                <w:szCs w:val="21"/>
              </w:rPr>
              <w:t>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海嘉职业技术学校警民联防点</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111.5742</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26.2047</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师生</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eastAsia="宋体" w:cs="Times New Roman"/>
                <w:color w:val="auto"/>
                <w:sz w:val="21"/>
                <w:szCs w:val="21"/>
                <w:lang w:val="en-US" w:eastAsia="zh-CN"/>
              </w:rPr>
              <w:t>200</w:t>
            </w:r>
            <w:r>
              <w:rPr>
                <w:rFonts w:hint="default" w:ascii="Times New Roman" w:hAnsi="Times New Roman" w:cs="Times New Roman"/>
                <w:color w:val="auto"/>
                <w:sz w:val="21"/>
                <w:szCs w:val="21"/>
              </w:rPr>
              <w:t>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伍子醉员工宿舍</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111.5749</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26.2037</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居民</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eastAsia="宋体" w:cs="Times New Roman"/>
                <w:color w:val="auto"/>
                <w:sz w:val="21"/>
                <w:szCs w:val="21"/>
                <w:lang w:val="en-US" w:eastAsia="zh-CN"/>
              </w:rPr>
              <w:t>160</w:t>
            </w:r>
            <w:r>
              <w:rPr>
                <w:rFonts w:hint="default" w:ascii="Times New Roman" w:hAnsi="Times New Roman" w:cs="Times New Roman"/>
                <w:color w:val="auto"/>
                <w:sz w:val="21"/>
                <w:szCs w:val="21"/>
              </w:rPr>
              <w:t>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东方尚科职业技术学校</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111.5678</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26.213</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师生</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约</w:t>
            </w:r>
            <w:r>
              <w:rPr>
                <w:rFonts w:hint="eastAsia" w:ascii="Times New Roman" w:hAnsi="Times New Roman" w:eastAsia="宋体" w:cs="Times New Roman"/>
                <w:color w:val="auto"/>
                <w:sz w:val="21"/>
                <w:szCs w:val="21"/>
                <w:lang w:val="en-US" w:eastAsia="zh-CN"/>
              </w:rPr>
              <w:t>1011</w:t>
            </w:r>
            <w:r>
              <w:rPr>
                <w:rFonts w:hint="default" w:ascii="Times New Roman" w:hAnsi="Times New Roman" w:cs="Times New Roman"/>
                <w:color w:val="auto"/>
                <w:sz w:val="21"/>
                <w:szCs w:val="21"/>
              </w:rPr>
              <w:t>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永州市第七中学</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111.5826</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26.2314</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师生</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sz w:val="21"/>
                <w:szCs w:val="21"/>
              </w:rPr>
              <w:t>约3000人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朝阳小学</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111.5917</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26.2309</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师生</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sz w:val="21"/>
                <w:szCs w:val="21"/>
              </w:rPr>
              <w:t>约500人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湖南科技学院</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111.6023</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26.2091</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师生</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sz w:val="21"/>
                <w:szCs w:val="21"/>
              </w:rPr>
              <w:t>约1.7万人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双济桥村</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111.5951</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26.1885</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居民</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sz w:val="21"/>
                <w:szCs w:val="21"/>
              </w:rPr>
              <w:t>1060人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五里堆小学</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111.5571</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26.2045</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师生</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sz w:val="21"/>
                <w:szCs w:val="21"/>
              </w:rPr>
              <w:t>约900人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五里</w:t>
            </w:r>
            <w:r>
              <w:rPr>
                <w:rFonts w:hint="eastAsia" w:ascii="Times New Roman" w:hAnsi="Times New Roman" w:eastAsia="宋体" w:cs="Times New Roman"/>
                <w:color w:val="auto"/>
                <w:sz w:val="21"/>
                <w:szCs w:val="21"/>
                <w:lang w:val="en-US" w:eastAsia="zh-CN"/>
              </w:rPr>
              <w:t>牌</w:t>
            </w:r>
            <w:r>
              <w:rPr>
                <w:rFonts w:hint="default" w:ascii="Times New Roman" w:hAnsi="Times New Roman" w:cs="Times New Roman"/>
                <w:color w:val="auto"/>
                <w:sz w:val="21"/>
                <w:szCs w:val="21"/>
              </w:rPr>
              <w:t>社区</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111.55</w:t>
            </w:r>
            <w:r>
              <w:rPr>
                <w:rFonts w:hint="eastAsia" w:ascii="Times New Roman" w:hAnsi="Times New Roman" w:eastAsia="宋体" w:cs="Times New Roman"/>
                <w:color w:val="auto"/>
                <w:sz w:val="21"/>
                <w:szCs w:val="21"/>
                <w:lang w:val="en-US" w:eastAsia="zh-CN"/>
              </w:rPr>
              <w:t>68</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26.</w:t>
            </w:r>
            <w:r>
              <w:rPr>
                <w:rFonts w:hint="eastAsia" w:ascii="Times New Roman" w:hAnsi="Times New Roman" w:eastAsia="宋体" w:cs="Times New Roman"/>
                <w:color w:val="auto"/>
                <w:sz w:val="21"/>
                <w:szCs w:val="21"/>
                <w:lang w:val="en-US" w:eastAsia="zh-CN"/>
              </w:rPr>
              <w:t>1982</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居民</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sz w:val="21"/>
                <w:szCs w:val="21"/>
              </w:rPr>
              <w:t>约2000人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黄泥桥社区</w:t>
            </w:r>
          </w:p>
        </w:tc>
        <w:tc>
          <w:tcPr>
            <w:tcW w:w="5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111.5688</w:t>
            </w:r>
          </w:p>
        </w:tc>
        <w:tc>
          <w:tcPr>
            <w:tcW w:w="55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26.2222</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居民</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eastAsia="宋体" w:cs="Times New Roman"/>
                <w:color w:val="auto"/>
                <w:sz w:val="21"/>
                <w:szCs w:val="21"/>
                <w:lang w:val="en-US" w:eastAsia="zh-CN"/>
              </w:rPr>
              <w:t>850</w:t>
            </w:r>
            <w:r>
              <w:rPr>
                <w:rFonts w:hint="default" w:ascii="Times New Roman" w:hAnsi="Times New Roman" w:cs="Times New Roman"/>
                <w:color w:val="auto"/>
                <w:sz w:val="21"/>
                <w:szCs w:val="21"/>
              </w:rPr>
              <w:t>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eastAsia="zh-CN"/>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北</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81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Cs w:val="28"/>
                <w:u w:val="none" w:color="auto"/>
                <w:lang w:val="en-US" w:eastAsia="zh-CN"/>
              </w:rPr>
              <w:t>开发区</w:t>
            </w:r>
            <w:r>
              <w:rPr>
                <w:rFonts w:hint="default" w:ascii="Times New Roman" w:hAnsi="Times New Roman" w:cs="Times New Roman"/>
                <w:color w:val="auto"/>
                <w:szCs w:val="28"/>
                <w:u w:val="none" w:color="auto"/>
                <w:lang w:val="en-US" w:eastAsia="zh-CN"/>
              </w:rPr>
              <w:t>管委会</w:t>
            </w:r>
          </w:p>
        </w:tc>
        <w:tc>
          <w:tcPr>
            <w:tcW w:w="1111"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园区</w:t>
            </w:r>
          </w:p>
        </w:tc>
        <w:tc>
          <w:tcPr>
            <w:tcW w:w="40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办公</w:t>
            </w:r>
          </w:p>
        </w:tc>
        <w:tc>
          <w:tcPr>
            <w:tcW w:w="5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eastAsia="宋体" w:cs="Times New Roman"/>
                <w:color w:val="auto"/>
                <w:sz w:val="21"/>
                <w:szCs w:val="21"/>
                <w:lang w:val="en-US" w:eastAsia="zh-CN"/>
              </w:rPr>
              <w:t>1</w:t>
            </w:r>
            <w:r>
              <w:rPr>
                <w:rFonts w:hint="default" w:ascii="Times New Roman" w:hAnsi="Times New Roman" w:cs="Times New Roman"/>
                <w:color w:val="auto"/>
                <w:sz w:val="21"/>
                <w:szCs w:val="21"/>
              </w:rPr>
              <w:t>00人</w:t>
            </w:r>
          </w:p>
        </w:tc>
        <w:tc>
          <w:tcPr>
            <w:tcW w:w="72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40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7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地表水、声环境、生态环境保护目标</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984"/>
        <w:gridCol w:w="1620"/>
        <w:gridCol w:w="1232"/>
        <w:gridCol w:w="1711"/>
        <w:gridCol w:w="28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8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bookmarkStart w:id="27" w:name="bookmark30"/>
            <w:bookmarkEnd w:id="27"/>
            <w:bookmarkStart w:id="28" w:name="bookmark28"/>
            <w:bookmarkEnd w:id="28"/>
            <w:r>
              <w:rPr>
                <w:rFonts w:hint="default" w:ascii="Times New Roman" w:hAnsi="Times New Roman" w:cs="Times New Roman"/>
                <w:color w:val="auto"/>
                <w:sz w:val="21"/>
                <w:szCs w:val="21"/>
              </w:rPr>
              <w:t>环境要素</w:t>
            </w:r>
          </w:p>
        </w:tc>
        <w:tc>
          <w:tcPr>
            <w:tcW w:w="96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敏感点</w:t>
            </w:r>
          </w:p>
        </w:tc>
        <w:tc>
          <w:tcPr>
            <w:tcW w:w="73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方位、距离</w:t>
            </w:r>
          </w:p>
        </w:tc>
        <w:tc>
          <w:tcPr>
            <w:tcW w:w="101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功能与规模</w:t>
            </w:r>
          </w:p>
        </w:tc>
        <w:tc>
          <w:tcPr>
            <w:tcW w:w="170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8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4414" w:type="pct"/>
            <w:gridSpan w:val="4"/>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lang w:val="en-US" w:eastAsia="zh-CN"/>
              </w:rPr>
              <w:t>项目选址周边200m范围内无医院、学校、居民点等敏感点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85"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水环境</w:t>
            </w:r>
          </w:p>
        </w:tc>
        <w:tc>
          <w:tcPr>
            <w:tcW w:w="96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湘江（</w:t>
            </w:r>
            <w:r>
              <w:rPr>
                <w:rFonts w:hint="eastAsia"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rPr>
              <w:t>紫水河与湘江汇合口上游500米至芝山萍岛上端</w:t>
            </w:r>
            <w:r>
              <w:rPr>
                <w:rFonts w:hint="eastAsia"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rPr>
              <w:t>段）</w:t>
            </w:r>
          </w:p>
        </w:tc>
        <w:tc>
          <w:tcPr>
            <w:tcW w:w="73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北</w:t>
            </w:r>
            <w:r>
              <w:rPr>
                <w:rFonts w:hint="default" w:ascii="Times New Roman" w:hAnsi="Times New Roman" w:cs="Times New Roman"/>
                <w:color w:val="auto"/>
                <w:sz w:val="21"/>
                <w:szCs w:val="21"/>
              </w:rPr>
              <w:t>，</w:t>
            </w:r>
            <w:r>
              <w:rPr>
                <w:rFonts w:hint="eastAsia" w:ascii="Times New Roman" w:hAnsi="Times New Roman" w:eastAsia="宋体" w:cs="Times New Roman"/>
                <w:color w:val="auto"/>
                <w:sz w:val="21"/>
                <w:szCs w:val="21"/>
                <w:lang w:val="en-US" w:eastAsia="zh-CN"/>
              </w:rPr>
              <w:t>4500</w:t>
            </w:r>
            <w:r>
              <w:rPr>
                <w:rFonts w:hint="default" w:ascii="Times New Roman" w:hAnsi="Times New Roman" w:cs="Times New Roman"/>
                <w:color w:val="auto"/>
                <w:sz w:val="21"/>
                <w:szCs w:val="21"/>
              </w:rPr>
              <w:t>m</w:t>
            </w:r>
          </w:p>
        </w:tc>
        <w:tc>
          <w:tcPr>
            <w:tcW w:w="101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大河，年平均流量283.55m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/s，工业用水区</w:t>
            </w:r>
          </w:p>
        </w:tc>
        <w:tc>
          <w:tcPr>
            <w:tcW w:w="1701" w:type="pct"/>
            <w:vMerge w:val="restar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《地表水环境质量标准》（GB3838-2002）中Ⅲ类标准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85"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96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愚溪河</w:t>
            </w:r>
          </w:p>
        </w:tc>
        <w:tc>
          <w:tcPr>
            <w:tcW w:w="73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南，740m</w:t>
            </w:r>
          </w:p>
        </w:tc>
        <w:tc>
          <w:tcPr>
            <w:tcW w:w="101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Cs w:val="28"/>
                <w:u w:val="none" w:color="auto"/>
              </w:rPr>
              <w:t>湘江二级支流</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平均流量3.6m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/s，</w:t>
            </w:r>
            <w:r>
              <w:rPr>
                <w:rFonts w:hint="eastAsia" w:ascii="Times New Roman" w:hAnsi="Times New Roman" w:cs="Times New Roman"/>
                <w:color w:val="auto"/>
                <w:sz w:val="21"/>
                <w:szCs w:val="21"/>
                <w:lang w:val="en-US" w:eastAsia="zh-CN"/>
              </w:rPr>
              <w:t>农业用水区</w:t>
            </w:r>
          </w:p>
        </w:tc>
        <w:tc>
          <w:tcPr>
            <w:tcW w:w="1701" w:type="pct"/>
            <w:vMerge w:val="continue"/>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8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土壤环境</w:t>
            </w:r>
          </w:p>
        </w:tc>
        <w:tc>
          <w:tcPr>
            <w:tcW w:w="2712" w:type="pct"/>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项目所在地及周边建设用地</w:t>
            </w:r>
          </w:p>
        </w:tc>
        <w:tc>
          <w:tcPr>
            <w:tcW w:w="1701"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《土壤环境质量 建设用地土壤污染风险管控标准（试行）》（GB36600-2018）中第二类用地标准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8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生态环境</w:t>
            </w:r>
          </w:p>
        </w:tc>
        <w:tc>
          <w:tcPr>
            <w:tcW w:w="2712" w:type="pct"/>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项目周边200m范围内自然生态</w:t>
            </w:r>
          </w:p>
        </w:tc>
        <w:tc>
          <w:tcPr>
            <w:tcW w:w="170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生态环境不恶化</w:t>
            </w:r>
          </w:p>
        </w:tc>
      </w:tr>
    </w:tbl>
    <w:p>
      <w:pPr>
        <w:rPr>
          <w:rFonts w:ascii="Times New Roman" w:hAnsi="Times New Roman" w:eastAsia="Times New Roman" w:cs="Times New Roman"/>
          <w:color w:val="auto"/>
          <w:spacing w:val="6"/>
        </w:rPr>
      </w:pPr>
      <w:r>
        <w:rPr>
          <w:rFonts w:ascii="Times New Roman" w:hAnsi="Times New Roman" w:eastAsia="Times New Roman" w:cs="Times New Roman"/>
          <w:color w:val="auto"/>
          <w:spacing w:val="6"/>
        </w:rPr>
        <w:br w:type="page"/>
      </w:r>
    </w:p>
    <w:p>
      <w:pPr>
        <w:pStyle w:val="5"/>
        <w:bidi w:val="0"/>
        <w:rPr>
          <w:rFonts w:hint="default" w:ascii="Times New Roman" w:hAnsi="Times New Roman" w:cs="Times New Roman" w:eastAsiaTheme="majorEastAsia"/>
          <w:color w:val="auto"/>
          <w:sz w:val="36"/>
          <w:szCs w:val="36"/>
        </w:rPr>
      </w:pPr>
      <w:bookmarkStart w:id="29" w:name="_Toc90"/>
      <w:r>
        <w:rPr>
          <w:rFonts w:hint="default" w:ascii="Times New Roman" w:hAnsi="Times New Roman" w:cs="Times New Roman" w:eastAsiaTheme="majorEastAsia"/>
          <w:color w:val="auto"/>
          <w:sz w:val="36"/>
          <w:szCs w:val="36"/>
        </w:rPr>
        <w:t>建设项目概况</w:t>
      </w:r>
      <w:bookmarkEnd w:id="29"/>
    </w:p>
    <w:p>
      <w:pPr>
        <w:pStyle w:val="10"/>
        <w:bidi w:val="0"/>
        <w:spacing w:line="360" w:lineRule="auto"/>
        <w:rPr>
          <w:color w:val="auto"/>
          <w:sz w:val="32"/>
          <w:szCs w:val="32"/>
        </w:rPr>
      </w:pPr>
      <w:bookmarkStart w:id="30" w:name="_Toc895"/>
      <w:r>
        <w:rPr>
          <w:color w:val="auto"/>
          <w:sz w:val="32"/>
          <w:szCs w:val="32"/>
        </w:rPr>
        <w:t>项目基本情况</w:t>
      </w:r>
      <w:bookmarkEnd w:id="30"/>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项目名称：</w:t>
      </w:r>
      <w:r>
        <w:rPr>
          <w:rFonts w:hint="eastAsia" w:ascii="Times New Roman" w:hAnsi="Times New Roman" w:eastAsia="宋体" w:cs="Times New Roman"/>
          <w:color w:val="auto"/>
          <w:szCs w:val="28"/>
          <w:u w:val="none" w:color="auto"/>
          <w:lang w:eastAsia="zh-CN"/>
        </w:rPr>
        <w:t>塑料软包装卷膜及袋包印刷包装生产项目；</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建设单位：</w:t>
      </w:r>
      <w:r>
        <w:rPr>
          <w:rFonts w:hint="eastAsia" w:ascii="Times New Roman" w:hAnsi="Times New Roman" w:eastAsia="宋体" w:cs="Times New Roman"/>
          <w:color w:val="auto"/>
          <w:szCs w:val="28"/>
          <w:u w:val="none" w:color="auto"/>
          <w:lang w:eastAsia="zh-CN"/>
        </w:rPr>
        <w:t>永州大道包装有限公司；</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项目选址：</w:t>
      </w:r>
      <w:r>
        <w:rPr>
          <w:rFonts w:hint="eastAsia" w:ascii="Times New Roman" w:hAnsi="Times New Roman" w:eastAsia="宋体" w:cs="Times New Roman"/>
          <w:color w:val="auto"/>
          <w:szCs w:val="28"/>
          <w:u w:val="none" w:color="auto"/>
          <w:lang w:eastAsia="zh-CN"/>
        </w:rPr>
        <w:t>永州市零陵高新技术产业开发区河西片区瑞翔大道南侧厂房</w:t>
      </w:r>
      <w:r>
        <w:rPr>
          <w:rFonts w:hint="default" w:ascii="Times New Roman" w:hAnsi="Times New Roman" w:cs="Times New Roman"/>
          <w:color w:val="auto"/>
          <w:szCs w:val="28"/>
          <w:u w:val="none" w:color="auto"/>
        </w:rPr>
        <w:t>，中心坐标为：</w:t>
      </w:r>
      <w:r>
        <w:rPr>
          <w:rFonts w:hint="default" w:ascii="Times New Roman" w:hAnsi="Times New Roman" w:eastAsia="宋体" w:cs="Times New Roman"/>
          <w:color w:val="auto"/>
          <w:szCs w:val="28"/>
          <w:u w:val="none" w:color="auto"/>
          <w:lang w:eastAsia="zh-CN"/>
        </w:rPr>
        <w:t>E111°34′30.95478″，N26°12′32.64065″</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项目性质：</w:t>
      </w:r>
      <w:r>
        <w:rPr>
          <w:rFonts w:hint="eastAsia" w:ascii="Times New Roman" w:hAnsi="Times New Roman" w:eastAsia="宋体" w:cs="Times New Roman"/>
          <w:color w:val="auto"/>
          <w:szCs w:val="28"/>
          <w:u w:val="none" w:color="auto"/>
          <w:lang w:val="en-US" w:eastAsia="zh-CN"/>
        </w:rPr>
        <w:t>新建；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 w:val="24"/>
          <w:szCs w:val="24"/>
          <w:u w:val="none" w:color="auto"/>
        </w:rPr>
        <w:t>生产内容及规模：</w:t>
      </w:r>
      <w:r>
        <w:rPr>
          <w:rFonts w:hint="eastAsia" w:hAnsi="宋体" w:cs="Times New Roman"/>
          <w:color w:val="auto"/>
          <w:sz w:val="24"/>
          <w:szCs w:val="24"/>
          <w:lang w:val="en-US" w:eastAsia="zh-CN"/>
        </w:rPr>
        <w:t>项目用地</w:t>
      </w:r>
      <w:r>
        <w:rPr>
          <w:rFonts w:hint="eastAsia" w:ascii="Times New Roman" w:hAnsi="宋体" w:eastAsia="宋体" w:cs="Times New Roman"/>
          <w:color w:val="auto"/>
          <w:sz w:val="24"/>
          <w:szCs w:val="24"/>
          <w:lang w:val="en-US" w:eastAsia="zh-CN"/>
        </w:rPr>
        <w:t>面积11000</w:t>
      </w:r>
      <w:r>
        <w:rPr>
          <w:rFonts w:hint="eastAsia" w:ascii="Times New Roman" w:hAnsi="Times New Roman" w:eastAsia="宋体"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rPr>
        <w:t>2</w:t>
      </w:r>
      <w:r>
        <w:rPr>
          <w:rFonts w:hint="eastAsia" w:hAnsi="宋体" w:cs="Times New Roman"/>
          <w:color w:val="auto"/>
          <w:sz w:val="24"/>
          <w:szCs w:val="24"/>
          <w:lang w:val="en-US" w:eastAsia="zh-CN"/>
        </w:rPr>
        <w:t>，总建筑面积</w:t>
      </w:r>
      <w:r>
        <w:rPr>
          <w:rFonts w:hint="eastAsia" w:ascii="Times New Roman" w:hAnsi="宋体" w:eastAsia="宋体" w:cs="Times New Roman"/>
          <w:color w:val="auto"/>
          <w:sz w:val="24"/>
          <w:szCs w:val="24"/>
          <w:lang w:val="en-US" w:eastAsia="zh-CN"/>
        </w:rPr>
        <w:t>8462</w:t>
      </w:r>
      <w:r>
        <w:rPr>
          <w:rFonts w:hint="eastAsia" w:ascii="Times New Roman" w:hAnsi="Times New Roman" w:eastAsia="宋体"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rPr>
        <w:t>2</w:t>
      </w:r>
      <w:r>
        <w:rPr>
          <w:rFonts w:hint="eastAsia" w:hAnsi="宋体" w:cs="Times New Roman"/>
          <w:color w:val="auto"/>
          <w:sz w:val="24"/>
          <w:szCs w:val="24"/>
          <w:lang w:val="en-US" w:eastAsia="zh-CN"/>
        </w:rPr>
        <w:t>，其中厂房建筑面积为</w:t>
      </w:r>
      <w:r>
        <w:rPr>
          <w:rFonts w:hint="default" w:ascii="Times New Roman" w:hAnsi="Times New Roman" w:eastAsia="宋体" w:cs="Times New Roman"/>
          <w:color w:val="auto"/>
          <w:spacing w:val="-3"/>
          <w:sz w:val="24"/>
          <w:szCs w:val="24"/>
          <w:lang w:eastAsia="zh-CN"/>
        </w:rPr>
        <w:t>6861.68</w:t>
      </w:r>
      <w:r>
        <w:rPr>
          <w:rFonts w:hint="eastAsia" w:ascii="Times New Roman" w:hAnsi="Times New Roman" w:eastAsia="宋体"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rPr>
        <w:t>2</w:t>
      </w:r>
      <w:r>
        <w:rPr>
          <w:rFonts w:hint="eastAsia" w:hAnsi="宋体" w:cs="Times New Roman"/>
          <w:color w:val="auto"/>
          <w:sz w:val="24"/>
          <w:szCs w:val="24"/>
          <w:lang w:val="en-US" w:eastAsia="zh-CN"/>
        </w:rPr>
        <w:t>，</w:t>
      </w:r>
      <w:r>
        <w:rPr>
          <w:rFonts w:hint="eastAsia" w:hAnsi="宋体" w:cs="Times New Roman"/>
          <w:color w:val="auto"/>
          <w:sz w:val="24"/>
          <w:lang w:val="en-US" w:eastAsia="zh-CN"/>
        </w:rPr>
        <w:t>主要建设</w:t>
      </w:r>
      <w:r>
        <w:rPr>
          <w:rFonts w:hint="eastAsia" w:ascii="Times New Roman" w:hAnsi="宋体" w:eastAsia="宋体" w:cs="Times New Roman"/>
          <w:color w:val="auto"/>
          <w:sz w:val="24"/>
          <w:lang w:val="en-US" w:eastAsia="zh-CN"/>
        </w:rPr>
        <w:t>卷膜、塑料包装袋、食品用塑料包装容器</w:t>
      </w:r>
      <w:r>
        <w:rPr>
          <w:rFonts w:hint="eastAsia" w:hAnsi="宋体" w:cs="Times New Roman"/>
          <w:color w:val="auto"/>
          <w:sz w:val="24"/>
          <w:lang w:val="en-US" w:eastAsia="zh-CN"/>
        </w:rPr>
        <w:t>（</w:t>
      </w:r>
      <w:r>
        <w:rPr>
          <w:rFonts w:hint="eastAsia" w:ascii="Times New Roman" w:hAnsi="宋体" w:eastAsia="宋体" w:cs="Times New Roman"/>
          <w:color w:val="auto"/>
          <w:sz w:val="24"/>
          <w:lang w:val="en-US" w:eastAsia="zh-CN"/>
        </w:rPr>
        <w:t>槟榔袋、面袋、熟食袋等</w:t>
      </w:r>
      <w:r>
        <w:rPr>
          <w:rFonts w:hint="eastAsia" w:hAnsi="宋体" w:cs="Times New Roman"/>
          <w:color w:val="auto"/>
          <w:sz w:val="24"/>
          <w:lang w:val="en-US" w:eastAsia="zh-CN"/>
        </w:rPr>
        <w:t>）</w:t>
      </w:r>
      <w:r>
        <w:rPr>
          <w:rFonts w:hint="eastAsia" w:ascii="Times New Roman" w:hAnsi="宋体" w:eastAsia="宋体" w:cs="Times New Roman"/>
          <w:color w:val="auto"/>
          <w:sz w:val="24"/>
          <w:lang w:val="en-US" w:eastAsia="zh-CN"/>
        </w:rPr>
        <w:t>、日化用品包装袋印刷生产线2条及配套附属设备。项目建成后形成年产</w:t>
      </w:r>
      <w:r>
        <w:rPr>
          <w:rFonts w:hint="default" w:ascii="Times New Roman" w:hAnsi="Times New Roman" w:cs="Times New Roman"/>
          <w:color w:val="auto"/>
          <w:szCs w:val="28"/>
          <w:u w:val="none" w:color="auto"/>
        </w:rPr>
        <w:t>7000吨塑料复合软包装</w:t>
      </w:r>
      <w:r>
        <w:rPr>
          <w:rFonts w:hint="eastAsia" w:ascii="Times New Roman" w:hAnsi="宋体" w:eastAsia="宋体" w:cs="Times New Roman"/>
          <w:color w:val="auto"/>
          <w:sz w:val="24"/>
          <w:lang w:val="en-US" w:eastAsia="zh-CN"/>
        </w:rPr>
        <w:t>生产能力；</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项目总投资：</w:t>
      </w:r>
      <w:r>
        <w:rPr>
          <w:rFonts w:hint="eastAsia" w:ascii="Times New Roman" w:hAnsi="Times New Roman" w:eastAsia="宋体" w:cs="Times New Roman"/>
          <w:color w:val="auto"/>
          <w:szCs w:val="28"/>
          <w:u w:val="none" w:color="auto"/>
          <w:lang w:eastAsia="zh-CN"/>
        </w:rPr>
        <w:t>5000万元</w:t>
      </w:r>
      <w:r>
        <w:rPr>
          <w:rFonts w:hint="default" w:ascii="Times New Roman" w:hAnsi="Times New Roman" w:cs="Times New Roman"/>
          <w:color w:val="auto"/>
          <w:szCs w:val="28"/>
          <w:u w:val="none" w:color="auto"/>
        </w:rPr>
        <w:t>，其中环保投资</w:t>
      </w:r>
      <w:r>
        <w:rPr>
          <w:rFonts w:hint="eastAsia" w:ascii="Times New Roman" w:hAnsi="Times New Roman" w:eastAsia="宋体" w:cs="Times New Roman"/>
          <w:color w:val="auto"/>
          <w:szCs w:val="28"/>
          <w:u w:val="none" w:color="auto"/>
          <w:lang w:val="en-US" w:eastAsia="zh-CN"/>
        </w:rPr>
        <w:t>435</w:t>
      </w:r>
      <w:r>
        <w:rPr>
          <w:rFonts w:hint="default" w:ascii="Times New Roman" w:hAnsi="Times New Roman" w:cs="Times New Roman"/>
          <w:color w:val="auto"/>
          <w:szCs w:val="28"/>
          <w:u w:val="none" w:color="auto"/>
        </w:rPr>
        <w:t>万元，占项目总投资的</w:t>
      </w:r>
      <w:r>
        <w:rPr>
          <w:rFonts w:hint="eastAsia" w:ascii="Times New Roman" w:hAnsi="Times New Roman" w:eastAsia="宋体" w:cs="Times New Roman"/>
          <w:color w:val="auto"/>
          <w:szCs w:val="28"/>
          <w:u w:val="none" w:color="auto"/>
          <w:lang w:val="en-US" w:eastAsia="zh-CN"/>
        </w:rPr>
        <w:t>8.7</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劳动定员及生产组织形式：</w:t>
      </w:r>
      <w:r>
        <w:rPr>
          <w:rFonts w:hint="eastAsia" w:ascii="Times New Roman" w:hAnsi="Times New Roman" w:eastAsia="宋体" w:cs="Times New Roman"/>
          <w:color w:val="auto"/>
          <w:szCs w:val="28"/>
          <w:u w:val="none" w:color="auto"/>
          <w:lang w:val="en-US" w:eastAsia="zh-CN"/>
        </w:rPr>
        <w:t>职工定员100</w:t>
      </w:r>
      <w:r>
        <w:rPr>
          <w:rFonts w:hint="default" w:ascii="Times New Roman" w:hAnsi="Times New Roman" w:cs="Times New Roman"/>
          <w:color w:val="auto"/>
          <w:szCs w:val="28"/>
          <w:u w:val="none" w:color="auto"/>
        </w:rPr>
        <w:t>人，年工作3</w:t>
      </w:r>
      <w:r>
        <w:rPr>
          <w:rFonts w:hint="eastAsia" w:ascii="Times New Roman" w:hAnsi="Times New Roman" w:eastAsia="宋体" w:cs="Times New Roman"/>
          <w:color w:val="auto"/>
          <w:szCs w:val="28"/>
          <w:u w:val="none" w:color="auto"/>
          <w:lang w:val="en-US" w:eastAsia="zh-CN"/>
        </w:rPr>
        <w:t>0</w:t>
      </w:r>
      <w:r>
        <w:rPr>
          <w:rFonts w:hint="default" w:ascii="Times New Roman" w:hAnsi="Times New Roman" w:cs="Times New Roman"/>
          <w:color w:val="auto"/>
          <w:szCs w:val="28"/>
          <w:u w:val="none" w:color="auto"/>
        </w:rPr>
        <w:t>0d，两班制，每班工作12h。</w:t>
      </w:r>
    </w:p>
    <w:p>
      <w:pPr>
        <w:pStyle w:val="10"/>
        <w:bidi w:val="0"/>
        <w:spacing w:line="360" w:lineRule="auto"/>
        <w:rPr>
          <w:color w:val="auto"/>
          <w:sz w:val="32"/>
          <w:szCs w:val="32"/>
        </w:rPr>
      </w:pPr>
      <w:bookmarkStart w:id="31" w:name="bookmark32"/>
      <w:bookmarkEnd w:id="31"/>
      <w:bookmarkStart w:id="32" w:name="_Toc5940"/>
      <w:r>
        <w:rPr>
          <w:color w:val="auto"/>
          <w:sz w:val="32"/>
          <w:szCs w:val="32"/>
        </w:rPr>
        <w:t>项目四至情况</w:t>
      </w:r>
      <w:bookmarkEnd w:id="32"/>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，租用永州市三利报废汽车</w:t>
      </w:r>
      <w:r>
        <w:rPr>
          <w:rFonts w:hint="eastAsia" w:ascii="Times New Roman" w:hAnsi="Times New Roman" w:eastAsia="宋体" w:cs="Times New Roman"/>
          <w:color w:val="auto"/>
          <w:szCs w:val="28"/>
          <w:u w:val="none" w:color="auto"/>
          <w:lang w:eastAsia="zh-CN"/>
        </w:rPr>
        <w:t>回收</w:t>
      </w:r>
      <w:r>
        <w:rPr>
          <w:rFonts w:hint="default" w:ascii="Times New Roman" w:hAnsi="Times New Roman" w:cs="Times New Roman"/>
          <w:color w:val="auto"/>
          <w:szCs w:val="28"/>
          <w:u w:val="none" w:color="auto"/>
        </w:rPr>
        <w:t>拆解有限公司已建好的</w:t>
      </w:r>
      <w:r>
        <w:rPr>
          <w:rFonts w:hint="eastAsia" w:ascii="Times New Roman" w:hAnsi="Times New Roman" w:eastAsia="宋体" w:cs="Times New Roman"/>
          <w:color w:val="auto"/>
          <w:szCs w:val="28"/>
          <w:u w:val="none" w:color="auto"/>
          <w:lang w:val="en-US" w:eastAsia="zh-CN"/>
        </w:rPr>
        <w:t>南侧</w:t>
      </w:r>
      <w:r>
        <w:rPr>
          <w:rFonts w:hint="default" w:ascii="Times New Roman" w:hAnsi="Times New Roman" w:cs="Times New Roman"/>
          <w:color w:val="auto"/>
          <w:szCs w:val="28"/>
          <w:u w:val="none" w:color="auto"/>
        </w:rPr>
        <w:t>厂房进行</w:t>
      </w:r>
      <w:r>
        <w:rPr>
          <w:rFonts w:hint="eastAsia" w:ascii="Times New Roman" w:hAnsi="Times New Roman" w:eastAsia="宋体" w:cs="Times New Roman"/>
          <w:color w:val="auto"/>
          <w:szCs w:val="28"/>
          <w:u w:val="none" w:color="auto"/>
          <w:lang w:val="en-US" w:eastAsia="zh-CN"/>
        </w:rPr>
        <w:t>生产</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根据现场勘查，</w:t>
      </w:r>
      <w:r>
        <w:rPr>
          <w:rFonts w:hint="eastAsia" w:ascii="Times New Roman" w:hAnsi="Times New Roman" w:eastAsia="宋体" w:cs="Times New Roman"/>
          <w:color w:val="auto"/>
          <w:szCs w:val="28"/>
          <w:u w:val="none" w:color="auto"/>
          <w:lang w:val="en-US" w:eastAsia="zh-CN"/>
        </w:rPr>
        <w:t>本项目选址北侧为</w:t>
      </w:r>
      <w:r>
        <w:rPr>
          <w:rFonts w:hint="eastAsia" w:ascii="Times New Roman" w:hAnsi="Times New Roman" w:eastAsia="宋体" w:cs="Times New Roman"/>
          <w:color w:val="auto"/>
          <w:szCs w:val="28"/>
          <w:highlight w:val="none"/>
          <w:u w:val="none" w:color="auto"/>
          <w:lang w:val="en-US" w:eastAsia="zh-CN"/>
        </w:rPr>
        <w:t>永州市三利报废汽车回收拆解及再生资源回收分拣中心</w:t>
      </w:r>
      <w:r>
        <w:rPr>
          <w:rFonts w:hint="default" w:ascii="Times New Roman" w:hAnsi="Times New Roman" w:cs="Times New Roman"/>
          <w:color w:val="auto"/>
          <w:szCs w:val="28"/>
          <w:highlight w:val="none"/>
          <w:u w:val="none" w:color="auto"/>
        </w:rPr>
        <w:t>建设项目</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东侧为桐子坝路；</w:t>
      </w:r>
      <w:r>
        <w:rPr>
          <w:rFonts w:hint="default" w:ascii="Times New Roman" w:hAnsi="Times New Roman" w:cs="Times New Roman"/>
          <w:color w:val="auto"/>
          <w:szCs w:val="28"/>
          <w:u w:val="none" w:color="auto"/>
        </w:rPr>
        <w:t>南侧为</w:t>
      </w:r>
      <w:r>
        <w:rPr>
          <w:rFonts w:hint="eastAsia" w:ascii="Times New Roman" w:hAnsi="Times New Roman" w:eastAsia="宋体" w:cs="Times New Roman"/>
          <w:color w:val="auto"/>
          <w:szCs w:val="28"/>
          <w:u w:val="none" w:color="auto"/>
          <w:lang w:val="en-US" w:eastAsia="zh-CN"/>
        </w:rPr>
        <w:t>湖南永一石材有限公司</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西侧为</w:t>
      </w:r>
      <w:r>
        <w:rPr>
          <w:rFonts w:hint="eastAsia" w:ascii="Times New Roman" w:hAnsi="Times New Roman" w:eastAsia="宋体" w:cs="Times New Roman"/>
          <w:color w:val="auto"/>
          <w:szCs w:val="28"/>
          <w:u w:val="none" w:color="auto"/>
          <w:lang w:val="en-US" w:eastAsia="zh-CN"/>
        </w:rPr>
        <w:t>湖南永州湘大骆驼饲料有限公司</w:t>
      </w:r>
      <w:r>
        <w:rPr>
          <w:rFonts w:hint="default" w:ascii="Times New Roman" w:hAnsi="Times New Roman" w:cs="Times New Roman"/>
          <w:color w:val="auto"/>
          <w:szCs w:val="28"/>
          <w:u w:val="none" w:color="auto"/>
        </w:rPr>
        <w:t>。项目周边</w:t>
      </w:r>
      <w:r>
        <w:rPr>
          <w:rFonts w:hint="eastAsia" w:ascii="Times New Roman" w:hAnsi="Times New Roman" w:eastAsia="宋体" w:cs="Times New Roman"/>
          <w:color w:val="auto"/>
          <w:szCs w:val="28"/>
          <w:u w:val="none" w:color="auto"/>
          <w:lang w:val="en-US" w:eastAsia="zh-CN"/>
        </w:rPr>
        <w:t>200m范围内</w:t>
      </w:r>
      <w:r>
        <w:rPr>
          <w:rFonts w:hint="default" w:ascii="Times New Roman" w:hAnsi="Times New Roman" w:cs="Times New Roman"/>
          <w:color w:val="auto"/>
          <w:szCs w:val="28"/>
          <w:u w:val="none" w:color="auto"/>
        </w:rPr>
        <w:t>无居民区、医院、学校等敏感点。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项目具体四至情况详见附图</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w:t>
      </w:r>
    </w:p>
    <w:p>
      <w:pPr>
        <w:pStyle w:val="10"/>
        <w:bidi w:val="0"/>
        <w:spacing w:line="360" w:lineRule="auto"/>
        <w:rPr>
          <w:color w:val="auto"/>
          <w:sz w:val="32"/>
          <w:szCs w:val="32"/>
        </w:rPr>
      </w:pPr>
      <w:bookmarkStart w:id="33" w:name="bookmark34"/>
      <w:bookmarkEnd w:id="33"/>
      <w:bookmarkStart w:id="34" w:name="_Toc28054"/>
      <w:r>
        <w:rPr>
          <w:color w:val="auto"/>
          <w:sz w:val="32"/>
          <w:szCs w:val="32"/>
        </w:rPr>
        <w:t>项目工程内容</w:t>
      </w:r>
      <w:bookmarkEnd w:id="34"/>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本项目所租用</w:t>
      </w:r>
      <w:r>
        <w:rPr>
          <w:rFonts w:hint="eastAsia" w:ascii="Times New Roman" w:hAnsi="Times New Roman" w:eastAsia="宋体" w:cs="Times New Roman"/>
          <w:color w:val="auto"/>
          <w:szCs w:val="28"/>
          <w:u w:val="none" w:color="auto"/>
          <w:lang w:val="en-US" w:eastAsia="zh-CN"/>
        </w:rPr>
        <w:t>厂区</w:t>
      </w:r>
      <w:r>
        <w:rPr>
          <w:rFonts w:hint="default" w:ascii="Times New Roman" w:hAnsi="Times New Roman" w:cs="Times New Roman"/>
          <w:color w:val="auto"/>
          <w:szCs w:val="28"/>
          <w:u w:val="none" w:color="auto"/>
        </w:rPr>
        <w:t>占地面积</w:t>
      </w:r>
      <w:r>
        <w:rPr>
          <w:rFonts w:hint="eastAsia" w:ascii="Times New Roman" w:hAnsi="Times New Roman" w:eastAsia="宋体" w:cs="Times New Roman"/>
          <w:color w:val="auto"/>
          <w:szCs w:val="28"/>
          <w:u w:val="none" w:color="auto"/>
          <w:lang w:val="en-US" w:eastAsia="zh-CN"/>
        </w:rPr>
        <w:t>约11000m</w:t>
      </w:r>
      <w:r>
        <w:rPr>
          <w:rFonts w:hint="default" w:ascii="Times New Roman" w:hAnsi="Times New Roman" w:cs="Times New Roman"/>
          <w:color w:val="auto"/>
          <w:szCs w:val="28"/>
          <w:u w:val="none" w:color="auto"/>
          <w:vertAlign w:val="superscript"/>
        </w:rPr>
        <w:t>2</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总建筑面积8462m</w:t>
      </w:r>
      <w:r>
        <w:rPr>
          <w:rFonts w:hint="default" w:ascii="Times New Roman" w:hAnsi="Times New Roman" w:cs="Times New Roman"/>
          <w:color w:val="auto"/>
          <w:szCs w:val="28"/>
          <w:u w:val="none" w:color="auto"/>
          <w:vertAlign w:val="superscript"/>
        </w:rPr>
        <w:t>2</w:t>
      </w:r>
      <w:r>
        <w:rPr>
          <w:rFonts w:hint="eastAsia" w:hAnsi="宋体" w:cs="Times New Roman"/>
          <w:color w:val="auto"/>
          <w:sz w:val="24"/>
          <w:szCs w:val="24"/>
          <w:lang w:val="en-US" w:eastAsia="zh-CN"/>
        </w:rPr>
        <w:t>，其中厂房建筑面积为</w:t>
      </w:r>
      <w:r>
        <w:rPr>
          <w:rFonts w:hint="default" w:ascii="Times New Roman" w:hAnsi="Times New Roman" w:eastAsia="宋体" w:cs="Times New Roman"/>
          <w:color w:val="auto"/>
          <w:spacing w:val="-3"/>
          <w:sz w:val="24"/>
          <w:szCs w:val="24"/>
          <w:lang w:eastAsia="zh-CN"/>
        </w:rPr>
        <w:t>6861.68</w:t>
      </w:r>
      <w:r>
        <w:rPr>
          <w:rFonts w:hint="eastAsia" w:ascii="Times New Roman" w:hAnsi="Times New Roman" w:eastAsia="宋体"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rPr>
        <w:t>2</w:t>
      </w:r>
      <w:r>
        <w:rPr>
          <w:rFonts w:hint="eastAsia" w:hAnsi="宋体" w:cs="Times New Roman"/>
          <w:color w:val="auto"/>
          <w:sz w:val="24"/>
          <w:szCs w:val="24"/>
          <w:lang w:val="en-US" w:eastAsia="zh-CN"/>
        </w:rPr>
        <w:t>，厂房为</w:t>
      </w:r>
      <w:r>
        <w:rPr>
          <w:rFonts w:hint="default" w:ascii="Times New Roman" w:hAnsi="Times New Roman" w:cs="Times New Roman"/>
          <w:color w:val="auto"/>
          <w:szCs w:val="28"/>
          <w:u w:val="none" w:color="auto"/>
        </w:rPr>
        <w:t>单层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层高为10m，本项目工程组成包括主体工程、辅助工程、公用工程、环保工程及仓储工程等。建设内容见下表</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.3-1。</w:t>
      </w:r>
    </w:p>
    <w:p>
      <w:pPr>
        <w:pStyle w:val="11"/>
        <w:bidi w:val="0"/>
        <w:spacing w:line="360" w:lineRule="auto"/>
        <w:ind w:left="851" w:hanging="851"/>
        <w:rPr>
          <w:color w:val="auto"/>
          <w:sz w:val="30"/>
          <w:szCs w:val="30"/>
        </w:rPr>
      </w:pPr>
      <w:r>
        <w:rPr>
          <w:color w:val="auto"/>
          <w:sz w:val="30"/>
          <w:szCs w:val="30"/>
        </w:rPr>
        <w:t>项目组成</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本项目组成及主要工程内容一览表</w:t>
      </w:r>
    </w:p>
    <w:tbl>
      <w:tblPr>
        <w:tblStyle w:val="29"/>
        <w:tblW w:w="505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18"/>
        <w:gridCol w:w="645"/>
        <w:gridCol w:w="1025"/>
        <w:gridCol w:w="622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00"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b/>
                <w:bCs/>
                <w:color w:val="auto"/>
                <w:spacing w:val="0"/>
                <w:sz w:val="21"/>
                <w:szCs w:val="21"/>
              </w:rPr>
              <w:t>工程类别</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b/>
                <w:bCs/>
                <w:color w:val="auto"/>
                <w:spacing w:val="0"/>
                <w:sz w:val="21"/>
                <w:szCs w:val="21"/>
              </w:rPr>
              <w:t>建设内容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4" w:hRule="atLeast"/>
        </w:trPr>
        <w:tc>
          <w:tcPr>
            <w:tcW w:w="308"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主体</w:t>
            </w:r>
            <w:bookmarkStart w:id="35" w:name="bookmark43"/>
            <w:bookmarkEnd w:id="35"/>
            <w:r>
              <w:rPr>
                <w:rFonts w:hint="default" w:ascii="Times New Roman" w:hAnsi="Times New Roman" w:cs="Times New Roman"/>
                <w:color w:val="auto"/>
                <w:spacing w:val="0"/>
                <w:sz w:val="21"/>
                <w:szCs w:val="21"/>
              </w:rPr>
              <w:t>工程</w:t>
            </w: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生产区</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位于生产厂房内，</w:t>
            </w:r>
            <w:r>
              <w:rPr>
                <w:rFonts w:hint="default" w:ascii="Times New Roman" w:hAnsi="Times New Roman" w:eastAsia="Calibri" w:cs="Times New Roman"/>
                <w:color w:val="auto"/>
                <w:spacing w:val="0"/>
                <w:sz w:val="21"/>
                <w:szCs w:val="21"/>
              </w:rPr>
              <w:t>1F</w:t>
            </w:r>
            <w:r>
              <w:rPr>
                <w:rFonts w:hint="default" w:ascii="Times New Roman" w:hAnsi="Times New Roman" w:cs="Times New Roman"/>
                <w:color w:val="auto"/>
                <w:spacing w:val="0"/>
                <w:sz w:val="21"/>
                <w:szCs w:val="21"/>
              </w:rPr>
              <w:t>，</w:t>
            </w:r>
            <w:r>
              <w:rPr>
                <w:rFonts w:hint="eastAsia" w:ascii="Times New Roman" w:hAnsi="Times New Roman" w:cs="Times New Roman"/>
                <w:color w:val="auto"/>
                <w:spacing w:val="0"/>
                <w:sz w:val="21"/>
                <w:szCs w:val="21"/>
                <w:lang w:val="en-US" w:eastAsia="zh-CN"/>
              </w:rPr>
              <w:t>建筑面积</w:t>
            </w:r>
            <w:r>
              <w:rPr>
                <w:rFonts w:hint="default" w:ascii="Times New Roman" w:hAnsi="Times New Roman" w:cs="Times New Roman"/>
                <w:color w:val="auto"/>
                <w:spacing w:val="0"/>
                <w:sz w:val="21"/>
                <w:szCs w:val="21"/>
              </w:rPr>
              <w:t>约</w:t>
            </w:r>
            <w:r>
              <w:rPr>
                <w:rFonts w:hint="eastAsia" w:ascii="Times New Roman" w:hAnsi="Times New Roman" w:eastAsia="宋体" w:cs="Times New Roman"/>
                <w:color w:val="auto"/>
                <w:spacing w:val="-3"/>
                <w:sz w:val="21"/>
                <w:szCs w:val="21"/>
                <w:lang w:val="en-US" w:eastAsia="zh-CN"/>
              </w:rPr>
              <w:t>468</w:t>
            </w:r>
            <w:r>
              <w:rPr>
                <w:rFonts w:hint="default" w:ascii="Times New Roman" w:hAnsi="Times New Roman" w:eastAsia="宋体" w:cs="Times New Roman"/>
                <w:color w:val="auto"/>
                <w:spacing w:val="-3"/>
                <w:sz w:val="21"/>
                <w:szCs w:val="21"/>
                <w:lang w:eastAsia="zh-CN"/>
              </w:rPr>
              <w:t>1.68</w:t>
            </w:r>
            <w:r>
              <w:rPr>
                <w:rFonts w:hint="default" w:ascii="Times New Roman" w:hAnsi="Times New Roman" w:eastAsia="Calibri" w:cs="Times New Roman"/>
                <w:color w:val="auto"/>
                <w:spacing w:val="0"/>
                <w:sz w:val="21"/>
                <w:szCs w:val="21"/>
              </w:rPr>
              <w:t>m</w:t>
            </w:r>
            <w:r>
              <w:rPr>
                <w:rFonts w:hint="eastAsia" w:ascii="Times New Roman" w:hAnsi="Times New Roman" w:cs="Times New Roman"/>
                <w:color w:val="auto"/>
                <w:spacing w:val="0"/>
                <w:sz w:val="21"/>
                <w:szCs w:val="21"/>
                <w:vertAlign w:val="superscript"/>
                <w:lang w:val="en-US" w:eastAsia="zh-CN"/>
              </w:rPr>
              <w:t>2</w:t>
            </w:r>
            <w:r>
              <w:rPr>
                <w:rFonts w:hint="default" w:ascii="Times New Roman" w:hAnsi="Times New Roman" w:cs="Times New Roman"/>
                <w:color w:val="auto"/>
                <w:spacing w:val="0"/>
                <w:sz w:val="21"/>
                <w:szCs w:val="21"/>
              </w:rPr>
              <w:t>，包含印刷车间、干式复合车间、无溶剂复合车间，制袋分切车间，成品库、固废间、原料区等，预计年生产包装袋、膜</w:t>
            </w:r>
            <w:r>
              <w:rPr>
                <w:rFonts w:hint="default" w:ascii="Times New Roman" w:hAnsi="Times New Roman" w:eastAsia="Calibri" w:cs="Times New Roman"/>
                <w:color w:val="auto"/>
                <w:spacing w:val="0"/>
                <w:sz w:val="21"/>
                <w:szCs w:val="21"/>
              </w:rPr>
              <w:t>7000</w:t>
            </w:r>
            <w:r>
              <w:rPr>
                <w:rFonts w:hint="default" w:ascii="Times New Roman" w:hAnsi="Times New Roman" w:cs="Times New Roman"/>
                <w:color w:val="auto"/>
                <w:spacing w:val="0"/>
                <w:sz w:val="21"/>
                <w:szCs w:val="21"/>
              </w:rPr>
              <w:t>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restar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辅助工程</w:t>
            </w: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配电间</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位于办公区一楼，占地面积约为</w:t>
            </w:r>
            <w:r>
              <w:rPr>
                <w:rFonts w:hint="default" w:ascii="Times New Roman" w:hAnsi="Times New Roman" w:eastAsia="Calibri" w:cs="Times New Roman"/>
                <w:color w:val="auto"/>
                <w:spacing w:val="0"/>
                <w:sz w:val="21"/>
                <w:szCs w:val="21"/>
              </w:rPr>
              <w:t>50m</w:t>
            </w:r>
            <w:r>
              <w:rPr>
                <w:rFonts w:hint="eastAsia" w:ascii="Times New Roman" w:hAnsi="Times New Roman" w:cs="Times New Roman"/>
                <w:color w:val="auto"/>
                <w:spacing w:val="0"/>
                <w:sz w:val="21"/>
                <w:szCs w:val="21"/>
                <w:vertAlign w:val="superscript"/>
                <w:lang w:val="en-US" w:eastAsia="zh-CN"/>
              </w:rPr>
              <w:t>2</w:t>
            </w:r>
            <w:r>
              <w:rPr>
                <w:rFonts w:hint="default" w:ascii="Times New Roman" w:hAnsi="Times New Roman" w:cs="Times New Roman"/>
                <w:color w:val="auto"/>
                <w:spacing w:val="0"/>
                <w:sz w:val="21"/>
                <w:szCs w:val="21"/>
              </w:rPr>
              <w:t>，主要用于供配电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办公区</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位于生产厂房北侧部分，</w:t>
            </w:r>
            <w:r>
              <w:rPr>
                <w:rFonts w:hint="eastAsia" w:ascii="Times New Roman" w:hAnsi="Times New Roman" w:cs="Times New Roman"/>
                <w:color w:val="auto"/>
                <w:spacing w:val="0"/>
                <w:sz w:val="21"/>
                <w:szCs w:val="21"/>
                <w:lang w:val="en-US" w:eastAsia="zh-CN"/>
              </w:rPr>
              <w:t>建筑面积</w:t>
            </w:r>
            <w:r>
              <w:rPr>
                <w:rFonts w:hint="default" w:ascii="Times New Roman" w:hAnsi="Times New Roman" w:cs="Times New Roman"/>
                <w:color w:val="auto"/>
                <w:spacing w:val="0"/>
                <w:sz w:val="21"/>
                <w:szCs w:val="21"/>
              </w:rPr>
              <w:t>约为</w:t>
            </w:r>
            <w:r>
              <w:rPr>
                <w:rFonts w:hint="eastAsia" w:ascii="Times New Roman" w:hAnsi="Times New Roman" w:cs="Times New Roman"/>
                <w:color w:val="auto"/>
                <w:spacing w:val="0"/>
                <w:sz w:val="21"/>
                <w:szCs w:val="21"/>
                <w:lang w:val="en-US" w:eastAsia="zh-CN"/>
              </w:rPr>
              <w:t>16</w:t>
            </w:r>
            <w:r>
              <w:rPr>
                <w:rFonts w:hint="eastAsia" w:ascii="Times New Roman" w:hAnsi="Times New Roman" w:eastAsia="宋体" w:cs="Times New Roman"/>
                <w:color w:val="auto"/>
                <w:spacing w:val="0"/>
                <w:sz w:val="21"/>
                <w:szCs w:val="21"/>
                <w:lang w:val="en-US" w:eastAsia="zh-CN"/>
              </w:rPr>
              <w:t>0</w:t>
            </w:r>
            <w:r>
              <w:rPr>
                <w:rFonts w:hint="default" w:ascii="Times New Roman" w:hAnsi="Times New Roman" w:eastAsia="Calibri" w:cs="Times New Roman"/>
                <w:color w:val="auto"/>
                <w:spacing w:val="0"/>
                <w:sz w:val="21"/>
                <w:szCs w:val="21"/>
              </w:rPr>
              <w:t>0m</w:t>
            </w:r>
            <w:r>
              <w:rPr>
                <w:rFonts w:hint="eastAsia" w:ascii="Times New Roman" w:hAnsi="Times New Roman" w:cs="Times New Roman"/>
                <w:color w:val="auto"/>
                <w:spacing w:val="0"/>
                <w:sz w:val="21"/>
                <w:szCs w:val="21"/>
                <w:vertAlign w:val="superscript"/>
                <w:lang w:val="en-US" w:eastAsia="zh-CN"/>
              </w:rPr>
              <w:t>2</w:t>
            </w:r>
            <w:r>
              <w:rPr>
                <w:rFonts w:hint="default" w:ascii="Times New Roman" w:hAnsi="Times New Roman" w:cs="Times New Roman"/>
                <w:color w:val="auto"/>
                <w:spacing w:val="0"/>
                <w:sz w:val="21"/>
                <w:szCs w:val="21"/>
              </w:rPr>
              <w:t>，</w:t>
            </w:r>
            <w:r>
              <w:rPr>
                <w:rFonts w:hint="eastAsia" w:ascii="Times New Roman" w:hAnsi="Times New Roman" w:eastAsia="宋体" w:cs="Times New Roman"/>
                <w:color w:val="auto"/>
                <w:spacing w:val="0"/>
                <w:sz w:val="21"/>
                <w:szCs w:val="21"/>
                <w:lang w:val="en-US" w:eastAsia="zh-CN"/>
              </w:rPr>
              <w:t>4</w:t>
            </w:r>
            <w:r>
              <w:rPr>
                <w:rFonts w:hint="default" w:ascii="Times New Roman" w:hAnsi="Times New Roman" w:eastAsia="Calibri" w:cs="Times New Roman"/>
                <w:color w:val="auto"/>
                <w:spacing w:val="0"/>
                <w:sz w:val="21"/>
                <w:szCs w:val="21"/>
              </w:rPr>
              <w:t>F</w:t>
            </w:r>
            <w:r>
              <w:rPr>
                <w:rFonts w:hint="default" w:ascii="Times New Roman" w:hAnsi="Times New Roman" w:cs="Times New Roman"/>
                <w:color w:val="auto"/>
                <w:spacing w:val="0"/>
                <w:sz w:val="21"/>
                <w:szCs w:val="21"/>
              </w:rPr>
              <w:t>，主要用于人员办公及商务洽谈等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检测</w:t>
            </w:r>
            <w:r>
              <w:rPr>
                <w:rFonts w:hint="eastAsia" w:ascii="Times New Roman" w:hAnsi="Times New Roman" w:cs="Times New Roman"/>
                <w:color w:val="auto"/>
                <w:spacing w:val="0"/>
                <w:sz w:val="21"/>
                <w:szCs w:val="21"/>
                <w:lang w:eastAsia="zh-CN"/>
              </w:rPr>
              <w:t>、</w:t>
            </w:r>
            <w:r>
              <w:rPr>
                <w:rFonts w:hint="eastAsia" w:ascii="Times New Roman" w:hAnsi="Times New Roman" w:cs="Times New Roman"/>
                <w:color w:val="auto"/>
                <w:spacing w:val="0"/>
                <w:sz w:val="21"/>
                <w:szCs w:val="21"/>
                <w:lang w:val="en-US" w:eastAsia="zh-CN"/>
              </w:rPr>
              <w:t>出库</w:t>
            </w:r>
            <w:r>
              <w:rPr>
                <w:rFonts w:hint="default" w:ascii="Times New Roman" w:hAnsi="Times New Roman" w:cs="Times New Roman"/>
                <w:color w:val="auto"/>
                <w:spacing w:val="0"/>
                <w:sz w:val="21"/>
                <w:szCs w:val="21"/>
              </w:rPr>
              <w:t>区</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位于生产厂房一楼北侧靠西位置，</w:t>
            </w:r>
            <w:r>
              <w:rPr>
                <w:rFonts w:hint="eastAsia" w:ascii="Times New Roman" w:hAnsi="Times New Roman" w:cs="Times New Roman"/>
                <w:color w:val="auto"/>
                <w:spacing w:val="0"/>
                <w:sz w:val="21"/>
                <w:szCs w:val="21"/>
                <w:lang w:val="en-US" w:eastAsia="zh-CN"/>
              </w:rPr>
              <w:t>建筑面积</w:t>
            </w:r>
            <w:r>
              <w:rPr>
                <w:rFonts w:hint="default" w:ascii="Times New Roman" w:hAnsi="Times New Roman" w:cs="Times New Roman"/>
                <w:color w:val="auto"/>
                <w:spacing w:val="0"/>
                <w:sz w:val="21"/>
                <w:szCs w:val="21"/>
              </w:rPr>
              <w:t>约</w:t>
            </w:r>
            <w:r>
              <w:rPr>
                <w:rFonts w:hint="eastAsia" w:ascii="Times New Roman" w:hAnsi="Times New Roman" w:eastAsia="宋体" w:cs="Times New Roman"/>
                <w:color w:val="auto"/>
                <w:spacing w:val="0"/>
                <w:sz w:val="21"/>
                <w:szCs w:val="21"/>
                <w:lang w:val="en-US" w:eastAsia="zh-CN"/>
              </w:rPr>
              <w:t>50</w:t>
            </w:r>
            <w:r>
              <w:rPr>
                <w:rFonts w:hint="default" w:ascii="Times New Roman" w:hAnsi="Times New Roman" w:eastAsia="Calibri" w:cs="Times New Roman"/>
                <w:color w:val="auto"/>
                <w:spacing w:val="0"/>
                <w:sz w:val="21"/>
                <w:szCs w:val="21"/>
              </w:rPr>
              <w:t>0m</w:t>
            </w:r>
            <w:r>
              <w:rPr>
                <w:rFonts w:hint="eastAsia" w:ascii="Times New Roman" w:hAnsi="Times New Roman" w:cs="Times New Roman"/>
                <w:color w:val="auto"/>
                <w:spacing w:val="0"/>
                <w:sz w:val="21"/>
                <w:szCs w:val="21"/>
                <w:vertAlign w:val="superscript"/>
                <w:lang w:val="en-US" w:eastAsia="zh-CN"/>
              </w:rPr>
              <w:t>2</w:t>
            </w:r>
            <w:r>
              <w:rPr>
                <w:rFonts w:hint="default" w:ascii="Times New Roman" w:hAnsi="Times New Roman" w:cs="Times New Roman"/>
                <w:color w:val="auto"/>
                <w:spacing w:val="0"/>
                <w:sz w:val="21"/>
                <w:szCs w:val="21"/>
              </w:rPr>
              <w:t>，主要用于部分原料的检测及成品的出厂检测（为物理检测）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restar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仓储工程</w:t>
            </w:r>
          </w:p>
        </w:tc>
        <w:tc>
          <w:tcPr>
            <w:tcW w:w="383" w:type="pct"/>
            <w:vMerge w:val="restar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原料区</w:t>
            </w:r>
          </w:p>
        </w:tc>
        <w:tc>
          <w:tcPr>
            <w:tcW w:w="608"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涉</w:t>
            </w:r>
            <w:r>
              <w:rPr>
                <w:rFonts w:hint="default" w:ascii="Times New Roman" w:hAnsi="Times New Roman" w:eastAsia="Calibri" w:cs="Times New Roman"/>
                <w:color w:val="auto"/>
                <w:spacing w:val="0"/>
                <w:sz w:val="21"/>
                <w:szCs w:val="21"/>
              </w:rPr>
              <w:t>VOC</w:t>
            </w:r>
            <w:r>
              <w:rPr>
                <w:rFonts w:hint="default" w:ascii="Times New Roman" w:hAnsi="Times New Roman" w:cs="Times New Roman"/>
                <w:color w:val="auto"/>
                <w:spacing w:val="0"/>
                <w:sz w:val="21"/>
                <w:szCs w:val="21"/>
              </w:rPr>
              <w:t>原料区</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设置独立的房间（主要分为油墨暂存库、化学品暂存库、溶剂暂存库）进行本项目涉</w:t>
            </w:r>
            <w:r>
              <w:rPr>
                <w:rFonts w:hint="default" w:ascii="Times New Roman" w:hAnsi="Times New Roman" w:eastAsia="Calibri" w:cs="Times New Roman"/>
                <w:color w:val="auto"/>
                <w:spacing w:val="0"/>
                <w:sz w:val="21"/>
                <w:szCs w:val="21"/>
              </w:rPr>
              <w:t>VOC</w:t>
            </w:r>
            <w:r>
              <w:rPr>
                <w:rFonts w:hint="default" w:ascii="Times New Roman" w:hAnsi="Times New Roman" w:cs="Times New Roman"/>
                <w:color w:val="auto"/>
                <w:spacing w:val="0"/>
                <w:sz w:val="21"/>
                <w:szCs w:val="21"/>
              </w:rPr>
              <w:t>原料的存放，位于</w:t>
            </w:r>
            <w:r>
              <w:rPr>
                <w:rFonts w:hint="eastAsia" w:ascii="Times New Roman" w:hAnsi="Times New Roman" w:cs="Times New Roman"/>
                <w:color w:val="auto"/>
                <w:spacing w:val="0"/>
                <w:sz w:val="21"/>
                <w:szCs w:val="21"/>
                <w:lang w:val="en-US" w:eastAsia="zh-CN"/>
              </w:rPr>
              <w:t>厂区东侧、</w:t>
            </w:r>
            <w:r>
              <w:rPr>
                <w:rFonts w:hint="default" w:ascii="Times New Roman" w:hAnsi="Times New Roman" w:cs="Times New Roman"/>
                <w:color w:val="auto"/>
                <w:spacing w:val="0"/>
                <w:sz w:val="21"/>
                <w:szCs w:val="21"/>
              </w:rPr>
              <w:t>生产厂房东侧</w:t>
            </w:r>
            <w:r>
              <w:rPr>
                <w:rFonts w:hint="eastAsia" w:ascii="Times New Roman" w:hAnsi="Times New Roman" w:cs="Times New Roman"/>
                <w:color w:val="auto"/>
                <w:spacing w:val="0"/>
                <w:sz w:val="21"/>
                <w:szCs w:val="21"/>
                <w:lang w:val="en-US" w:eastAsia="zh-CN"/>
              </w:rPr>
              <w:t>外中</w:t>
            </w:r>
            <w:r>
              <w:rPr>
                <w:rFonts w:hint="default" w:ascii="Times New Roman" w:hAnsi="Times New Roman" w:cs="Times New Roman"/>
                <w:color w:val="auto"/>
                <w:spacing w:val="0"/>
                <w:sz w:val="21"/>
                <w:szCs w:val="21"/>
              </w:rPr>
              <w:t>部位置，</w:t>
            </w:r>
            <w:r>
              <w:rPr>
                <w:rFonts w:hint="eastAsia" w:ascii="Times New Roman" w:hAnsi="Times New Roman" w:cs="Times New Roman"/>
                <w:color w:val="auto"/>
                <w:spacing w:val="0"/>
                <w:sz w:val="21"/>
                <w:szCs w:val="21"/>
                <w:lang w:val="en-US" w:eastAsia="zh-CN"/>
              </w:rPr>
              <w:t>建筑面积</w:t>
            </w:r>
            <w:r>
              <w:rPr>
                <w:rFonts w:hint="default" w:ascii="Times New Roman" w:hAnsi="Times New Roman" w:cs="Times New Roman"/>
                <w:color w:val="auto"/>
                <w:spacing w:val="0"/>
                <w:sz w:val="21"/>
                <w:szCs w:val="21"/>
              </w:rPr>
              <w:t>约为</w:t>
            </w:r>
            <w:r>
              <w:rPr>
                <w:rFonts w:hint="eastAsia" w:ascii="Times New Roman" w:hAnsi="Times New Roman" w:eastAsia="宋体" w:cs="Times New Roman"/>
                <w:color w:val="auto"/>
                <w:spacing w:val="0"/>
                <w:sz w:val="21"/>
                <w:szCs w:val="21"/>
                <w:lang w:val="en-US" w:eastAsia="zh-CN"/>
              </w:rPr>
              <w:t>3</w:t>
            </w:r>
            <w:r>
              <w:rPr>
                <w:rFonts w:hint="default" w:ascii="Times New Roman" w:hAnsi="Times New Roman" w:eastAsia="Calibri" w:cs="Times New Roman"/>
                <w:color w:val="auto"/>
                <w:spacing w:val="0"/>
                <w:sz w:val="21"/>
                <w:szCs w:val="21"/>
              </w:rPr>
              <w:t>00m</w:t>
            </w:r>
            <w:r>
              <w:rPr>
                <w:rFonts w:hint="eastAsia" w:ascii="Times New Roman" w:hAnsi="Times New Roman" w:eastAsia="宋体" w:cs="Times New Roman"/>
                <w:color w:val="auto"/>
                <w:spacing w:val="0"/>
                <w:sz w:val="21"/>
                <w:szCs w:val="21"/>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383"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608"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其他原料区</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布置在生产厂房内靠近生产工序的位置，原料主要存放在生产厂房</w:t>
            </w:r>
            <w:r>
              <w:rPr>
                <w:rFonts w:hint="eastAsia" w:ascii="Times New Roman" w:hAnsi="Times New Roman" w:cs="Times New Roman"/>
                <w:color w:val="auto"/>
                <w:spacing w:val="0"/>
                <w:sz w:val="21"/>
                <w:szCs w:val="21"/>
                <w:lang w:val="en-US" w:eastAsia="zh-CN"/>
              </w:rPr>
              <w:t>南侧</w:t>
            </w:r>
            <w:r>
              <w:rPr>
                <w:rFonts w:hint="default" w:ascii="Times New Roman" w:hAnsi="Times New Roman" w:cs="Times New Roman"/>
                <w:color w:val="auto"/>
                <w:spacing w:val="0"/>
                <w:sz w:val="21"/>
                <w:szCs w:val="21"/>
              </w:rPr>
              <w:t>，</w:t>
            </w:r>
            <w:r>
              <w:rPr>
                <w:rFonts w:hint="eastAsia" w:ascii="Times New Roman" w:hAnsi="Times New Roman" w:cs="Times New Roman"/>
                <w:color w:val="auto"/>
                <w:spacing w:val="0"/>
                <w:sz w:val="21"/>
                <w:szCs w:val="21"/>
                <w:lang w:val="en-US" w:eastAsia="zh-CN"/>
              </w:rPr>
              <w:t>建筑面积</w:t>
            </w:r>
            <w:r>
              <w:rPr>
                <w:rFonts w:hint="default" w:ascii="Times New Roman" w:hAnsi="Times New Roman" w:cs="Times New Roman"/>
                <w:color w:val="auto"/>
                <w:spacing w:val="0"/>
                <w:sz w:val="21"/>
                <w:szCs w:val="21"/>
              </w:rPr>
              <w:t>约</w:t>
            </w:r>
            <w:r>
              <w:rPr>
                <w:rFonts w:hint="eastAsia" w:ascii="Times New Roman" w:hAnsi="Times New Roman" w:eastAsia="宋体" w:cs="Times New Roman"/>
                <w:color w:val="auto"/>
                <w:spacing w:val="0"/>
                <w:sz w:val="21"/>
                <w:szCs w:val="21"/>
                <w:lang w:val="en-US" w:eastAsia="zh-CN"/>
              </w:rPr>
              <w:t>2</w:t>
            </w:r>
            <w:r>
              <w:rPr>
                <w:rFonts w:hint="default" w:ascii="Times New Roman" w:hAnsi="Times New Roman" w:eastAsia="Calibri" w:cs="Times New Roman"/>
                <w:color w:val="auto"/>
                <w:spacing w:val="0"/>
                <w:sz w:val="21"/>
                <w:szCs w:val="21"/>
              </w:rPr>
              <w:t>00m</w:t>
            </w:r>
            <w:r>
              <w:rPr>
                <w:rFonts w:hint="eastAsia" w:ascii="Times New Roman" w:hAnsi="Times New Roman" w:eastAsia="宋体" w:cs="Times New Roman"/>
                <w:color w:val="auto"/>
                <w:spacing w:val="0"/>
                <w:sz w:val="21"/>
                <w:szCs w:val="21"/>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成品库</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成品主要存放在生产厂房</w:t>
            </w:r>
            <w:r>
              <w:rPr>
                <w:rFonts w:hint="eastAsia" w:ascii="Times New Roman" w:hAnsi="Times New Roman" w:cs="Times New Roman"/>
                <w:color w:val="auto"/>
                <w:spacing w:val="0"/>
                <w:sz w:val="21"/>
                <w:szCs w:val="21"/>
                <w:lang w:val="en-US" w:eastAsia="zh-CN"/>
              </w:rPr>
              <w:t>西南</w:t>
            </w:r>
            <w:r>
              <w:rPr>
                <w:rFonts w:hint="default" w:ascii="Times New Roman" w:hAnsi="Times New Roman" w:cs="Times New Roman"/>
                <w:color w:val="auto"/>
                <w:spacing w:val="0"/>
                <w:sz w:val="21"/>
                <w:szCs w:val="21"/>
              </w:rPr>
              <w:t>侧位置，</w:t>
            </w:r>
            <w:r>
              <w:rPr>
                <w:rFonts w:hint="eastAsia" w:ascii="Times New Roman" w:hAnsi="Times New Roman" w:cs="Times New Roman"/>
                <w:color w:val="auto"/>
                <w:spacing w:val="0"/>
                <w:sz w:val="21"/>
                <w:szCs w:val="21"/>
                <w:lang w:val="en-US" w:eastAsia="zh-CN"/>
              </w:rPr>
              <w:t>建筑面积</w:t>
            </w:r>
            <w:r>
              <w:rPr>
                <w:rFonts w:hint="default" w:ascii="Times New Roman" w:hAnsi="Times New Roman" w:cs="Times New Roman"/>
                <w:color w:val="auto"/>
                <w:spacing w:val="0"/>
                <w:sz w:val="21"/>
                <w:szCs w:val="21"/>
              </w:rPr>
              <w:t>为</w:t>
            </w:r>
            <w:r>
              <w:rPr>
                <w:rFonts w:hint="default" w:ascii="Times New Roman" w:hAnsi="Times New Roman" w:eastAsia="Calibri" w:cs="Times New Roman"/>
                <w:color w:val="auto"/>
                <w:spacing w:val="0"/>
                <w:sz w:val="21"/>
                <w:szCs w:val="21"/>
              </w:rPr>
              <w:t>1</w:t>
            </w:r>
            <w:r>
              <w:rPr>
                <w:rFonts w:hint="eastAsia" w:ascii="Times New Roman" w:hAnsi="Times New Roman" w:eastAsia="宋体" w:cs="Times New Roman"/>
                <w:color w:val="auto"/>
                <w:spacing w:val="0"/>
                <w:sz w:val="21"/>
                <w:szCs w:val="21"/>
                <w:lang w:val="en-US" w:eastAsia="zh-CN"/>
              </w:rPr>
              <w:t>68</w:t>
            </w:r>
            <w:r>
              <w:rPr>
                <w:rFonts w:hint="default" w:ascii="Times New Roman" w:hAnsi="Times New Roman" w:eastAsia="Calibri" w:cs="Times New Roman"/>
                <w:color w:val="auto"/>
                <w:spacing w:val="0"/>
                <w:sz w:val="21"/>
                <w:szCs w:val="21"/>
              </w:rPr>
              <w:t>0m</w:t>
            </w:r>
            <w:r>
              <w:rPr>
                <w:rFonts w:hint="eastAsia" w:ascii="Times New Roman" w:hAnsi="Times New Roman" w:eastAsia="宋体" w:cs="Times New Roman"/>
                <w:color w:val="auto"/>
                <w:spacing w:val="0"/>
                <w:sz w:val="21"/>
                <w:szCs w:val="21"/>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restar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公用工程</w:t>
            </w: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给排水</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sz w:val="21"/>
                <w:szCs w:val="21"/>
                <w:lang w:eastAsia="zh-CN"/>
              </w:rPr>
            </w:pPr>
            <w:r>
              <w:rPr>
                <w:rFonts w:hint="default" w:ascii="Times New Roman" w:hAnsi="Times New Roman" w:cs="Times New Roman"/>
                <w:color w:val="auto"/>
                <w:spacing w:val="0"/>
                <w:sz w:val="21"/>
                <w:szCs w:val="21"/>
              </w:rPr>
              <w:t>项目生产用水主要</w:t>
            </w:r>
            <w:r>
              <w:rPr>
                <w:rFonts w:hint="eastAsia" w:ascii="Times New Roman" w:hAnsi="Times New Roman" w:cs="Times New Roman"/>
                <w:color w:val="auto"/>
                <w:spacing w:val="0"/>
                <w:sz w:val="21"/>
                <w:szCs w:val="21"/>
                <w:lang w:eastAsia="zh-CN"/>
              </w:rPr>
              <w:t>来自</w:t>
            </w:r>
            <w:r>
              <w:rPr>
                <w:rFonts w:hint="default" w:ascii="Times New Roman" w:hAnsi="Times New Roman" w:cs="Times New Roman"/>
                <w:color w:val="auto"/>
                <w:spacing w:val="0"/>
                <w:sz w:val="21"/>
                <w:szCs w:val="21"/>
              </w:rPr>
              <w:t>市政自来水；生活及消防水源来自市政供水管网。项目产生的生活污水</w:t>
            </w:r>
            <w:r>
              <w:rPr>
                <w:rFonts w:hint="eastAsia" w:ascii="Times New Roman" w:hAnsi="Times New Roman" w:cs="Times New Roman"/>
                <w:color w:val="auto"/>
                <w:spacing w:val="0"/>
                <w:sz w:val="21"/>
                <w:szCs w:val="21"/>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default" w:ascii="Times New Roman" w:hAnsi="Times New Roman" w:cs="Times New Roman"/>
                <w:color w:val="auto"/>
                <w:spacing w:val="0"/>
                <w:sz w:val="21"/>
                <w:szCs w:val="21"/>
              </w:rPr>
              <w:t>经厂区已有的化粪池初步处理后汇入工业园内市政污水管网，最终排入</w:t>
            </w:r>
            <w:r>
              <w:rPr>
                <w:rFonts w:hint="eastAsia" w:ascii="Times New Roman" w:hAnsi="Times New Roman" w:cs="Times New Roman"/>
                <w:color w:val="auto"/>
                <w:spacing w:val="0"/>
                <w:sz w:val="21"/>
                <w:szCs w:val="21"/>
                <w:lang w:eastAsia="zh-CN"/>
              </w:rPr>
              <w:t>鹿坪污水处理厂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能源系统</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rPr>
              <w:t>项目主要能源为电力、天然气，电力设置双回路供电系统，由市政供电所供电。天然气</w:t>
            </w:r>
            <w:r>
              <w:rPr>
                <w:rFonts w:hint="eastAsia" w:ascii="Times New Roman" w:hAnsi="Times New Roman" w:cs="Times New Roman"/>
                <w:color w:val="auto"/>
                <w:spacing w:val="0"/>
                <w:sz w:val="21"/>
                <w:szCs w:val="21"/>
                <w:lang w:val="en-US" w:eastAsia="zh-CN"/>
              </w:rPr>
              <w:t>为液化储罐供应，厂区内最大储存1周使用量。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restar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环保工程</w:t>
            </w: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印刷、复合等过程产生的有机废气</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对印刷废气、复合废气进行全封闭处理，废气经收集后由</w:t>
            </w:r>
            <w:r>
              <w:rPr>
                <w:rFonts w:hint="eastAsia" w:ascii="Times New Roman" w:hAnsi="Times New Roman" w:cs="Times New Roman"/>
                <w:color w:val="auto"/>
                <w:spacing w:val="0"/>
                <w:sz w:val="21"/>
                <w:szCs w:val="21"/>
                <w:lang w:eastAsia="zh-CN"/>
              </w:rPr>
              <w:t>“</w:t>
            </w:r>
            <w:r>
              <w:rPr>
                <w:rFonts w:hint="default" w:ascii="Times New Roman" w:hAnsi="Times New Roman" w:eastAsia="Calibri" w:cs="Times New Roman"/>
                <w:color w:val="auto"/>
                <w:spacing w:val="0"/>
                <w:sz w:val="21"/>
                <w:szCs w:val="21"/>
              </w:rPr>
              <w:t>RTO</w:t>
            </w:r>
            <w:r>
              <w:rPr>
                <w:rFonts w:hint="default" w:ascii="Times New Roman" w:hAnsi="Times New Roman" w:cs="Times New Roman"/>
                <w:color w:val="auto"/>
                <w:spacing w:val="0"/>
                <w:sz w:val="21"/>
                <w:szCs w:val="21"/>
              </w:rPr>
              <w:t>蓄热式燃烧</w:t>
            </w:r>
            <w:r>
              <w:rPr>
                <w:rFonts w:hint="eastAsia"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（共一套环保设备）处理后经</w:t>
            </w:r>
            <w:r>
              <w:rPr>
                <w:rFonts w:hint="default" w:ascii="Times New Roman" w:hAnsi="Times New Roman" w:eastAsia="Calibri" w:cs="Times New Roman"/>
                <w:color w:val="auto"/>
                <w:spacing w:val="0"/>
                <w:sz w:val="21"/>
                <w:szCs w:val="21"/>
              </w:rPr>
              <w:t>15m</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DA001</w:t>
            </w:r>
            <w:r>
              <w:rPr>
                <w:rFonts w:hint="default" w:ascii="Times New Roman" w:hAnsi="Times New Roman" w:cs="Times New Roman"/>
                <w:color w:val="auto"/>
                <w:spacing w:val="0"/>
                <w:sz w:val="21"/>
                <w:szCs w:val="21"/>
              </w:rPr>
              <w:t>）高排气筒排出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cs="Times New Roman"/>
                <w:color w:val="auto"/>
                <w:spacing w:val="0"/>
                <w:sz w:val="21"/>
                <w:szCs w:val="21"/>
              </w:rPr>
              <w:t>天然气燃烧废气</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eastAsia"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cs="Times New Roman"/>
                <w:color w:val="auto"/>
                <w:spacing w:val="0"/>
                <w:sz w:val="21"/>
                <w:szCs w:val="21"/>
              </w:rPr>
              <w:t>天然气助燃废气经</w:t>
            </w:r>
            <w:r>
              <w:rPr>
                <w:rFonts w:hint="default" w:ascii="Times New Roman" w:hAnsi="Times New Roman" w:eastAsia="Calibri" w:cs="Times New Roman"/>
                <w:color w:val="auto"/>
                <w:spacing w:val="0"/>
                <w:sz w:val="21"/>
                <w:szCs w:val="21"/>
              </w:rPr>
              <w:t>15m</w:t>
            </w:r>
            <w:r>
              <w:rPr>
                <w:rFonts w:hint="default" w:ascii="Times New Roman" w:hAnsi="Times New Roman" w:cs="Times New Roman"/>
                <w:color w:val="auto"/>
                <w:spacing w:val="0"/>
                <w:sz w:val="21"/>
                <w:szCs w:val="21"/>
              </w:rPr>
              <w:t>高排气筒（</w:t>
            </w:r>
            <w:r>
              <w:rPr>
                <w:rFonts w:hint="default" w:ascii="Times New Roman" w:hAnsi="Times New Roman" w:eastAsia="Calibri" w:cs="Times New Roman"/>
                <w:color w:val="auto"/>
                <w:spacing w:val="0"/>
                <w:sz w:val="21"/>
                <w:szCs w:val="21"/>
              </w:rPr>
              <w:t>DA001</w:t>
            </w:r>
            <w:r>
              <w:rPr>
                <w:rFonts w:hint="default" w:ascii="Times New Roman" w:hAnsi="Times New Roman" w:cs="Times New Roman"/>
                <w:color w:val="auto"/>
                <w:spacing w:val="0"/>
                <w:sz w:val="21"/>
                <w:szCs w:val="21"/>
              </w:rPr>
              <w:t>）进行排放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食堂油烟</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食堂油烟采用油烟净化器净化后通过专用烟道引至屋顶排放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噪声治理</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选用低噪声设备，从源头降低设备运行噪声；其次采用消声、隔声、减震等措施，最后通过厂房合理布局及增强绿化带来降噪成效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固体废物处置</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边角废料以及不合格产品暂存于生产厂房</w:t>
            </w:r>
            <w:r>
              <w:rPr>
                <w:rFonts w:hint="eastAsia" w:ascii="Times New Roman" w:hAnsi="Times New Roman" w:cs="Times New Roman"/>
                <w:color w:val="auto"/>
                <w:spacing w:val="0"/>
                <w:sz w:val="21"/>
                <w:szCs w:val="21"/>
                <w:lang w:val="en-US" w:eastAsia="zh-CN"/>
              </w:rPr>
              <w:t>外南</w:t>
            </w:r>
            <w:r>
              <w:rPr>
                <w:rFonts w:hint="default" w:ascii="Times New Roman" w:hAnsi="Times New Roman" w:cs="Times New Roman"/>
                <w:color w:val="auto"/>
                <w:spacing w:val="0"/>
                <w:sz w:val="21"/>
                <w:szCs w:val="21"/>
              </w:rPr>
              <w:t>侧的</w:t>
            </w:r>
            <w:r>
              <w:rPr>
                <w:rFonts w:hint="eastAsia" w:ascii="Times New Roman" w:hAnsi="Times New Roman" w:cs="Times New Roman"/>
                <w:color w:val="auto"/>
                <w:spacing w:val="0"/>
                <w:sz w:val="21"/>
                <w:szCs w:val="21"/>
                <w:lang w:val="en-US" w:eastAsia="zh-CN"/>
              </w:rPr>
              <w:t>生产废品区</w:t>
            </w:r>
            <w:r>
              <w:rPr>
                <w:rFonts w:hint="default" w:ascii="Times New Roman" w:hAnsi="Times New Roman" w:cs="Times New Roman"/>
                <w:color w:val="auto"/>
                <w:spacing w:val="0"/>
                <w:sz w:val="21"/>
                <w:szCs w:val="21"/>
              </w:rPr>
              <w:t>（</w:t>
            </w:r>
            <w:r>
              <w:rPr>
                <w:rFonts w:hint="eastAsia" w:ascii="Times New Roman" w:hAnsi="Times New Roman" w:cs="Times New Roman"/>
                <w:color w:val="auto"/>
                <w:spacing w:val="0"/>
                <w:sz w:val="21"/>
                <w:szCs w:val="21"/>
                <w:lang w:val="en-US" w:eastAsia="zh-CN"/>
              </w:rPr>
              <w:t>5</w:t>
            </w:r>
            <w:r>
              <w:rPr>
                <w:rFonts w:hint="default" w:ascii="Times New Roman" w:hAnsi="Times New Roman" w:eastAsia="Calibri" w:cs="Times New Roman"/>
                <w:color w:val="auto"/>
                <w:spacing w:val="0"/>
                <w:sz w:val="21"/>
                <w:szCs w:val="21"/>
              </w:rPr>
              <w:t>0m</w:t>
            </w:r>
            <w:r>
              <w:rPr>
                <w:rFonts w:hint="eastAsia" w:ascii="Times New Roman" w:hAnsi="Times New Roman" w:eastAsia="宋体" w:cs="Times New Roman"/>
                <w:color w:val="auto"/>
                <w:spacing w:val="0"/>
                <w:sz w:val="21"/>
                <w:szCs w:val="21"/>
                <w:vertAlign w:val="superscript"/>
                <w:lang w:val="en-US" w:eastAsia="zh-CN"/>
              </w:rPr>
              <w:t>2</w:t>
            </w:r>
            <w:r>
              <w:rPr>
                <w:rFonts w:hint="default" w:ascii="Times New Roman" w:hAnsi="Times New Roman" w:cs="Times New Roman"/>
                <w:color w:val="auto"/>
                <w:spacing w:val="0"/>
                <w:sz w:val="21"/>
                <w:szCs w:val="21"/>
              </w:rPr>
              <w:t>），外售回收利用；</w:t>
            </w:r>
            <w:r>
              <w:rPr>
                <w:rFonts w:hint="eastAsia" w:ascii="Times New Roman" w:hAnsi="Times New Roman" w:cs="Times New Roman"/>
                <w:color w:val="auto"/>
                <w:spacing w:val="0"/>
                <w:sz w:val="21"/>
                <w:szCs w:val="21"/>
                <w:lang w:val="en-US" w:eastAsia="zh-CN"/>
              </w:rPr>
              <w:t>制软水交换树脂由更换商带走；</w:t>
            </w:r>
            <w:r>
              <w:rPr>
                <w:rFonts w:hint="default" w:ascii="Times New Roman" w:hAnsi="Times New Roman" w:cs="Times New Roman"/>
                <w:color w:val="auto"/>
                <w:spacing w:val="0"/>
                <w:sz w:val="21"/>
                <w:szCs w:val="21"/>
              </w:rPr>
              <w:t>废油墨、废胶水、废油墨桶、废稀释剂桶、胶水桶等危废分类暂存于生产厂房</w:t>
            </w:r>
            <w:r>
              <w:rPr>
                <w:rFonts w:hint="eastAsia" w:ascii="Times New Roman" w:hAnsi="Times New Roman" w:cs="Times New Roman"/>
                <w:color w:val="auto"/>
                <w:spacing w:val="0"/>
                <w:sz w:val="21"/>
                <w:szCs w:val="21"/>
                <w:lang w:val="en-US" w:eastAsia="zh-CN"/>
              </w:rPr>
              <w:t>外南</w:t>
            </w:r>
            <w:r>
              <w:rPr>
                <w:rFonts w:hint="default" w:ascii="Times New Roman" w:hAnsi="Times New Roman" w:cs="Times New Roman"/>
                <w:color w:val="auto"/>
                <w:spacing w:val="0"/>
                <w:sz w:val="21"/>
                <w:szCs w:val="21"/>
              </w:rPr>
              <w:t>侧的危废</w:t>
            </w:r>
            <w:r>
              <w:rPr>
                <w:rFonts w:hint="eastAsia" w:ascii="Times New Roman" w:hAnsi="Times New Roman" w:cs="Times New Roman"/>
                <w:color w:val="auto"/>
                <w:spacing w:val="0"/>
                <w:sz w:val="21"/>
                <w:szCs w:val="21"/>
                <w:lang w:val="en-US" w:eastAsia="zh-CN"/>
              </w:rPr>
              <w:t>暂存间</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50m</w:t>
            </w:r>
            <w:r>
              <w:rPr>
                <w:rFonts w:hint="eastAsia" w:ascii="Times New Roman" w:hAnsi="Times New Roman" w:eastAsia="宋体" w:cs="Times New Roman"/>
                <w:color w:val="auto"/>
                <w:spacing w:val="0"/>
                <w:sz w:val="21"/>
                <w:szCs w:val="21"/>
                <w:vertAlign w:val="superscript"/>
                <w:lang w:val="en-US" w:eastAsia="zh-CN"/>
              </w:rPr>
              <w:t>2</w:t>
            </w:r>
            <w:r>
              <w:rPr>
                <w:rFonts w:hint="default" w:ascii="Times New Roman" w:hAnsi="Times New Roman" w:cs="Times New Roman"/>
                <w:color w:val="auto"/>
                <w:spacing w:val="0"/>
                <w:sz w:val="21"/>
                <w:szCs w:val="21"/>
              </w:rPr>
              <w:t>），</w:t>
            </w:r>
            <w:r>
              <w:rPr>
                <w:rFonts w:hint="default" w:ascii="Times New Roman" w:hAnsi="Times New Roman" w:cs="Times New Roman"/>
                <w:color w:val="auto"/>
                <w:spacing w:val="0"/>
                <w:sz w:val="21"/>
                <w:szCs w:val="21"/>
                <w:u w:val="none" w:color="auto"/>
              </w:rPr>
              <w:t>其中完好无损的废稀释剂桶由厂家回收再利用，其余均委托有资质的单位处置</w:t>
            </w:r>
            <w:r>
              <w:rPr>
                <w:rFonts w:hint="default" w:ascii="Times New Roman" w:hAnsi="Times New Roman" w:cs="Times New Roman"/>
                <w:color w:val="auto"/>
                <w:spacing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p>
        </w:tc>
        <w:tc>
          <w:tcPr>
            <w:tcW w:w="992"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废水处理</w:t>
            </w:r>
          </w:p>
        </w:tc>
        <w:tc>
          <w:tcPr>
            <w:tcW w:w="3699"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食堂废水采用隔油池处理，再与其他</w:t>
            </w:r>
            <w:r>
              <w:rPr>
                <w:rFonts w:hint="default" w:ascii="Times New Roman" w:hAnsi="Times New Roman" w:cs="Times New Roman"/>
                <w:color w:val="auto"/>
                <w:spacing w:val="0"/>
                <w:sz w:val="21"/>
                <w:szCs w:val="21"/>
              </w:rPr>
              <w:t>生活污水</w:t>
            </w:r>
            <w:r>
              <w:rPr>
                <w:rFonts w:hint="eastAsia" w:ascii="Times New Roman" w:hAnsi="Times New Roman" w:cs="Times New Roman"/>
                <w:color w:val="auto"/>
                <w:spacing w:val="0"/>
                <w:sz w:val="21"/>
                <w:szCs w:val="21"/>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default" w:ascii="Times New Roman" w:hAnsi="Times New Roman" w:cs="Times New Roman"/>
                <w:color w:val="auto"/>
                <w:spacing w:val="0"/>
                <w:sz w:val="21"/>
                <w:szCs w:val="21"/>
              </w:rPr>
              <w:t>经</w:t>
            </w:r>
            <w:r>
              <w:rPr>
                <w:rFonts w:hint="eastAsia" w:ascii="Times New Roman" w:hAnsi="Times New Roman" w:cs="Times New Roman"/>
                <w:color w:val="auto"/>
                <w:spacing w:val="0"/>
                <w:sz w:val="21"/>
                <w:szCs w:val="21"/>
                <w:lang w:val="en-US" w:eastAsia="zh-CN"/>
              </w:rPr>
              <w:t>租赁厂区</w:t>
            </w:r>
            <w:r>
              <w:rPr>
                <w:rFonts w:hint="default" w:ascii="Times New Roman" w:hAnsi="Times New Roman" w:cs="Times New Roman"/>
                <w:color w:val="auto"/>
                <w:spacing w:val="0"/>
                <w:sz w:val="21"/>
                <w:szCs w:val="21"/>
              </w:rPr>
              <w:t>已</w:t>
            </w:r>
            <w:r>
              <w:rPr>
                <w:rFonts w:hint="eastAsia" w:ascii="Times New Roman" w:hAnsi="Times New Roman" w:cs="Times New Roman"/>
                <w:color w:val="auto"/>
                <w:spacing w:val="0"/>
                <w:sz w:val="21"/>
                <w:szCs w:val="21"/>
                <w:lang w:val="en-US" w:eastAsia="zh-CN"/>
              </w:rPr>
              <w:t>建</w:t>
            </w:r>
            <w:r>
              <w:rPr>
                <w:rFonts w:hint="default" w:ascii="Times New Roman" w:hAnsi="Times New Roman" w:cs="Times New Roman"/>
                <w:color w:val="auto"/>
                <w:spacing w:val="0"/>
                <w:sz w:val="21"/>
                <w:szCs w:val="21"/>
              </w:rPr>
              <w:t>化粪池处理后达到《污水综合排放标准》（</w:t>
            </w:r>
            <w:r>
              <w:rPr>
                <w:rFonts w:hint="default" w:ascii="Times New Roman" w:hAnsi="Times New Roman" w:eastAsia="Calibri" w:cs="Times New Roman"/>
                <w:color w:val="auto"/>
                <w:spacing w:val="0"/>
                <w:sz w:val="21"/>
                <w:szCs w:val="21"/>
              </w:rPr>
              <w:t>GB8978-1996</w:t>
            </w:r>
            <w:r>
              <w:rPr>
                <w:rFonts w:hint="default" w:ascii="Times New Roman" w:hAnsi="Times New Roman" w:cs="Times New Roman"/>
                <w:color w:val="auto"/>
                <w:spacing w:val="0"/>
                <w:sz w:val="21"/>
                <w:szCs w:val="21"/>
              </w:rPr>
              <w:t>）中三级标准，经园区内市政污水管网进入河西污水处理厂处理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8"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依托工程</w:t>
            </w:r>
          </w:p>
        </w:tc>
        <w:tc>
          <w:tcPr>
            <w:tcW w:w="4691"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本项目依托永州市三利报废汽车</w:t>
            </w:r>
            <w:r>
              <w:rPr>
                <w:rFonts w:hint="eastAsia" w:ascii="Times New Roman" w:hAnsi="Times New Roman" w:cs="Times New Roman"/>
                <w:color w:val="auto"/>
                <w:spacing w:val="0"/>
                <w:sz w:val="21"/>
                <w:szCs w:val="21"/>
                <w:lang w:eastAsia="zh-CN"/>
              </w:rPr>
              <w:t>回收</w:t>
            </w:r>
            <w:r>
              <w:rPr>
                <w:rFonts w:hint="default" w:ascii="Times New Roman" w:hAnsi="Times New Roman" w:cs="Times New Roman"/>
                <w:color w:val="auto"/>
                <w:spacing w:val="0"/>
                <w:sz w:val="21"/>
                <w:szCs w:val="21"/>
              </w:rPr>
              <w:t>拆解有限公司已建好的厂房进行建设，</w:t>
            </w:r>
            <w:r>
              <w:rPr>
                <w:rFonts w:hint="eastAsia" w:ascii="Times New Roman" w:hAnsi="Times New Roman" w:cs="Times New Roman"/>
                <w:color w:val="auto"/>
                <w:spacing w:val="0"/>
                <w:sz w:val="21"/>
                <w:szCs w:val="21"/>
                <w:lang w:val="en-US" w:eastAsia="zh-CN"/>
              </w:rPr>
              <w:t>三利公司厂区</w:t>
            </w:r>
            <w:r>
              <w:rPr>
                <w:rFonts w:hint="default" w:ascii="Times New Roman" w:hAnsi="Times New Roman" w:cs="Times New Roman"/>
                <w:color w:val="auto"/>
                <w:spacing w:val="0"/>
                <w:sz w:val="21"/>
                <w:szCs w:val="21"/>
              </w:rPr>
              <w:t>在建设过程中已建成完善的给排水、供电、供气等公用工程以及化粪池等环保工程，本项目可进行依托。</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项目平面布置</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本项目使用区域为</w:t>
      </w:r>
      <w:r>
        <w:rPr>
          <w:rFonts w:hint="eastAsia" w:ascii="Times New Roman" w:hAnsi="Times New Roman" w:eastAsia="宋体" w:cs="Times New Roman"/>
          <w:color w:val="auto"/>
          <w:szCs w:val="28"/>
          <w:u w:val="none" w:color="auto"/>
          <w:lang w:eastAsia="zh-CN"/>
        </w:rPr>
        <w:t>永州市三利报废汽车回收拆解有限公司厂区</w:t>
      </w:r>
      <w:r>
        <w:rPr>
          <w:rFonts w:hint="eastAsia" w:ascii="Times New Roman" w:hAnsi="Times New Roman" w:eastAsia="宋体" w:cs="Times New Roman"/>
          <w:color w:val="auto"/>
          <w:szCs w:val="28"/>
          <w:u w:val="none" w:color="auto"/>
          <w:lang w:val="en-US" w:eastAsia="zh-CN"/>
        </w:rPr>
        <w:t>南端，与三利公司“</w:t>
      </w:r>
      <w:r>
        <w:rPr>
          <w:rFonts w:hint="eastAsia" w:ascii="Times New Roman" w:hAnsi="Times New Roman" w:eastAsia="宋体" w:cs="Times New Roman"/>
          <w:color w:val="auto"/>
          <w:szCs w:val="28"/>
          <w:highlight w:val="none"/>
          <w:u w:val="none" w:color="auto"/>
          <w:lang w:val="en-US" w:eastAsia="zh-CN"/>
        </w:rPr>
        <w:t>永州市三利报废汽车回收拆解及再生资源回收分拣中心</w:t>
      </w:r>
      <w:r>
        <w:rPr>
          <w:rFonts w:hint="default" w:ascii="Times New Roman" w:hAnsi="Times New Roman" w:cs="Times New Roman"/>
          <w:color w:val="auto"/>
          <w:szCs w:val="28"/>
          <w:highlight w:val="none"/>
          <w:u w:val="none" w:color="auto"/>
        </w:rPr>
        <w:t>建设项目</w:t>
      </w:r>
      <w:r>
        <w:rPr>
          <w:rFonts w:hint="eastAsia" w:ascii="Times New Roman" w:hAnsi="Times New Roman" w:eastAsia="宋体" w:cs="Times New Roman"/>
          <w:color w:val="auto"/>
          <w:szCs w:val="28"/>
          <w:u w:val="none" w:color="auto"/>
          <w:lang w:val="en-US" w:eastAsia="zh-CN"/>
        </w:rPr>
        <w:t>”使用的厂区北侧区域采用金属隔离网进行隔开。本项目厂区设2个出入口，与厂区内部道路连接。</w:t>
      </w:r>
      <w:r>
        <w:rPr>
          <w:rFonts w:hint="default" w:ascii="Times New Roman" w:hAnsi="Times New Roman" w:cs="Times New Roman"/>
          <w:color w:val="auto"/>
          <w:szCs w:val="28"/>
          <w:u w:val="none" w:color="auto"/>
        </w:rPr>
        <w:t>主要建筑物为</w:t>
      </w:r>
      <w:r>
        <w:rPr>
          <w:rFonts w:hint="eastAsia" w:ascii="Times New Roman" w:hAnsi="Times New Roman" w:eastAsia="宋体" w:cs="Times New Roman"/>
          <w:color w:val="auto"/>
          <w:szCs w:val="28"/>
          <w:u w:val="none" w:color="auto"/>
          <w:lang w:val="en-US" w:eastAsia="zh-CN"/>
        </w:rPr>
        <w:t>1栋1层生产厂房、1栋4层办公楼、1栋1层食堂及1栋门卫室。厂房东侧布置原辅材料区、印刷车间、复合车间，中部为熟化室、制袋区等，西侧布置成品存放及出库区；项目危险废物暂存间、一般工业废物暂存区布置于厂区南侧。</w:t>
      </w:r>
      <w:r>
        <w:rPr>
          <w:rFonts w:hint="default" w:ascii="Times New Roman" w:hAnsi="Times New Roman" w:cs="Times New Roman"/>
          <w:color w:val="auto"/>
          <w:szCs w:val="28"/>
          <w:u w:val="none" w:color="auto"/>
        </w:rPr>
        <w:t>项目冷却塔区域、RTO设备</w:t>
      </w:r>
      <w:r>
        <w:rPr>
          <w:rFonts w:hint="eastAsia" w:ascii="Times New Roman" w:hAnsi="Times New Roman" w:eastAsia="宋体" w:cs="Times New Roman"/>
          <w:color w:val="auto"/>
          <w:szCs w:val="28"/>
          <w:u w:val="none" w:color="auto"/>
          <w:lang w:val="en-US" w:eastAsia="zh-CN"/>
        </w:rPr>
        <w:t>区域位于厂房外东侧。办公楼位于厂区西北侧，门卫室位于厂区东北角，食堂位于办公楼与门卫室之间的厂区北侧中间位置</w:t>
      </w:r>
      <w:r>
        <w:rPr>
          <w:rFonts w:hint="default" w:ascii="Times New Roman" w:hAnsi="Times New Roman" w:cs="Times New Roman"/>
          <w:color w:val="auto"/>
          <w:szCs w:val="28"/>
          <w:u w:val="none" w:color="auto"/>
        </w:rPr>
        <w:t>。</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根据项目的平面布置，各区功能明确，员工办公区和生产区、环保设施区分流，环保设备排气口位于主导风向的侧风向，对环境影响较小，因此本项目平面布局合理。项目总平面布置图详见附图</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w:t>
      </w:r>
    </w:p>
    <w:p>
      <w:pPr>
        <w:pStyle w:val="10"/>
        <w:bidi w:val="0"/>
        <w:spacing w:line="360" w:lineRule="auto"/>
        <w:rPr>
          <w:color w:val="auto"/>
          <w:sz w:val="32"/>
          <w:szCs w:val="32"/>
        </w:rPr>
      </w:pPr>
      <w:bookmarkStart w:id="36" w:name="bookmark36"/>
      <w:bookmarkEnd w:id="36"/>
      <w:bookmarkStart w:id="37" w:name="_Toc15136"/>
      <w:r>
        <w:rPr>
          <w:color w:val="auto"/>
          <w:sz w:val="32"/>
          <w:szCs w:val="32"/>
        </w:rPr>
        <w:t>产品方案及规模</w:t>
      </w:r>
      <w:bookmarkEnd w:id="37"/>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项目年产塑料包装卷膜及袋包7000吨建设项目，其产品方案见表</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.4-1。</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产品方案一览表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73"/>
        <w:gridCol w:w="2888"/>
        <w:gridCol w:w="2225"/>
        <w:gridCol w:w="194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17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产品名称</w:t>
            </w:r>
          </w:p>
        </w:tc>
        <w:tc>
          <w:tcPr>
            <w:tcW w:w="133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设计能力</w:t>
            </w:r>
          </w:p>
        </w:tc>
        <w:tc>
          <w:tcPr>
            <w:tcW w:w="116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17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软包装袋</w:t>
            </w:r>
          </w:p>
        </w:tc>
        <w:tc>
          <w:tcPr>
            <w:tcW w:w="133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2"/>
                <w:sz w:val="21"/>
                <w:szCs w:val="21"/>
              </w:rPr>
              <w:t>4000</w:t>
            </w:r>
            <w:r>
              <w:rPr>
                <w:rFonts w:hint="default" w:ascii="Times New Roman" w:hAnsi="Times New Roman" w:cs="Times New Roman"/>
                <w:color w:val="auto"/>
                <w:spacing w:val="2"/>
                <w:sz w:val="21"/>
                <w:szCs w:val="21"/>
              </w:rPr>
              <w:t>吨</w:t>
            </w:r>
          </w:p>
        </w:tc>
        <w:tc>
          <w:tcPr>
            <w:tcW w:w="116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17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软包装卷膜</w:t>
            </w:r>
          </w:p>
        </w:tc>
        <w:tc>
          <w:tcPr>
            <w:tcW w:w="133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1"/>
                <w:sz w:val="21"/>
                <w:szCs w:val="21"/>
              </w:rPr>
              <w:t>2000</w:t>
            </w:r>
            <w:r>
              <w:rPr>
                <w:rFonts w:hint="default" w:ascii="Times New Roman" w:hAnsi="Times New Roman" w:cs="Times New Roman"/>
                <w:color w:val="auto"/>
                <w:spacing w:val="1"/>
                <w:sz w:val="21"/>
                <w:szCs w:val="21"/>
              </w:rPr>
              <w:t>吨</w:t>
            </w:r>
          </w:p>
        </w:tc>
        <w:tc>
          <w:tcPr>
            <w:tcW w:w="116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17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其他包装袋膜</w:t>
            </w:r>
          </w:p>
        </w:tc>
        <w:tc>
          <w:tcPr>
            <w:tcW w:w="133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1"/>
                <w:sz w:val="21"/>
                <w:szCs w:val="21"/>
              </w:rPr>
              <w:t>1000</w:t>
            </w:r>
            <w:r>
              <w:rPr>
                <w:rFonts w:hint="default" w:ascii="Times New Roman" w:hAnsi="Times New Roman" w:cs="Times New Roman"/>
                <w:color w:val="auto"/>
                <w:spacing w:val="-1"/>
                <w:sz w:val="21"/>
                <w:szCs w:val="21"/>
              </w:rPr>
              <w:t>吨</w:t>
            </w:r>
          </w:p>
        </w:tc>
        <w:tc>
          <w:tcPr>
            <w:tcW w:w="116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50" w:line="360" w:lineRule="auto"/>
        <w:ind w:left="567" w:hanging="567"/>
        <w:textAlignment w:val="baseline"/>
        <w:rPr>
          <w:color w:val="auto"/>
          <w:sz w:val="32"/>
          <w:szCs w:val="32"/>
        </w:rPr>
      </w:pPr>
      <w:bookmarkStart w:id="38" w:name="bookmark38"/>
      <w:bookmarkEnd w:id="38"/>
      <w:bookmarkStart w:id="39" w:name="_Toc4318"/>
      <w:r>
        <w:rPr>
          <w:color w:val="auto"/>
          <w:sz w:val="32"/>
          <w:szCs w:val="32"/>
        </w:rPr>
        <w:t>项目主要生产设备</w:t>
      </w:r>
      <w:bookmarkEnd w:id="39"/>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本项目生产过程中主要生产设备及附属设施设备汇总见下表</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.5-1。</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项目主要生产设备清单</w:t>
      </w:r>
    </w:p>
    <w:tbl>
      <w:tblPr>
        <w:tblStyle w:val="29"/>
        <w:tblW w:w="501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79"/>
        <w:gridCol w:w="2886"/>
        <w:gridCol w:w="1903"/>
        <w:gridCol w:w="1302"/>
        <w:gridCol w:w="128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17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设备名称</w:t>
            </w:r>
          </w:p>
        </w:tc>
        <w:tc>
          <w:tcPr>
            <w:tcW w:w="11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设备型号</w:t>
            </w:r>
          </w:p>
        </w:tc>
        <w:tc>
          <w:tcPr>
            <w:tcW w:w="7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单位</w:t>
            </w:r>
          </w:p>
        </w:tc>
        <w:tc>
          <w:tcPr>
            <w:tcW w:w="76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数量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17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印刷机</w:t>
            </w:r>
          </w:p>
        </w:tc>
        <w:tc>
          <w:tcPr>
            <w:tcW w:w="11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FR</w:t>
            </w:r>
            <w:r>
              <w:rPr>
                <w:rFonts w:hint="default" w:ascii="Times New Roman" w:hAnsi="Times New Roman" w:eastAsia="Calibri" w:cs="Times New Roman"/>
                <w:color w:val="auto"/>
                <w:spacing w:val="6"/>
                <w:sz w:val="21"/>
                <w:szCs w:val="21"/>
              </w:rPr>
              <w:t>350</w:t>
            </w:r>
            <w:r>
              <w:rPr>
                <w:rFonts w:hint="default" w:ascii="Times New Roman" w:hAnsi="Times New Roman" w:eastAsia="Calibri" w:cs="Times New Roman"/>
                <w:color w:val="auto"/>
                <w:sz w:val="21"/>
                <w:szCs w:val="21"/>
              </w:rPr>
              <w:t>ELS</w:t>
            </w:r>
          </w:p>
        </w:tc>
        <w:tc>
          <w:tcPr>
            <w:tcW w:w="7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17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印刷机</w:t>
            </w:r>
          </w:p>
        </w:tc>
        <w:tc>
          <w:tcPr>
            <w:tcW w:w="11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FR</w:t>
            </w:r>
            <w:r>
              <w:rPr>
                <w:rFonts w:hint="default" w:ascii="Times New Roman" w:hAnsi="Times New Roman" w:eastAsia="Calibri" w:cs="Times New Roman"/>
                <w:color w:val="auto"/>
                <w:spacing w:val="6"/>
                <w:sz w:val="21"/>
                <w:szCs w:val="21"/>
              </w:rPr>
              <w:t>450</w:t>
            </w:r>
            <w:r>
              <w:rPr>
                <w:rFonts w:hint="default" w:ascii="Times New Roman" w:hAnsi="Times New Roman" w:eastAsia="Calibri" w:cs="Times New Roman"/>
                <w:color w:val="auto"/>
                <w:sz w:val="21"/>
                <w:szCs w:val="21"/>
              </w:rPr>
              <w:t>ELS</w:t>
            </w:r>
          </w:p>
        </w:tc>
        <w:tc>
          <w:tcPr>
            <w:tcW w:w="7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17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干法复合机</w:t>
            </w:r>
          </w:p>
        </w:tc>
        <w:tc>
          <w:tcPr>
            <w:tcW w:w="11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DL</w:t>
            </w:r>
            <w:r>
              <w:rPr>
                <w:rFonts w:hint="default" w:ascii="Times New Roman" w:hAnsi="Times New Roman" w:eastAsia="Calibri" w:cs="Times New Roman"/>
                <w:color w:val="auto"/>
                <w:spacing w:val="2"/>
                <w:sz w:val="21"/>
                <w:szCs w:val="21"/>
              </w:rPr>
              <w:t>300</w:t>
            </w:r>
          </w:p>
        </w:tc>
        <w:tc>
          <w:tcPr>
            <w:tcW w:w="7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17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无溶剂复合机</w:t>
            </w:r>
          </w:p>
        </w:tc>
        <w:tc>
          <w:tcPr>
            <w:tcW w:w="11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SLI</w:t>
            </w:r>
            <w:r>
              <w:rPr>
                <w:rFonts w:hint="default" w:ascii="Times New Roman" w:hAnsi="Times New Roman" w:eastAsia="Calibri" w:cs="Times New Roman"/>
                <w:color w:val="auto"/>
                <w:spacing w:val="5"/>
                <w:sz w:val="21"/>
                <w:szCs w:val="21"/>
              </w:rPr>
              <w:t>400</w:t>
            </w:r>
          </w:p>
        </w:tc>
        <w:tc>
          <w:tcPr>
            <w:tcW w:w="7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5</w:t>
            </w:r>
          </w:p>
        </w:tc>
        <w:tc>
          <w:tcPr>
            <w:tcW w:w="172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制袋机</w:t>
            </w:r>
          </w:p>
        </w:tc>
        <w:tc>
          <w:tcPr>
            <w:tcW w:w="1139"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FSD</w:t>
            </w:r>
            <w:r>
              <w:rPr>
                <w:rFonts w:hint="default" w:ascii="Times New Roman" w:hAnsi="Times New Roman" w:eastAsia="Calibri" w:cs="Times New Roman"/>
                <w:color w:val="auto"/>
                <w:spacing w:val="4"/>
                <w:sz w:val="21"/>
                <w:szCs w:val="21"/>
              </w:rPr>
              <w:t>600</w:t>
            </w:r>
            <w:r>
              <w:rPr>
                <w:rFonts w:hint="default" w:ascii="Times New Roman" w:hAnsi="Times New Roman" w:eastAsia="Calibri" w:cs="Times New Roman"/>
                <w:color w:val="auto"/>
                <w:sz w:val="21"/>
                <w:szCs w:val="21"/>
              </w:rPr>
              <w:t>SL</w:t>
            </w:r>
            <w:r>
              <w:rPr>
                <w:rFonts w:hint="default" w:ascii="Times New Roman" w:hAnsi="Times New Roman" w:eastAsia="Calibri" w:cs="Times New Roman"/>
                <w:color w:val="auto"/>
                <w:spacing w:val="4"/>
                <w:sz w:val="21"/>
                <w:szCs w:val="21"/>
              </w:rPr>
              <w:t>-A</w:t>
            </w:r>
          </w:p>
        </w:tc>
        <w:tc>
          <w:tcPr>
            <w:tcW w:w="77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台</w:t>
            </w:r>
          </w:p>
        </w:tc>
        <w:tc>
          <w:tcPr>
            <w:tcW w:w="76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color w:val="auto"/>
                <w:spacing w:val="-5"/>
                <w:sz w:val="21"/>
                <w:szCs w:val="21"/>
                <w:lang w:val="en-US" w:eastAsia="zh-CN"/>
              </w:rPr>
              <w:t>2</w:t>
            </w:r>
            <w:r>
              <w:rPr>
                <w:rFonts w:hint="default" w:ascii="Times New Roman" w:hAnsi="Times New Roman" w:eastAsia="Calibri" w:cs="Times New Roman"/>
                <w:color w:val="auto"/>
                <w:spacing w:val="-5"/>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6</w:t>
            </w:r>
          </w:p>
        </w:tc>
        <w:tc>
          <w:tcPr>
            <w:tcW w:w="172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5"/>
                <w:sz w:val="21"/>
                <w:szCs w:val="21"/>
              </w:rPr>
              <w:t>烫金机</w:t>
            </w:r>
          </w:p>
        </w:tc>
        <w:tc>
          <w:tcPr>
            <w:tcW w:w="1139"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HL</w:t>
            </w:r>
            <w:r>
              <w:rPr>
                <w:rFonts w:hint="default" w:ascii="Times New Roman" w:hAnsi="Times New Roman" w:eastAsia="Calibri" w:cs="Times New Roman"/>
                <w:color w:val="auto"/>
                <w:spacing w:val="3"/>
                <w:sz w:val="21"/>
                <w:szCs w:val="21"/>
              </w:rPr>
              <w:t>1000T4</w:t>
            </w:r>
          </w:p>
        </w:tc>
        <w:tc>
          <w:tcPr>
            <w:tcW w:w="77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台</w:t>
            </w:r>
          </w:p>
        </w:tc>
        <w:tc>
          <w:tcPr>
            <w:tcW w:w="76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7</w:t>
            </w:r>
          </w:p>
        </w:tc>
        <w:tc>
          <w:tcPr>
            <w:tcW w:w="17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5"/>
                <w:sz w:val="21"/>
                <w:szCs w:val="21"/>
              </w:rPr>
              <w:t>喷码系统</w:t>
            </w:r>
          </w:p>
        </w:tc>
        <w:tc>
          <w:tcPr>
            <w:tcW w:w="11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套</w:t>
            </w:r>
          </w:p>
        </w:tc>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8</w:t>
            </w:r>
          </w:p>
        </w:tc>
        <w:tc>
          <w:tcPr>
            <w:tcW w:w="172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分切机</w:t>
            </w:r>
          </w:p>
        </w:tc>
        <w:tc>
          <w:tcPr>
            <w:tcW w:w="1139"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HS</w:t>
            </w:r>
            <w:r>
              <w:rPr>
                <w:rFonts w:hint="default" w:ascii="Times New Roman" w:hAnsi="Times New Roman" w:eastAsia="Calibri" w:cs="Times New Roman"/>
                <w:color w:val="auto"/>
                <w:spacing w:val="2"/>
                <w:sz w:val="21"/>
                <w:szCs w:val="21"/>
              </w:rPr>
              <w:t>500</w:t>
            </w:r>
          </w:p>
        </w:tc>
        <w:tc>
          <w:tcPr>
            <w:tcW w:w="77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台</w:t>
            </w:r>
          </w:p>
        </w:tc>
        <w:tc>
          <w:tcPr>
            <w:tcW w:w="76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9</w:t>
            </w:r>
          </w:p>
        </w:tc>
        <w:tc>
          <w:tcPr>
            <w:tcW w:w="17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品检机</w:t>
            </w:r>
          </w:p>
        </w:tc>
        <w:tc>
          <w:tcPr>
            <w:tcW w:w="11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KLP</w:t>
            </w:r>
            <w:r>
              <w:rPr>
                <w:rFonts w:hint="default" w:ascii="Times New Roman" w:hAnsi="Times New Roman" w:eastAsia="Calibri" w:cs="Times New Roman"/>
                <w:color w:val="auto"/>
                <w:spacing w:val="2"/>
                <w:sz w:val="21"/>
                <w:szCs w:val="21"/>
              </w:rPr>
              <w:t>-A</w:t>
            </w:r>
          </w:p>
        </w:tc>
        <w:tc>
          <w:tcPr>
            <w:tcW w:w="7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7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5"/>
                <w:sz w:val="21"/>
                <w:szCs w:val="21"/>
              </w:rPr>
              <w:t>10</w:t>
            </w:r>
          </w:p>
        </w:tc>
        <w:tc>
          <w:tcPr>
            <w:tcW w:w="172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5"/>
                <w:sz w:val="21"/>
                <w:szCs w:val="21"/>
              </w:rPr>
              <w:t>熟化室</w:t>
            </w:r>
          </w:p>
        </w:tc>
        <w:tc>
          <w:tcPr>
            <w:tcW w:w="1139"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3"/>
                <w:position w:val="3"/>
                <w:sz w:val="21"/>
                <w:szCs w:val="21"/>
              </w:rPr>
              <w:t>/</w:t>
            </w:r>
          </w:p>
        </w:tc>
        <w:tc>
          <w:tcPr>
            <w:tcW w:w="77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台</w:t>
            </w:r>
          </w:p>
        </w:tc>
        <w:tc>
          <w:tcPr>
            <w:tcW w:w="76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5"/>
                <w:sz w:val="21"/>
                <w:szCs w:val="21"/>
              </w:rPr>
              <w:t>11</w:t>
            </w:r>
          </w:p>
        </w:tc>
        <w:tc>
          <w:tcPr>
            <w:tcW w:w="172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单口机</w:t>
            </w:r>
          </w:p>
        </w:tc>
        <w:tc>
          <w:tcPr>
            <w:tcW w:w="1139"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3"/>
                <w:position w:val="3"/>
                <w:sz w:val="21"/>
                <w:szCs w:val="21"/>
              </w:rPr>
              <w:t>/</w:t>
            </w:r>
          </w:p>
        </w:tc>
        <w:tc>
          <w:tcPr>
            <w:tcW w:w="77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台</w:t>
            </w:r>
          </w:p>
        </w:tc>
        <w:tc>
          <w:tcPr>
            <w:tcW w:w="76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5"/>
                <w:sz w:val="21"/>
                <w:szCs w:val="21"/>
              </w:rPr>
              <w:t>12</w:t>
            </w:r>
          </w:p>
        </w:tc>
        <w:tc>
          <w:tcPr>
            <w:tcW w:w="172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RTO</w:t>
            </w:r>
            <w:r>
              <w:rPr>
                <w:rFonts w:hint="default" w:ascii="Times New Roman" w:hAnsi="Times New Roman" w:cs="Times New Roman"/>
                <w:color w:val="auto"/>
                <w:spacing w:val="5"/>
                <w:sz w:val="21"/>
                <w:szCs w:val="21"/>
              </w:rPr>
              <w:t>蓄热燃烧装置</w:t>
            </w:r>
          </w:p>
        </w:tc>
        <w:tc>
          <w:tcPr>
            <w:tcW w:w="1139"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3"/>
                <w:position w:val="3"/>
                <w:sz w:val="21"/>
                <w:szCs w:val="21"/>
              </w:rPr>
              <w:t>/</w:t>
            </w:r>
          </w:p>
        </w:tc>
        <w:tc>
          <w:tcPr>
            <w:tcW w:w="77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台</w:t>
            </w:r>
          </w:p>
        </w:tc>
        <w:tc>
          <w:tcPr>
            <w:tcW w:w="76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8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172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7"/>
                <w:sz w:val="21"/>
                <w:szCs w:val="21"/>
              </w:rPr>
              <w:t>冷却塔</w:t>
            </w:r>
            <w:r>
              <w:rPr>
                <w:rFonts w:hint="default" w:ascii="Times New Roman" w:hAnsi="Times New Roman" w:eastAsia="Calibri" w:cs="Times New Roman"/>
                <w:color w:val="auto"/>
                <w:spacing w:val="7"/>
                <w:sz w:val="21"/>
                <w:szCs w:val="21"/>
              </w:rPr>
              <w:t>+</w:t>
            </w:r>
            <w:r>
              <w:rPr>
                <w:rFonts w:hint="default" w:ascii="Times New Roman" w:hAnsi="Times New Roman" w:cs="Times New Roman"/>
                <w:color w:val="auto"/>
                <w:spacing w:val="7"/>
                <w:sz w:val="21"/>
                <w:szCs w:val="21"/>
              </w:rPr>
              <w:t>辅助设备</w:t>
            </w:r>
          </w:p>
        </w:tc>
        <w:tc>
          <w:tcPr>
            <w:tcW w:w="1139"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3"/>
                <w:position w:val="3"/>
                <w:sz w:val="21"/>
                <w:szCs w:val="21"/>
              </w:rPr>
              <w:t>/</w:t>
            </w:r>
          </w:p>
        </w:tc>
        <w:tc>
          <w:tcPr>
            <w:tcW w:w="77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套</w:t>
            </w:r>
          </w:p>
        </w:tc>
        <w:tc>
          <w:tcPr>
            <w:tcW w:w="76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1</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50" w:line="360" w:lineRule="auto"/>
        <w:ind w:left="567" w:hanging="567"/>
        <w:textAlignment w:val="baseline"/>
        <w:rPr>
          <w:color w:val="auto"/>
          <w:sz w:val="32"/>
          <w:szCs w:val="32"/>
        </w:rPr>
      </w:pPr>
      <w:bookmarkStart w:id="40" w:name="bookmark40"/>
      <w:bookmarkEnd w:id="40"/>
      <w:bookmarkStart w:id="41" w:name="_Toc834"/>
      <w:r>
        <w:rPr>
          <w:color w:val="auto"/>
          <w:sz w:val="32"/>
          <w:szCs w:val="32"/>
        </w:rPr>
        <w:t>主要原辅材料</w:t>
      </w:r>
      <w:bookmarkEnd w:id="41"/>
    </w:p>
    <w:p>
      <w:pPr>
        <w:pStyle w:val="11"/>
        <w:bidi w:val="0"/>
        <w:spacing w:line="360" w:lineRule="auto"/>
        <w:ind w:left="851" w:hanging="851"/>
        <w:rPr>
          <w:color w:val="auto"/>
          <w:sz w:val="30"/>
          <w:szCs w:val="30"/>
        </w:rPr>
      </w:pPr>
      <w:r>
        <w:rPr>
          <w:color w:val="auto"/>
          <w:sz w:val="30"/>
          <w:szCs w:val="30"/>
        </w:rPr>
        <w:t>辅材料消耗量</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项目生产所需原辅材料均为外购，主要原辅材料消耗及能源消耗详见表</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.6-1。</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主要原辅材料消耗及能源消耗一览表</w:t>
      </w:r>
    </w:p>
    <w:tbl>
      <w:tblPr>
        <w:tblStyle w:val="29"/>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84"/>
        <w:gridCol w:w="2974"/>
        <w:gridCol w:w="1201"/>
        <w:gridCol w:w="1126"/>
        <w:gridCol w:w="1169"/>
        <w:gridCol w:w="117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名称</w:t>
            </w:r>
          </w:p>
        </w:tc>
        <w:tc>
          <w:tcPr>
            <w:tcW w:w="7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单位</w:t>
            </w:r>
          </w:p>
        </w:tc>
        <w:tc>
          <w:tcPr>
            <w:tcW w:w="67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年用量</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5"/>
                <w:sz w:val="21"/>
                <w:szCs w:val="21"/>
              </w:rPr>
            </w:pPr>
            <w:r>
              <w:rPr>
                <w:rFonts w:hint="eastAsia" w:ascii="Times New Roman"/>
                <w:b/>
                <w:bCs/>
                <w:color w:val="auto"/>
                <w:szCs w:val="21"/>
                <w:lang w:val="en-US" w:eastAsia="zh-CN"/>
              </w:rPr>
              <w:t>最大储存量</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1"/>
                <w:sz w:val="21"/>
                <w:szCs w:val="21"/>
              </w:rPr>
              <w:t>PP</w:t>
            </w:r>
            <w:r>
              <w:rPr>
                <w:rFonts w:hint="default" w:ascii="Times New Roman" w:hAnsi="Times New Roman" w:cs="Times New Roman"/>
                <w:color w:val="auto"/>
                <w:spacing w:val="-1"/>
                <w:sz w:val="21"/>
                <w:szCs w:val="21"/>
              </w:rPr>
              <w:t>薄膜</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3000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1"/>
                <w:sz w:val="21"/>
                <w:szCs w:val="21"/>
              </w:rPr>
            </w:pPr>
            <w:r>
              <w:rPr>
                <w:rFonts w:hint="eastAsia" w:ascii="Times New Roman" w:cs="Times New Roman"/>
                <w:b w:val="0"/>
                <w:bCs w:val="0"/>
                <w:color w:val="auto"/>
                <w:szCs w:val="21"/>
                <w:lang w:val="en-US" w:eastAsia="zh-CN"/>
              </w:rPr>
              <w:t>250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PET</w:t>
            </w:r>
            <w:r>
              <w:rPr>
                <w:rFonts w:hint="default" w:ascii="Times New Roman" w:hAnsi="Times New Roman" w:cs="Times New Roman"/>
                <w:color w:val="auto"/>
                <w:sz w:val="21"/>
                <w:szCs w:val="21"/>
              </w:rPr>
              <w:t>薄膜</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1000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1"/>
                <w:sz w:val="21"/>
                <w:szCs w:val="21"/>
              </w:rPr>
            </w:pPr>
            <w:r>
              <w:rPr>
                <w:rFonts w:hint="eastAsia" w:ascii="Times New Roman" w:cs="Times New Roman"/>
                <w:b w:val="0"/>
                <w:bCs w:val="0"/>
                <w:color w:val="auto"/>
                <w:szCs w:val="21"/>
                <w:lang w:val="en-US" w:eastAsia="zh-CN"/>
              </w:rPr>
              <w:t>80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1"/>
                <w:sz w:val="21"/>
                <w:szCs w:val="21"/>
              </w:rPr>
              <w:t>PE</w:t>
            </w:r>
            <w:r>
              <w:rPr>
                <w:rFonts w:hint="default" w:ascii="Times New Roman" w:hAnsi="Times New Roman" w:cs="Times New Roman"/>
                <w:color w:val="auto"/>
                <w:spacing w:val="-1"/>
                <w:sz w:val="21"/>
                <w:szCs w:val="21"/>
              </w:rPr>
              <w:t>薄膜</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2000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3"/>
                <w:sz w:val="21"/>
                <w:szCs w:val="21"/>
              </w:rPr>
            </w:pPr>
            <w:r>
              <w:rPr>
                <w:rFonts w:hint="eastAsia" w:ascii="Times New Roman" w:cs="Times New Roman"/>
                <w:b w:val="0"/>
                <w:bCs w:val="0"/>
                <w:color w:val="auto"/>
                <w:szCs w:val="21"/>
                <w:lang w:val="en-US" w:eastAsia="zh-CN"/>
              </w:rPr>
              <w:t>150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铝箔</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680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z w:val="21"/>
                <w:szCs w:val="21"/>
              </w:rPr>
            </w:pPr>
            <w:r>
              <w:rPr>
                <w:rFonts w:hint="eastAsia" w:ascii="Times New Roman" w:cs="Times New Roman"/>
                <w:b w:val="0"/>
                <w:bCs w:val="0"/>
                <w:color w:val="auto"/>
                <w:szCs w:val="21"/>
                <w:lang w:val="en-US" w:eastAsia="zh-CN"/>
              </w:rPr>
              <w:t>50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8"/>
                <w:sz w:val="21"/>
                <w:szCs w:val="21"/>
              </w:rPr>
              <w:t>环保型聚氨酯型复合油墨</w:t>
            </w:r>
            <w:r>
              <w:rPr>
                <w:rFonts w:hint="default" w:ascii="Times New Roman" w:hAnsi="Times New Roman" w:eastAsia="Calibri" w:cs="Times New Roman"/>
                <w:color w:val="auto"/>
                <w:spacing w:val="8"/>
                <w:sz w:val="21"/>
                <w:szCs w:val="21"/>
              </w:rPr>
              <w:t>*</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500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z w:val="21"/>
                <w:szCs w:val="21"/>
              </w:rPr>
            </w:pPr>
            <w:r>
              <w:rPr>
                <w:rFonts w:hint="eastAsia" w:ascii="Times New Roman" w:cs="Times New Roman"/>
                <w:b w:val="0"/>
                <w:bCs w:val="0"/>
                <w:color w:val="auto"/>
                <w:szCs w:val="21"/>
                <w:lang w:val="en-US" w:eastAsia="zh-CN"/>
              </w:rPr>
              <w:t>40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6</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正丙酯</w:t>
            </w:r>
            <w:r>
              <w:rPr>
                <w:rFonts w:hint="default" w:ascii="Times New Roman" w:hAnsi="Times New Roman" w:eastAsia="Calibri" w:cs="Times New Roman"/>
                <w:color w:val="auto"/>
                <w:spacing w:val="5"/>
                <w:sz w:val="21"/>
                <w:szCs w:val="21"/>
              </w:rPr>
              <w:t>*</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370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z w:val="21"/>
                <w:szCs w:val="21"/>
              </w:rPr>
            </w:pPr>
            <w:r>
              <w:rPr>
                <w:rFonts w:hint="eastAsia" w:ascii="Times New Roman" w:cs="Times New Roman"/>
                <w:b w:val="0"/>
                <w:bCs w:val="0"/>
                <w:color w:val="auto"/>
                <w:szCs w:val="21"/>
                <w:lang w:val="en-US" w:eastAsia="zh-CN"/>
              </w:rPr>
              <w:t>30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7</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异丙醇</w:t>
            </w:r>
            <w:r>
              <w:rPr>
                <w:rFonts w:hint="default" w:ascii="Times New Roman" w:hAnsi="Times New Roman" w:eastAsia="Calibri" w:cs="Times New Roman"/>
                <w:color w:val="auto"/>
                <w:spacing w:val="5"/>
                <w:sz w:val="21"/>
                <w:szCs w:val="21"/>
              </w:rPr>
              <w:t>*</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30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1"/>
                <w:sz w:val="21"/>
                <w:szCs w:val="21"/>
              </w:rPr>
            </w:pPr>
            <w:r>
              <w:rPr>
                <w:rFonts w:hint="eastAsia" w:ascii="Times New Roman" w:cs="Times New Roman"/>
                <w:b w:val="0"/>
                <w:bCs w:val="0"/>
                <w:color w:val="auto"/>
                <w:szCs w:val="21"/>
                <w:lang w:val="en-US" w:eastAsia="zh-CN"/>
              </w:rPr>
              <w:t>2.5</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8</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乙酸乙酯</w:t>
            </w:r>
            <w:r>
              <w:rPr>
                <w:rFonts w:hint="default" w:ascii="Times New Roman" w:hAnsi="Times New Roman" w:eastAsia="Calibri" w:cs="Times New Roman"/>
                <w:color w:val="auto"/>
                <w:spacing w:val="3"/>
                <w:sz w:val="21"/>
                <w:szCs w:val="21"/>
              </w:rPr>
              <w:t>*</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400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2"/>
                <w:sz w:val="21"/>
                <w:szCs w:val="21"/>
              </w:rPr>
            </w:pPr>
            <w:r>
              <w:rPr>
                <w:rFonts w:hint="eastAsia" w:ascii="Times New Roman" w:cs="Times New Roman"/>
                <w:b w:val="0"/>
                <w:bCs w:val="0"/>
                <w:color w:val="auto"/>
                <w:szCs w:val="21"/>
                <w:lang w:val="en-US" w:eastAsia="zh-CN"/>
              </w:rPr>
              <w:t>30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9</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6"/>
                <w:sz w:val="21"/>
                <w:szCs w:val="21"/>
              </w:rPr>
              <w:t>聚氨酯胶水</w:t>
            </w:r>
            <w:r>
              <w:rPr>
                <w:rFonts w:hint="default" w:ascii="Times New Roman" w:hAnsi="Times New Roman" w:eastAsia="Calibri" w:cs="Times New Roman"/>
                <w:color w:val="auto"/>
                <w:spacing w:val="6"/>
                <w:sz w:val="21"/>
                <w:szCs w:val="21"/>
              </w:rPr>
              <w:t>*</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150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2"/>
                <w:sz w:val="21"/>
                <w:szCs w:val="21"/>
              </w:rPr>
            </w:pPr>
            <w:r>
              <w:rPr>
                <w:rFonts w:hint="eastAsia" w:ascii="Times New Roman" w:cs="Times New Roman"/>
                <w:b w:val="0"/>
                <w:bCs w:val="0"/>
                <w:color w:val="auto"/>
                <w:szCs w:val="21"/>
                <w:lang w:val="en-US" w:eastAsia="zh-CN"/>
              </w:rPr>
              <w:t>12</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10</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无溶剂胶水</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250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z w:val="21"/>
                <w:szCs w:val="21"/>
              </w:rPr>
            </w:pPr>
            <w:r>
              <w:rPr>
                <w:rFonts w:hint="eastAsia" w:ascii="Times New Roman" w:cs="Times New Roman"/>
                <w:b w:val="0"/>
                <w:bCs w:val="0"/>
                <w:color w:val="auto"/>
                <w:szCs w:val="21"/>
                <w:lang w:val="en-US" w:eastAsia="zh-CN"/>
              </w:rPr>
              <w:t>20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11</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Kwh</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2300</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1"/>
                <w:sz w:val="21"/>
                <w:szCs w:val="21"/>
              </w:rPr>
            </w:pPr>
            <w:r>
              <w:rPr>
                <w:rFonts w:hint="eastAsia" w:ascii="Times New Roman" w:cs="Times New Roman"/>
                <w:b w:val="0"/>
                <w:bCs w:val="0"/>
                <w:color w:val="auto"/>
                <w:szCs w:val="21"/>
                <w:lang w:val="en-US" w:eastAsia="zh-CN"/>
              </w:rPr>
              <w:t>200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市政供给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12</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s="Times New Roman"/>
                <w:color w:val="auto"/>
                <w:szCs w:val="21"/>
                <w:lang w:val="en-US" w:eastAsia="zh-CN"/>
              </w:rPr>
              <w:t>1468.35</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1"/>
                <w:sz w:val="21"/>
                <w:szCs w:val="21"/>
              </w:rPr>
            </w:pPr>
            <w:r>
              <w:rPr>
                <w:rFonts w:hint="eastAsia" w:ascii="Times New Roman" w:cs="Times New Roman"/>
                <w:b w:val="0"/>
                <w:bCs w:val="0"/>
                <w:color w:val="auto"/>
                <w:szCs w:val="21"/>
                <w:lang w:val="en-US" w:eastAsia="zh-CN"/>
              </w:rPr>
              <w:t>120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市政供给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highlight w:val="none"/>
              </w:rPr>
            </w:pPr>
            <w:r>
              <w:rPr>
                <w:rFonts w:hint="default" w:ascii="Times New Roman" w:hAnsi="Times New Roman" w:eastAsia="Calibri" w:cs="Times New Roman"/>
                <w:color w:val="auto"/>
                <w:spacing w:val="-5"/>
                <w:sz w:val="21"/>
                <w:szCs w:val="21"/>
                <w:highlight w:val="none"/>
              </w:rPr>
              <w:t>13</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天然气（</w:t>
            </w:r>
            <w:r>
              <w:rPr>
                <w:rFonts w:hint="default" w:ascii="Times New Roman" w:hAnsi="Times New Roman" w:eastAsia="Calibri" w:cs="Times New Roman"/>
                <w:color w:val="auto"/>
                <w:sz w:val="21"/>
                <w:szCs w:val="21"/>
                <w:highlight w:val="none"/>
              </w:rPr>
              <w:t>RTO</w:t>
            </w:r>
            <w:r>
              <w:rPr>
                <w:rFonts w:hint="default" w:ascii="Times New Roman" w:hAnsi="Times New Roman" w:cs="Times New Roman"/>
                <w:color w:val="auto"/>
                <w:spacing w:val="7"/>
                <w:sz w:val="21"/>
                <w:szCs w:val="21"/>
                <w:highlight w:val="none"/>
              </w:rPr>
              <w:t>蓄热燃烧装置，</w:t>
            </w:r>
            <w:r>
              <w:rPr>
                <w:rFonts w:hint="default" w:ascii="Times New Roman" w:hAnsi="Times New Roman" w:cs="Times New Roman"/>
                <w:color w:val="auto"/>
                <w:spacing w:val="3"/>
                <w:sz w:val="21"/>
                <w:szCs w:val="21"/>
                <w:highlight w:val="none"/>
              </w:rPr>
              <w:t>助燃）</w:t>
            </w:r>
          </w:p>
        </w:tc>
        <w:tc>
          <w:tcPr>
            <w:tcW w:w="7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highlight w:val="none"/>
              </w:rPr>
            </w:pPr>
            <w:r>
              <w:rPr>
                <w:rFonts w:hint="default" w:ascii="Times New Roman" w:hAnsi="Times New Roman" w:eastAsia="Calibri" w:cs="Times New Roman"/>
                <w:color w:val="auto"/>
                <w:spacing w:val="-8"/>
                <w:position w:val="2"/>
                <w:sz w:val="21"/>
                <w:szCs w:val="21"/>
                <w:highlight w:val="none"/>
              </w:rPr>
              <w:t>m³</w:t>
            </w:r>
          </w:p>
        </w:tc>
        <w:tc>
          <w:tcPr>
            <w:tcW w:w="676" w:type="pct"/>
            <w:tcBorders>
              <w:tl2br w:val="nil"/>
              <w:tr2bl w:val="nil"/>
            </w:tcBorders>
            <w:vAlign w:val="center"/>
          </w:tcPr>
          <w:p>
            <w:pPr>
              <w:pStyle w:val="39"/>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90000</w:t>
            </w:r>
          </w:p>
        </w:tc>
        <w:tc>
          <w:tcPr>
            <w:tcW w:w="702" w:type="pct"/>
            <w:tcBorders>
              <w:tl2br w:val="nil"/>
              <w:tr2bl w:val="nil"/>
            </w:tcBorders>
            <w:vAlign w:val="center"/>
          </w:tcPr>
          <w:p>
            <w:pPr>
              <w:pStyle w:val="39"/>
              <w:ind w:firstLine="0" w:firstLineChars="0"/>
              <w:jc w:val="center"/>
              <w:rPr>
                <w:rFonts w:hint="default" w:ascii="Times New Roman" w:hAnsi="Times New Roman" w:eastAsia="宋体" w:cs="Times New Roman"/>
                <w:b w:val="0"/>
                <w:bCs w:val="0"/>
                <w:color w:val="auto"/>
                <w:spacing w:val="-1"/>
                <w:sz w:val="21"/>
                <w:szCs w:val="21"/>
                <w:highlight w:val="none"/>
                <w:lang w:val="en-US" w:eastAsia="zh-CN"/>
              </w:rPr>
            </w:pPr>
            <w:r>
              <w:rPr>
                <w:rFonts w:hint="eastAsia" w:ascii="Times New Roman" w:hAnsi="Times New Roman" w:eastAsia="宋体" w:cs="Times New Roman"/>
                <w:b w:val="0"/>
                <w:bCs w:val="0"/>
                <w:color w:val="auto"/>
                <w:spacing w:val="-1"/>
                <w:sz w:val="21"/>
                <w:szCs w:val="21"/>
                <w:highlight w:val="none"/>
                <w:lang w:val="en-US" w:eastAsia="zh-CN"/>
              </w:rPr>
              <w:t>2400</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新奥燃气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14</w:t>
            </w:r>
          </w:p>
        </w:tc>
        <w:tc>
          <w:tcPr>
            <w:tcW w:w="1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喷码用墨水</w:t>
            </w:r>
          </w:p>
        </w:tc>
        <w:tc>
          <w:tcPr>
            <w:tcW w:w="7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position w:val="3"/>
                <w:sz w:val="21"/>
                <w:szCs w:val="21"/>
              </w:rPr>
              <w:t>t</w:t>
            </w:r>
          </w:p>
        </w:tc>
        <w:tc>
          <w:tcPr>
            <w:tcW w:w="676" w:type="pct"/>
            <w:tcBorders>
              <w:tl2br w:val="nil"/>
              <w:tr2bl w:val="nil"/>
            </w:tcBorders>
            <w:vAlign w:val="center"/>
          </w:tcPr>
          <w:p>
            <w:pPr>
              <w:pStyle w:val="39"/>
              <w:ind w:firstLine="0" w:firstLineChars="0"/>
              <w:jc w:val="center"/>
              <w:rPr>
                <w:rFonts w:hint="default" w:ascii="Times New Roman" w:hAnsi="Times New Roman" w:eastAsia="Calibri" w:cs="Times New Roman"/>
                <w:color w:val="auto"/>
                <w:sz w:val="21"/>
                <w:szCs w:val="21"/>
              </w:rPr>
            </w:pPr>
            <w:r>
              <w:rPr>
                <w:rFonts w:hint="eastAsia" w:ascii="Times New Roman"/>
                <w:color w:val="auto"/>
                <w:szCs w:val="21"/>
                <w:lang w:val="en-US" w:eastAsia="zh-CN"/>
              </w:rPr>
              <w:t>0.2</w:t>
            </w:r>
          </w:p>
        </w:tc>
        <w:tc>
          <w:tcPr>
            <w:tcW w:w="702" w:type="pct"/>
            <w:tcBorders>
              <w:tl2br w:val="nil"/>
              <w:tr2bl w:val="nil"/>
            </w:tcBorders>
            <w:vAlign w:val="center"/>
          </w:tcPr>
          <w:p>
            <w:pPr>
              <w:pStyle w:val="39"/>
              <w:ind w:firstLine="0" w:firstLineChars="0"/>
              <w:jc w:val="center"/>
              <w:rPr>
                <w:rFonts w:hint="default" w:ascii="Times New Roman" w:hAnsi="Times New Roman" w:eastAsia="Calibri" w:cs="Times New Roman"/>
                <w:b w:val="0"/>
                <w:bCs w:val="0"/>
                <w:color w:val="auto"/>
                <w:spacing w:val="1"/>
                <w:sz w:val="21"/>
                <w:szCs w:val="21"/>
              </w:rPr>
            </w:pPr>
            <w:r>
              <w:rPr>
                <w:rFonts w:hint="eastAsia" w:ascii="Times New Roman"/>
                <w:b w:val="0"/>
                <w:bCs w:val="0"/>
                <w:color w:val="auto"/>
                <w:szCs w:val="21"/>
                <w:lang w:val="en-US" w:eastAsia="zh-CN"/>
              </w:rPr>
              <w:t>0.01</w:t>
            </w:r>
          </w:p>
        </w:tc>
        <w:tc>
          <w:tcPr>
            <w:tcW w:w="7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20" w:after="0" w:afterLines="20" w:line="24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*为涉VOCs原料</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本项目印刷采取凹版印刷工艺，按照客户对产品设计的要求，确定产品需要印刷的层数和印刷厚度。</w:t>
      </w:r>
    </w:p>
    <w:p>
      <w:pPr>
        <w:pStyle w:val="11"/>
        <w:bidi w:val="0"/>
        <w:spacing w:line="360" w:lineRule="auto"/>
        <w:ind w:left="851" w:hanging="851"/>
        <w:rPr>
          <w:rFonts w:hint="default"/>
          <w:color w:val="auto"/>
          <w:sz w:val="30"/>
          <w:szCs w:val="30"/>
        </w:rPr>
      </w:pPr>
      <w:r>
        <w:rPr>
          <w:rFonts w:hint="default"/>
          <w:color w:val="auto"/>
          <w:sz w:val="30"/>
          <w:szCs w:val="30"/>
        </w:rPr>
        <w:t>主要原辅材料理化性质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（1）PP薄膜（成品膜）</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PP薄膜主要成分为聚丙烯，具有良好的耐热性，制品能在100℃以上温度进行消毒灭菌，在不受外力的条件下，150℃不变形。脆化温度为-35℃</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在-35℃会发</w:t>
      </w:r>
      <w:r>
        <w:rPr>
          <w:rFonts w:hint="eastAsia" w:ascii="Times New Roman" w:hAnsi="Times New Roman" w:eastAsia="宋体" w:cs="Times New Roman"/>
          <w:color w:val="auto"/>
          <w:szCs w:val="28"/>
          <w:u w:val="none" w:color="auto"/>
          <w:lang w:val="en-US" w:eastAsia="zh-CN"/>
        </w:rPr>
        <w:t>生</w:t>
      </w:r>
      <w:r>
        <w:rPr>
          <w:rFonts w:hint="default" w:ascii="Times New Roman" w:hAnsi="Times New Roman" w:cs="Times New Roman"/>
          <w:color w:val="auto"/>
          <w:szCs w:val="28"/>
          <w:u w:val="none" w:color="auto"/>
        </w:rPr>
        <w:t>低于生脆化，</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"http://baike.baidu.com/item/%E8%81%9A%E4%B9%99%E7%83%AF"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耐寒性不如聚乙烯</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。聚丙烯的熔融温度比聚乙烯约提高40~50%，约为164~170℃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100%等规度聚丙烯熔点为176℃</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热分解温度为350~380℃。</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（2）PET薄膜（成品膜）</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PET薄膜主要成分为聚对苯二甲酸乙二醇酯，表面平滑有光泽。密1.68g/mLat25°C，熔点：250~255°C，具有优良的耐高、低温性能，可在120℃温度范围内长期使用，短期使用可耐150℃高温，可耐</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70℃低温，且高、低温对其机械性能影响很小。电绝缘性优良，甚至在高温高频下，其电性能仍较好，但耐电晕性较差，抗蠕变性，耐疲劳性，耐摩擦性、尺寸稳定性都很好。耐弱酸、耐脂肪、弱碱和大多数有机溶剂，耐油性好。热分解温度为335~450℃。</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（3）PE薄膜（成品膜）</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PE薄膜，即聚乙烯</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"https://baike.baidu.com/item/%E8%96%84%E8%86%9C"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薄膜</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，是指用聚乙烯粒料薄膜生产的薄膜。PE膜具有防潮性，透湿性小。聚乙烯薄膜</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PE</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根据制造方法与控制手段的不同，可制造出低密度、中密度、高密度的聚乙烯与交联聚乙烯等不同性能的产品。低密度聚乙烯密度约为0.92g/cm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左右。</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"https://baike.baidu.com/item/%E4%BD%8E%E5%AF%86%E5%BA%A6%E8%81%9A%E4%B9%99%E7%83%AF%E8%96%84%E8%86%9C/7111098"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低密度聚乙烯薄膜</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的透明度与</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"https://baike.baidu.com/item/%E7%83%AD%E5%B0%81/8806797"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热封</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性好，能防水、防潮；抗张强度低，拉伸</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"https://baike.baidu.com/item/%E4%BC%B8%E9%95%BF%E7%8E%87/9064126"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伸长</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率大，容易发皱，0.03mm以下的薄膜，</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"https://baike.baidu.com/item/%E5%BC%A0%E5%8A%9B%E6%8E%A7%E5%88%B6/6134417"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张力控制</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宜小，并且各处张力要恒定，特别是受热时更易变形，造成套色困难。因此干燥时，薄膜表面温度不要过高</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在55度以内</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，热分解温度为335~450℃。PE薄膜一般用作热封层材料使用。</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（4）环保型聚氨酯型复合油墨</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本项目所使用的油墨为环保型聚氨酯型复合油墨，主要用于印刷工序。本项目环保型无苯无酮油墨主要由树脂、有机颜料、溶剂等经复合研磨加工而成。根据</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提供的成分分析单，其中氯乙烯与醋酸乙烯聚合物2~5%、乙酸乙酯10~15%、正丙酯20~25%、乙酸丁酯10~15%、颜料8~30%、聚氨酯树脂30~35%、丙二醇甲醚醋酸酯10~15%，其中可挥发性物质含量最大为60%。</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（5）聚氨酯胶水</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聚氨酯胶水主要用在复合工序，是无色或淡黄色透明液体，</w:t>
      </w:r>
      <w:r>
        <w:rPr>
          <w:rFonts w:hint="eastAsia" w:ascii="Times New Roman" w:hAnsi="Times New Roman" w:eastAsia="宋体" w:cs="Times New Roman"/>
          <w:color w:val="auto"/>
          <w:szCs w:val="28"/>
          <w:u w:val="none" w:color="auto"/>
          <w:lang w:eastAsia="zh-CN"/>
        </w:rPr>
        <w:t>单组份</w:t>
      </w:r>
      <w:r>
        <w:rPr>
          <w:rFonts w:hint="default" w:ascii="Times New Roman" w:hAnsi="Times New Roman" w:cs="Times New Roman"/>
          <w:color w:val="auto"/>
          <w:szCs w:val="28"/>
          <w:u w:val="none" w:color="auto"/>
        </w:rPr>
        <w:t>包装。本产品具有高强度</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"http://baike.baidu.com/item/%E8%80%90%E7%A3%A8%E6%80%A7/648992"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耐磨性</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。高弹性，耐低温性等优势。其软硬度可在很大的范围内进行调节，但其</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"http://baike.baidu.com/item/%E8%80%90%E7%83%AD%E6%80%A7/9397486"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耐热性</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不佳，通过改性将耐热基团引入</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"http://baike.baidu.com/item/%E8%81%9A%E6%B0%A8%E9%85%AF/2444330"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聚氨酯</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的</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"http://baike.baidu.com/item/%E7%A1%AC%E6%AE%B5/6245134"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硬段</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中，制造出一种耐热将近120℃的</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"http://baike.baidu.com/item/%E8%81%9A%E6%B0%A8%E9%85%AF%E8%83%B6%E7%B2%98%E5%89%82/1379198"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聚氨酯</w:t>
      </w:r>
      <w:r>
        <w:rPr>
          <w:rFonts w:hint="eastAsia" w:ascii="Times New Roman" w:hAnsi="Times New Roman" w:eastAsia="宋体" w:cs="Times New Roman"/>
          <w:color w:val="auto"/>
          <w:szCs w:val="28"/>
          <w:u w:val="none" w:color="auto"/>
          <w:lang w:eastAsia="zh-CN"/>
        </w:rPr>
        <w:t>胶黏剂</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，并且在150℃高温还有很好的黏附性能，扩大了聚氨酯</w:t>
      </w:r>
      <w:r>
        <w:rPr>
          <w:rFonts w:hint="eastAsia" w:ascii="Times New Roman" w:hAnsi="Times New Roman" w:eastAsia="宋体" w:cs="Times New Roman"/>
          <w:color w:val="auto"/>
          <w:szCs w:val="28"/>
          <w:u w:val="none" w:color="auto"/>
          <w:lang w:eastAsia="zh-CN"/>
        </w:rPr>
        <w:t>胶黏剂</w:t>
      </w:r>
      <w:r>
        <w:rPr>
          <w:rFonts w:hint="default" w:ascii="Times New Roman" w:hAnsi="Times New Roman" w:cs="Times New Roman"/>
          <w:color w:val="auto"/>
          <w:szCs w:val="28"/>
          <w:u w:val="none" w:color="auto"/>
        </w:rPr>
        <w:t>的适用范围，聚氨酯胶水主要成分有聚酯多元醇、二甘醇、1，2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乙二醇、乙酸乙酯等，其中乙酸乙酯易挥发，其挥发物含量最大为30%。</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（6）乙酸乙酯（C</w:t>
      </w:r>
      <w:r>
        <w:rPr>
          <w:rFonts w:hint="default" w:ascii="Times New Roman" w:hAnsi="Times New Roman" w:cs="Times New Roman"/>
          <w:color w:val="auto"/>
          <w:szCs w:val="28"/>
          <w:u w:val="none" w:color="auto"/>
          <w:vertAlign w:val="subscript"/>
        </w:rPr>
        <w:t>4</w:t>
      </w:r>
      <w:r>
        <w:rPr>
          <w:rFonts w:hint="default" w:ascii="Times New Roman" w:hAnsi="Times New Roman" w:cs="Times New Roman"/>
          <w:color w:val="auto"/>
          <w:szCs w:val="28"/>
          <w:u w:val="none" w:color="auto"/>
        </w:rPr>
        <w:t>H</w:t>
      </w:r>
      <w:r>
        <w:rPr>
          <w:rFonts w:hint="default" w:ascii="Times New Roman" w:hAnsi="Times New Roman" w:cs="Times New Roman"/>
          <w:color w:val="auto"/>
          <w:szCs w:val="28"/>
          <w:u w:val="none" w:color="auto"/>
          <w:vertAlign w:val="subscript"/>
        </w:rPr>
        <w:t>8</w:t>
      </w:r>
      <w:r>
        <w:rPr>
          <w:rFonts w:hint="default" w:ascii="Times New Roman" w:hAnsi="Times New Roman" w:cs="Times New Roman"/>
          <w:color w:val="auto"/>
          <w:szCs w:val="28"/>
          <w:u w:val="none" w:color="auto"/>
        </w:rPr>
        <w:t>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乙酸乙酯在本项目中主要作为油墨稀释剂以及聚氨酯胶水的稀释剂（溶剂）。根据气温、空气湿度以及产品性能不同添加比例不同。化学式CH</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COOC</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H</w:t>
      </w:r>
      <w:r>
        <w:rPr>
          <w:rFonts w:hint="eastAsia" w:ascii="Times New Roman" w:hAnsi="Times New Roman" w:eastAsia="宋体" w:cs="Times New Roman"/>
          <w:color w:val="auto"/>
          <w:szCs w:val="28"/>
          <w:u w:val="none" w:color="auto"/>
          <w:lang w:val="en-US" w:eastAsia="zh-CN"/>
        </w:rPr>
        <w:t>5</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又称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醋酸乙酯</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无色、有芬芳气味的液体</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沸点77℃</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熔点-83.6℃</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密度0.901g/cm</w:t>
      </w:r>
      <w:r>
        <w:rPr>
          <w:rFonts w:hint="default" w:ascii="Times New Roman" w:hAnsi="Times New Roman" w:cs="Times New Roman"/>
          <w:color w:val="auto"/>
          <w:szCs w:val="28"/>
          <w:u w:val="none" w:color="auto"/>
          <w:vertAlign w:val="superscript"/>
        </w:rPr>
        <w:t>3</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溶于乙醇、氯仿、乙醚和苯等</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易起水解和皂化反应</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可燃</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其蒸气和空气形成爆炸混合物</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在香料和油漆工业中用作溶剂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也是有机合成的重要原料，可</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"https://baike.so.com/doc/3983144-4179264.html"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混溶</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于多数有机溶剂，禁忌氧化剂、</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"https://baike.so.com/doc/722002-764387.html"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还原剂</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、酸类、碱。微溶于水，溶于醇、酮、醚、氯仿等多数有机溶剂，挥发性有机物约100%。</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（7）正丙酯、异丙醇</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正丙酯（n-Propylacetate）在本项目中主要用作油墨稀释剂以及印刷机擦拭剂，分子式为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C</w:t>
      </w:r>
      <w:r>
        <w:rPr>
          <w:rFonts w:hint="default" w:ascii="Times New Roman" w:hAnsi="Times New Roman" w:cs="Times New Roman"/>
          <w:color w:val="auto"/>
          <w:szCs w:val="28"/>
          <w:u w:val="none" w:color="auto"/>
          <w:vertAlign w:val="subscript"/>
        </w:rPr>
        <w:t>5</w:t>
      </w:r>
      <w:r>
        <w:rPr>
          <w:rFonts w:hint="default" w:ascii="Times New Roman" w:hAnsi="Times New Roman" w:cs="Times New Roman"/>
          <w:color w:val="auto"/>
          <w:szCs w:val="28"/>
          <w:u w:val="none" w:color="auto"/>
        </w:rPr>
        <w:t>H</w:t>
      </w:r>
      <w:r>
        <w:rPr>
          <w:rFonts w:hint="default" w:ascii="Times New Roman" w:hAnsi="Times New Roman" w:cs="Times New Roman"/>
          <w:color w:val="auto"/>
          <w:szCs w:val="28"/>
          <w:u w:val="none" w:color="auto"/>
          <w:vertAlign w:val="subscript"/>
        </w:rPr>
        <w:t>10</w:t>
      </w:r>
      <w:r>
        <w:rPr>
          <w:rFonts w:hint="default" w:ascii="Times New Roman" w:hAnsi="Times New Roman" w:cs="Times New Roman"/>
          <w:color w:val="auto"/>
          <w:szCs w:val="28"/>
          <w:u w:val="none" w:color="auto"/>
        </w:rPr>
        <w:t>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，分子量为102.13。熔点</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：-92.5，</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"https://baike.baidu.com/item/%E7%9B%B8%E5%AF%B9%E5%AF%86%E5%BA%A6"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相对密度</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（水=1）：0.88，沸点</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：101.6。有水果香味的无色透明液体，溶于水、乙醇、乙醚。主要用作溶剂，如大量用于油墨，也可代替沸点较低的乙醇作溶剂，而在印染塑料薄膜的聚酰胺油墨的溶剂中，具有特别的作用。</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异丙醇在本项目中主要用作油墨稀释剂以及印刷机擦拭剂，使用量相对正丙酯及乙酯较少。异丙醇为一种有机化合物，正丙醇的同分异构体，别名二甲基甲醇、2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丙醇，行业中也作IPA。它是无色透明液体，有似</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"https://baike.baidu.com/item/%E4%B9%99%E9%86%87/135334"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乙醇</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"https://baike.baidu.com/item/%E4%B8%99%E9%85%AE/955883"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和丙酮</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混合物的气味。溶于水，也溶于醇、</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"https://baike.baidu.com/item/%E9%86%9A/1141483"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醚</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"https://baike.baidu.com/item/%E8%8B%AF"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苯</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"https://baike.baidu.com/item/%E6%B0%AF%E4%BB%BF/521847"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氯仿</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等多数有机溶剂。不溶于</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"https://baike.baidu.com/item/%E7%9B%90%E6%BA%B6%E6%B6%B2"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盐溶液</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。常温下可引火燃烧，</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"https://baike.baidu.com/item/%E8%92%B8%E6%B1%BD"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其蒸汽</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与空气</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"https://baike.baidu.com/item/%E7%88%86%E7%82%B8"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混合易形成爆炸</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混合物。异丙醇是重要的化工产品和原料。主要用于制药、化妆品、</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"https://baike.baidu.com/item/%E5%A1%91%E6%96%99/573005"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塑</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料、</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"https://baike.baidu.com/item/%E9%A6%99%E6%96%99/573341"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香料</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"https://baike.baidu.com/item/%E6%B6%82%E6%96%99/2503539"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涂料</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等。沸点（atm</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101.3kPa）：82.4，熔点（atm</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：-87.9，密度（g/mL</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20C</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atm）：0.7863，溶剂中挥发性有机物100%。</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（8）无溶剂胶水</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无溶剂</w:t>
      </w:r>
      <w:r>
        <w:rPr>
          <w:rFonts w:hint="eastAsia" w:ascii="Times New Roman" w:hAnsi="Times New Roman" w:eastAsia="宋体" w:cs="Times New Roman"/>
          <w:color w:val="auto"/>
          <w:szCs w:val="28"/>
          <w:u w:val="none" w:color="auto"/>
          <w:lang w:eastAsia="zh-CN"/>
        </w:rPr>
        <w:t>胶黏剂</w:t>
      </w:r>
      <w:r>
        <w:rPr>
          <w:rFonts w:hint="default" w:ascii="Times New Roman" w:hAnsi="Times New Roman" w:cs="Times New Roman"/>
          <w:color w:val="auto"/>
          <w:szCs w:val="28"/>
          <w:u w:val="none" w:color="auto"/>
        </w:rPr>
        <w:t>也是聚氨酯</w:t>
      </w:r>
      <w:r>
        <w:rPr>
          <w:rFonts w:hint="eastAsia" w:ascii="Times New Roman" w:hAnsi="Times New Roman" w:eastAsia="宋体" w:cs="Times New Roman"/>
          <w:color w:val="auto"/>
          <w:szCs w:val="28"/>
          <w:u w:val="none" w:color="auto"/>
          <w:lang w:eastAsia="zh-CN"/>
        </w:rPr>
        <w:t>胶黏剂</w:t>
      </w:r>
      <w:r>
        <w:rPr>
          <w:rFonts w:hint="default" w:ascii="Times New Roman" w:hAnsi="Times New Roman" w:cs="Times New Roman"/>
          <w:color w:val="auto"/>
          <w:szCs w:val="28"/>
          <w:u w:val="none" w:color="auto"/>
        </w:rPr>
        <w:t>的一种，主要用于无溶剂复合工序中。其可以是</w:t>
      </w:r>
      <w:r>
        <w:rPr>
          <w:rFonts w:hint="eastAsia" w:ascii="Times New Roman" w:hAnsi="Times New Roman" w:eastAsia="宋体" w:cs="Times New Roman"/>
          <w:color w:val="auto"/>
          <w:szCs w:val="28"/>
          <w:u w:val="none" w:color="auto"/>
          <w:lang w:eastAsia="zh-CN"/>
        </w:rPr>
        <w:t>单组分</w:t>
      </w:r>
      <w:r>
        <w:rPr>
          <w:rFonts w:hint="default" w:ascii="Times New Roman" w:hAnsi="Times New Roman" w:cs="Times New Roman"/>
          <w:color w:val="auto"/>
          <w:szCs w:val="28"/>
          <w:u w:val="none" w:color="auto"/>
        </w:rPr>
        <w:t>也可以是双</w:t>
      </w:r>
      <w:r>
        <w:rPr>
          <w:rFonts w:hint="eastAsia" w:ascii="Times New Roman" w:hAnsi="Times New Roman" w:eastAsia="宋体" w:cs="Times New Roman"/>
          <w:color w:val="auto"/>
          <w:szCs w:val="28"/>
          <w:u w:val="none" w:color="auto"/>
          <w:lang w:eastAsia="zh-CN"/>
        </w:rPr>
        <w:t>组分胶黏剂</w:t>
      </w:r>
      <w:r>
        <w:rPr>
          <w:rFonts w:hint="default" w:ascii="Times New Roman" w:hAnsi="Times New Roman" w:cs="Times New Roman"/>
          <w:color w:val="auto"/>
          <w:szCs w:val="28"/>
          <w:u w:val="none" w:color="auto"/>
        </w:rPr>
        <w:t>（A、B胶）。</w:t>
      </w:r>
      <w:r>
        <w:rPr>
          <w:rFonts w:hint="eastAsia" w:ascii="Times New Roman" w:hAnsi="Times New Roman" w:eastAsia="宋体" w:cs="Times New Roman"/>
          <w:color w:val="auto"/>
          <w:szCs w:val="28"/>
          <w:u w:val="none" w:color="auto"/>
          <w:lang w:eastAsia="zh-CN"/>
        </w:rPr>
        <w:t>双组分</w:t>
      </w:r>
      <w:r>
        <w:rPr>
          <w:rFonts w:hint="default" w:ascii="Times New Roman" w:hAnsi="Times New Roman" w:cs="Times New Roman"/>
          <w:color w:val="auto"/>
          <w:szCs w:val="28"/>
          <w:u w:val="none" w:color="auto"/>
        </w:rPr>
        <w:t>型，其主剂和固化剂在室温下的黏度较高，但仍具有流动性，是半固态物质。当要进行复合时，主剂和固化剂按比例混合，放到具有加热保温功能的胶盘里，升温到50~60℃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使黏度降低到1pa-s或更低一些，然后通过具有加热保温功能的凹版辊涂到基材上去。涂胶后不必经烘道加热干燥，因为它本身没有任何溶剂，直接就可与另一基材进行复合。使用无溶剂型胶黏剂不存在废气排放问题，不需要庞大复杂的加热鼓风和废气处理装置，设备简单，原料节省，能耗减少，维护费用低廉，生产速度提高，所以效益非常显著。</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（9）喷码用墨水</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本项目喷码工序使用的墨水为UV墨水，UV墨水中颜料粒子直径小于1微米，不含挥发性有机溶剂，超</w:t>
      </w:r>
      <w:r>
        <w:rPr>
          <w:rFonts w:hint="eastAsia" w:ascii="Times New Roman" w:hAnsi="Times New Roman" w:eastAsia="宋体" w:cs="Times New Roman"/>
          <w:color w:val="auto"/>
          <w:szCs w:val="28"/>
          <w:u w:val="none" w:color="auto"/>
          <w:lang w:eastAsia="zh-CN"/>
        </w:rPr>
        <w:t>低黏度</w:t>
      </w:r>
      <w:r>
        <w:rPr>
          <w:rFonts w:hint="default" w:ascii="Times New Roman" w:hAnsi="Times New Roman" w:cs="Times New Roman"/>
          <w:color w:val="auto"/>
          <w:szCs w:val="28"/>
          <w:u w:val="none" w:color="auto"/>
        </w:rPr>
        <w:t>，无刺激性气味，可确保墨水在喷射印刷过程中无有机废气产生，经六个月高温储存试验，无颜料凝聚、下沉、</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"https://baike.baidu.com/item/%E5%BC%82%E5%B8%B8/33341"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分层等异常</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现象。</w:t>
      </w:r>
    </w:p>
    <w:p>
      <w:pPr>
        <w:pStyle w:val="10"/>
        <w:bidi w:val="0"/>
        <w:spacing w:line="360" w:lineRule="auto"/>
        <w:rPr>
          <w:color w:val="auto"/>
          <w:sz w:val="32"/>
          <w:szCs w:val="32"/>
        </w:rPr>
      </w:pPr>
      <w:bookmarkStart w:id="42" w:name="bookmark42"/>
      <w:bookmarkEnd w:id="42"/>
      <w:bookmarkStart w:id="43" w:name="_Toc1329"/>
      <w:r>
        <w:rPr>
          <w:color w:val="auto"/>
          <w:sz w:val="32"/>
          <w:szCs w:val="32"/>
        </w:rPr>
        <w:t>项目公用工程及辅助设施</w:t>
      </w:r>
      <w:bookmarkEnd w:id="43"/>
    </w:p>
    <w:p>
      <w:pPr>
        <w:pStyle w:val="11"/>
        <w:bidi w:val="0"/>
        <w:spacing w:line="360" w:lineRule="auto"/>
        <w:ind w:left="851" w:hanging="851"/>
        <w:rPr>
          <w:color w:val="auto"/>
          <w:sz w:val="30"/>
          <w:szCs w:val="30"/>
        </w:rPr>
      </w:pPr>
      <w:r>
        <w:rPr>
          <w:color w:val="auto"/>
          <w:sz w:val="30"/>
          <w:szCs w:val="30"/>
        </w:rPr>
        <w:t>给水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，由市政供水管网供水，满足本项目生产、生活和消防用水需求。</w:t>
      </w:r>
    </w:p>
    <w:p>
      <w:pPr>
        <w:pStyle w:val="11"/>
        <w:bidi w:val="0"/>
        <w:spacing w:line="360" w:lineRule="auto"/>
        <w:ind w:left="851" w:hanging="851"/>
        <w:rPr>
          <w:color w:val="auto"/>
          <w:sz w:val="30"/>
          <w:szCs w:val="30"/>
        </w:rPr>
      </w:pPr>
      <w:r>
        <w:rPr>
          <w:color w:val="auto"/>
          <w:sz w:val="30"/>
          <w:szCs w:val="30"/>
        </w:rPr>
        <w:t>排水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园区实行雨、污水分流排水，雨、污水管道已敷设完成。雨水进入园区雨水管网后最终排入市政雨水管网；污水主要为职工</w:t>
      </w:r>
      <w:r>
        <w:rPr>
          <w:rFonts w:hint="eastAsia" w:ascii="Times New Roman" w:hAnsi="Times New Roman" w:eastAsia="宋体" w:cs="Times New Roman"/>
          <w:color w:val="auto"/>
          <w:szCs w:val="28"/>
          <w:u w:val="none" w:color="auto"/>
          <w:lang w:val="en-US" w:eastAsia="zh-CN"/>
        </w:rPr>
        <w:t>食堂废水、其他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eastAsia" w:ascii="Times New Roman" w:hAnsi="Times New Roman" w:eastAsia="宋体" w:cs="Times New Roman"/>
          <w:color w:val="auto"/>
          <w:szCs w:val="28"/>
          <w:u w:val="none" w:color="auto"/>
          <w:lang w:val="en-US" w:eastAsia="zh-CN"/>
        </w:rPr>
        <w:t>食堂废水经隔油池处理后，再与其他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废水经化粪池处理</w:t>
      </w:r>
      <w:r>
        <w:rPr>
          <w:rFonts w:hint="eastAsia" w:ascii="Times New Roman" w:hAnsi="Times New Roman" w:eastAsia="宋体" w:cs="Times New Roman"/>
          <w:color w:val="auto"/>
          <w:szCs w:val="28"/>
          <w:u w:val="none" w:color="auto"/>
          <w:lang w:val="en-US" w:eastAsia="zh-CN"/>
        </w:rPr>
        <w:t>符合</w:t>
      </w:r>
      <w:r>
        <w:rPr>
          <w:rFonts w:hint="default" w:ascii="Times New Roman" w:hAnsi="Times New Roman" w:cs="Times New Roman"/>
          <w:color w:val="auto"/>
          <w:szCs w:val="28"/>
          <w:u w:val="none" w:color="auto"/>
        </w:rPr>
        <w:t>《污水综合排放标准》（GB8978</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1996）</w:t>
      </w:r>
      <w:r>
        <w:rPr>
          <w:rFonts w:hint="eastAsia" w:ascii="Times New Roman" w:hAnsi="Times New Roman" w:eastAsia="宋体" w:cs="Times New Roman"/>
          <w:color w:val="auto"/>
          <w:szCs w:val="28"/>
          <w:u w:val="none" w:color="auto"/>
          <w:lang w:val="en-US" w:eastAsia="zh-CN"/>
        </w:rPr>
        <w:t>表4</w:t>
      </w:r>
      <w:r>
        <w:rPr>
          <w:rFonts w:hint="default" w:ascii="Times New Roman" w:hAnsi="Times New Roman" w:cs="Times New Roman"/>
          <w:color w:val="auto"/>
          <w:szCs w:val="28"/>
          <w:u w:val="none" w:color="auto"/>
        </w:rPr>
        <w:t>三级标准后</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纳</w:t>
      </w:r>
      <w:r>
        <w:rPr>
          <w:rFonts w:hint="default" w:ascii="Times New Roman" w:hAnsi="Times New Roman" w:cs="Times New Roman"/>
          <w:color w:val="auto"/>
          <w:szCs w:val="28"/>
          <w:u w:val="none" w:color="auto"/>
        </w:rPr>
        <w:t>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集中处理达到《湖南省城镇污水处理厂主要水污染物排放标准》（DB42/T1546-2018）中二级标准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《城镇污水处理厂污染物排放标准》（GB18918-2002）一级A排放标准后排入湘江。</w:t>
      </w:r>
    </w:p>
    <w:p>
      <w:pPr>
        <w:pStyle w:val="11"/>
        <w:bidi w:val="0"/>
        <w:spacing w:line="360" w:lineRule="auto"/>
        <w:ind w:left="851" w:hanging="851"/>
        <w:rPr>
          <w:color w:val="auto"/>
          <w:sz w:val="30"/>
          <w:szCs w:val="30"/>
        </w:rPr>
      </w:pPr>
      <w:r>
        <w:rPr>
          <w:color w:val="auto"/>
          <w:sz w:val="30"/>
          <w:szCs w:val="30"/>
        </w:rPr>
        <w:t>供电</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由市政供电所供电，</w:t>
      </w:r>
      <w:r>
        <w:rPr>
          <w:rFonts w:hint="eastAsia" w:ascii="宋体" w:hAnsi="宋体" w:eastAsia="宋体" w:cs="宋体"/>
          <w:snapToGrid w:val="0"/>
          <w:color w:val="auto"/>
          <w:kern w:val="0"/>
          <w:sz w:val="24"/>
          <w:szCs w:val="24"/>
          <w:lang w:val="en-US" w:eastAsia="zh-CN" w:bidi="ar"/>
        </w:rPr>
        <w:t>河西工业园（西区）由蒋家田</w:t>
      </w:r>
      <w:r>
        <w:rPr>
          <w:rFonts w:hint="default" w:ascii="Times New Roman" w:hAnsi="Times New Roman" w:eastAsia="宋体" w:cs="Times New Roman"/>
          <w:snapToGrid w:val="0"/>
          <w:color w:val="auto"/>
          <w:kern w:val="0"/>
          <w:sz w:val="24"/>
          <w:szCs w:val="24"/>
          <w:lang w:val="en-US" w:eastAsia="zh-CN" w:bidi="ar"/>
        </w:rPr>
        <w:t>220KV</w:t>
      </w:r>
      <w:r>
        <w:rPr>
          <w:rFonts w:hint="eastAsia" w:ascii="宋体" w:hAnsi="宋体" w:eastAsia="宋体" w:cs="宋体"/>
          <w:snapToGrid w:val="0"/>
          <w:color w:val="auto"/>
          <w:kern w:val="0"/>
          <w:sz w:val="24"/>
          <w:szCs w:val="24"/>
          <w:lang w:val="en-US" w:eastAsia="zh-CN" w:bidi="ar"/>
        </w:rPr>
        <w:t>电站供电</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三利厂区建有800KVA变压器，</w:t>
      </w:r>
      <w:r>
        <w:rPr>
          <w:rFonts w:hint="default" w:ascii="Times New Roman" w:hAnsi="Times New Roman" w:cs="Times New Roman"/>
          <w:color w:val="auto"/>
          <w:szCs w:val="28"/>
          <w:u w:val="none" w:color="auto"/>
        </w:rPr>
        <w:t>本项目用电从</w:t>
      </w:r>
      <w:r>
        <w:rPr>
          <w:rFonts w:hint="eastAsia" w:ascii="Times New Roman" w:hAnsi="Times New Roman" w:eastAsia="宋体" w:cs="Times New Roman"/>
          <w:color w:val="auto"/>
          <w:szCs w:val="28"/>
          <w:u w:val="none" w:color="auto"/>
          <w:lang w:val="en-US" w:eastAsia="zh-CN"/>
        </w:rPr>
        <w:t>三利厂区</w:t>
      </w:r>
      <w:r>
        <w:rPr>
          <w:rFonts w:hint="default" w:ascii="Times New Roman" w:hAnsi="Times New Roman" w:cs="Times New Roman"/>
          <w:color w:val="auto"/>
          <w:szCs w:val="28"/>
          <w:u w:val="none" w:color="auto"/>
        </w:rPr>
        <w:t>内接入，不另设变压器。</w:t>
      </w:r>
    </w:p>
    <w:p>
      <w:pPr>
        <w:pStyle w:val="11"/>
        <w:bidi w:val="0"/>
        <w:spacing w:line="360" w:lineRule="auto"/>
        <w:ind w:left="851" w:hanging="851"/>
        <w:rPr>
          <w:color w:val="auto"/>
          <w:sz w:val="30"/>
          <w:szCs w:val="30"/>
        </w:rPr>
      </w:pPr>
      <w:r>
        <w:rPr>
          <w:color w:val="auto"/>
          <w:sz w:val="30"/>
          <w:szCs w:val="30"/>
        </w:rPr>
        <w:t>供气</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highlight w:val="none"/>
          <w:u w:val="none" w:color="auto"/>
          <w:lang w:val="en-US"/>
        </w:rPr>
      </w:pPr>
      <w:r>
        <w:rPr>
          <w:rFonts w:hint="eastAsia" w:ascii="Times New Roman" w:hAnsi="Times New Roman" w:eastAsia="宋体" w:cs="Times New Roman"/>
          <w:color w:val="auto"/>
          <w:szCs w:val="28"/>
          <w:u w:val="none" w:color="auto"/>
          <w:lang w:eastAsia="zh-CN"/>
        </w:rPr>
        <w:t>零陵高新技术产业开发区河西片区</w:t>
      </w:r>
      <w:r>
        <w:rPr>
          <w:rFonts w:hint="eastAsia" w:ascii="Times New Roman" w:hAnsi="Times New Roman" w:eastAsia="宋体" w:cs="Times New Roman"/>
          <w:color w:val="auto"/>
          <w:szCs w:val="28"/>
          <w:u w:val="none" w:color="auto"/>
          <w:lang w:val="en-US" w:eastAsia="zh-CN"/>
        </w:rPr>
        <w:t>暂未达到管道供气条件，项目废气燃烧助燃天然气采样</w:t>
      </w:r>
      <w:r>
        <w:rPr>
          <w:rFonts w:hint="eastAsia" w:ascii="Times New Roman" w:hAnsi="Times New Roman" w:eastAsia="宋体" w:cs="Times New Roman"/>
          <w:color w:val="auto"/>
          <w:szCs w:val="28"/>
          <w:highlight w:val="none"/>
          <w:u w:val="none" w:color="auto"/>
          <w:lang w:val="en-US" w:eastAsia="zh-CN"/>
        </w:rPr>
        <w:t>埋地储罐储存供气。</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，园区由市政供水管网供水。完全满足本项目生产、生活和消防用水。</w:t>
      </w:r>
    </w:p>
    <w:p>
      <w:pPr>
        <w:pStyle w:val="10"/>
        <w:bidi w:val="0"/>
        <w:spacing w:line="360" w:lineRule="auto"/>
        <w:rPr>
          <w:color w:val="auto"/>
          <w:sz w:val="32"/>
          <w:szCs w:val="32"/>
        </w:rPr>
      </w:pPr>
      <w:bookmarkStart w:id="44" w:name="bookmark44"/>
      <w:bookmarkEnd w:id="44"/>
      <w:bookmarkStart w:id="45" w:name="_Toc6210"/>
      <w:r>
        <w:rPr>
          <w:color w:val="auto"/>
          <w:sz w:val="32"/>
          <w:szCs w:val="32"/>
        </w:rPr>
        <w:t>依托工程</w:t>
      </w:r>
      <w:bookmarkEnd w:id="45"/>
    </w:p>
    <w:p>
      <w:pPr>
        <w:pStyle w:val="11"/>
        <w:bidi w:val="0"/>
        <w:spacing w:line="360" w:lineRule="auto"/>
        <w:ind w:left="851" w:hanging="851"/>
        <w:rPr>
          <w:color w:val="auto"/>
          <w:sz w:val="30"/>
          <w:szCs w:val="30"/>
        </w:rPr>
      </w:pPr>
      <w:r>
        <w:rPr>
          <w:color w:val="auto"/>
          <w:sz w:val="30"/>
          <w:szCs w:val="30"/>
        </w:rPr>
        <w:t>依托关系</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永州市三利报废汽车</w:t>
      </w:r>
      <w:r>
        <w:rPr>
          <w:rFonts w:hint="eastAsia" w:ascii="Times New Roman" w:hAnsi="Times New Roman" w:eastAsia="宋体" w:cs="Times New Roman"/>
          <w:color w:val="auto"/>
          <w:szCs w:val="28"/>
          <w:u w:val="none" w:color="auto"/>
          <w:lang w:eastAsia="zh-CN"/>
        </w:rPr>
        <w:t>回收</w:t>
      </w:r>
      <w:r>
        <w:rPr>
          <w:rFonts w:hint="default" w:ascii="Times New Roman" w:hAnsi="Times New Roman" w:cs="Times New Roman"/>
          <w:color w:val="auto"/>
          <w:szCs w:val="28"/>
          <w:u w:val="none" w:color="auto"/>
        </w:rPr>
        <w:t>拆解有限公司已建好的</w:t>
      </w:r>
      <w:r>
        <w:rPr>
          <w:rFonts w:hint="eastAsia" w:ascii="Times New Roman" w:hAnsi="Times New Roman" w:eastAsia="宋体" w:cs="Times New Roman"/>
          <w:color w:val="auto"/>
          <w:szCs w:val="28"/>
          <w:u w:val="none" w:color="auto"/>
          <w:lang w:val="en-US" w:eastAsia="zh-CN"/>
        </w:rPr>
        <w:t>南侧</w:t>
      </w:r>
      <w:r>
        <w:rPr>
          <w:rFonts w:hint="default" w:ascii="Times New Roman" w:hAnsi="Times New Roman" w:cs="Times New Roman"/>
          <w:color w:val="auto"/>
          <w:szCs w:val="28"/>
          <w:u w:val="none" w:color="auto"/>
        </w:rPr>
        <w:t>厂房进行建设，永州市三利报废汽车</w:t>
      </w:r>
      <w:r>
        <w:rPr>
          <w:rFonts w:hint="eastAsia" w:ascii="Times New Roman" w:hAnsi="Times New Roman" w:eastAsia="宋体" w:cs="Times New Roman"/>
          <w:color w:val="auto"/>
          <w:szCs w:val="28"/>
          <w:u w:val="none" w:color="auto"/>
          <w:lang w:eastAsia="zh-CN"/>
        </w:rPr>
        <w:t>回收</w:t>
      </w:r>
      <w:r>
        <w:rPr>
          <w:rFonts w:hint="default" w:ascii="Times New Roman" w:hAnsi="Times New Roman" w:cs="Times New Roman"/>
          <w:color w:val="auto"/>
          <w:szCs w:val="28"/>
          <w:u w:val="none" w:color="auto"/>
        </w:rPr>
        <w:t>拆解有限公司</w:t>
      </w:r>
      <w:r>
        <w:rPr>
          <w:rFonts w:hint="eastAsia" w:ascii="Times New Roman" w:hAnsi="Times New Roman" w:eastAsia="宋体" w:cs="Times New Roman"/>
          <w:color w:val="auto"/>
          <w:szCs w:val="28"/>
          <w:u w:val="none" w:color="auto"/>
          <w:lang w:val="en-US" w:eastAsia="zh-CN"/>
        </w:rPr>
        <w:t>厂区</w:t>
      </w:r>
      <w:r>
        <w:rPr>
          <w:rFonts w:hint="default" w:ascii="Times New Roman" w:hAnsi="Times New Roman" w:cs="Times New Roman"/>
          <w:color w:val="auto"/>
          <w:szCs w:val="28"/>
          <w:u w:val="none" w:color="auto"/>
        </w:rPr>
        <w:t>在建设过程中已敷设了完善的给排水、供电等市政管网、并建设了配套的化粪池等环保工程，本项目可进行依托。</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项目依托关系一览表</w:t>
      </w:r>
    </w:p>
    <w:tbl>
      <w:tblPr>
        <w:tblStyle w:val="29"/>
        <w:tblpPr w:leftFromText="180" w:rightFromText="180" w:vertAnchor="text" w:horzAnchor="page" w:tblpX="1767" w:tblpY="27"/>
        <w:tblOverlap w:val="never"/>
        <w:tblW w:w="505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19"/>
        <w:gridCol w:w="3189"/>
        <w:gridCol w:w="38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8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永州市三利报废汽车回收拆解及再生资源回收分拣中心建设项目</w:t>
            </w:r>
          </w:p>
        </w:tc>
        <w:tc>
          <w:tcPr>
            <w:tcW w:w="22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依托关系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厂房</w:t>
            </w:r>
          </w:p>
        </w:tc>
        <w:tc>
          <w:tcPr>
            <w:tcW w:w="18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2"/>
                <w:sz w:val="21"/>
                <w:szCs w:val="21"/>
              </w:rPr>
              <w:t>已建设</w:t>
            </w:r>
            <w:r>
              <w:rPr>
                <w:rFonts w:hint="eastAsia" w:ascii="Times New Roman" w:hAnsi="Times New Roman" w:eastAsia="宋体" w:cs="Times New Roman"/>
                <w:color w:val="auto"/>
                <w:spacing w:val="2"/>
                <w:sz w:val="21"/>
                <w:szCs w:val="21"/>
                <w:lang w:val="en-US" w:eastAsia="zh-CN"/>
              </w:rPr>
              <w:t>4</w:t>
            </w:r>
            <w:r>
              <w:rPr>
                <w:rFonts w:hint="default" w:ascii="Times New Roman" w:hAnsi="Times New Roman" w:cs="Times New Roman"/>
                <w:color w:val="auto"/>
                <w:spacing w:val="2"/>
                <w:sz w:val="21"/>
                <w:szCs w:val="21"/>
              </w:rPr>
              <w:t>栋单层钢结构标</w:t>
            </w:r>
            <w:r>
              <w:rPr>
                <w:rFonts w:hint="default" w:ascii="Times New Roman" w:hAnsi="Times New Roman" w:cs="Times New Roman"/>
                <w:color w:val="auto"/>
                <w:spacing w:val="7"/>
                <w:sz w:val="21"/>
                <w:szCs w:val="21"/>
              </w:rPr>
              <w:t>准生产厂房</w:t>
            </w:r>
            <w:r>
              <w:rPr>
                <w:rFonts w:hint="eastAsia" w:ascii="Times New Roman" w:hAnsi="Times New Roman" w:cs="Times New Roman"/>
                <w:color w:val="auto"/>
                <w:spacing w:val="7"/>
                <w:sz w:val="21"/>
                <w:szCs w:val="21"/>
                <w:lang w:eastAsia="zh-CN"/>
              </w:rPr>
              <w:t>、</w:t>
            </w:r>
            <w:r>
              <w:rPr>
                <w:rFonts w:hint="eastAsia" w:ascii="Times New Roman" w:hAnsi="Times New Roman" w:cs="Times New Roman"/>
                <w:color w:val="auto"/>
                <w:spacing w:val="7"/>
                <w:sz w:val="21"/>
                <w:szCs w:val="21"/>
                <w:lang w:val="en-US" w:eastAsia="zh-CN"/>
              </w:rPr>
              <w:t>1栋钢结构厂棚</w:t>
            </w:r>
          </w:p>
        </w:tc>
        <w:tc>
          <w:tcPr>
            <w:tcW w:w="22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7"/>
                <w:sz w:val="21"/>
                <w:szCs w:val="21"/>
              </w:rPr>
              <w:t>租用其已建</w:t>
            </w:r>
            <w:r>
              <w:rPr>
                <w:rFonts w:hint="eastAsia" w:ascii="Times New Roman" w:hAnsi="Times New Roman" w:eastAsia="宋体" w:cs="Times New Roman"/>
                <w:color w:val="auto"/>
                <w:spacing w:val="7"/>
                <w:sz w:val="21"/>
                <w:szCs w:val="21"/>
                <w:lang w:val="en-US" w:eastAsia="zh-CN"/>
              </w:rPr>
              <w:t>南侧</w:t>
            </w:r>
            <w:r>
              <w:rPr>
                <w:rFonts w:hint="default" w:ascii="Times New Roman" w:hAnsi="Times New Roman" w:cs="Times New Roman"/>
                <w:color w:val="auto"/>
                <w:spacing w:val="7"/>
                <w:sz w:val="21"/>
                <w:szCs w:val="21"/>
              </w:rPr>
              <w:t>厂房进行</w:t>
            </w:r>
            <w:r>
              <w:rPr>
                <w:rFonts w:hint="eastAsia" w:ascii="Times New Roman" w:hAnsi="Times New Roman" w:cs="Times New Roman"/>
                <w:color w:val="auto"/>
                <w:spacing w:val="7"/>
                <w:sz w:val="21"/>
                <w:szCs w:val="21"/>
                <w:lang w:val="en-US" w:eastAsia="zh-CN"/>
              </w:rPr>
              <w:t>生产，面积为</w:t>
            </w:r>
            <w:r>
              <w:rPr>
                <w:rFonts w:hint="default" w:ascii="Times New Roman" w:hAnsi="Times New Roman" w:eastAsia="宋体" w:cs="Times New Roman"/>
                <w:color w:val="auto"/>
                <w:spacing w:val="-3"/>
                <w:sz w:val="21"/>
                <w:szCs w:val="21"/>
                <w:lang w:eastAsia="zh-CN"/>
              </w:rPr>
              <w:t>6861.68</w:t>
            </w:r>
            <w:r>
              <w:rPr>
                <w:rFonts w:hint="eastAsia" w:ascii="Times New Roman" w:hAnsi="Times New Roman" w:cs="Times New Roman"/>
                <w:color w:val="auto"/>
                <w:spacing w:val="-3"/>
                <w:sz w:val="21"/>
                <w:szCs w:val="21"/>
                <w:lang w:val="en-US" w:eastAsia="zh-CN"/>
              </w:rPr>
              <w:t>m</w:t>
            </w:r>
            <w:r>
              <w:rPr>
                <w:rFonts w:hint="eastAsia" w:ascii="Times New Roman" w:hAnsi="Times New Roman" w:cs="Times New Roman"/>
                <w:color w:val="auto"/>
                <w:spacing w:val="-3"/>
                <w:sz w:val="21"/>
                <w:szCs w:val="21"/>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办公楼</w:t>
            </w:r>
          </w:p>
        </w:tc>
        <w:tc>
          <w:tcPr>
            <w:tcW w:w="18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eastAsia" w:ascii="Times New Roman" w:hAnsi="Times New Roman" w:cs="Times New Roman"/>
                <w:color w:val="auto"/>
                <w:spacing w:val="7"/>
                <w:sz w:val="21"/>
                <w:szCs w:val="21"/>
                <w:lang w:val="en-US" w:eastAsia="zh-CN"/>
              </w:rPr>
              <w:t>1栋4层办公楼</w:t>
            </w:r>
          </w:p>
        </w:tc>
        <w:tc>
          <w:tcPr>
            <w:tcW w:w="22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租用其已建</w:t>
            </w:r>
            <w:r>
              <w:rPr>
                <w:rFonts w:hint="eastAsia" w:ascii="Times New Roman" w:hAnsi="Times New Roman" w:cs="Times New Roman"/>
                <w:color w:val="auto"/>
                <w:spacing w:val="7"/>
                <w:sz w:val="21"/>
                <w:szCs w:val="21"/>
                <w:lang w:val="en-US" w:eastAsia="zh-CN"/>
              </w:rPr>
              <w:t>的1栋4层办公楼进行办公生活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供电设施</w:t>
            </w:r>
          </w:p>
        </w:tc>
        <w:tc>
          <w:tcPr>
            <w:tcW w:w="18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变压器</w:t>
            </w:r>
          </w:p>
        </w:tc>
        <w:tc>
          <w:tcPr>
            <w:tcW w:w="22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依托其已建变压器，并自行建设配电间，</w:t>
            </w:r>
            <w:r>
              <w:rPr>
                <w:rFonts w:hint="default" w:ascii="Times New Roman" w:hAnsi="Times New Roman" w:cs="Times New Roman"/>
                <w:color w:val="auto"/>
                <w:spacing w:val="2"/>
                <w:sz w:val="21"/>
                <w:szCs w:val="21"/>
              </w:rPr>
              <w:t>自行缴纳电费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供水设施</w:t>
            </w:r>
          </w:p>
        </w:tc>
        <w:tc>
          <w:tcPr>
            <w:tcW w:w="18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供水管网</w:t>
            </w:r>
          </w:p>
        </w:tc>
        <w:tc>
          <w:tcPr>
            <w:tcW w:w="22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依托其已建供水管网，自行缴纳水费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排水设施</w:t>
            </w:r>
          </w:p>
        </w:tc>
        <w:tc>
          <w:tcPr>
            <w:tcW w:w="18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排污管网</w:t>
            </w:r>
          </w:p>
        </w:tc>
        <w:tc>
          <w:tcPr>
            <w:tcW w:w="22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依托其建设排污管道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污水处理设施</w:t>
            </w:r>
          </w:p>
        </w:tc>
        <w:tc>
          <w:tcPr>
            <w:tcW w:w="18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化粪池</w:t>
            </w:r>
          </w:p>
        </w:tc>
        <w:tc>
          <w:tcPr>
            <w:tcW w:w="22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依托其已建化粪池对其产生的生活污水</w:t>
            </w:r>
            <w:r>
              <w:rPr>
                <w:rFonts w:hint="eastAsia" w:ascii="Times New Roman" w:hAnsi="Times New Roman" w:cs="Times New Roman"/>
                <w:color w:val="auto"/>
                <w:spacing w:val="9"/>
                <w:sz w:val="21"/>
                <w:szCs w:val="21"/>
                <w:lang w:eastAsia="zh-CN"/>
              </w:rPr>
              <w:t>、</w:t>
            </w:r>
            <w:r>
              <w:rPr>
                <w:rFonts w:hint="eastAsia" w:ascii="Times New Roman" w:hAnsi="Times New Roman" w:eastAsia="宋体" w:cs="Times New Roman"/>
                <w:color w:val="auto"/>
                <w:szCs w:val="28"/>
                <w:u w:val="none" w:color="auto"/>
                <w:lang w:val="en-US" w:eastAsia="zh-CN"/>
              </w:rPr>
              <w:t>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default" w:ascii="Times New Roman" w:hAnsi="Times New Roman" w:cs="Times New Roman"/>
                <w:color w:val="auto"/>
                <w:spacing w:val="7"/>
                <w:sz w:val="21"/>
                <w:szCs w:val="21"/>
              </w:rPr>
              <w:t>进行处理</w:t>
            </w:r>
          </w:p>
        </w:tc>
      </w:tr>
    </w:tbl>
    <w:p>
      <w:pPr>
        <w:pStyle w:val="11"/>
        <w:keepNext w:val="0"/>
        <w:keepLines w:val="0"/>
        <w:pageBreakBefore w:val="0"/>
        <w:widowControl w:val="0"/>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依托工程简介</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永州市三利报废汽车回收拆解有限公司位于</w:t>
      </w:r>
      <w:r>
        <w:rPr>
          <w:rFonts w:hint="eastAsia" w:ascii="Times New Roman" w:hAnsi="Times New Roman" w:eastAsia="宋体" w:cs="Times New Roman"/>
          <w:color w:val="auto"/>
          <w:szCs w:val="28"/>
          <w:u w:val="none" w:color="auto"/>
          <w:lang w:val="en-US" w:eastAsia="zh-CN"/>
        </w:rPr>
        <w:t>零陵高新技术产业开发区河西片区</w:t>
      </w:r>
      <w:r>
        <w:rPr>
          <w:rFonts w:hint="default" w:ascii="Times New Roman" w:hAnsi="Times New Roman" w:cs="Times New Roman"/>
          <w:color w:val="auto"/>
          <w:szCs w:val="28"/>
          <w:u w:val="none" w:color="auto"/>
        </w:rPr>
        <w:t>，于2012年编制完成了《永州市三利</w:t>
      </w:r>
      <w:r>
        <w:rPr>
          <w:rFonts w:hint="eastAsia" w:ascii="Times New Roman" w:hAnsi="Times New Roman" w:eastAsia="宋体" w:cs="Times New Roman"/>
          <w:color w:val="auto"/>
          <w:szCs w:val="28"/>
          <w:u w:val="none" w:color="auto"/>
          <w:lang w:val="en-US" w:eastAsia="zh-CN"/>
        </w:rPr>
        <w:t>报废</w:t>
      </w:r>
      <w:r>
        <w:rPr>
          <w:rFonts w:hint="default" w:ascii="Times New Roman" w:hAnsi="Times New Roman" w:cs="Times New Roman"/>
          <w:color w:val="auto"/>
          <w:szCs w:val="28"/>
          <w:u w:val="none" w:color="auto"/>
        </w:rPr>
        <w:t>汽车回收拆解及再生资源回收分拣中心建设项目环境影响报告书》，2012年5月31日永州市环境保护局对该项目以永环评〔2012〕41号文件进行批复。项目总占地面积38.15亩</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合25433m</w:t>
      </w:r>
      <w:r>
        <w:rPr>
          <w:rFonts w:hint="default" w:ascii="Times New Roman" w:hAnsi="Times New Roman" w:cs="Times New Roman"/>
          <w:color w:val="auto"/>
          <w:szCs w:val="28"/>
          <w:u w:val="none" w:color="auto"/>
          <w:vertAlign w:val="superscript"/>
        </w:rPr>
        <w:t>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，其中回收拆解场占地面积16.54亩</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11027m</w:t>
      </w:r>
      <w:r>
        <w:rPr>
          <w:rFonts w:hint="default" w:ascii="Times New Roman" w:hAnsi="Times New Roman" w:cs="Times New Roman"/>
          <w:color w:val="auto"/>
          <w:szCs w:val="28"/>
          <w:u w:val="none" w:color="auto"/>
          <w:vertAlign w:val="superscript"/>
        </w:rPr>
        <w:t>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，年回收拆解报废汽车3000台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再生资源回收分拣中心占地面积21.6亩</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14406m</w:t>
      </w:r>
      <w:r>
        <w:rPr>
          <w:rFonts w:hint="default" w:ascii="Times New Roman" w:hAnsi="Times New Roman" w:cs="Times New Roman"/>
          <w:color w:val="auto"/>
          <w:szCs w:val="28"/>
          <w:u w:val="none" w:color="auto"/>
          <w:vertAlign w:val="superscript"/>
        </w:rPr>
        <w:t>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，年回收各类废旧物资约1万吨，其中回收钢铁2000吨，铝3000吨，废纸5000吨，废旧设备</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旧机械设备</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300台。2017年9月30日，永州市环境保护局对《永州市三利报废汽车回收拆解中心》进行了验收，文号为永环竣验〔2017〕60号。规模为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年回收拆解报废汽车3000台，主要负责永州市境内的机动车回收和拆解。</w:t>
      </w:r>
    </w:p>
    <w:p>
      <w:pPr>
        <w:spacing w:line="367" w:lineRule="auto"/>
        <w:rPr>
          <w:rFonts w:ascii="宋体" w:hAnsi="宋体" w:eastAsia="宋体" w:cs="宋体"/>
          <w:color w:val="auto"/>
          <w:sz w:val="24"/>
          <w:szCs w:val="24"/>
        </w:rPr>
        <w:sectPr>
          <w:pgSz w:w="11905" w:h="16839"/>
          <w:pgMar w:top="1440" w:right="1803" w:bottom="1440" w:left="1803" w:header="0" w:footer="1126"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46" w:name="bookmark46"/>
      <w:bookmarkEnd w:id="46"/>
      <w:bookmarkStart w:id="47" w:name="bookmark48"/>
      <w:bookmarkEnd w:id="47"/>
      <w:bookmarkStart w:id="48" w:name="_Toc26597"/>
      <w:r>
        <w:rPr>
          <w:rFonts w:hint="default" w:ascii="Times New Roman" w:hAnsi="Times New Roman" w:cs="Times New Roman" w:eastAsiaTheme="majorEastAsia"/>
          <w:color w:val="auto"/>
          <w:sz w:val="36"/>
          <w:szCs w:val="36"/>
        </w:rPr>
        <w:t>工程分析</w:t>
      </w:r>
      <w:bookmarkEnd w:id="48"/>
    </w:p>
    <w:p>
      <w:pPr>
        <w:pStyle w:val="10"/>
        <w:bidi w:val="0"/>
        <w:spacing w:line="360" w:lineRule="auto"/>
        <w:rPr>
          <w:color w:val="auto"/>
          <w:sz w:val="32"/>
          <w:szCs w:val="32"/>
        </w:rPr>
      </w:pPr>
      <w:bookmarkStart w:id="49" w:name="_Toc9260"/>
      <w:r>
        <w:rPr>
          <w:color w:val="auto"/>
          <w:sz w:val="32"/>
          <w:szCs w:val="32"/>
        </w:rPr>
        <w:t>主要工艺流程</w:t>
      </w:r>
      <w:bookmarkEnd w:id="49"/>
    </w:p>
    <w:p>
      <w:pPr>
        <w:pStyle w:val="11"/>
        <w:bidi w:val="0"/>
        <w:spacing w:line="360" w:lineRule="auto"/>
        <w:ind w:left="851" w:hanging="851"/>
        <w:rPr>
          <w:color w:val="auto"/>
          <w:sz w:val="30"/>
          <w:szCs w:val="30"/>
        </w:rPr>
      </w:pPr>
      <w:r>
        <w:rPr>
          <w:color w:val="auto"/>
          <w:sz w:val="30"/>
          <w:szCs w:val="30"/>
        </w:rPr>
        <w:t>软包装膜、其他包装膜生产工艺流程</w:t>
      </w:r>
    </w:p>
    <w:p>
      <w:pPr>
        <w:jc w:val="center"/>
        <w:rPr>
          <w:color w:val="auto"/>
        </w:rPr>
      </w:pPr>
      <w:r>
        <w:rPr>
          <w:color w:val="auto"/>
        </w:rPr>
        <w:object>
          <v:shape id="_x0000_i1025" o:spt="75" type="#_x0000_t75" style="height:121.8pt;width:377.3pt;" o:ole="t" filled="f" o:preferrelative="t" stroked="f" coordsize="21600,21600">
            <v:path/>
            <v:fill on="f" focussize="0,0"/>
            <v:stroke on="f"/>
            <v:imagedata r:id="rId18" o:title=""/>
            <o:lock v:ext="edit" aspectratio="f"/>
            <w10:wrap type="none"/>
            <w10:anchorlock/>
          </v:shape>
          <o:OLEObject Type="Embed" ProgID="Visio.Drawing.11" ShapeID="_x0000_i1025" DrawAspect="Content" ObjectID="_1468075725" r:id="rId17">
            <o:LockedField>false</o:LockedField>
          </o:OLEObject>
        </w:objec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rPr>
        <w:t>软包装膜、其他包装膜生产工艺流程图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生产工艺流程说明：</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（1）印刷</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软包装膜、其他包装膜，根据产品要求备好原材料（外购的成品膜）、环保型聚氨酯型复合油墨和油墨稀释溶剂正丙酯和异丙醇并核准其数量，按工艺要求配备相应型号的油墨与溶剂，机台将所配好的油墨上印刷机，测好</w:t>
      </w:r>
      <w:r>
        <w:rPr>
          <w:rFonts w:hint="eastAsia" w:ascii="Times New Roman" w:hAnsi="Times New Roman" w:eastAsia="宋体" w:cs="Times New Roman"/>
          <w:color w:val="auto"/>
          <w:szCs w:val="28"/>
          <w:u w:val="none" w:color="auto"/>
          <w:lang w:eastAsia="zh-CN"/>
        </w:rPr>
        <w:t>黏度</w:t>
      </w:r>
      <w:r>
        <w:rPr>
          <w:rFonts w:hint="default" w:ascii="Times New Roman" w:hAnsi="Times New Roman" w:cs="Times New Roman"/>
          <w:color w:val="auto"/>
          <w:szCs w:val="28"/>
          <w:u w:val="none" w:color="auto"/>
        </w:rPr>
        <w:t>，核对后再微调校准色相。项目采用凹版印刷工艺，根据客户对产品的设计要求，确定印刷次数和厚度，每套版辊对应一套色系，先印刷一种色系，再进入下一版辊印刷另一种色系，版辊在印刷完成后使用油墨稀释剂直接进行擦洗。印刷过程中会产生有机废气、设备</w:t>
      </w:r>
      <w:r>
        <w:rPr>
          <w:rFonts w:hint="eastAsia" w:ascii="Times New Roman" w:hAnsi="Times New Roman" w:eastAsia="宋体" w:cs="Times New Roman"/>
          <w:color w:val="auto"/>
          <w:szCs w:val="28"/>
          <w:u w:val="none" w:color="auto"/>
          <w:lang w:val="en-US" w:eastAsia="zh-CN"/>
        </w:rPr>
        <w:t>运转</w:t>
      </w:r>
      <w:r>
        <w:rPr>
          <w:rFonts w:hint="default" w:ascii="Times New Roman" w:hAnsi="Times New Roman" w:cs="Times New Roman"/>
          <w:color w:val="auto"/>
          <w:szCs w:val="28"/>
          <w:u w:val="none" w:color="auto"/>
        </w:rPr>
        <w:t>噪声以及版辊擦洗过程中废抹布</w:t>
      </w:r>
      <w:r>
        <w:rPr>
          <w:rFonts w:hint="eastAsia" w:ascii="Times New Roman" w:hAnsi="Times New Roman" w:eastAsia="宋体" w:cs="Times New Roman"/>
          <w:color w:val="auto"/>
          <w:szCs w:val="28"/>
          <w:u w:val="none" w:color="auto"/>
          <w:lang w:val="en-US" w:eastAsia="zh-CN"/>
        </w:rPr>
        <w:t>等</w:t>
      </w:r>
      <w:r>
        <w:rPr>
          <w:rFonts w:hint="default" w:ascii="Times New Roman" w:hAnsi="Times New Roman" w:cs="Times New Roman"/>
          <w:color w:val="auto"/>
          <w:szCs w:val="28"/>
          <w:u w:val="none" w:color="auto"/>
        </w:rPr>
        <w:t>。该部分设备冷却采用冷却水进行冷却的方式，冷却水循环使用，</w:t>
      </w:r>
      <w:r>
        <w:rPr>
          <w:rFonts w:hint="eastAsia" w:ascii="Times New Roman" w:hAnsi="Times New Roman" w:eastAsia="宋体" w:cs="Times New Roman"/>
          <w:color w:val="auto"/>
          <w:szCs w:val="28"/>
          <w:u w:val="none" w:color="auto"/>
          <w:lang w:val="en-US" w:eastAsia="zh-CN"/>
        </w:rPr>
        <w:t>补给损耗，定期对蓄水箱进行清洗，会产生清洗废水</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（2）复合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复合工序主要是将不同材料的膜通过复合机、无溶剂复合机复合在一起，两两之间通过胶水（胶水包括聚氨酯胶水、无溶剂胶水、胶水溶剂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乙酸乙酯</w:t>
      </w:r>
      <w:r>
        <w:rPr>
          <w:rFonts w:hint="eastAsia" w:ascii="Times New Roman" w:hAnsi="Times New Roman" w:eastAsia="宋体" w:cs="Times New Roman"/>
          <w:color w:val="auto"/>
          <w:szCs w:val="28"/>
          <w:u w:val="none" w:color="auto"/>
          <w:lang w:eastAsia="zh-CN"/>
        </w:rPr>
        <w:t>）黏结</w:t>
      </w:r>
      <w:r>
        <w:rPr>
          <w:rFonts w:hint="default" w:ascii="Times New Roman" w:hAnsi="Times New Roman" w:cs="Times New Roman"/>
          <w:color w:val="auto"/>
          <w:szCs w:val="28"/>
          <w:u w:val="none" w:color="auto"/>
        </w:rPr>
        <w:t>，复合温度约为55</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80℃反复两两复合可生产出多层复合膜。此过程中聚氨酯胶水的使用会产生有机废气。该部分设备冷却采用冷却水进行冷却的方式，冷却水循环使用，</w:t>
      </w:r>
      <w:r>
        <w:rPr>
          <w:rFonts w:hint="eastAsia" w:ascii="Times New Roman" w:hAnsi="Times New Roman" w:eastAsia="宋体" w:cs="Times New Roman"/>
          <w:color w:val="auto"/>
          <w:szCs w:val="28"/>
          <w:u w:val="none" w:color="auto"/>
          <w:lang w:val="en-US" w:eastAsia="zh-CN"/>
        </w:rPr>
        <w:t>补给损耗，定期对蓄水箱进行清洗，会产生清洗废水</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（3）熟化、冷却</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熟化的</w:t>
      </w:r>
      <w:r>
        <w:rPr>
          <w:rFonts w:hint="eastAsia" w:ascii="Times New Roman" w:hAnsi="Times New Roman" w:eastAsia="宋体" w:cs="Times New Roman"/>
          <w:color w:val="auto"/>
          <w:szCs w:val="28"/>
          <w:u w:val="none" w:color="auto"/>
          <w:lang w:eastAsia="zh-CN"/>
        </w:rPr>
        <w:t>目的是</w:t>
      </w:r>
      <w:r>
        <w:rPr>
          <w:rFonts w:hint="default" w:ascii="Times New Roman" w:hAnsi="Times New Roman" w:cs="Times New Roman"/>
          <w:color w:val="auto"/>
          <w:szCs w:val="28"/>
          <w:u w:val="none" w:color="auto"/>
        </w:rPr>
        <w:t>让胶黏剂主剂和固化剂在特定的条件下充分反应固化，进一步交联，熟化阶段若还有溶剂残留会造成胶黏剂主剂和固化剂在该阶段反应情况欠佳，影响贴合度。熟化工序之前的印刷复合工序在合理配比稀释剂及合理设置风量的基础上已可尽可能将有机溶剂排尽，防止溶剂残留在本阶段产生的不良后果。</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复合加工后的薄膜卷放置在熟化室（箱）内进行熟化，项目共设置九</w:t>
      </w:r>
      <w:r>
        <w:rPr>
          <w:rFonts w:hint="eastAsia" w:ascii="Times New Roman" w:hAnsi="Times New Roman" w:eastAsia="宋体" w:cs="Times New Roman"/>
          <w:color w:val="auto"/>
          <w:szCs w:val="28"/>
          <w:u w:val="none" w:color="auto"/>
          <w:lang w:val="en-US" w:eastAsia="zh-CN"/>
        </w:rPr>
        <w:t>间</w:t>
      </w:r>
      <w:r>
        <w:rPr>
          <w:rFonts w:hint="default" w:ascii="Times New Roman" w:hAnsi="Times New Roman" w:cs="Times New Roman"/>
          <w:color w:val="auto"/>
          <w:szCs w:val="28"/>
          <w:u w:val="none" w:color="auto"/>
        </w:rPr>
        <w:t>熟化室，设置熟化温度为40~55℃</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控制时间为24</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40小时，熟化工艺采用电提供热能。冷却采用自然冷却的方式。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（4）分切、制卷</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将冷却后的成品膜使用分切机，按照客户要求，制作成一定长度的卷膜，分切完成后使用品检机自动收卷。此过程产生不合格产品</w:t>
      </w:r>
    </w:p>
    <w:p>
      <w:pPr>
        <w:pStyle w:val="11"/>
        <w:bidi w:val="0"/>
        <w:spacing w:line="360" w:lineRule="auto"/>
        <w:ind w:left="851" w:hanging="851"/>
        <w:rPr>
          <w:color w:val="auto"/>
          <w:sz w:val="30"/>
          <w:szCs w:val="30"/>
        </w:rPr>
      </w:pPr>
      <w:r>
        <w:rPr>
          <w:color w:val="auto"/>
          <w:sz w:val="30"/>
          <w:szCs w:val="30"/>
        </w:rPr>
        <w:t>软包装袋、其他包装袋生产工艺流程</w:t>
      </w:r>
    </w:p>
    <w:p>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firstLine="0"/>
        <w:jc w:val="center"/>
        <w:textAlignment w:val="baseline"/>
        <w:rPr>
          <w:rFonts w:hint="default" w:ascii="Times New Roman" w:hAnsi="Times New Roman" w:cs="Times New Roman"/>
          <w:color w:val="auto"/>
        </w:rPr>
      </w:pPr>
      <w:r>
        <w:rPr>
          <w:rFonts w:hint="default" w:ascii="Times New Roman" w:hAnsi="Times New Roman" w:cs="Times New Roman"/>
          <w:color w:val="auto"/>
        </w:rPr>
        <w:object>
          <v:shape id="_x0000_i1026" o:spt="75" type="#_x0000_t75" style="height:305.35pt;width:407.8pt;" o:ole="t" filled="f" o:preferrelative="t" stroked="f" coordsize="21600,21600">
            <v:path/>
            <v:fill on="f" focussize="0,0"/>
            <v:stroke on="f"/>
            <v:imagedata r:id="rId20" cropleft="-8f" cropright="903f" o:title=""/>
            <o:lock v:ext="edit" aspectratio="f"/>
            <w10:wrap type="none"/>
            <w10:anchorlock/>
          </v:shape>
          <o:OLEObject Type="Embed" ProgID="Visio.Drawing.11" ShapeID="_x0000_i1026" DrawAspect="Content" ObjectID="_1468075726" r:id="rId19">
            <o:LockedField>false</o:LockedField>
          </o:OLEObject>
        </w:object>
      </w:r>
    </w:p>
    <w:p>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firstLine="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软包装袋、其他包装袋生产工艺流程图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生产工艺流程说明：</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（1）印刷</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根据产品要求备好原材料（外购的成品膜）、环保型聚氨酯型复合油墨和稀释溶剂正丙酯和异丙醇并核准其数量，按工艺要求配备相应型号的油墨与溶剂，将所配好的油墨上印刷机，测好</w:t>
      </w:r>
      <w:r>
        <w:rPr>
          <w:rFonts w:hint="eastAsia" w:ascii="Times New Roman" w:hAnsi="Times New Roman" w:eastAsia="宋体" w:cs="Times New Roman"/>
          <w:color w:val="auto"/>
          <w:szCs w:val="28"/>
          <w:u w:val="none" w:color="auto"/>
          <w:lang w:eastAsia="zh-CN"/>
        </w:rPr>
        <w:t>黏度</w:t>
      </w:r>
      <w:r>
        <w:rPr>
          <w:rFonts w:hint="default" w:ascii="Times New Roman" w:hAnsi="Times New Roman" w:cs="Times New Roman"/>
          <w:color w:val="auto"/>
          <w:szCs w:val="28"/>
          <w:u w:val="none" w:color="auto"/>
        </w:rPr>
        <w:t>，核对后再微调校准色相。项目采用多次连续印刷方式，每套版辊对应一套色系，先印刷一种色系，再进入下一版辊印刷另一种色系。各需印刷区域按照相应要求完成印刷后收卷。在此过程中，会因环保型聚氨酯型复合油墨及其稀释剂中物质挥发而产生一定量的挥发性有机废气，设备运转会产生噪声。该部分设备冷却采用冷却水进行冷却的方式，冷却水循环使用，不外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（2）喷码</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印刷后的产品，按照客户情况及需求，包装袋版面为两幅两联</w:t>
      </w:r>
      <w:r>
        <w:rPr>
          <w:rFonts w:hint="eastAsia" w:ascii="Times New Roman" w:hAnsi="Times New Roman" w:eastAsia="宋体" w:cs="Times New Roman"/>
          <w:color w:val="auto"/>
          <w:szCs w:val="28"/>
          <w:u w:val="none" w:color="auto"/>
          <w:lang w:val="en-US" w:eastAsia="zh-CN"/>
        </w:rPr>
        <w:t>时，经</w:t>
      </w:r>
      <w:r>
        <w:rPr>
          <w:rFonts w:hint="default" w:ascii="Times New Roman" w:hAnsi="Times New Roman" w:cs="Times New Roman"/>
          <w:color w:val="auto"/>
          <w:szCs w:val="28"/>
          <w:u w:val="none" w:color="auto"/>
        </w:rPr>
        <w:t>印刷</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喷码后</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进行复合工序；包装袋版面为三幅三联</w:t>
      </w:r>
      <w:r>
        <w:rPr>
          <w:rFonts w:hint="eastAsia" w:ascii="Times New Roman" w:hAnsi="Times New Roman" w:eastAsia="宋体" w:cs="Times New Roman"/>
          <w:color w:val="auto"/>
          <w:szCs w:val="28"/>
          <w:u w:val="none" w:color="auto"/>
          <w:lang w:val="en-US" w:eastAsia="zh-CN"/>
        </w:rPr>
        <w:t>时，经</w:t>
      </w:r>
      <w:r>
        <w:rPr>
          <w:rFonts w:hint="default" w:ascii="Times New Roman" w:hAnsi="Times New Roman" w:cs="Times New Roman"/>
          <w:color w:val="auto"/>
          <w:szCs w:val="28"/>
          <w:u w:val="none" w:color="auto"/>
        </w:rPr>
        <w:t>印刷、复合工序后</w:t>
      </w:r>
      <w:r>
        <w:rPr>
          <w:rFonts w:hint="eastAsia" w:ascii="Times New Roman" w:hAnsi="Times New Roman" w:eastAsia="宋体" w:cs="Times New Roman"/>
          <w:color w:val="auto"/>
          <w:szCs w:val="28"/>
          <w:u w:val="none" w:color="auto"/>
          <w:lang w:val="en-US" w:eastAsia="zh-CN"/>
        </w:rPr>
        <w:t>再</w:t>
      </w:r>
      <w:r>
        <w:rPr>
          <w:rFonts w:hint="default" w:ascii="Times New Roman" w:hAnsi="Times New Roman" w:cs="Times New Roman"/>
          <w:color w:val="auto"/>
          <w:szCs w:val="28"/>
          <w:u w:val="none" w:color="auto"/>
        </w:rPr>
        <w:t>进行喷码工序。</w:t>
      </w:r>
      <w:r>
        <w:rPr>
          <w:rFonts w:hint="eastAsia" w:ascii="Times New Roman" w:hAnsi="Times New Roman" w:eastAsia="宋体" w:cs="Times New Roman"/>
          <w:color w:val="auto"/>
          <w:szCs w:val="28"/>
          <w:u w:val="none" w:color="auto"/>
          <w:lang w:val="en-US" w:eastAsia="zh-CN"/>
        </w:rPr>
        <w:t>本项目拟</w:t>
      </w:r>
      <w:r>
        <w:rPr>
          <w:rFonts w:hint="default" w:ascii="Times New Roman" w:hAnsi="Times New Roman" w:cs="Times New Roman"/>
          <w:color w:val="auto"/>
          <w:szCs w:val="28"/>
          <w:u w:val="none" w:color="auto"/>
        </w:rPr>
        <w:t>采用杜高DG-600SH喷墨系统，喷头使用理光GEN6，喷码完成后使用检测设备自动检测。喷码过程中要使用到喷码专用墨水。墨水组成成分中无挥发性物质，因此</w:t>
      </w:r>
      <w:r>
        <w:rPr>
          <w:rFonts w:hint="eastAsia" w:ascii="Times New Roman" w:hAnsi="Times New Roman" w:eastAsia="宋体" w:cs="Times New Roman"/>
          <w:color w:val="auto"/>
          <w:szCs w:val="28"/>
          <w:u w:val="none" w:color="auto"/>
          <w:lang w:val="en-US" w:eastAsia="zh-CN"/>
        </w:rPr>
        <w:t>喷码</w:t>
      </w:r>
      <w:r>
        <w:rPr>
          <w:rFonts w:hint="default" w:ascii="Times New Roman" w:hAnsi="Times New Roman" w:cs="Times New Roman"/>
          <w:color w:val="auto"/>
          <w:szCs w:val="28"/>
          <w:u w:val="none" w:color="auto"/>
        </w:rPr>
        <w:t>过程中无有机废气产生。</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（2）复合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复合工序主要是将不同材料的膜通过复合机、无溶剂复合机复合在一起，两两之间通过胶水（胶水包括聚氨酯胶水、无溶剂胶水、胶水溶剂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乙酸乙酯</w:t>
      </w:r>
      <w:r>
        <w:rPr>
          <w:rFonts w:hint="eastAsia" w:ascii="Times New Roman" w:hAnsi="Times New Roman" w:eastAsia="宋体" w:cs="Times New Roman"/>
          <w:color w:val="auto"/>
          <w:szCs w:val="28"/>
          <w:u w:val="none" w:color="auto"/>
          <w:lang w:eastAsia="zh-CN"/>
        </w:rPr>
        <w:t>）黏结</w:t>
      </w:r>
      <w:r>
        <w:rPr>
          <w:rFonts w:hint="default" w:ascii="Times New Roman" w:hAnsi="Times New Roman" w:cs="Times New Roman"/>
          <w:color w:val="auto"/>
          <w:szCs w:val="28"/>
          <w:u w:val="none" w:color="auto"/>
        </w:rPr>
        <w:t>，复合温度约为55</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80℃反复两两复合可生产出多层复合膜，在此过程中，会因胶水及其稀释剂物质挥发而产生一定量的挥发性有机废气。</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根据客户不同需求，可以实现两层或三层铝塑复合膜，外层为印刷膜。内层为热塑</w:t>
      </w:r>
      <w:r>
        <w:rPr>
          <w:rFonts w:hint="eastAsia" w:ascii="Times New Roman" w:hAnsi="Times New Roman" w:eastAsia="宋体" w:cs="Times New Roman"/>
          <w:color w:val="auto"/>
          <w:szCs w:val="28"/>
          <w:u w:val="none" w:color="auto"/>
          <w:lang w:eastAsia="zh-CN"/>
        </w:rPr>
        <w:t>黏合</w:t>
      </w:r>
      <w:r>
        <w:rPr>
          <w:rFonts w:hint="default" w:ascii="Times New Roman" w:hAnsi="Times New Roman" w:cs="Times New Roman"/>
          <w:color w:val="auto"/>
          <w:szCs w:val="28"/>
          <w:u w:val="none" w:color="auto"/>
        </w:rPr>
        <w:t>层，制品可通过热熔封口。两层中间夹着的镀铝薄膜，厚度约为1.2丝，三层复合膜的厚度约为12丝。铝塑复合膜可以起到遮光、防潮等作用。该部分设备冷却采用冷却水进行冷却的方式，冷却水循环使用，不外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（3）熟化</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熟化的</w:t>
      </w:r>
      <w:r>
        <w:rPr>
          <w:rFonts w:hint="eastAsia" w:ascii="Times New Roman" w:hAnsi="Times New Roman" w:eastAsia="宋体" w:cs="Times New Roman"/>
          <w:color w:val="auto"/>
          <w:szCs w:val="28"/>
          <w:u w:val="none" w:color="auto"/>
          <w:lang w:eastAsia="zh-CN"/>
        </w:rPr>
        <w:t>目的是</w:t>
      </w:r>
      <w:r>
        <w:rPr>
          <w:rFonts w:hint="default" w:ascii="Times New Roman" w:hAnsi="Times New Roman" w:cs="Times New Roman"/>
          <w:color w:val="auto"/>
          <w:szCs w:val="28"/>
          <w:u w:val="none" w:color="auto"/>
        </w:rPr>
        <w:t>让胶黏剂主剂和固化剂在特定的条件下充分反应固化，进一步交联，熟化阶段若还有溶剂残留会造成胶黏剂主剂和固化剂在该阶段反应情况欠佳，影响贴合度。熟化工序之前的印刷复合工序在合理配比稀释剂及合理设置风量的基础上尽可能将有机溶剂排尽，防止溶剂残留在本阶段产生的不良后果。</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项目设置九台熟化室，设置熟化温度为50~55℃</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控制时间为24</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30小时，熟化工艺采用电提供热能。冷却采用自然冷却的方式。</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（4）烫金</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烫金工艺是利用</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"https://baike.so.com/doc/5850284-6063122.html"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热压</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转移原理，将</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"https://baike.so.com/doc/1095000-1158629.html"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电化铝</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中的铝层转印到塑料薄膜表面以形成特殊的金属效果，因烫金使用的主要材料是</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"https://baike.so.com/doc/6022890-25855230.html"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电化铝箔</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，因此烫金也叫电化铝烫印。因塑料膜、铝箔本身属于相对稳定的物质，烫金过程中温度（约120</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150℃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未达到塑料膜、铝箔的分解温度，该过程基本无废气产生。</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（5）分切、制袋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将经复合、熟化后的成卷包装袋半成品采用制袋机制袋，通过微机电脑数控，步进电机拖料，电脑定长，步长光电跟踪，准确、平稳、双面热封分切机分切，使用制袋机制袋，最终形成复合袋成品。在该过程中，会产生一定量的噪声和废弃边角料。此外，因塑料膜本身属于相对稳定的物质，且对其进行过程中温度（约150</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170℃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未达到塑料膜的分解温度，该过程基本无有机废气产生。工艺采用</w:t>
      </w:r>
      <w:r>
        <w:rPr>
          <w:rFonts w:hint="eastAsia" w:ascii="Times New Roman" w:hAnsi="Times New Roman" w:eastAsia="宋体" w:cs="Times New Roman"/>
          <w:color w:val="auto"/>
          <w:szCs w:val="28"/>
          <w:u w:val="none" w:color="auto"/>
          <w:lang w:eastAsia="zh-CN"/>
        </w:rPr>
        <w:t>电力</w:t>
      </w:r>
      <w:r>
        <w:rPr>
          <w:rFonts w:hint="default" w:ascii="Times New Roman" w:hAnsi="Times New Roman" w:cs="Times New Roman"/>
          <w:color w:val="auto"/>
          <w:szCs w:val="28"/>
          <w:u w:val="none" w:color="auto"/>
        </w:rPr>
        <w:t>提供热能。冷却采用冷却水进行冷却的方式，冷却水循环使用，不外排。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（6）检验出货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包装好的成品，由工作人员物理检测产品尺寸、外观、物理机械性能、耐压性能、跌落性能、印刷质量、溶剂残留量等要求后，合格产品执行入库；不合格产品放入一般工业固废暂存间，定期由塑料再生造粒企业收购处理。根据要求，存放成品堆放高度不应超2.5m。</w:t>
      </w:r>
    </w:p>
    <w:p>
      <w:pPr>
        <w:pStyle w:val="10"/>
        <w:bidi w:val="0"/>
        <w:spacing w:line="360" w:lineRule="auto"/>
        <w:rPr>
          <w:rFonts w:hint="default" w:ascii="Times New Roman" w:hAnsi="Times New Roman" w:cs="Times New Roman"/>
          <w:color w:val="auto"/>
          <w:sz w:val="32"/>
          <w:szCs w:val="32"/>
        </w:rPr>
      </w:pPr>
      <w:bookmarkStart w:id="50" w:name="bookmark50"/>
      <w:bookmarkEnd w:id="50"/>
      <w:bookmarkStart w:id="51" w:name="_Toc23738"/>
      <w:r>
        <w:rPr>
          <w:rFonts w:hint="default" w:ascii="Times New Roman" w:hAnsi="Times New Roman" w:cs="Times New Roman"/>
          <w:color w:val="auto"/>
          <w:sz w:val="32"/>
          <w:szCs w:val="32"/>
        </w:rPr>
        <w:t>营运期主要污染工序</w:t>
      </w:r>
      <w:bookmarkEnd w:id="51"/>
    </w:p>
    <w:p>
      <w:pPr>
        <w:pStyle w:val="11"/>
        <w:bidi w:val="0"/>
        <w:spacing w:line="360" w:lineRule="auto"/>
        <w:ind w:left="851" w:hanging="851"/>
        <w:rPr>
          <w:color w:val="auto"/>
          <w:sz w:val="30"/>
          <w:szCs w:val="30"/>
        </w:rPr>
      </w:pPr>
      <w:r>
        <w:rPr>
          <w:color w:val="auto"/>
          <w:sz w:val="30"/>
          <w:szCs w:val="30"/>
        </w:rPr>
        <w:t>废气</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参考《</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www.so.com/link?m=bOk36ndHXJkdyv/4tEG2Ummu4TUjKn/YlvIpH5s3Tz/hFKGuH/MSQsR8NDZXHBD5jXoTVk/yCD/n7hukmP84koWLP/52fNbdwBkPPtFpylPHnrxhlqXvXc1yrZAVzJmOab2OUcYNIUtwDU/cQ6Bzc1+4NQ1Z1EIWq6CzsnLWTWQeQyuWztD+n/hVgHFopPt9yCUoqbQ6yjsnFFV5rAdFo8POP1LGf/Qfbl4i/ckBeDKmaN3NXGEU3ssZ7MhvEHIzSOvd0U+2dAgHh9RlcDCfgecA3Mu0rc4OD6BR+Curf+fv9PHXLFGWO2J/f+ddjVu0KvwgQRTsiJlsYK+xu"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排污许可证申请与核发技术规范</w:t>
      </w:r>
      <w:r>
        <w:rPr>
          <w:rFonts w:hint="eastAsia" w:ascii="Times New Roman" w:hAnsi="Times New Roman" w:eastAsia="宋体" w:cs="Times New Roman"/>
          <w:color w:val="auto"/>
          <w:szCs w:val="28"/>
          <w:u w:val="none" w:color="auto"/>
          <w:lang w:val="en-US" w:eastAsia="zh-CN"/>
        </w:rPr>
        <w:t xml:space="preserve">  </w:t>
      </w:r>
      <w:r>
        <w:rPr>
          <w:rFonts w:hint="default" w:ascii="Times New Roman" w:hAnsi="Times New Roman" w:cs="Times New Roman"/>
          <w:color w:val="auto"/>
          <w:szCs w:val="28"/>
          <w:u w:val="none" w:color="auto"/>
        </w:rPr>
        <w:t>印刷工业》</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HJ1066-2019</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中</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产污环节并结合项目实际，项目运营期主要产污环节为印刷、复合工序以及天然气助燃工序，产生的废气主要为印刷、</w:t>
      </w:r>
      <w:r>
        <w:rPr>
          <w:rFonts w:hint="eastAsia" w:ascii="Times New Roman" w:hAnsi="Times New Roman" w:eastAsia="宋体" w:cs="Times New Roman"/>
          <w:color w:val="auto"/>
          <w:szCs w:val="28"/>
          <w:u w:val="none" w:color="auto"/>
          <w:lang w:val="en-US" w:eastAsia="zh-CN"/>
        </w:rPr>
        <w:t>干式</w:t>
      </w:r>
      <w:r>
        <w:rPr>
          <w:rFonts w:hint="default" w:ascii="Times New Roman" w:hAnsi="Times New Roman" w:cs="Times New Roman"/>
          <w:color w:val="auto"/>
          <w:szCs w:val="28"/>
          <w:u w:val="none" w:color="auto"/>
        </w:rPr>
        <w:t>复合工序产生的有机废气以及天然气燃烧产生的SO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（1）有组织有机废气</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①工序废气</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a、印刷废气</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本项目整个印刷过程中环保型聚氨酯型复合油墨用量500t/a、油墨稀释剂正丙酯370t/a、异丙醇用量30t/a、乙酸乙酯用量200t/a。根据</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提供的油墨成分分析单并参考《湖南省包装印刷VOCs排放量测算指南</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试行》（2016），常温常压下本项目环保型聚氨酯型复合油墨中VOCs含量按最大60%计算，油墨稀释剂VOCs含量最大按照100%计算，则根据指南计算，本项目整个印刷过程中（含调墨、供墨、印刷烘干、清洗等工序）废气VOCs产生量为900t/a（</w:t>
      </w:r>
      <w:r>
        <w:rPr>
          <w:rFonts w:hint="eastAsia" w:ascii="Times New Roman" w:hAnsi="Times New Roman" w:eastAsia="宋体" w:cs="Times New Roman"/>
          <w:color w:val="auto"/>
          <w:szCs w:val="28"/>
          <w:u w:val="none" w:color="auto"/>
          <w:lang w:val="en-US" w:eastAsia="zh-CN"/>
        </w:rPr>
        <w:t>125</w:t>
      </w:r>
      <w:r>
        <w:rPr>
          <w:rFonts w:hint="default" w:ascii="Times New Roman" w:hAnsi="Times New Roman" w:cs="Times New Roman"/>
          <w:color w:val="auto"/>
          <w:szCs w:val="28"/>
          <w:u w:val="none" w:color="auto"/>
        </w:rPr>
        <w:t>kg/h</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单位提供资料，本项目印刷过程中使用环保型聚氨酯型复合油墨，其主要组成为酯溶性聚氨酯树脂、颜料、稀释剂（异丙醇/乙酸乙酯/正丙酯）等，不使用苯、甲苯和二甲苯作为溶剂，因此，在整个印刷过程中不会产生苯、甲苯、二甲苯类污染物。</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本项目印刷单元采用封闭墨槽+封闭墨桶的封闭供墨，可减少空气裸露，降低供墨</w:t>
      </w:r>
      <w:r>
        <w:rPr>
          <w:rFonts w:hint="eastAsia" w:ascii="Times New Roman" w:hAnsi="Times New Roman" w:eastAsia="宋体" w:cs="Times New Roman"/>
          <w:color w:val="auto"/>
          <w:szCs w:val="28"/>
          <w:u w:val="none" w:color="auto"/>
          <w:lang w:val="en-US" w:eastAsia="zh-CN"/>
        </w:rPr>
        <w:t>过程</w:t>
      </w:r>
      <w:r>
        <w:rPr>
          <w:rFonts w:hint="default" w:ascii="Times New Roman" w:hAnsi="Times New Roman" w:cs="Times New Roman"/>
          <w:color w:val="auto"/>
          <w:szCs w:val="28"/>
          <w:u w:val="none" w:color="auto"/>
        </w:rPr>
        <w:t>有机废气挥发，项目调墨及供墨</w:t>
      </w:r>
      <w:r>
        <w:rPr>
          <w:rFonts w:hint="eastAsia" w:ascii="Times New Roman" w:hAnsi="Times New Roman" w:eastAsia="宋体" w:cs="Times New Roman"/>
          <w:color w:val="auto"/>
          <w:szCs w:val="28"/>
          <w:u w:val="none" w:color="auto"/>
          <w:lang w:val="en-US" w:eastAsia="zh-CN"/>
        </w:rPr>
        <w:t>过程</w:t>
      </w:r>
      <w:r>
        <w:rPr>
          <w:rFonts w:hint="default" w:ascii="Times New Roman" w:hAnsi="Times New Roman" w:cs="Times New Roman"/>
          <w:color w:val="auto"/>
          <w:szCs w:val="28"/>
          <w:u w:val="none" w:color="auto"/>
        </w:rPr>
        <w:t>有机废气量产生较少，且上述计算过程中已将该部分废气全部计入印刷过程中挥发废气产生量中，此处不再单独定量计算；项目印刷完成后直接使用油墨稀释剂</w:t>
      </w:r>
      <w:r>
        <w:rPr>
          <w:rFonts w:hint="eastAsia" w:ascii="Times New Roman" w:hAnsi="Times New Roman" w:eastAsia="宋体" w:cs="Times New Roman"/>
          <w:color w:val="auto"/>
          <w:szCs w:val="28"/>
          <w:u w:val="none" w:color="auto"/>
          <w:lang w:val="en-US" w:eastAsia="zh-CN"/>
        </w:rPr>
        <w:t>对</w:t>
      </w:r>
      <w:r>
        <w:rPr>
          <w:rFonts w:ascii="宋体" w:hAnsi="宋体" w:eastAsia="宋体" w:cs="宋体"/>
          <w:color w:val="auto"/>
          <w:sz w:val="24"/>
          <w:szCs w:val="24"/>
        </w:rPr>
        <w:t>版辊</w:t>
      </w:r>
      <w:r>
        <w:rPr>
          <w:rFonts w:hint="default" w:ascii="Times New Roman" w:hAnsi="Times New Roman" w:cs="Times New Roman"/>
          <w:color w:val="auto"/>
          <w:szCs w:val="28"/>
          <w:u w:val="none" w:color="auto"/>
        </w:rPr>
        <w:t>进行擦洗，该部分废气产生量不大，已全部计入印刷过程中挥发废气产生量中，此处不再单独定量计算。</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根据《</w:t>
      </w:r>
      <w:r>
        <w:rPr>
          <w:rFonts w:hint="default" w:ascii="Times New Roman" w:hAnsi="Times New Roman" w:cs="Times New Roman"/>
          <w:color w:val="auto"/>
          <w:szCs w:val="28"/>
          <w:u w:val="none" w:color="auto"/>
        </w:rPr>
        <w:t>上海市工业企业挥发性有机物排放量通用计算方法</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rPr>
        <w:t>VOCs产生源设置在封闭空间内，所有开口处，包括人员或物料进出口处呈负压</w:t>
      </w:r>
      <w:r>
        <w:rPr>
          <w:rFonts w:hint="eastAsia" w:ascii="Times New Roman" w:hAnsi="Times New Roman" w:cs="Times New Roman"/>
          <w:color w:val="auto"/>
          <w:szCs w:val="28"/>
          <w:u w:val="none" w:color="auto"/>
          <w:lang w:eastAsia="zh-CN"/>
        </w:rPr>
        <w:t>的</w:t>
      </w:r>
      <w:r>
        <w:rPr>
          <w:rFonts w:hint="default" w:ascii="Times New Roman" w:hAnsi="Times New Roman" w:cs="Times New Roman"/>
          <w:color w:val="auto"/>
          <w:szCs w:val="28"/>
          <w:u w:val="none" w:color="auto"/>
        </w:rPr>
        <w:t>全封闭式负压排风</w:t>
      </w:r>
      <w:r>
        <w:rPr>
          <w:rFonts w:hint="eastAsia" w:ascii="Times New Roman" w:hAnsi="Times New Roman" w:cs="Times New Roman"/>
          <w:color w:val="auto"/>
          <w:szCs w:val="28"/>
          <w:u w:val="none" w:color="auto"/>
          <w:lang w:val="en-US" w:eastAsia="zh-CN"/>
        </w:rPr>
        <w:t>措施，对废气</w:t>
      </w:r>
      <w:r>
        <w:rPr>
          <w:rFonts w:hint="default" w:ascii="Times New Roman" w:hAnsi="Times New Roman" w:cs="Times New Roman"/>
          <w:color w:val="auto"/>
          <w:szCs w:val="28"/>
          <w:u w:val="none" w:color="auto"/>
        </w:rPr>
        <w:t>捕集效率</w:t>
      </w:r>
      <w:r>
        <w:rPr>
          <w:rFonts w:hint="eastAsia" w:ascii="Times New Roman" w:hAnsi="Times New Roman" w:cs="Times New Roman"/>
          <w:color w:val="auto"/>
          <w:szCs w:val="28"/>
          <w:u w:val="none" w:color="auto"/>
          <w:lang w:val="en-US" w:eastAsia="zh-CN"/>
        </w:rPr>
        <w:t>为95%。</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由于本项目印刷废气产生量较大，建设单位</w:t>
      </w:r>
      <w:r>
        <w:rPr>
          <w:rFonts w:hint="eastAsia" w:ascii="Times New Roman" w:hAnsi="Times New Roman" w:eastAsia="宋体" w:cs="Times New Roman"/>
          <w:color w:val="auto"/>
          <w:szCs w:val="28"/>
          <w:u w:val="none" w:color="auto"/>
          <w:lang w:val="en-US" w:eastAsia="zh-CN"/>
        </w:rPr>
        <w:t>拟</w:t>
      </w:r>
      <w:r>
        <w:rPr>
          <w:rFonts w:hint="default" w:ascii="Times New Roman" w:hAnsi="Times New Roman" w:cs="Times New Roman"/>
          <w:color w:val="auto"/>
          <w:szCs w:val="28"/>
          <w:u w:val="none" w:color="auto"/>
        </w:rPr>
        <w:t>对整个印刷车间进行全封闭处理，在全封闭的情况下，在印刷机的主要产气点（每色组的印刷烘箱处）设置负压集气系统，印刷烘箱四周及顶部全部密闭，仅底部留有可供膜进出的缝隙，烘箱内抽风形成负压，可有效防止烘箱内有机废气逸出</w:t>
      </w:r>
      <w:r>
        <w:rPr>
          <w:rFonts w:hint="eastAsia" w:ascii="Times New Roman" w:hAnsi="Times New Roman" w:eastAsia="宋体" w:cs="Times New Roman"/>
          <w:color w:val="auto"/>
          <w:szCs w:val="28"/>
          <w:u w:val="none" w:color="auto"/>
          <w:lang w:eastAsia="zh-CN"/>
        </w:rPr>
        <w:t>，</w:t>
      </w:r>
      <w:r>
        <w:rPr>
          <w:rFonts w:hint="eastAsia" w:ascii="宋体" w:hAnsi="宋体" w:eastAsia="宋体" w:cs="宋体"/>
          <w:color w:val="auto"/>
          <w:sz w:val="24"/>
          <w:szCs w:val="24"/>
          <w:lang w:val="en-US" w:eastAsia="zh-CN"/>
        </w:rPr>
        <w:t>本项目</w:t>
      </w:r>
      <w:r>
        <w:rPr>
          <w:rFonts w:hint="default" w:ascii="Times New Roman" w:hAnsi="Times New Roman" w:cs="Times New Roman"/>
          <w:color w:val="auto"/>
          <w:szCs w:val="28"/>
          <w:u w:val="none" w:color="auto"/>
        </w:rPr>
        <w:t>集气系统对整体印刷工序有机废气的收集效率按95%计，则未被烘箱负压机器系统收集的印刷有机废气为45t/a，被收集的印刷废气产生量为855t/a（1</w:t>
      </w:r>
      <w:r>
        <w:rPr>
          <w:rFonts w:hint="eastAsia" w:ascii="Times New Roman" w:hAnsi="Times New Roman" w:eastAsia="宋体" w:cs="Times New Roman"/>
          <w:color w:val="auto"/>
          <w:szCs w:val="28"/>
          <w:u w:val="none" w:color="auto"/>
          <w:lang w:val="en-US" w:eastAsia="zh-CN"/>
        </w:rPr>
        <w:t>18.75</w:t>
      </w:r>
      <w:r>
        <w:rPr>
          <w:rFonts w:hint="default" w:ascii="Times New Roman" w:hAnsi="Times New Roman" w:cs="Times New Roman"/>
          <w:color w:val="auto"/>
          <w:szCs w:val="28"/>
          <w:u w:val="none" w:color="auto"/>
        </w:rPr>
        <w:t>kg/h）。该部分有机废气经收集后采用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LEL减风浓缩+三室RTO蓄热式焚烧+1根15m高排气筒（DA001）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的方式进行处置。根据</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提供的废气处理技术方案以及《蓄热燃法工业有机废气治理工程技术规范》</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H1093-2020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，多室或旋转式蓄热燃烧装置的净化效率不低于98</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，本项目有机废气处理装置为多室蓄热燃烧装置，本次评价中净化效率取98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。则经处理后的印刷有机废气有组织排放量为17.1t/a（2.</w:t>
      </w:r>
      <w:r>
        <w:rPr>
          <w:rFonts w:hint="eastAsia" w:ascii="Times New Roman" w:hAnsi="Times New Roman" w:eastAsia="宋体" w:cs="Times New Roman"/>
          <w:color w:val="auto"/>
          <w:szCs w:val="28"/>
          <w:u w:val="none" w:color="auto"/>
          <w:lang w:val="en-US" w:eastAsia="zh-CN"/>
        </w:rPr>
        <w:t>375</w:t>
      </w:r>
      <w:r>
        <w:rPr>
          <w:rFonts w:hint="default" w:ascii="Times New Roman" w:hAnsi="Times New Roman" w:cs="Times New Roman"/>
          <w:color w:val="auto"/>
          <w:szCs w:val="28"/>
          <w:u w:val="none" w:color="auto"/>
        </w:rPr>
        <w:t>kg/h）。</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b、复合废气</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项目复合工序分为两种，一种为聚氨酯胶复合，另一种为无溶剂胶复合，无溶剂胶复合过程中不会有VOCs的产生，聚氨酯胶复合使用的溶剂为乙酸乙酯，复合过程中会产生一定量的有机废气。根据</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提供的聚氨酯胶水成分分析单并参考《湖南省包装印刷行业VOCs排放量测量技术指南（试行）》可知，聚氨酯胶水中VOCs量以30%计算，聚氨酯胶水年用量150t，则复合过程中聚氨酯胶水VOCs产生量为45t/a，乙酸乙酯溶剂用量为200t/a，全部挥发，VOCs产生量为200t/a，则根据指南计算，本项目整个复合工序（含调胶、复合等工序）中有机废气产生量为245t/a（</w:t>
      </w:r>
      <w:r>
        <w:rPr>
          <w:rFonts w:hint="eastAsia" w:ascii="Times New Roman" w:hAnsi="Times New Roman" w:eastAsia="宋体" w:cs="Times New Roman"/>
          <w:color w:val="auto"/>
          <w:szCs w:val="28"/>
          <w:u w:val="none" w:color="auto"/>
          <w:lang w:val="en-US" w:eastAsia="zh-CN"/>
        </w:rPr>
        <w:t>34.03</w:t>
      </w:r>
      <w:r>
        <w:rPr>
          <w:rFonts w:hint="default" w:ascii="Times New Roman" w:hAnsi="Times New Roman" w:cs="Times New Roman"/>
          <w:color w:val="auto"/>
          <w:szCs w:val="28"/>
          <w:u w:val="none" w:color="auto"/>
        </w:rPr>
        <w:t>kg/h</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本项目拟</w:t>
      </w:r>
      <w:r>
        <w:rPr>
          <w:rFonts w:hint="default" w:ascii="Times New Roman" w:hAnsi="Times New Roman" w:cs="Times New Roman"/>
          <w:color w:val="auto"/>
          <w:szCs w:val="28"/>
          <w:u w:val="none" w:color="auto"/>
        </w:rPr>
        <w:t>在密闭的复合车间内</w:t>
      </w:r>
      <w:r>
        <w:rPr>
          <w:rFonts w:hint="eastAsia" w:ascii="Times New Roman" w:hAnsi="Times New Roman" w:eastAsia="宋体" w:cs="Times New Roman"/>
          <w:color w:val="auto"/>
          <w:szCs w:val="28"/>
          <w:u w:val="none" w:color="auto"/>
          <w:lang w:val="en-US" w:eastAsia="zh-CN"/>
        </w:rPr>
        <w:t>调胶，</w:t>
      </w:r>
      <w:r>
        <w:rPr>
          <w:rFonts w:hint="default" w:ascii="Times New Roman" w:hAnsi="Times New Roman" w:cs="Times New Roman"/>
          <w:color w:val="auto"/>
          <w:szCs w:val="28"/>
          <w:u w:val="none" w:color="auto"/>
        </w:rPr>
        <w:t>聚氨酯胶水调配过程有机废气产生量较少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且上述计算过程中已将该部分废气全部计入复合过程中挥发废气产生量中，此处不再单独定量计算。</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环评建议</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建设单位</w:t>
      </w:r>
      <w:r>
        <w:rPr>
          <w:rFonts w:hint="eastAsia" w:ascii="Times New Roman" w:hAnsi="Times New Roman" w:eastAsia="宋体" w:cs="Times New Roman"/>
          <w:color w:val="auto"/>
          <w:szCs w:val="28"/>
          <w:u w:val="none" w:color="auto"/>
          <w:lang w:val="en-US" w:eastAsia="zh-CN"/>
        </w:rPr>
        <w:t>拟</w:t>
      </w:r>
      <w:r>
        <w:rPr>
          <w:rFonts w:hint="default" w:ascii="Times New Roman" w:hAnsi="Times New Roman" w:cs="Times New Roman"/>
          <w:color w:val="auto"/>
          <w:szCs w:val="28"/>
          <w:u w:val="none" w:color="auto"/>
        </w:rPr>
        <w:t>对复合车间进行全封闭处理，</w:t>
      </w:r>
      <w:r>
        <w:rPr>
          <w:rFonts w:hint="eastAsia" w:ascii="Times New Roman" w:hAnsi="Times New Roman" w:eastAsia="宋体" w:cs="Times New Roman"/>
          <w:color w:val="auto"/>
          <w:szCs w:val="28"/>
          <w:u w:val="none" w:color="auto"/>
          <w:lang w:val="en-US" w:eastAsia="zh-CN"/>
        </w:rPr>
        <w:t>并</w:t>
      </w:r>
      <w:r>
        <w:rPr>
          <w:rFonts w:hint="default" w:ascii="Times New Roman" w:hAnsi="Times New Roman" w:cs="Times New Roman"/>
          <w:color w:val="auto"/>
          <w:szCs w:val="28"/>
          <w:u w:val="none" w:color="auto"/>
        </w:rPr>
        <w:t>在复合机的主要产气点（复合烘箱处）设置负压集气系统，复合烘箱四周及顶部全部密闭，仅底部留有可供膜进出的缝隙，烘箱内抽风形成负压，可有效防止烘箱内有机废气逸出，该部分对整体复合工序有机废气收集效率达95%以上，则未被烘箱负压集气系统收集的复合有机废气为12.25t/a，被收集的复合废气产生量为232.75t/a（</w:t>
      </w:r>
      <w:r>
        <w:rPr>
          <w:rFonts w:hint="eastAsia" w:ascii="Times New Roman" w:hAnsi="Times New Roman" w:eastAsia="宋体" w:cs="Times New Roman"/>
          <w:color w:val="auto"/>
          <w:szCs w:val="28"/>
          <w:u w:val="none" w:color="auto"/>
          <w:lang w:val="en-US" w:eastAsia="zh-CN"/>
        </w:rPr>
        <w:t>32.33</w:t>
      </w:r>
      <w:r>
        <w:rPr>
          <w:rFonts w:hint="default" w:ascii="Times New Roman" w:hAnsi="Times New Roman" w:cs="Times New Roman"/>
          <w:color w:val="auto"/>
          <w:szCs w:val="28"/>
          <w:u w:val="none" w:color="auto"/>
        </w:rPr>
        <w:t>kg/h）。该部分有机废气经收集后采用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LEL减风浓缩+三室RTO蓄热式焚烧+1根15m高排气筒（DA001）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的方式进行处置。RTO焚烧处理效率约为98%，则经处理后的复合工序有机废气有组织排放量为4.655t/a（0.</w:t>
      </w:r>
      <w:r>
        <w:rPr>
          <w:rFonts w:hint="eastAsia" w:ascii="Times New Roman" w:hAnsi="Times New Roman" w:eastAsia="宋体" w:cs="Times New Roman"/>
          <w:color w:val="auto"/>
          <w:szCs w:val="28"/>
          <w:u w:val="none" w:color="auto"/>
          <w:lang w:val="en-US" w:eastAsia="zh-CN"/>
        </w:rPr>
        <w:t>647</w:t>
      </w:r>
      <w:r>
        <w:rPr>
          <w:rFonts w:hint="default" w:ascii="Times New Roman" w:hAnsi="Times New Roman" w:cs="Times New Roman"/>
          <w:color w:val="auto"/>
          <w:szCs w:val="28"/>
          <w:u w:val="none" w:color="auto"/>
        </w:rPr>
        <w:t>kg/h）。</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②未被烘箱集气系统收集的有机废气</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本项目印刷、复合等工序生产过程中，会有一定量的有机废气未被烘箱负压集气系统收集，在车间内排放。根据上文未被集气系统收集的有机废气产生量为57.25t/a。根据建设单位提供资料以及</w:t>
      </w:r>
      <w:r>
        <w:rPr>
          <w:rFonts w:hint="eastAsia" w:ascii="Times New Roman" w:hAnsi="Times New Roman" w:eastAsia="宋体" w:cs="Times New Roman"/>
          <w:color w:val="auto"/>
          <w:szCs w:val="28"/>
          <w:u w:val="none" w:color="auto"/>
          <w:lang w:eastAsia="zh-CN"/>
        </w:rPr>
        <w:t>现场勘查</w:t>
      </w:r>
      <w:r>
        <w:rPr>
          <w:rFonts w:hint="default" w:ascii="Times New Roman" w:hAnsi="Times New Roman" w:cs="Times New Roman"/>
          <w:color w:val="auto"/>
          <w:szCs w:val="28"/>
          <w:u w:val="none" w:color="auto"/>
        </w:rPr>
        <w:t>，印刷车间、复合车间均为全封闭状态，由于印刷用溶剂VOCs的密度大于空气密度，会下落，</w:t>
      </w:r>
      <w:r>
        <w:rPr>
          <w:rFonts w:hint="eastAsia" w:ascii="Times New Roman" w:hAnsi="Times New Roman" w:eastAsia="宋体" w:cs="Times New Roman"/>
          <w:color w:val="auto"/>
          <w:szCs w:val="28"/>
          <w:u w:val="none" w:color="auto"/>
          <w:lang w:val="en-US" w:eastAsia="zh-CN"/>
        </w:rPr>
        <w:t>建设单位拟在</w:t>
      </w:r>
      <w:r>
        <w:rPr>
          <w:rFonts w:hint="default" w:ascii="Times New Roman" w:hAnsi="Times New Roman" w:cs="Times New Roman"/>
          <w:color w:val="auto"/>
          <w:szCs w:val="28"/>
          <w:u w:val="none" w:color="auto"/>
        </w:rPr>
        <w:t>项目印刷机每个色组及每台复合机上胶处等处布置排风管路，通过负压收集系统从印刷机及复合机附近抽取有机废气。由于印刷机和复合机</w:t>
      </w:r>
      <w:r>
        <w:rPr>
          <w:rFonts w:hint="eastAsia" w:ascii="Times New Roman" w:hAnsi="Times New Roman" w:eastAsia="宋体" w:cs="Times New Roman"/>
          <w:color w:val="auto"/>
          <w:szCs w:val="28"/>
          <w:u w:val="none" w:color="auto"/>
          <w:lang w:eastAsia="zh-CN"/>
        </w:rPr>
        <w:t>源源不断地从</w:t>
      </w:r>
      <w:r>
        <w:rPr>
          <w:rFonts w:hint="default" w:ascii="Times New Roman" w:hAnsi="Times New Roman" w:cs="Times New Roman"/>
          <w:color w:val="auto"/>
          <w:szCs w:val="28"/>
          <w:u w:val="none" w:color="auto"/>
        </w:rPr>
        <w:t>下排风和烘箱缝隙处大量抽走气流，造成印刷机以及复合机所在区域为负压区域，新风空调的不断进风使印刷机以及复合机四周形成正压区域，同时拟将印刷机、复合机进行保温隔断，这样可以</w:t>
      </w:r>
      <w:r>
        <w:rPr>
          <w:rFonts w:hint="eastAsia" w:ascii="Times New Roman" w:hAnsi="Times New Roman" w:eastAsia="宋体" w:cs="Times New Roman"/>
          <w:color w:val="auto"/>
          <w:szCs w:val="28"/>
          <w:u w:val="none" w:color="auto"/>
          <w:lang w:eastAsia="zh-CN"/>
        </w:rPr>
        <w:t>很好地降低</w:t>
      </w:r>
      <w:r>
        <w:rPr>
          <w:rFonts w:hint="default" w:ascii="Times New Roman" w:hAnsi="Times New Roman" w:cs="Times New Roman"/>
          <w:color w:val="auto"/>
          <w:szCs w:val="28"/>
          <w:u w:val="none" w:color="auto"/>
        </w:rPr>
        <w:t>气流扰动，控制住VOCS废气往四周的飘散，使废气集中在印刷机以及复合机所在区域。车间内未经烘箱集气系统收集的有机废气可通过负压收集系统收集后进入烘箱内，之后经</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LEL减风增浓+RTO蓄热式焚烧+1根15m高排气筒DA001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排放。类比《湖南国雅彩印有限公司年产12000t软包装生产基地项目变更环境影响说明》，在印刷车间、复合车间全封闭的状态且印刷机及复合机所在区域形成负压状态的前提下，负压收集系统可将剩余有机废气的98%进行收集；RTO焚烧处理效率约为98%，则经负压收集系统收集的有组织VOCs量为56.11t/a，经处理后有组织排放量为1.122t/a（0.1</w:t>
      </w:r>
      <w:r>
        <w:rPr>
          <w:rFonts w:hint="eastAsia" w:ascii="Times New Roman" w:hAnsi="Times New Roman" w:eastAsia="宋体" w:cs="Times New Roman"/>
          <w:color w:val="auto"/>
          <w:szCs w:val="28"/>
          <w:u w:val="none" w:color="auto"/>
          <w:lang w:val="en-US" w:eastAsia="zh-CN"/>
        </w:rPr>
        <w:t>56</w:t>
      </w:r>
      <w:r>
        <w:rPr>
          <w:rFonts w:hint="default" w:ascii="Times New Roman" w:hAnsi="Times New Roman" w:cs="Times New Roman"/>
          <w:color w:val="auto"/>
          <w:szCs w:val="28"/>
          <w:u w:val="none" w:color="auto"/>
        </w:rPr>
        <w:t>kg/h）。</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综上，本项目有机废气产生量为114</w:t>
      </w: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t/a</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val="en-US" w:eastAsia="zh-CN"/>
        </w:rPr>
        <w:t>59.028</w:t>
      </w:r>
      <w:r>
        <w:rPr>
          <w:rFonts w:hint="default" w:ascii="Times New Roman" w:hAnsi="Times New Roman" w:cs="Times New Roman"/>
          <w:color w:val="auto"/>
          <w:szCs w:val="28"/>
          <w:u w:val="none" w:color="auto"/>
        </w:rPr>
        <w:t>kg/h</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有组织</w:t>
      </w:r>
      <w:r>
        <w:rPr>
          <w:rFonts w:hint="default" w:ascii="Times New Roman" w:hAnsi="Times New Roman" w:cs="Times New Roman"/>
          <w:color w:val="auto"/>
          <w:szCs w:val="28"/>
          <w:u w:val="none" w:color="auto"/>
        </w:rPr>
        <w:t>排放量为22.877t/a（</w:t>
      </w:r>
      <w:r>
        <w:rPr>
          <w:rFonts w:hint="eastAsia" w:ascii="Times New Roman" w:hAnsi="Times New Roman" w:eastAsia="宋体" w:cs="Times New Roman"/>
          <w:color w:val="auto"/>
          <w:szCs w:val="28"/>
          <w:u w:val="none" w:color="auto"/>
          <w:lang w:val="en-US" w:eastAsia="zh-CN"/>
        </w:rPr>
        <w:t>3.177</w:t>
      </w:r>
      <w:r>
        <w:rPr>
          <w:rFonts w:hint="default" w:ascii="Times New Roman" w:hAnsi="Times New Roman" w:cs="Times New Roman"/>
          <w:color w:val="auto"/>
          <w:szCs w:val="28"/>
          <w:u w:val="none" w:color="auto"/>
        </w:rPr>
        <w:t>kg/h）</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排放浓度</w:t>
      </w:r>
      <w:r>
        <w:rPr>
          <w:rFonts w:hint="default" w:ascii="Times New Roman" w:hAnsi="Times New Roman" w:cs="Times New Roman"/>
          <w:color w:val="auto"/>
          <w:szCs w:val="28"/>
          <w:highlight w:val="none"/>
          <w:u w:val="none" w:color="auto"/>
        </w:rPr>
        <w:t>为</w:t>
      </w:r>
      <w:r>
        <w:rPr>
          <w:rFonts w:hint="eastAsia" w:ascii="Times New Roman" w:hAnsi="Times New Roman" w:eastAsia="宋体" w:cs="Times New Roman"/>
          <w:color w:val="auto"/>
          <w:szCs w:val="28"/>
          <w:highlight w:val="none"/>
          <w:u w:val="none" w:color="auto"/>
          <w:lang w:val="en-US" w:eastAsia="zh-CN"/>
        </w:rPr>
        <w:t>66.188</w:t>
      </w:r>
      <w:r>
        <w:rPr>
          <w:rFonts w:hint="default" w:ascii="Times New Roman" w:hAnsi="Times New Roman" w:cs="Times New Roman"/>
          <w:color w:val="auto"/>
          <w:szCs w:val="28"/>
          <w:highlight w:val="none"/>
          <w:u w:val="none" w:color="auto"/>
        </w:rPr>
        <w:t>g/m</w:t>
      </w:r>
      <w:r>
        <w:rPr>
          <w:rFonts w:hint="default" w:ascii="Times New Roman" w:hAnsi="Times New Roman" w:cs="Times New Roman"/>
          <w:color w:val="auto"/>
          <w:szCs w:val="28"/>
          <w:highlight w:val="none"/>
          <w:u w:val="none" w:color="auto"/>
          <w:vertAlign w:val="superscript"/>
        </w:rPr>
        <w:t>3</w:t>
      </w:r>
      <w:r>
        <w:rPr>
          <w:rFonts w:hint="default" w:ascii="Times New Roman" w:hAnsi="Times New Roman" w:cs="Times New Roman"/>
          <w:color w:val="auto"/>
          <w:szCs w:val="28"/>
          <w:highlight w:val="none"/>
          <w:u w:val="none" w:color="auto"/>
        </w:rPr>
        <w:t>（风量</w:t>
      </w:r>
      <w:r>
        <w:rPr>
          <w:rFonts w:hint="eastAsia" w:ascii="Times New Roman" w:hAnsi="Times New Roman" w:eastAsia="宋体" w:cs="Times New Roman"/>
          <w:color w:val="auto"/>
          <w:szCs w:val="28"/>
          <w:highlight w:val="none"/>
          <w:u w:val="none" w:color="auto"/>
          <w:lang w:val="en-US" w:eastAsia="zh-CN"/>
        </w:rPr>
        <w:t>48</w:t>
      </w:r>
      <w:r>
        <w:rPr>
          <w:rFonts w:hint="default" w:ascii="Times New Roman" w:hAnsi="Times New Roman" w:cs="Times New Roman"/>
          <w:color w:val="auto"/>
          <w:szCs w:val="28"/>
          <w:highlight w:val="none"/>
          <w:u w:val="none" w:color="auto"/>
        </w:rPr>
        <w:t>000m</w:t>
      </w:r>
      <w:r>
        <w:rPr>
          <w:rFonts w:hint="default" w:ascii="Times New Roman" w:hAnsi="Times New Roman" w:cs="Times New Roman"/>
          <w:color w:val="auto"/>
          <w:szCs w:val="28"/>
          <w:highlight w:val="none"/>
          <w:u w:val="none" w:color="auto"/>
          <w:vertAlign w:val="superscript"/>
        </w:rPr>
        <w:t>3</w:t>
      </w:r>
      <w:r>
        <w:rPr>
          <w:rFonts w:hint="default" w:ascii="Times New Roman" w:hAnsi="Times New Roman" w:cs="Times New Roman"/>
          <w:color w:val="auto"/>
          <w:szCs w:val="28"/>
          <w:highlight w:val="none"/>
          <w:u w:val="none" w:color="auto"/>
        </w:rPr>
        <w:t>/h）</w:t>
      </w:r>
      <w:r>
        <w:rPr>
          <w:rFonts w:hint="default" w:ascii="Times New Roman" w:hAnsi="Times New Roman" w:cs="Times New Roman"/>
          <w:color w:val="auto"/>
          <w:szCs w:val="28"/>
          <w:u w:val="none" w:color="auto"/>
        </w:rPr>
        <w:t>，满足</w:t>
      </w:r>
      <w:r>
        <w:rPr>
          <w:rFonts w:hint="eastAsia" w:ascii="Times New Roman" w:hAnsi="Times New Roman" w:eastAsia="宋体" w:cs="Times New Roman"/>
          <w:color w:val="auto"/>
          <w:szCs w:val="28"/>
          <w:u w:val="none" w:color="auto"/>
          <w:lang w:eastAsia="zh-CN"/>
        </w:rPr>
        <w:t>《印刷工业大气污染物排放标准》（GB41616-2022）</w:t>
      </w:r>
      <w:r>
        <w:rPr>
          <w:rFonts w:hint="default" w:ascii="Times New Roman" w:hAnsi="Times New Roman" w:cs="Times New Roman"/>
          <w:color w:val="auto"/>
          <w:szCs w:val="28"/>
          <w:u w:val="none" w:color="auto"/>
        </w:rPr>
        <w:t>表1中挥发性有机物最高允许排放浓度限值</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0mg/m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（2）无组织有机废气</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①生产车间逸散废气</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本项目生产过程中，印刷、复合车间完全密闭</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不设</w:t>
      </w:r>
      <w:r>
        <w:rPr>
          <w:rFonts w:hint="default" w:ascii="Times New Roman" w:hAnsi="Times New Roman" w:cs="Times New Roman"/>
          <w:color w:val="auto"/>
          <w:szCs w:val="28"/>
          <w:u w:val="none" w:color="auto"/>
        </w:rPr>
        <w:t>窗，仅在人员进出情况下会造成少量VOCs从车间内逸散到厂房内（约为未被烘箱集气系统收集的有机废气的2%），之后由整个厂房外排至外环境。根据上文可知，逸散至密闭车间外的有机废气产生量为1.145t/a（0.1</w:t>
      </w:r>
      <w:r>
        <w:rPr>
          <w:rFonts w:hint="eastAsia" w:ascii="Times New Roman" w:hAnsi="Times New Roman" w:eastAsia="宋体" w:cs="Times New Roman"/>
          <w:color w:val="auto"/>
          <w:szCs w:val="28"/>
          <w:u w:val="none" w:color="auto"/>
          <w:lang w:val="en-US" w:eastAsia="zh-CN"/>
        </w:rPr>
        <w:t>59</w:t>
      </w:r>
      <w:r>
        <w:rPr>
          <w:rFonts w:hint="default" w:ascii="Times New Roman" w:hAnsi="Times New Roman" w:cs="Times New Roman"/>
          <w:color w:val="auto"/>
          <w:szCs w:val="28"/>
          <w:u w:val="none" w:color="auto"/>
        </w:rPr>
        <w:t>kg/h），逸散出的少量的无组织VOCs由厂房直接外排至外环境中。</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②有机物料储存库有机废气</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本项目含VOCs的原材料以及危险废物储存于专门的储存库内。</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原材料包装均处于全封闭状态，仅胶水溶剂以及油墨溶剂在打开瞬间会产生极少量的挥发性有机气体，产生量很小；建设单位目前在生产厂房的东南侧设置了一处危废暂存库（占地面积约为50m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废胶水桶、废油墨桶等可暂存在该危废暂存间，储存过程将废胶水桶、废油墨桶加盖密封，正常状况下桶内残余物料不会泄露挥发；含胶水、油墨废抹布网布、含油废抹布放置在密封桶中储存，正常状况下废气产生量较小。因此，建设单位在做好固体废物暂存管理，按时委托原生产商及时清运处理的条件下，危废暂存间产生的有机废气很少，本次环评不进行定量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本项目有机废气产生</w:t>
      </w:r>
      <w:r>
        <w:rPr>
          <w:rFonts w:hint="eastAsia" w:ascii="Times New Roman" w:hAnsi="Times New Roman" w:eastAsia="宋体" w:cs="Times New Roman"/>
          <w:color w:val="auto"/>
          <w:szCs w:val="28"/>
          <w:u w:val="none" w:color="auto"/>
          <w:lang w:val="en-US" w:eastAsia="zh-CN"/>
        </w:rPr>
        <w:t>及排放量</w:t>
      </w:r>
      <w:r>
        <w:rPr>
          <w:rFonts w:hint="default" w:ascii="Times New Roman" w:hAnsi="Times New Roman" w:cs="Times New Roman"/>
          <w:color w:val="auto"/>
          <w:szCs w:val="28"/>
          <w:u w:val="none" w:color="auto"/>
        </w:rPr>
        <w:t>详见下表</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.2-1。</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本项目有机废气产生及排放量一览表</w:t>
      </w:r>
    </w:p>
    <w:p>
      <w:pPr>
        <w:spacing w:line="28" w:lineRule="exact"/>
        <w:rPr>
          <w:color w:val="auto"/>
        </w:rPr>
      </w:pPr>
    </w:p>
    <w:tbl>
      <w:tblPr>
        <w:tblStyle w:val="29"/>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82"/>
        <w:gridCol w:w="812"/>
        <w:gridCol w:w="357"/>
        <w:gridCol w:w="428"/>
        <w:gridCol w:w="535"/>
        <w:gridCol w:w="535"/>
        <w:gridCol w:w="468"/>
        <w:gridCol w:w="700"/>
        <w:gridCol w:w="607"/>
        <w:gridCol w:w="456"/>
        <w:gridCol w:w="549"/>
        <w:gridCol w:w="676"/>
        <w:gridCol w:w="806"/>
        <w:gridCol w:w="401"/>
        <w:gridCol w:w="61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序号</w:t>
            </w:r>
          </w:p>
        </w:tc>
        <w:tc>
          <w:tcPr>
            <w:tcW w:w="5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u w:val="none" w:color="auto"/>
              </w:rPr>
            </w:pPr>
            <w:r>
              <w:rPr>
                <w:rFonts w:hint="default" w:ascii="Times New Roman" w:hAnsi="Times New Roman" w:cs="Times New Roman"/>
                <w:color w:val="auto"/>
                <w:spacing w:val="7"/>
                <w:sz w:val="21"/>
                <w:szCs w:val="21"/>
                <w:u w:val="none" w:color="auto"/>
              </w:rPr>
              <w:t>挥发性物</w:t>
            </w:r>
            <w:r>
              <w:rPr>
                <w:rFonts w:hint="default" w:ascii="Times New Roman" w:hAnsi="Times New Roman" w:cs="Times New Roman"/>
                <w:color w:val="auto"/>
                <w:spacing w:val="6"/>
                <w:sz w:val="21"/>
                <w:szCs w:val="21"/>
                <w:u w:val="none" w:color="auto"/>
              </w:rPr>
              <w:t>料名称</w:t>
            </w:r>
          </w:p>
        </w:tc>
        <w:tc>
          <w:tcPr>
            <w:tcW w:w="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position w:val="3"/>
                <w:sz w:val="21"/>
                <w:szCs w:val="21"/>
                <w:u w:val="none" w:color="auto"/>
                <w:lang w:val="en-US" w:eastAsia="zh-CN"/>
              </w:rPr>
            </w:pPr>
            <w:r>
              <w:rPr>
                <w:rFonts w:hint="default" w:ascii="Times New Roman" w:hAnsi="Times New Roman" w:eastAsia="宋体" w:cs="Times New Roman"/>
                <w:color w:val="auto"/>
                <w:spacing w:val="1"/>
                <w:position w:val="3"/>
                <w:sz w:val="21"/>
                <w:szCs w:val="21"/>
                <w:u w:val="none" w:color="auto"/>
                <w:lang w:val="en-US" w:eastAsia="zh-CN"/>
              </w:rPr>
              <w:t>单位</w:t>
            </w:r>
          </w:p>
        </w:tc>
        <w:tc>
          <w:tcPr>
            <w:tcW w:w="28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6"/>
                <w:sz w:val="21"/>
                <w:szCs w:val="21"/>
                <w:u w:val="none" w:color="auto"/>
              </w:rPr>
              <w:t>年用量</w:t>
            </w:r>
          </w:p>
        </w:tc>
        <w:tc>
          <w:tcPr>
            <w:tcW w:w="326"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Calibri" w:cs="Times New Roman"/>
                <w:color w:val="auto"/>
                <w:sz w:val="21"/>
                <w:szCs w:val="21"/>
                <w:u w:val="none" w:color="auto"/>
              </w:rPr>
              <w:t>VOCs</w:t>
            </w:r>
            <w:r>
              <w:rPr>
                <w:rFonts w:hint="default" w:ascii="Times New Roman" w:hAnsi="Times New Roman" w:cs="Times New Roman"/>
                <w:color w:val="auto"/>
                <w:spacing w:val="15"/>
                <w:sz w:val="21"/>
                <w:szCs w:val="21"/>
                <w:u w:val="none" w:color="auto"/>
              </w:rPr>
              <w:t>含</w:t>
            </w:r>
            <w:r>
              <w:rPr>
                <w:rFonts w:hint="default" w:ascii="Times New Roman" w:hAnsi="Times New Roman" w:cs="Times New Roman"/>
                <w:color w:val="auto"/>
                <w:sz w:val="21"/>
                <w:szCs w:val="21"/>
                <w:u w:val="none" w:color="auto"/>
              </w:rPr>
              <w:t>量</w:t>
            </w:r>
          </w:p>
        </w:tc>
        <w:tc>
          <w:tcPr>
            <w:tcW w:w="336"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Calibri" w:cs="Times New Roman"/>
                <w:color w:val="auto"/>
                <w:sz w:val="21"/>
                <w:szCs w:val="21"/>
                <w:u w:val="none" w:color="auto"/>
              </w:rPr>
              <w:t>VOCs</w:t>
            </w:r>
            <w:r>
              <w:rPr>
                <w:rFonts w:hint="default" w:ascii="Times New Roman" w:hAnsi="Times New Roman" w:cs="Times New Roman"/>
                <w:color w:val="auto"/>
                <w:spacing w:val="15"/>
                <w:sz w:val="21"/>
                <w:szCs w:val="21"/>
                <w:u w:val="none" w:color="auto"/>
              </w:rPr>
              <w:t>产</w:t>
            </w:r>
            <w:r>
              <w:rPr>
                <w:rFonts w:hint="default" w:ascii="Times New Roman" w:hAnsi="Times New Roman" w:cs="Times New Roman"/>
                <w:color w:val="auto"/>
                <w:spacing w:val="3"/>
                <w:sz w:val="21"/>
                <w:szCs w:val="21"/>
                <w:u w:val="none" w:color="auto"/>
              </w:rPr>
              <w:t>生量</w:t>
            </w:r>
          </w:p>
        </w:tc>
        <w:tc>
          <w:tcPr>
            <w:tcW w:w="354"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7"/>
                <w:sz w:val="21"/>
                <w:szCs w:val="21"/>
                <w:u w:val="none" w:color="auto"/>
              </w:rPr>
              <w:t>烘箱集气</w:t>
            </w:r>
            <w:r>
              <w:rPr>
                <w:rFonts w:hint="default" w:ascii="Times New Roman" w:hAnsi="Times New Roman" w:cs="Times New Roman"/>
                <w:color w:val="auto"/>
                <w:spacing w:val="6"/>
                <w:sz w:val="21"/>
                <w:szCs w:val="21"/>
                <w:u w:val="none" w:color="auto"/>
              </w:rPr>
              <w:t>系统收集</w:t>
            </w:r>
            <w:r>
              <w:rPr>
                <w:rFonts w:hint="default" w:ascii="Times New Roman" w:hAnsi="Times New Roman" w:cs="Times New Roman"/>
                <w:color w:val="auto"/>
                <w:spacing w:val="2"/>
                <w:sz w:val="21"/>
                <w:szCs w:val="21"/>
                <w:u w:val="none" w:color="auto"/>
              </w:rPr>
              <w:t>效率</w:t>
            </w:r>
          </w:p>
        </w:tc>
        <w:tc>
          <w:tcPr>
            <w:tcW w:w="362"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7"/>
                <w:sz w:val="21"/>
                <w:szCs w:val="21"/>
                <w:u w:val="none" w:color="auto"/>
              </w:rPr>
              <w:t>烘箱集气</w:t>
            </w:r>
            <w:r>
              <w:rPr>
                <w:rFonts w:hint="default" w:ascii="Times New Roman" w:hAnsi="Times New Roman" w:cs="Times New Roman"/>
                <w:color w:val="auto"/>
                <w:spacing w:val="6"/>
                <w:sz w:val="21"/>
                <w:szCs w:val="21"/>
                <w:u w:val="none" w:color="auto"/>
              </w:rPr>
              <w:t>系统收集</w:t>
            </w:r>
            <w:r>
              <w:rPr>
                <w:rFonts w:hint="default" w:ascii="Times New Roman" w:hAnsi="Times New Roman" w:cs="Times New Roman"/>
                <w:color w:val="auto"/>
                <w:spacing w:val="15"/>
                <w:sz w:val="21"/>
                <w:szCs w:val="21"/>
                <w:u w:val="none" w:color="auto"/>
              </w:rPr>
              <w:t>的</w:t>
            </w:r>
            <w:r>
              <w:rPr>
                <w:rFonts w:hint="default" w:ascii="Times New Roman" w:hAnsi="Times New Roman" w:eastAsia="Calibri" w:cs="Times New Roman"/>
                <w:color w:val="auto"/>
                <w:spacing w:val="15"/>
                <w:sz w:val="21"/>
                <w:szCs w:val="21"/>
                <w:u w:val="none" w:color="auto"/>
              </w:rPr>
              <w:t>VOCs</w:t>
            </w:r>
          </w:p>
        </w:tc>
        <w:tc>
          <w:tcPr>
            <w:tcW w:w="396"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8"/>
                <w:sz w:val="21"/>
                <w:szCs w:val="21"/>
                <w:u w:val="none" w:color="auto"/>
              </w:rPr>
              <w:t>烘箱集气系</w:t>
            </w:r>
            <w:r>
              <w:rPr>
                <w:rFonts w:hint="default" w:ascii="Times New Roman" w:hAnsi="Times New Roman" w:cs="Times New Roman"/>
                <w:color w:val="auto"/>
                <w:spacing w:val="7"/>
                <w:sz w:val="21"/>
                <w:szCs w:val="21"/>
                <w:u w:val="none" w:color="auto"/>
              </w:rPr>
              <w:t>统未收集的</w:t>
            </w:r>
            <w:r>
              <w:rPr>
                <w:rFonts w:hint="default" w:ascii="Times New Roman" w:hAnsi="Times New Roman" w:eastAsia="Calibri" w:cs="Times New Roman"/>
                <w:color w:val="auto"/>
                <w:spacing w:val="3"/>
                <w:sz w:val="21"/>
                <w:szCs w:val="21"/>
                <w:u w:val="none" w:color="auto"/>
              </w:rPr>
              <w:t>VOCs</w:t>
            </w:r>
          </w:p>
        </w:tc>
        <w:tc>
          <w:tcPr>
            <w:tcW w:w="305"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cs="Times New Roman"/>
                <w:color w:val="auto"/>
                <w:szCs w:val="28"/>
                <w:u w:val="none" w:color="auto"/>
              </w:rPr>
              <w:t>负压收集系统</w:t>
            </w:r>
            <w:r>
              <w:rPr>
                <w:rFonts w:hint="default" w:ascii="Times New Roman" w:hAnsi="Times New Roman" w:cs="Times New Roman"/>
                <w:color w:val="auto"/>
                <w:spacing w:val="7"/>
                <w:sz w:val="21"/>
                <w:szCs w:val="21"/>
                <w:u w:val="none" w:color="auto"/>
              </w:rPr>
              <w:t>集气效率</w:t>
            </w:r>
          </w:p>
        </w:tc>
        <w:tc>
          <w:tcPr>
            <w:tcW w:w="36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7"/>
                <w:sz w:val="21"/>
                <w:szCs w:val="21"/>
                <w:u w:val="none" w:color="auto"/>
              </w:rPr>
              <w:t>车间</w:t>
            </w:r>
            <w:r>
              <w:rPr>
                <w:rFonts w:hint="default" w:ascii="Times New Roman" w:hAnsi="Times New Roman" w:cs="Times New Roman"/>
                <w:color w:val="auto"/>
                <w:szCs w:val="28"/>
                <w:u w:val="none" w:color="auto"/>
              </w:rPr>
              <w:t>负压系统</w:t>
            </w:r>
            <w:r>
              <w:rPr>
                <w:rFonts w:hint="default" w:ascii="Times New Roman" w:hAnsi="Times New Roman" w:cs="Times New Roman"/>
                <w:color w:val="auto"/>
                <w:spacing w:val="9"/>
                <w:sz w:val="21"/>
                <w:szCs w:val="21"/>
                <w:u w:val="none" w:color="auto"/>
              </w:rPr>
              <w:t>收集的</w:t>
            </w:r>
            <w:r>
              <w:rPr>
                <w:rFonts w:hint="default" w:ascii="Times New Roman" w:hAnsi="Times New Roman" w:eastAsia="Calibri" w:cs="Times New Roman"/>
                <w:color w:val="auto"/>
                <w:sz w:val="21"/>
                <w:szCs w:val="21"/>
                <w:u w:val="none" w:color="auto"/>
              </w:rPr>
              <w:t>VOCs</w:t>
            </w:r>
          </w:p>
        </w:tc>
        <w:tc>
          <w:tcPr>
            <w:tcW w:w="43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7"/>
                <w:sz w:val="21"/>
                <w:szCs w:val="21"/>
                <w:u w:val="none" w:color="auto"/>
              </w:rPr>
              <w:t>车间未收集的</w:t>
            </w:r>
            <w:r>
              <w:rPr>
                <w:rFonts w:hint="default" w:ascii="Times New Roman" w:hAnsi="Times New Roman" w:cs="Times New Roman"/>
                <w:color w:val="auto"/>
                <w:spacing w:val="11"/>
                <w:sz w:val="21"/>
                <w:szCs w:val="21"/>
                <w:u w:val="none" w:color="auto"/>
              </w:rPr>
              <w:t>无组织</w:t>
            </w:r>
            <w:r>
              <w:rPr>
                <w:rFonts w:hint="default" w:ascii="Times New Roman" w:hAnsi="Times New Roman" w:eastAsia="Calibri" w:cs="Times New Roman"/>
                <w:color w:val="auto"/>
                <w:sz w:val="21"/>
                <w:szCs w:val="21"/>
                <w:u w:val="none" w:color="auto"/>
              </w:rPr>
              <w:t>VOCs</w:t>
            </w:r>
          </w:p>
        </w:tc>
        <w:tc>
          <w:tcPr>
            <w:tcW w:w="29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6"/>
                <w:sz w:val="21"/>
                <w:szCs w:val="21"/>
                <w:u w:val="none" w:color="auto"/>
              </w:rPr>
              <w:t>综合收集</w:t>
            </w:r>
            <w:r>
              <w:rPr>
                <w:rFonts w:hint="default" w:ascii="Times New Roman" w:hAnsi="Times New Roman" w:cs="Times New Roman"/>
                <w:color w:val="auto"/>
                <w:spacing w:val="-1"/>
                <w:sz w:val="21"/>
                <w:szCs w:val="21"/>
                <w:u w:val="none" w:color="auto"/>
              </w:rPr>
              <w:t>的</w:t>
            </w:r>
            <w:r>
              <w:rPr>
                <w:rFonts w:hint="default" w:ascii="Times New Roman" w:hAnsi="Times New Roman" w:eastAsia="Calibri" w:cs="Times New Roman"/>
                <w:color w:val="auto"/>
                <w:spacing w:val="-1"/>
                <w:sz w:val="21"/>
                <w:szCs w:val="21"/>
                <w:u w:val="none" w:color="auto"/>
              </w:rPr>
              <w:t>VOCs</w:t>
            </w:r>
          </w:p>
        </w:tc>
        <w:tc>
          <w:tcPr>
            <w:tcW w:w="223"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5"/>
                <w:sz w:val="21"/>
                <w:szCs w:val="21"/>
                <w:u w:val="none" w:color="auto"/>
              </w:rPr>
              <w:t>处理效</w:t>
            </w:r>
            <w:r>
              <w:rPr>
                <w:rFonts w:hint="default" w:ascii="Times New Roman" w:hAnsi="Times New Roman" w:cs="Times New Roman"/>
                <w:color w:val="auto"/>
                <w:sz w:val="21"/>
                <w:szCs w:val="21"/>
                <w:u w:val="none" w:color="auto"/>
              </w:rPr>
              <w:t>率</w:t>
            </w:r>
          </w:p>
        </w:tc>
        <w:tc>
          <w:tcPr>
            <w:tcW w:w="282"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cs="Times New Roman"/>
                <w:color w:val="auto"/>
                <w:spacing w:val="7"/>
                <w:sz w:val="21"/>
                <w:szCs w:val="21"/>
                <w:u w:val="none" w:color="auto"/>
              </w:rPr>
              <w:t>有组织排</w:t>
            </w:r>
            <w:r>
              <w:rPr>
                <w:rFonts w:hint="default" w:ascii="Times New Roman" w:hAnsi="Times New Roman" w:cs="Times New Roman"/>
                <w:color w:val="auto"/>
                <w:spacing w:val="12"/>
                <w:sz w:val="21"/>
                <w:szCs w:val="21"/>
                <w:u w:val="none" w:color="auto"/>
              </w:rPr>
              <w:t>放的</w:t>
            </w:r>
            <w:r>
              <w:rPr>
                <w:rFonts w:hint="default" w:ascii="Times New Roman" w:hAnsi="Times New Roman" w:eastAsia="Calibri" w:cs="Times New Roman"/>
                <w:color w:val="auto"/>
                <w:sz w:val="21"/>
                <w:szCs w:val="21"/>
                <w:u w:val="none" w:color="auto"/>
              </w:rPr>
              <w:t>VOCs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1</w:t>
            </w:r>
          </w:p>
        </w:tc>
        <w:tc>
          <w:tcPr>
            <w:tcW w:w="5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7"/>
                <w:sz w:val="21"/>
                <w:szCs w:val="21"/>
                <w:u w:val="none" w:color="auto"/>
              </w:rPr>
              <w:t>环保型聚氨酯型复</w:t>
            </w:r>
            <w:r>
              <w:rPr>
                <w:rFonts w:hint="default" w:ascii="Times New Roman" w:hAnsi="Times New Roman" w:cs="Times New Roman"/>
                <w:color w:val="auto"/>
                <w:spacing w:val="6"/>
                <w:sz w:val="21"/>
                <w:szCs w:val="21"/>
                <w:u w:val="none" w:color="auto"/>
              </w:rPr>
              <w:t>合油墨</w:t>
            </w:r>
          </w:p>
        </w:tc>
        <w:tc>
          <w:tcPr>
            <w:tcW w:w="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position w:val="3"/>
                <w:sz w:val="21"/>
                <w:szCs w:val="21"/>
                <w:u w:val="none" w:color="auto"/>
              </w:rPr>
              <w:t>t/a</w:t>
            </w:r>
          </w:p>
        </w:tc>
        <w:tc>
          <w:tcPr>
            <w:tcW w:w="2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500</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60%</w:t>
            </w:r>
          </w:p>
        </w:tc>
        <w:tc>
          <w:tcPr>
            <w:tcW w:w="33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300</w:t>
            </w:r>
          </w:p>
        </w:tc>
        <w:tc>
          <w:tcPr>
            <w:tcW w:w="354"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95%</w:t>
            </w:r>
          </w:p>
        </w:tc>
        <w:tc>
          <w:tcPr>
            <w:tcW w:w="362"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1087.75</w:t>
            </w:r>
          </w:p>
        </w:tc>
        <w:tc>
          <w:tcPr>
            <w:tcW w:w="396"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57.25</w:t>
            </w:r>
          </w:p>
        </w:tc>
        <w:tc>
          <w:tcPr>
            <w:tcW w:w="305"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98%</w:t>
            </w:r>
          </w:p>
        </w:tc>
        <w:tc>
          <w:tcPr>
            <w:tcW w:w="361"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u w:val="none" w:color="auto"/>
                <w:lang w:eastAsia="zh-CN"/>
              </w:rPr>
            </w:pPr>
            <w:r>
              <w:rPr>
                <w:rFonts w:hint="default" w:ascii="Times New Roman" w:hAnsi="Times New Roman" w:eastAsia="Calibri" w:cs="Times New Roman"/>
                <w:color w:val="auto"/>
                <w:spacing w:val="2"/>
                <w:sz w:val="21"/>
                <w:szCs w:val="21"/>
                <w:u w:val="none" w:color="auto"/>
              </w:rPr>
              <w:t>56.1</w:t>
            </w:r>
            <w:r>
              <w:rPr>
                <w:rFonts w:hint="eastAsia" w:ascii="Times New Roman" w:hAnsi="Times New Roman" w:eastAsia="宋体" w:cs="Times New Roman"/>
                <w:color w:val="auto"/>
                <w:spacing w:val="2"/>
                <w:sz w:val="21"/>
                <w:szCs w:val="21"/>
                <w:u w:val="none" w:color="auto"/>
                <w:lang w:val="en-US" w:eastAsia="zh-CN"/>
              </w:rPr>
              <w:t>1</w:t>
            </w:r>
          </w:p>
        </w:tc>
        <w:tc>
          <w:tcPr>
            <w:tcW w:w="437"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1.14</w:t>
            </w:r>
          </w:p>
        </w:tc>
        <w:tc>
          <w:tcPr>
            <w:tcW w:w="297"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Calibri" w:cs="Times New Roman"/>
                <w:color w:val="auto"/>
                <w:spacing w:val="1"/>
                <w:sz w:val="21"/>
                <w:szCs w:val="21"/>
                <w:u w:val="none" w:color="auto"/>
              </w:rPr>
              <w:t>1143</w:t>
            </w:r>
            <w:r>
              <w:rPr>
                <w:rFonts w:hint="eastAsia" w:ascii="Times New Roman" w:hAnsi="Times New Roman" w:eastAsia="宋体" w:cs="Times New Roman"/>
                <w:color w:val="auto"/>
                <w:spacing w:val="1"/>
                <w:sz w:val="21"/>
                <w:szCs w:val="21"/>
                <w:u w:val="none" w:color="auto"/>
                <w:lang w:val="en-US" w:eastAsia="zh-CN"/>
              </w:rPr>
              <w:t>.855</w:t>
            </w:r>
          </w:p>
        </w:tc>
        <w:tc>
          <w:tcPr>
            <w:tcW w:w="223"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98%</w:t>
            </w:r>
          </w:p>
        </w:tc>
        <w:tc>
          <w:tcPr>
            <w:tcW w:w="282"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22.877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2</w:t>
            </w:r>
          </w:p>
        </w:tc>
        <w:tc>
          <w:tcPr>
            <w:tcW w:w="5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正丙酯</w:t>
            </w:r>
          </w:p>
        </w:tc>
        <w:tc>
          <w:tcPr>
            <w:tcW w:w="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position w:val="3"/>
                <w:sz w:val="21"/>
                <w:szCs w:val="21"/>
                <w:u w:val="none" w:color="auto"/>
              </w:rPr>
              <w:t>t/a</w:t>
            </w:r>
          </w:p>
        </w:tc>
        <w:tc>
          <w:tcPr>
            <w:tcW w:w="2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370</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100%</w:t>
            </w:r>
          </w:p>
        </w:tc>
        <w:tc>
          <w:tcPr>
            <w:tcW w:w="33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370</w:t>
            </w:r>
          </w:p>
        </w:tc>
        <w:tc>
          <w:tcPr>
            <w:tcW w:w="35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0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43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9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2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8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3</w:t>
            </w:r>
          </w:p>
        </w:tc>
        <w:tc>
          <w:tcPr>
            <w:tcW w:w="5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异丙醇</w:t>
            </w:r>
          </w:p>
        </w:tc>
        <w:tc>
          <w:tcPr>
            <w:tcW w:w="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position w:val="3"/>
                <w:sz w:val="21"/>
                <w:szCs w:val="21"/>
                <w:u w:val="none" w:color="auto"/>
              </w:rPr>
              <w:t>t/a</w:t>
            </w:r>
          </w:p>
        </w:tc>
        <w:tc>
          <w:tcPr>
            <w:tcW w:w="2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30</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100%</w:t>
            </w:r>
          </w:p>
        </w:tc>
        <w:tc>
          <w:tcPr>
            <w:tcW w:w="33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30</w:t>
            </w:r>
          </w:p>
        </w:tc>
        <w:tc>
          <w:tcPr>
            <w:tcW w:w="35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0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43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9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2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8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4</w:t>
            </w:r>
          </w:p>
        </w:tc>
        <w:tc>
          <w:tcPr>
            <w:tcW w:w="5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2"/>
                <w:sz w:val="21"/>
                <w:szCs w:val="21"/>
                <w:u w:val="none" w:color="auto"/>
              </w:rPr>
              <w:t>乙酸乙酯</w:t>
            </w:r>
          </w:p>
        </w:tc>
        <w:tc>
          <w:tcPr>
            <w:tcW w:w="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position w:val="3"/>
                <w:sz w:val="21"/>
                <w:szCs w:val="21"/>
                <w:u w:val="none" w:color="auto"/>
              </w:rPr>
              <w:t>t/a</w:t>
            </w:r>
          </w:p>
        </w:tc>
        <w:tc>
          <w:tcPr>
            <w:tcW w:w="2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400</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100%</w:t>
            </w:r>
          </w:p>
        </w:tc>
        <w:tc>
          <w:tcPr>
            <w:tcW w:w="33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400</w:t>
            </w:r>
          </w:p>
        </w:tc>
        <w:tc>
          <w:tcPr>
            <w:tcW w:w="35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0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43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9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2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8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5</w:t>
            </w:r>
          </w:p>
        </w:tc>
        <w:tc>
          <w:tcPr>
            <w:tcW w:w="5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聚氨酯胶</w:t>
            </w:r>
            <w:r>
              <w:rPr>
                <w:rFonts w:hint="default" w:ascii="Times New Roman" w:hAnsi="Times New Roman" w:cs="Times New Roman"/>
                <w:color w:val="auto"/>
                <w:sz w:val="21"/>
                <w:szCs w:val="21"/>
                <w:u w:val="none" w:color="auto"/>
              </w:rPr>
              <w:t>水</w:t>
            </w:r>
          </w:p>
        </w:tc>
        <w:tc>
          <w:tcPr>
            <w:tcW w:w="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position w:val="3"/>
                <w:sz w:val="21"/>
                <w:szCs w:val="21"/>
                <w:u w:val="none" w:color="auto"/>
              </w:rPr>
              <w:t>t/a</w:t>
            </w:r>
          </w:p>
        </w:tc>
        <w:tc>
          <w:tcPr>
            <w:tcW w:w="2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2"/>
                <w:sz w:val="21"/>
                <w:szCs w:val="21"/>
                <w:u w:val="none" w:color="auto"/>
              </w:rPr>
              <w:t>150</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30%</w:t>
            </w:r>
          </w:p>
        </w:tc>
        <w:tc>
          <w:tcPr>
            <w:tcW w:w="33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45</w:t>
            </w:r>
          </w:p>
        </w:tc>
        <w:tc>
          <w:tcPr>
            <w:tcW w:w="35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0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43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9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2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8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6</w:t>
            </w:r>
          </w:p>
        </w:tc>
        <w:tc>
          <w:tcPr>
            <w:tcW w:w="51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3"/>
                <w:position w:val="3"/>
                <w:sz w:val="21"/>
                <w:szCs w:val="21"/>
                <w:u w:val="none" w:color="auto"/>
              </w:rPr>
              <w:t>/</w:t>
            </w:r>
          </w:p>
        </w:tc>
        <w:tc>
          <w:tcPr>
            <w:tcW w:w="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position w:val="3"/>
                <w:sz w:val="21"/>
                <w:szCs w:val="21"/>
                <w:u w:val="none" w:color="auto"/>
              </w:rPr>
              <w:t>t/a</w:t>
            </w:r>
          </w:p>
        </w:tc>
        <w:tc>
          <w:tcPr>
            <w:tcW w:w="61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4"/>
                <w:sz w:val="21"/>
                <w:szCs w:val="21"/>
                <w:u w:val="none" w:color="auto"/>
              </w:rPr>
              <w:t>合计</w:t>
            </w:r>
          </w:p>
        </w:tc>
        <w:tc>
          <w:tcPr>
            <w:tcW w:w="33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1145</w:t>
            </w:r>
          </w:p>
        </w:tc>
        <w:tc>
          <w:tcPr>
            <w:tcW w:w="35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0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36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43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9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2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28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本项目实施后挥发性有机物物料衡算详见下图</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.2</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w:t>
      </w:r>
    </w:p>
    <w:p>
      <w:pPr>
        <w:spacing w:line="50" w:lineRule="auto"/>
        <w:rPr>
          <w:rFonts w:ascii="Arial"/>
          <w:color w:val="auto"/>
          <w:sz w:val="2"/>
        </w:rPr>
      </w:pP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object>
          <v:shape id="_x0000_i1027" o:spt="75" type="#_x0000_t75" style="height:369.2pt;width:375pt;" o:ole="t" filled="f" o:preferrelative="t" stroked="f" coordsize="21600,21600">
            <v:path/>
            <v:fill on="f" focussize="0,0"/>
            <v:stroke on="f"/>
            <v:imagedata r:id="rId22" o:title=""/>
            <o:lock v:ext="edit" aspectratio="f"/>
            <w10:wrap type="none"/>
            <w10:anchorlock/>
          </v:shape>
          <o:OLEObject Type="Embed" ProgID="Visio.Drawing.11" ShapeID="_x0000_i1027" DrawAspect="Content" ObjectID="_1468075727" r:id="rId21">
            <o:LockedField>false</o:LockedField>
          </o:OLEObject>
        </w:objec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项目挥发性有机物物料平衡图</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单位t/a</w:t>
      </w:r>
      <w:r>
        <w:rPr>
          <w:rFonts w:hint="eastAsia" w:ascii="Times New Roman" w:hAnsi="Times New Roman" w:eastAsia="宋体" w:cs="Times New Roman"/>
          <w:b/>
          <w:bCs/>
          <w:color w:val="auto"/>
          <w:spacing w:val="5"/>
          <w:sz w:val="24"/>
          <w:szCs w:val="24"/>
          <w:lang w:eastAsia="zh-CN"/>
        </w:rPr>
        <w:t>）</w:t>
      </w:r>
    </w:p>
    <w:p>
      <w:pPr>
        <w:pStyle w:val="31"/>
        <w:keepNext/>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（3）天然气助燃产生的废气</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本项目有机废气采用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RTO蓄热式焚烧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的方式处理，整个系统采用电能以及天然气（助燃气）作为能源，天然气在燃烧过程中会产生一定量的SO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、NOx。根据建设单位提供的废气处理技术方案，项目采用焚烧炉处理有机废气，焚烧炉使用</w:t>
      </w:r>
      <w:r>
        <w:rPr>
          <w:rFonts w:hint="eastAsia" w:ascii="Times New Roman" w:hAnsi="Times New Roman" w:eastAsia="宋体" w:cs="Times New Roman"/>
          <w:color w:val="auto"/>
          <w:szCs w:val="28"/>
          <w:u w:val="none" w:color="auto"/>
          <w:lang w:val="en-US" w:eastAsia="zh-CN"/>
        </w:rPr>
        <w:t>液化</w:t>
      </w:r>
      <w:r>
        <w:rPr>
          <w:rFonts w:hint="default" w:ascii="Times New Roman" w:hAnsi="Times New Roman" w:cs="Times New Roman"/>
          <w:color w:val="auto"/>
          <w:szCs w:val="28"/>
          <w:u w:val="none" w:color="auto"/>
        </w:rPr>
        <w:t>天然气作为助燃气，根据本项目产排气情况及RTO运行条件，本项目助燃气体天然气年最大用量为</w:t>
      </w:r>
      <w:r>
        <w:rPr>
          <w:rFonts w:hint="eastAsia" w:ascii="Times New Roman" w:hAnsi="Times New Roman" w:eastAsia="宋体" w:cs="Times New Roman"/>
          <w:color w:val="auto"/>
          <w:szCs w:val="28"/>
          <w:u w:val="none" w:color="auto"/>
          <w:lang w:val="en-US" w:eastAsia="zh-CN"/>
        </w:rPr>
        <w:t>9</w:t>
      </w:r>
      <w:r>
        <w:rPr>
          <w:rFonts w:hint="default" w:ascii="Times New Roman" w:hAnsi="Times New Roman" w:cs="Times New Roman"/>
          <w:color w:val="auto"/>
          <w:szCs w:val="28"/>
          <w:u w:val="none" w:color="auto"/>
        </w:rPr>
        <w:t>万m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。根据《环境保护实用数据手册》中表2-63可知，燃烧每万立方米天然气所产生的SO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、NOx量分别为1.0kg、6.3kg，计算得出本项目RTO系统天然气燃烧产生的SO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、NOx量分别为0.0</w:t>
      </w:r>
      <w:r>
        <w:rPr>
          <w:rFonts w:hint="eastAsia" w:ascii="Times New Roman" w:hAnsi="Times New Roman" w:eastAsia="宋体" w:cs="Times New Roman"/>
          <w:color w:val="auto"/>
          <w:szCs w:val="28"/>
          <w:u w:val="none" w:color="auto"/>
          <w:lang w:val="en-US" w:eastAsia="zh-CN"/>
        </w:rPr>
        <w:t>09</w:t>
      </w:r>
      <w:r>
        <w:rPr>
          <w:rFonts w:hint="default" w:ascii="Times New Roman" w:hAnsi="Times New Roman" w:cs="Times New Roman"/>
          <w:color w:val="auto"/>
          <w:szCs w:val="28"/>
          <w:u w:val="none" w:color="auto"/>
        </w:rPr>
        <w:t>t/a、0.</w:t>
      </w:r>
      <w:r>
        <w:rPr>
          <w:rFonts w:hint="eastAsia" w:ascii="Times New Roman" w:hAnsi="Times New Roman" w:eastAsia="宋体" w:cs="Times New Roman"/>
          <w:color w:val="auto"/>
          <w:szCs w:val="28"/>
          <w:u w:val="none" w:color="auto"/>
          <w:lang w:val="en-US" w:eastAsia="zh-CN"/>
        </w:rPr>
        <w:t>0567</w:t>
      </w:r>
      <w:r>
        <w:rPr>
          <w:rFonts w:hint="default" w:ascii="Times New Roman" w:hAnsi="Times New Roman" w:cs="Times New Roman"/>
          <w:color w:val="auto"/>
          <w:szCs w:val="28"/>
          <w:u w:val="none" w:color="auto"/>
        </w:rPr>
        <w:t>t/a。根据前文可知，RTO净化装置燃烧废气与净化后的有机废气一同经风机引至RTO环保设施的15m高排气筒DA001进行排放，其废气排放量为引风机风量（</w:t>
      </w:r>
      <w:r>
        <w:rPr>
          <w:rFonts w:hint="eastAsia" w:ascii="Times New Roman" w:hAnsi="Times New Roman" w:eastAsia="宋体" w:cs="Times New Roman"/>
          <w:color w:val="auto"/>
          <w:szCs w:val="28"/>
          <w:u w:val="none" w:color="auto"/>
          <w:lang w:val="en-US" w:eastAsia="zh-CN"/>
        </w:rPr>
        <w:t>48000</w:t>
      </w:r>
      <w:r>
        <w:rPr>
          <w:rFonts w:hint="default" w:ascii="Times New Roman" w:hAnsi="Times New Roman" w:cs="Times New Roman"/>
          <w:color w:val="auto"/>
          <w:szCs w:val="28"/>
          <w:u w:val="none" w:color="auto"/>
        </w:rPr>
        <w:t>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/h）。则废气各污染因子产生情况如下：SO</w:t>
      </w:r>
      <w:r>
        <w:rPr>
          <w:rFonts w:hint="default" w:ascii="Times New Roman" w:hAnsi="Times New Roman" w:cs="Times New Roman"/>
          <w:color w:val="auto"/>
          <w:szCs w:val="28"/>
          <w:u w:val="none" w:color="auto"/>
          <w:vertAlign w:val="subscript"/>
        </w:rPr>
        <w:t>2</w:t>
      </w:r>
      <w:r>
        <w:rPr>
          <w:rFonts w:hint="eastAsia" w:ascii="Times New Roman" w:hAnsi="Times New Roman" w:eastAsia="宋体" w:cs="Times New Roman"/>
          <w:color w:val="auto"/>
          <w:szCs w:val="28"/>
          <w:u w:val="none" w:color="auto"/>
          <w:lang w:val="en-US" w:eastAsia="zh-CN"/>
        </w:rPr>
        <w:t>9</w:t>
      </w:r>
      <w:r>
        <w:rPr>
          <w:rFonts w:hint="default" w:ascii="Times New Roman" w:hAnsi="Times New Roman" w:cs="Times New Roman"/>
          <w:color w:val="auto"/>
          <w:szCs w:val="28"/>
          <w:u w:val="none" w:color="auto"/>
        </w:rPr>
        <w:t>kg/a（</w:t>
      </w:r>
      <w:r>
        <w:rPr>
          <w:rFonts w:hint="eastAsia" w:ascii="Times New Roman" w:hAnsi="Times New Roman" w:eastAsia="宋体" w:cs="Times New Roman"/>
          <w:color w:val="auto"/>
          <w:szCs w:val="28"/>
          <w:u w:val="none" w:color="auto"/>
          <w:lang w:val="en-US" w:eastAsia="zh-CN"/>
        </w:rPr>
        <w:t>0.00026</w:t>
      </w:r>
      <w:r>
        <w:rPr>
          <w:rFonts w:hint="default" w:ascii="Times New Roman" w:hAnsi="Times New Roman" w:cs="Times New Roman"/>
          <w:color w:val="auto"/>
          <w:szCs w:val="28"/>
          <w:u w:val="none" w:color="auto"/>
        </w:rPr>
        <w:t>mg/m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）、NOx</w:t>
      </w:r>
      <w:r>
        <w:rPr>
          <w:rFonts w:hint="eastAsia" w:ascii="Times New Roman" w:hAnsi="Times New Roman" w:eastAsia="宋体" w:cs="Times New Roman"/>
          <w:color w:val="auto"/>
          <w:szCs w:val="28"/>
          <w:u w:val="none" w:color="auto"/>
          <w:lang w:val="en-US" w:eastAsia="zh-CN"/>
        </w:rPr>
        <w:t>0.567</w:t>
      </w:r>
      <w:r>
        <w:rPr>
          <w:rFonts w:hint="default" w:ascii="Times New Roman" w:hAnsi="Times New Roman" w:cs="Times New Roman"/>
          <w:color w:val="auto"/>
          <w:szCs w:val="28"/>
          <w:u w:val="none" w:color="auto"/>
        </w:rPr>
        <w:t>kg/a（</w:t>
      </w:r>
      <w:r>
        <w:rPr>
          <w:rFonts w:hint="eastAsia" w:ascii="Times New Roman" w:hAnsi="Times New Roman" w:eastAsia="宋体" w:cs="Times New Roman"/>
          <w:color w:val="auto"/>
          <w:szCs w:val="28"/>
          <w:u w:val="none" w:color="auto"/>
          <w:lang w:val="en-US" w:eastAsia="zh-CN"/>
        </w:rPr>
        <w:t>0.000164</w:t>
      </w:r>
      <w:r>
        <w:rPr>
          <w:rFonts w:hint="default" w:ascii="Times New Roman" w:hAnsi="Times New Roman" w:cs="Times New Roman"/>
          <w:color w:val="auto"/>
          <w:szCs w:val="28"/>
          <w:u w:val="none" w:color="auto"/>
        </w:rPr>
        <w:t>mg/m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），天然气助燃产生废气中SO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、NOx可满足</w:t>
      </w:r>
      <w:r>
        <w:rPr>
          <w:rFonts w:hint="eastAsia" w:ascii="Times New Roman" w:hAnsi="Times New Roman" w:eastAsia="宋体" w:cs="Times New Roman"/>
          <w:color w:val="auto"/>
          <w:szCs w:val="28"/>
          <w:u w:val="none" w:color="auto"/>
          <w:lang w:eastAsia="zh-CN"/>
        </w:rPr>
        <w:t>《印刷工业大气污染物排放标准》（GB41616-2022）表2燃烧装置大气污染物排放限值（</w:t>
      </w:r>
      <w:r>
        <w:rPr>
          <w:rFonts w:hint="default" w:ascii="Times New Roman" w:hAnsi="Times New Roman" w:cs="Times New Roman"/>
          <w:color w:val="auto"/>
          <w:szCs w:val="28"/>
          <w:u w:val="none" w:color="auto"/>
        </w:rPr>
        <w:t>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200mg/m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、NOx200mg/m</w:t>
      </w:r>
      <w:r>
        <w:rPr>
          <w:rFonts w:hint="default" w:ascii="Times New Roman" w:hAnsi="Times New Roman" w:cs="Times New Roman"/>
          <w:color w:val="auto"/>
          <w:szCs w:val="28"/>
          <w:u w:val="none" w:color="auto"/>
          <w:vertAlign w:val="superscript"/>
        </w:rPr>
        <w:t>3</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本项目有组织废气产生及排放情况</w:t>
      </w:r>
    </w:p>
    <w:tbl>
      <w:tblPr>
        <w:tblStyle w:val="29"/>
        <w:tblW w:w="5021"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53"/>
        <w:gridCol w:w="552"/>
        <w:gridCol w:w="555"/>
        <w:gridCol w:w="725"/>
        <w:gridCol w:w="653"/>
        <w:gridCol w:w="607"/>
        <w:gridCol w:w="711"/>
        <w:gridCol w:w="242"/>
        <w:gridCol w:w="741"/>
        <w:gridCol w:w="700"/>
        <w:gridCol w:w="609"/>
        <w:gridCol w:w="620"/>
        <w:gridCol w:w="428"/>
        <w:gridCol w:w="382"/>
        <w:gridCol w:w="38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atLeast"/>
        </w:trPr>
        <w:tc>
          <w:tcPr>
            <w:tcW w:w="270"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污染源名</w:t>
            </w:r>
            <w:r>
              <w:rPr>
                <w:rFonts w:hint="default" w:ascii="Times New Roman" w:hAnsi="Times New Roman" w:cs="Times New Roman"/>
                <w:b/>
                <w:bCs/>
                <w:color w:val="auto"/>
                <w:spacing w:val="-1"/>
                <w:sz w:val="21"/>
                <w:szCs w:val="21"/>
              </w:rPr>
              <w:t>称</w:t>
            </w:r>
          </w:p>
        </w:tc>
        <w:tc>
          <w:tcPr>
            <w:tcW w:w="329"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5"/>
                <w:sz w:val="21"/>
                <w:szCs w:val="21"/>
              </w:rPr>
              <w:t>废气量</w:t>
            </w:r>
            <w:r>
              <w:rPr>
                <w:rFonts w:hint="default" w:ascii="Times New Roman" w:hAnsi="Times New Roman" w:eastAsia="Calibri" w:cs="Times New Roman"/>
                <w:b/>
                <w:bCs/>
                <w:color w:val="auto"/>
                <w:sz w:val="21"/>
                <w:szCs w:val="21"/>
              </w:rPr>
              <w:t>m</w:t>
            </w:r>
            <w:r>
              <w:rPr>
                <w:rFonts w:hint="eastAsia"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Calibri" w:cs="Times New Roman"/>
                <w:b/>
                <w:bCs/>
                <w:color w:val="auto"/>
                <w:sz w:val="21"/>
                <w:szCs w:val="21"/>
              </w:rPr>
              <w:t>/h</w:t>
            </w:r>
          </w:p>
        </w:tc>
        <w:tc>
          <w:tcPr>
            <w:tcW w:w="331"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污染物</w:t>
            </w:r>
            <w:r>
              <w:rPr>
                <w:rFonts w:hint="default" w:ascii="Times New Roman" w:hAnsi="Times New Roman" w:cs="Times New Roman"/>
                <w:b/>
                <w:bCs/>
                <w:color w:val="auto"/>
                <w:spacing w:val="2"/>
                <w:sz w:val="21"/>
                <w:szCs w:val="21"/>
              </w:rPr>
              <w:t>名称</w:t>
            </w:r>
          </w:p>
        </w:tc>
        <w:tc>
          <w:tcPr>
            <w:tcW w:w="1186"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产生情况</w:t>
            </w:r>
          </w:p>
        </w:tc>
        <w:tc>
          <w:tcPr>
            <w:tcW w:w="425"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治理</w:t>
            </w:r>
            <w:r>
              <w:rPr>
                <w:rFonts w:hint="default" w:ascii="Times New Roman" w:hAnsi="Times New Roman" w:cs="Times New Roman"/>
                <w:b/>
                <w:bCs/>
                <w:color w:val="auto"/>
                <w:spacing w:val="3"/>
                <w:sz w:val="21"/>
                <w:szCs w:val="21"/>
              </w:rPr>
              <w:t>措施</w:t>
            </w:r>
          </w:p>
        </w:tc>
        <w:tc>
          <w:tcPr>
            <w:tcW w:w="144"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去除</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效率</w:t>
            </w:r>
          </w:p>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z w:val="21"/>
                <w:szCs w:val="21"/>
              </w:rPr>
              <w:t>%</w:t>
            </w:r>
          </w:p>
        </w:tc>
        <w:tc>
          <w:tcPr>
            <w:tcW w:w="122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排放状况</w:t>
            </w:r>
          </w:p>
        </w:tc>
        <w:tc>
          <w:tcPr>
            <w:tcW w:w="626"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执行标准</w:t>
            </w:r>
          </w:p>
        </w:tc>
        <w:tc>
          <w:tcPr>
            <w:tcW w:w="228"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排放源</w:t>
            </w:r>
            <w:r>
              <w:rPr>
                <w:rFonts w:hint="default" w:ascii="Times New Roman" w:hAnsi="Times New Roman" w:cs="Times New Roman"/>
                <w:b/>
                <w:bCs/>
                <w:color w:val="auto"/>
                <w:spacing w:val="1"/>
                <w:sz w:val="21"/>
                <w:szCs w:val="21"/>
              </w:rPr>
              <w:t>高度</w:t>
            </w:r>
          </w:p>
        </w:tc>
        <w:tc>
          <w:tcPr>
            <w:tcW w:w="230"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5"/>
                <w:sz w:val="21"/>
                <w:szCs w:val="21"/>
              </w:rPr>
              <w:t>排放时</w:t>
            </w:r>
            <w:r>
              <w:rPr>
                <w:rFonts w:hint="default" w:ascii="Times New Roman" w:hAnsi="Times New Roman" w:cs="Times New Roman"/>
                <w:b/>
                <w:bCs/>
                <w:color w:val="auto"/>
                <w:spacing w:val="-6"/>
                <w:sz w:val="21"/>
                <w:szCs w:val="21"/>
              </w:rPr>
              <w:t>间</w:t>
            </w:r>
            <w:r>
              <w:rPr>
                <w:rFonts w:hint="default" w:ascii="Times New Roman" w:hAnsi="Times New Roman" w:eastAsia="Calibri" w:cs="Times New Roman"/>
                <w:b/>
                <w:bCs/>
                <w:color w:val="auto"/>
                <w:spacing w:val="-6"/>
                <w:sz w:val="21"/>
                <w:szCs w:val="21"/>
              </w:rPr>
              <w:t>h/a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66" w:hRule="atLeast"/>
        </w:trPr>
        <w:tc>
          <w:tcPr>
            <w:tcW w:w="27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31"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sz w:val="21"/>
                <w:szCs w:val="21"/>
              </w:rPr>
              <w:t>浓度</w:t>
            </w:r>
            <w:r>
              <w:rPr>
                <w:rFonts w:hint="default" w:ascii="Times New Roman" w:hAnsi="Times New Roman" w:eastAsia="Calibri" w:cs="Times New Roman"/>
                <w:b/>
                <w:bCs/>
                <w:color w:val="auto"/>
                <w:sz w:val="21"/>
                <w:szCs w:val="21"/>
              </w:rPr>
              <w:t>mg</w:t>
            </w:r>
            <w:r>
              <w:rPr>
                <w:rFonts w:hint="default" w:ascii="Times New Roman" w:hAnsi="Times New Roman" w:eastAsia="Calibri" w:cs="Times New Roman"/>
                <w:b/>
                <w:bCs/>
                <w:color w:val="auto"/>
                <w:spacing w:val="7"/>
                <w:sz w:val="21"/>
                <w:szCs w:val="21"/>
              </w:rPr>
              <w:t>/m</w:t>
            </w:r>
            <w:r>
              <w:rPr>
                <w:rFonts w:hint="eastAsia" w:ascii="Times New Roman" w:hAnsi="Times New Roman" w:eastAsia="宋体" w:cs="Times New Roman"/>
                <w:b/>
                <w:bCs/>
                <w:color w:val="auto"/>
                <w:spacing w:val="7"/>
                <w:sz w:val="21"/>
                <w:szCs w:val="21"/>
                <w:vertAlign w:val="superscript"/>
                <w:lang w:val="en-US" w:eastAsia="zh-CN"/>
              </w:rPr>
              <w:t>3</w:t>
            </w:r>
          </w:p>
        </w:tc>
        <w:tc>
          <w:tcPr>
            <w:tcW w:w="39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4"/>
                <w:sz w:val="21"/>
                <w:szCs w:val="21"/>
              </w:rPr>
              <w:t>速率</w:t>
            </w:r>
            <w:r>
              <w:rPr>
                <w:rFonts w:hint="eastAsia" w:ascii="Times New Roman" w:hAnsi="Times New Roman" w:cs="Times New Roman"/>
                <w:b/>
                <w:bCs/>
                <w:color w:val="auto"/>
                <w:spacing w:val="4"/>
                <w:sz w:val="21"/>
                <w:szCs w:val="21"/>
                <w:lang w:eastAsia="zh-CN"/>
              </w:rPr>
              <w:t>kg</w:t>
            </w:r>
            <w:r>
              <w:rPr>
                <w:rFonts w:hint="default" w:ascii="Times New Roman" w:hAnsi="Times New Roman" w:eastAsia="Calibri" w:cs="Times New Roman"/>
                <w:b/>
                <w:bCs/>
                <w:color w:val="auto"/>
                <w:spacing w:val="3"/>
                <w:sz w:val="21"/>
                <w:szCs w:val="21"/>
              </w:rPr>
              <w:t>/h</w:t>
            </w:r>
          </w:p>
        </w:tc>
        <w:tc>
          <w:tcPr>
            <w:tcW w:w="362" w:type="pct"/>
            <w:tcBorders>
              <w:tl2br w:val="nil"/>
              <w:tr2bl w:val="nil"/>
            </w:tcBorders>
            <w:vAlign w:val="center"/>
          </w:tcPr>
          <w:p>
            <w:pPr>
              <w:pStyle w:val="30"/>
              <w:keepNext w:val="0"/>
              <w:keepLines w:val="0"/>
              <w:pageBreakBefore w:val="0"/>
              <w:widowControl/>
              <w:tabs>
                <w:tab w:val="left" w:pos="318"/>
              </w:tabs>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sz w:val="21"/>
                <w:szCs w:val="21"/>
              </w:rPr>
              <w:t>年产生量</w:t>
            </w:r>
            <w:r>
              <w:rPr>
                <w:rFonts w:hint="default" w:ascii="Times New Roman" w:hAnsi="Times New Roman" w:eastAsia="Calibri" w:cs="Times New Roman"/>
                <w:b/>
                <w:bCs/>
                <w:color w:val="auto"/>
                <w:spacing w:val="1"/>
                <w:sz w:val="21"/>
                <w:szCs w:val="21"/>
              </w:rPr>
              <w:t>t/a</w:t>
            </w:r>
          </w:p>
        </w:tc>
        <w:tc>
          <w:tcPr>
            <w:tcW w:w="42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4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42"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sz w:val="21"/>
                <w:szCs w:val="21"/>
              </w:rPr>
              <w:t>浓度</w:t>
            </w:r>
            <w:r>
              <w:rPr>
                <w:rFonts w:hint="default" w:ascii="Times New Roman" w:hAnsi="Times New Roman" w:eastAsia="Calibri" w:cs="Times New Roman"/>
                <w:b/>
                <w:bCs/>
                <w:color w:val="auto"/>
                <w:sz w:val="21"/>
                <w:szCs w:val="21"/>
              </w:rPr>
              <w:t>mg</w:t>
            </w:r>
            <w:r>
              <w:rPr>
                <w:rFonts w:hint="default" w:ascii="Times New Roman" w:hAnsi="Times New Roman" w:eastAsia="Calibri" w:cs="Times New Roman"/>
                <w:b/>
                <w:bCs/>
                <w:color w:val="auto"/>
                <w:spacing w:val="6"/>
                <w:sz w:val="21"/>
                <w:szCs w:val="21"/>
              </w:rPr>
              <w:t>/m</w:t>
            </w:r>
            <w:r>
              <w:rPr>
                <w:rFonts w:hint="eastAsia" w:ascii="Times New Roman" w:hAnsi="Times New Roman" w:eastAsia="宋体" w:cs="Times New Roman"/>
                <w:b/>
                <w:bCs/>
                <w:color w:val="auto"/>
                <w:spacing w:val="7"/>
                <w:sz w:val="21"/>
                <w:szCs w:val="21"/>
                <w:vertAlign w:val="superscript"/>
                <w:lang w:val="en-US" w:eastAsia="zh-CN"/>
              </w:rPr>
              <w:t>3</w:t>
            </w:r>
          </w:p>
        </w:tc>
        <w:tc>
          <w:tcPr>
            <w:tcW w:w="41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4"/>
                <w:sz w:val="21"/>
                <w:szCs w:val="21"/>
              </w:rPr>
              <w:t>速率</w:t>
            </w:r>
            <w:r>
              <w:rPr>
                <w:rFonts w:hint="eastAsia" w:ascii="Times New Roman" w:hAnsi="Times New Roman" w:cs="Times New Roman"/>
                <w:b/>
                <w:bCs/>
                <w:color w:val="auto"/>
                <w:spacing w:val="4"/>
                <w:sz w:val="21"/>
                <w:szCs w:val="21"/>
                <w:lang w:eastAsia="zh-CN"/>
              </w:rPr>
              <w:t>kg</w:t>
            </w:r>
            <w:r>
              <w:rPr>
                <w:rFonts w:hint="default" w:ascii="Times New Roman" w:hAnsi="Times New Roman" w:eastAsia="Calibri" w:cs="Times New Roman"/>
                <w:b/>
                <w:bCs/>
                <w:color w:val="auto"/>
                <w:spacing w:val="3"/>
                <w:sz w:val="21"/>
                <w:szCs w:val="21"/>
              </w:rPr>
              <w:t>/h</w:t>
            </w:r>
          </w:p>
        </w:tc>
        <w:tc>
          <w:tcPr>
            <w:tcW w:w="364"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5"/>
                <w:sz w:val="21"/>
                <w:szCs w:val="21"/>
              </w:rPr>
              <w:t>排放量</w:t>
            </w:r>
            <w:r>
              <w:rPr>
                <w:rFonts w:hint="default" w:ascii="Times New Roman" w:hAnsi="Times New Roman" w:eastAsia="Calibri" w:cs="Times New Roman"/>
                <w:b/>
                <w:bCs/>
                <w:color w:val="auto"/>
                <w:spacing w:val="1"/>
                <w:sz w:val="21"/>
                <w:szCs w:val="21"/>
              </w:rPr>
              <w:t>t/a</w:t>
            </w:r>
          </w:p>
        </w:tc>
        <w:tc>
          <w:tcPr>
            <w:tcW w:w="37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sz w:val="21"/>
                <w:szCs w:val="21"/>
              </w:rPr>
              <w:t>浓度</w:t>
            </w:r>
            <w:r>
              <w:rPr>
                <w:rFonts w:hint="default" w:ascii="Times New Roman" w:hAnsi="Times New Roman" w:eastAsia="Calibri" w:cs="Times New Roman"/>
                <w:b/>
                <w:bCs/>
                <w:color w:val="auto"/>
                <w:sz w:val="21"/>
                <w:szCs w:val="21"/>
              </w:rPr>
              <w:t>mg</w:t>
            </w:r>
            <w:r>
              <w:rPr>
                <w:rFonts w:hint="default" w:ascii="Times New Roman" w:hAnsi="Times New Roman" w:eastAsia="Calibri" w:cs="Times New Roman"/>
                <w:b/>
                <w:bCs/>
                <w:color w:val="auto"/>
                <w:spacing w:val="7"/>
                <w:sz w:val="21"/>
                <w:szCs w:val="21"/>
              </w:rPr>
              <w:t>/m</w:t>
            </w:r>
            <w:r>
              <w:rPr>
                <w:rFonts w:hint="eastAsia" w:ascii="Times New Roman" w:hAnsi="Times New Roman" w:eastAsia="宋体" w:cs="Times New Roman"/>
                <w:b/>
                <w:bCs/>
                <w:color w:val="auto"/>
                <w:spacing w:val="7"/>
                <w:sz w:val="21"/>
                <w:szCs w:val="21"/>
                <w:vertAlign w:val="superscript"/>
                <w:lang w:val="en-US" w:eastAsia="zh-CN"/>
              </w:rPr>
              <w:t>3</w:t>
            </w:r>
          </w:p>
        </w:tc>
        <w:tc>
          <w:tcPr>
            <w:tcW w:w="25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4"/>
                <w:sz w:val="21"/>
                <w:szCs w:val="21"/>
              </w:rPr>
              <w:t>速率</w:t>
            </w:r>
            <w:r>
              <w:rPr>
                <w:rFonts w:hint="eastAsia" w:ascii="Times New Roman" w:hAnsi="Times New Roman" w:cs="Times New Roman"/>
                <w:b/>
                <w:bCs/>
                <w:color w:val="auto"/>
                <w:spacing w:val="4"/>
                <w:sz w:val="21"/>
                <w:szCs w:val="21"/>
                <w:lang w:eastAsia="zh-CN"/>
              </w:rPr>
              <w:t>kg</w:t>
            </w:r>
            <w:r>
              <w:rPr>
                <w:rFonts w:hint="default" w:ascii="Times New Roman" w:hAnsi="Times New Roman" w:eastAsia="Calibri" w:cs="Times New Roman"/>
                <w:b/>
                <w:bCs/>
                <w:color w:val="auto"/>
                <w:spacing w:val="3"/>
                <w:sz w:val="21"/>
                <w:szCs w:val="21"/>
              </w:rPr>
              <w:t>/h</w:t>
            </w:r>
          </w:p>
        </w:tc>
        <w:tc>
          <w:tcPr>
            <w:tcW w:w="2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3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74" w:hRule="atLeast"/>
        </w:trPr>
        <w:tc>
          <w:tcPr>
            <w:tcW w:w="27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印刷、复</w:t>
            </w:r>
            <w:r>
              <w:rPr>
                <w:rFonts w:hint="default" w:ascii="Times New Roman" w:hAnsi="Times New Roman" w:cs="Times New Roman"/>
                <w:color w:val="auto"/>
                <w:spacing w:val="6"/>
                <w:sz w:val="21"/>
                <w:szCs w:val="21"/>
              </w:rPr>
              <w:t>合废气</w:t>
            </w:r>
          </w:p>
        </w:tc>
        <w:tc>
          <w:tcPr>
            <w:tcW w:w="329"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2"/>
                <w:sz w:val="21"/>
                <w:szCs w:val="21"/>
                <w:lang w:val="en-US" w:eastAsia="zh-CN"/>
              </w:rPr>
              <w:t>48</w:t>
            </w:r>
            <w:r>
              <w:rPr>
                <w:rFonts w:hint="default" w:ascii="Times New Roman" w:hAnsi="Times New Roman" w:eastAsia="Calibri" w:cs="Times New Roman"/>
                <w:color w:val="auto"/>
                <w:spacing w:val="2"/>
                <w:sz w:val="21"/>
                <w:szCs w:val="21"/>
              </w:rPr>
              <w:t>000</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433"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3313.083</w:t>
            </w:r>
          </w:p>
        </w:tc>
        <w:tc>
          <w:tcPr>
            <w:tcW w:w="39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pacing w:val="1"/>
                <w:sz w:val="21"/>
                <w:szCs w:val="21"/>
              </w:rPr>
              <w:t>1</w:t>
            </w:r>
            <w:r>
              <w:rPr>
                <w:rFonts w:hint="eastAsia" w:ascii="Times New Roman" w:hAnsi="Times New Roman" w:eastAsia="宋体" w:cs="Times New Roman"/>
                <w:color w:val="auto"/>
                <w:spacing w:val="1"/>
                <w:sz w:val="21"/>
                <w:szCs w:val="21"/>
                <w:lang w:val="en-US" w:eastAsia="zh-CN"/>
              </w:rPr>
              <w:t>59.028</w:t>
            </w:r>
          </w:p>
        </w:tc>
        <w:tc>
          <w:tcPr>
            <w:tcW w:w="362"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Calibri" w:cs="Times New Roman"/>
                <w:color w:val="auto"/>
                <w:spacing w:val="1"/>
                <w:sz w:val="21"/>
                <w:szCs w:val="21"/>
              </w:rPr>
              <w:t>114</w:t>
            </w:r>
            <w:r>
              <w:rPr>
                <w:rFonts w:hint="eastAsia" w:ascii="Times New Roman" w:hAnsi="Times New Roman" w:eastAsia="宋体" w:cs="Times New Roman"/>
                <w:color w:val="auto"/>
                <w:spacing w:val="1"/>
                <w:sz w:val="21"/>
                <w:szCs w:val="21"/>
                <w:lang w:val="en-US" w:eastAsia="zh-CN"/>
              </w:rPr>
              <w:t>5</w:t>
            </w:r>
          </w:p>
        </w:tc>
        <w:tc>
          <w:tcPr>
            <w:tcW w:w="425"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集气（重点区域密闭</w:t>
            </w:r>
            <w:r>
              <w:rPr>
                <w:rFonts w:hint="default" w:ascii="Times New Roman" w:hAnsi="Times New Roman" w:eastAsia="Calibri" w:cs="Times New Roman"/>
                <w:color w:val="auto"/>
                <w:spacing w:val="7"/>
                <w:sz w:val="21"/>
                <w:szCs w:val="21"/>
              </w:rPr>
              <w:t>+</w:t>
            </w:r>
            <w:r>
              <w:rPr>
                <w:rFonts w:hint="default" w:ascii="Times New Roman" w:hAnsi="Times New Roman" w:cs="Times New Roman"/>
                <w:color w:val="auto"/>
                <w:spacing w:val="7"/>
                <w:sz w:val="21"/>
                <w:szCs w:val="21"/>
              </w:rPr>
              <w:t>烘箱负压集气</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5"/>
                <w:sz w:val="21"/>
                <w:szCs w:val="21"/>
              </w:rPr>
              <w:t>+</w:t>
            </w:r>
            <w:r>
              <w:rPr>
                <w:rFonts w:hint="default" w:ascii="Times New Roman" w:hAnsi="Times New Roman" w:cs="Times New Roman"/>
                <w:color w:val="auto"/>
                <w:spacing w:val="-5"/>
                <w:sz w:val="21"/>
                <w:szCs w:val="21"/>
              </w:rPr>
              <w:t>三室</w:t>
            </w:r>
            <w:r>
              <w:rPr>
                <w:rFonts w:hint="default" w:ascii="Times New Roman" w:hAnsi="Times New Roman" w:eastAsia="Calibri" w:cs="Times New Roman"/>
                <w:color w:val="auto"/>
                <w:spacing w:val="-5"/>
                <w:sz w:val="21"/>
                <w:szCs w:val="21"/>
              </w:rPr>
              <w:t>RTO</w:t>
            </w:r>
            <w:r>
              <w:rPr>
                <w:rFonts w:hint="default" w:ascii="Times New Roman" w:hAnsi="Times New Roman" w:cs="Times New Roman"/>
                <w:color w:val="auto"/>
                <w:spacing w:val="5"/>
                <w:sz w:val="21"/>
                <w:szCs w:val="21"/>
              </w:rPr>
              <w:t>燃烧系统</w:t>
            </w:r>
            <w:r>
              <w:rPr>
                <w:rFonts w:hint="default" w:ascii="Times New Roman" w:hAnsi="Times New Roman" w:eastAsia="Calibri" w:cs="Times New Roman"/>
                <w:color w:val="auto"/>
                <w:spacing w:val="5"/>
                <w:sz w:val="21"/>
                <w:szCs w:val="21"/>
              </w:rPr>
              <w:t>+15m</w:t>
            </w:r>
            <w:r>
              <w:rPr>
                <w:rFonts w:hint="default" w:ascii="Times New Roman" w:hAnsi="Times New Roman" w:cs="Times New Roman"/>
                <w:color w:val="auto"/>
                <w:spacing w:val="5"/>
                <w:sz w:val="21"/>
                <w:szCs w:val="21"/>
              </w:rPr>
              <w:t>高排</w:t>
            </w:r>
            <w:r>
              <w:rPr>
                <w:rFonts w:hint="default" w:ascii="Times New Roman" w:hAnsi="Times New Roman" w:cs="Times New Roman"/>
                <w:color w:val="auto"/>
                <w:spacing w:val="4"/>
                <w:sz w:val="21"/>
                <w:szCs w:val="21"/>
              </w:rPr>
              <w:t>气筒</w:t>
            </w:r>
          </w:p>
        </w:tc>
        <w:tc>
          <w:tcPr>
            <w:tcW w:w="14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98</w:t>
            </w:r>
          </w:p>
        </w:tc>
        <w:tc>
          <w:tcPr>
            <w:tcW w:w="442"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2"/>
                <w:sz w:val="21"/>
                <w:szCs w:val="21"/>
                <w:lang w:val="en-US" w:eastAsia="zh-CN"/>
              </w:rPr>
              <w:t>66.188</w:t>
            </w:r>
          </w:p>
        </w:tc>
        <w:tc>
          <w:tcPr>
            <w:tcW w:w="41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3.177</w:t>
            </w:r>
          </w:p>
        </w:tc>
        <w:tc>
          <w:tcPr>
            <w:tcW w:w="36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22.877</w:t>
            </w:r>
          </w:p>
        </w:tc>
        <w:tc>
          <w:tcPr>
            <w:tcW w:w="37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2"/>
                <w:sz w:val="21"/>
                <w:szCs w:val="21"/>
                <w:lang w:val="en-US" w:eastAsia="zh-CN"/>
              </w:rPr>
              <w:t>7</w:t>
            </w:r>
            <w:r>
              <w:rPr>
                <w:rFonts w:hint="default" w:ascii="Times New Roman" w:hAnsi="Times New Roman" w:eastAsia="Calibri" w:cs="Times New Roman"/>
                <w:color w:val="auto"/>
                <w:spacing w:val="-2"/>
                <w:sz w:val="21"/>
                <w:szCs w:val="21"/>
              </w:rPr>
              <w:t>0</w:t>
            </w:r>
          </w:p>
        </w:tc>
        <w:tc>
          <w:tcPr>
            <w:tcW w:w="25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228"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15m</w:t>
            </w:r>
          </w:p>
        </w:tc>
        <w:tc>
          <w:tcPr>
            <w:tcW w:w="230"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7</w:t>
            </w:r>
            <w:r>
              <w:rPr>
                <w:rFonts w:hint="eastAsia" w:ascii="Times New Roman" w:hAnsi="Times New Roman" w:eastAsia="宋体" w:cs="Times New Roman"/>
                <w:color w:val="auto"/>
                <w:spacing w:val="2"/>
                <w:sz w:val="21"/>
                <w:szCs w:val="21"/>
                <w:lang w:val="en-US" w:eastAsia="zh-CN"/>
              </w:rPr>
              <w:t>2</w:t>
            </w:r>
            <w:r>
              <w:rPr>
                <w:rFonts w:hint="default" w:ascii="Times New Roman" w:hAnsi="Times New Roman" w:eastAsia="Calibri" w:cs="Times New Roman"/>
                <w:color w:val="auto"/>
                <w:spacing w:val="2"/>
                <w:sz w:val="21"/>
                <w:szCs w:val="21"/>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24" w:hRule="atLeast"/>
        </w:trPr>
        <w:tc>
          <w:tcPr>
            <w:tcW w:w="270"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天然气助燃废气</w:t>
            </w:r>
          </w:p>
        </w:tc>
        <w:tc>
          <w:tcPr>
            <w:tcW w:w="329" w:type="pct"/>
            <w:vMerge w:val="restar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lang w:val="en-US"/>
              </w:rPr>
            </w:pPr>
            <w:r>
              <w:rPr>
                <w:rFonts w:hint="eastAsia" w:ascii="Times New Roman" w:hAnsi="Times New Roman" w:eastAsia="宋体" w:cs="Times New Roman"/>
                <w:color w:val="auto"/>
                <w:spacing w:val="-1"/>
                <w:sz w:val="21"/>
                <w:szCs w:val="21"/>
                <w:lang w:val="en-US" w:eastAsia="zh-CN"/>
              </w:rPr>
              <w:t>48000</w:t>
            </w:r>
          </w:p>
        </w:tc>
        <w:tc>
          <w:tcPr>
            <w:tcW w:w="331"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7"/>
                <w:position w:val="-1"/>
                <w:sz w:val="21"/>
                <w:szCs w:val="21"/>
                <w:vertAlign w:val="subscript"/>
              </w:rPr>
              <w:t>2</w:t>
            </w:r>
          </w:p>
        </w:tc>
        <w:tc>
          <w:tcPr>
            <w:tcW w:w="433"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0.00026</w:t>
            </w:r>
          </w:p>
        </w:tc>
        <w:tc>
          <w:tcPr>
            <w:tcW w:w="390"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0.00125</w:t>
            </w:r>
          </w:p>
        </w:tc>
        <w:tc>
          <w:tcPr>
            <w:tcW w:w="362"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0.009</w:t>
            </w:r>
          </w:p>
        </w:tc>
        <w:tc>
          <w:tcPr>
            <w:tcW w:w="42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4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442"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0.00026</w:t>
            </w:r>
          </w:p>
        </w:tc>
        <w:tc>
          <w:tcPr>
            <w:tcW w:w="418"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0.00125</w:t>
            </w:r>
          </w:p>
        </w:tc>
        <w:tc>
          <w:tcPr>
            <w:tcW w:w="364"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0.009</w:t>
            </w:r>
          </w:p>
        </w:tc>
        <w:tc>
          <w:tcPr>
            <w:tcW w:w="370"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eastAsia="Calibri" w:cs="Times New Roman"/>
                <w:color w:val="auto"/>
                <w:sz w:val="21"/>
                <w:szCs w:val="21"/>
                <w:u w:val="none" w:color="auto"/>
              </w:rPr>
              <w:t>200</w:t>
            </w:r>
          </w:p>
        </w:tc>
        <w:tc>
          <w:tcPr>
            <w:tcW w:w="25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2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3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58" w:hRule="atLeast"/>
        </w:trPr>
        <w:tc>
          <w:tcPr>
            <w:tcW w:w="27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31"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1"/>
                <w:sz w:val="21"/>
                <w:szCs w:val="21"/>
              </w:rPr>
              <w:t>NOx</w:t>
            </w:r>
          </w:p>
        </w:tc>
        <w:tc>
          <w:tcPr>
            <w:tcW w:w="433"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0.000164</w:t>
            </w:r>
          </w:p>
        </w:tc>
        <w:tc>
          <w:tcPr>
            <w:tcW w:w="390"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0.00788</w:t>
            </w:r>
          </w:p>
        </w:tc>
        <w:tc>
          <w:tcPr>
            <w:tcW w:w="362"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0.0567</w:t>
            </w:r>
          </w:p>
        </w:tc>
        <w:tc>
          <w:tcPr>
            <w:tcW w:w="42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4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442"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0.000164</w:t>
            </w:r>
          </w:p>
        </w:tc>
        <w:tc>
          <w:tcPr>
            <w:tcW w:w="418"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0.00788</w:t>
            </w:r>
          </w:p>
        </w:tc>
        <w:tc>
          <w:tcPr>
            <w:tcW w:w="364"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0.0567</w:t>
            </w:r>
          </w:p>
        </w:tc>
        <w:tc>
          <w:tcPr>
            <w:tcW w:w="370"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default" w:ascii="Times New Roman" w:hAnsi="Times New Roman" w:eastAsia="Calibri" w:cs="Times New Roman"/>
                <w:color w:val="auto"/>
                <w:sz w:val="21"/>
                <w:szCs w:val="21"/>
                <w:u w:val="none" w:color="auto"/>
              </w:rPr>
              <w:t>200</w:t>
            </w:r>
          </w:p>
        </w:tc>
        <w:tc>
          <w:tcPr>
            <w:tcW w:w="256"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p>
        </w:tc>
        <w:tc>
          <w:tcPr>
            <w:tcW w:w="228"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3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本项目无组织废气排放情况表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341"/>
        <w:gridCol w:w="898"/>
        <w:gridCol w:w="1185"/>
        <w:gridCol w:w="1005"/>
        <w:gridCol w:w="1143"/>
        <w:gridCol w:w="275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污染源位置</w:t>
            </w:r>
          </w:p>
        </w:tc>
        <w:tc>
          <w:tcPr>
            <w:tcW w:w="5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污染物</w:t>
            </w:r>
          </w:p>
        </w:tc>
        <w:tc>
          <w:tcPr>
            <w:tcW w:w="71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面积（</w:t>
            </w:r>
            <w:r>
              <w:rPr>
                <w:rFonts w:hint="default" w:ascii="Times New Roman" w:hAnsi="Times New Roman" w:eastAsia="Calibri" w:cs="Times New Roman"/>
                <w:b/>
                <w:bCs/>
                <w:color w:val="auto"/>
                <w:spacing w:val="-4"/>
                <w:sz w:val="21"/>
                <w:szCs w:val="21"/>
              </w:rPr>
              <w:t>m</w:t>
            </w:r>
            <w:r>
              <w:rPr>
                <w:rFonts w:hint="eastAsia" w:ascii="Times New Roman" w:hAnsi="Times New Roman" w:eastAsia="宋体" w:cs="Times New Roman"/>
                <w:b/>
                <w:bCs/>
                <w:color w:val="auto"/>
                <w:spacing w:val="7"/>
                <w:sz w:val="21"/>
                <w:szCs w:val="21"/>
                <w:vertAlign w:val="superscript"/>
                <w:lang w:val="en-US" w:eastAsia="zh-CN"/>
              </w:rPr>
              <w:t>2</w:t>
            </w:r>
            <w:r>
              <w:rPr>
                <w:rFonts w:hint="default" w:ascii="Times New Roman" w:hAnsi="Times New Roman" w:cs="Times New Roman"/>
                <w:b/>
                <w:bCs/>
                <w:color w:val="auto"/>
                <w:spacing w:val="-4"/>
                <w:sz w:val="21"/>
                <w:szCs w:val="21"/>
              </w:rPr>
              <w:t>）</w:t>
            </w:r>
          </w:p>
        </w:tc>
        <w:tc>
          <w:tcPr>
            <w:tcW w:w="60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高度（</w:t>
            </w:r>
            <w:r>
              <w:rPr>
                <w:rFonts w:hint="default" w:ascii="Times New Roman" w:hAnsi="Times New Roman" w:eastAsia="Calibri" w:cs="Times New Roman"/>
                <w:b/>
                <w:bCs/>
                <w:color w:val="auto"/>
                <w:spacing w:val="-6"/>
                <w:sz w:val="21"/>
                <w:szCs w:val="21"/>
              </w:rPr>
              <w:t>m</w:t>
            </w:r>
            <w:r>
              <w:rPr>
                <w:rFonts w:hint="default" w:ascii="Times New Roman" w:hAnsi="Times New Roman" w:cs="Times New Roman"/>
                <w:b/>
                <w:bCs/>
                <w:color w:val="auto"/>
                <w:spacing w:val="-6"/>
                <w:sz w:val="21"/>
                <w:szCs w:val="21"/>
              </w:rPr>
              <w:t>）</w:t>
            </w:r>
          </w:p>
        </w:tc>
        <w:tc>
          <w:tcPr>
            <w:tcW w:w="6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3"/>
                <w:position w:val="2"/>
                <w:sz w:val="21"/>
                <w:szCs w:val="21"/>
              </w:rPr>
            </w:pPr>
            <w:r>
              <w:rPr>
                <w:rFonts w:hint="default" w:ascii="Times New Roman" w:hAnsi="Times New Roman" w:cs="Times New Roman"/>
                <w:b/>
                <w:bCs/>
                <w:color w:val="auto"/>
                <w:spacing w:val="3"/>
                <w:position w:val="2"/>
                <w:sz w:val="21"/>
                <w:szCs w:val="21"/>
              </w:rPr>
              <w:t>排放量</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position w:val="2"/>
                <w:sz w:val="21"/>
                <w:szCs w:val="21"/>
              </w:rPr>
              <w:t>（</w:t>
            </w:r>
            <w:r>
              <w:rPr>
                <w:rFonts w:hint="default" w:ascii="Times New Roman" w:hAnsi="Times New Roman" w:eastAsia="Calibri" w:cs="Times New Roman"/>
                <w:b/>
                <w:bCs/>
                <w:color w:val="auto"/>
                <w:spacing w:val="3"/>
                <w:position w:val="2"/>
                <w:sz w:val="21"/>
                <w:szCs w:val="21"/>
              </w:rPr>
              <w:t>t/a</w:t>
            </w:r>
            <w:r>
              <w:rPr>
                <w:rFonts w:hint="default" w:ascii="Times New Roman" w:hAnsi="Times New Roman" w:cs="Times New Roman"/>
                <w:b/>
                <w:bCs/>
                <w:color w:val="auto"/>
                <w:spacing w:val="3"/>
                <w:position w:val="2"/>
                <w:sz w:val="21"/>
                <w:szCs w:val="21"/>
              </w:rPr>
              <w:t>）</w:t>
            </w:r>
          </w:p>
        </w:tc>
        <w:tc>
          <w:tcPr>
            <w:tcW w:w="16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7"/>
                <w:sz w:val="21"/>
                <w:szCs w:val="21"/>
              </w:rPr>
            </w:pPr>
            <w:r>
              <w:rPr>
                <w:rFonts w:hint="default" w:ascii="Times New Roman" w:hAnsi="Times New Roman" w:cs="Times New Roman"/>
                <w:b/>
                <w:bCs/>
                <w:color w:val="auto"/>
                <w:spacing w:val="7"/>
                <w:sz w:val="21"/>
                <w:szCs w:val="21"/>
              </w:rPr>
              <w:t>无组织排放监控浓度限值</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position w:val="3"/>
                <w:sz w:val="21"/>
                <w:szCs w:val="21"/>
              </w:rPr>
              <w:t>（</w:t>
            </w:r>
            <w:r>
              <w:rPr>
                <w:rFonts w:hint="default" w:ascii="Times New Roman" w:hAnsi="Times New Roman" w:eastAsia="Calibri" w:cs="Times New Roman"/>
                <w:b/>
                <w:bCs/>
                <w:color w:val="auto"/>
                <w:position w:val="3"/>
                <w:sz w:val="21"/>
                <w:szCs w:val="21"/>
              </w:rPr>
              <w:t>mg</w:t>
            </w:r>
            <w:r>
              <w:rPr>
                <w:rFonts w:hint="default" w:ascii="Times New Roman" w:hAnsi="Times New Roman" w:eastAsia="Calibri" w:cs="Times New Roman"/>
                <w:b/>
                <w:bCs/>
                <w:color w:val="auto"/>
                <w:spacing w:val="4"/>
                <w:position w:val="3"/>
                <w:sz w:val="21"/>
                <w:szCs w:val="21"/>
              </w:rPr>
              <w:t>/m</w:t>
            </w:r>
            <w:r>
              <w:rPr>
                <w:rFonts w:hint="eastAsia" w:ascii="Times New Roman" w:hAnsi="Times New Roman" w:eastAsia="宋体" w:cs="Times New Roman"/>
                <w:b/>
                <w:bCs/>
                <w:color w:val="auto"/>
                <w:spacing w:val="7"/>
                <w:sz w:val="21"/>
                <w:szCs w:val="21"/>
                <w:vertAlign w:val="superscript"/>
                <w:lang w:val="en-US" w:eastAsia="zh-CN"/>
              </w:rPr>
              <w:t>3</w:t>
            </w:r>
            <w:r>
              <w:rPr>
                <w:rFonts w:hint="default" w:ascii="Times New Roman" w:hAnsi="Times New Roman" w:cs="Times New Roman"/>
                <w:b/>
                <w:bCs/>
                <w:color w:val="auto"/>
                <w:spacing w:val="4"/>
                <w:position w:val="3"/>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整个生产厂房</w:t>
            </w:r>
          </w:p>
        </w:tc>
        <w:tc>
          <w:tcPr>
            <w:tcW w:w="53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711"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3"/>
                <w:sz w:val="21"/>
                <w:szCs w:val="21"/>
                <w:lang w:eastAsia="zh-CN"/>
              </w:rPr>
              <w:t>6861.68</w:t>
            </w:r>
          </w:p>
        </w:tc>
        <w:tc>
          <w:tcPr>
            <w:tcW w:w="60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Calibri" w:cs="Times New Roman"/>
                <w:color w:val="auto"/>
                <w:spacing w:val="-5"/>
                <w:sz w:val="21"/>
                <w:szCs w:val="21"/>
              </w:rPr>
              <w:t>1</w:t>
            </w:r>
            <w:r>
              <w:rPr>
                <w:rFonts w:hint="eastAsia" w:ascii="Times New Roman" w:hAnsi="Times New Roman" w:eastAsia="宋体" w:cs="Times New Roman"/>
                <w:color w:val="auto"/>
                <w:spacing w:val="-5"/>
                <w:sz w:val="21"/>
                <w:szCs w:val="21"/>
                <w:lang w:val="en-US" w:eastAsia="zh-CN"/>
              </w:rPr>
              <w:t>0</w:t>
            </w:r>
          </w:p>
        </w:tc>
        <w:tc>
          <w:tcPr>
            <w:tcW w:w="68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1.14</w:t>
            </w:r>
          </w:p>
        </w:tc>
        <w:tc>
          <w:tcPr>
            <w:tcW w:w="16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3"/>
                <w:sz w:val="21"/>
                <w:szCs w:val="21"/>
              </w:rPr>
            </w:pPr>
            <w:r>
              <w:rPr>
                <w:rFonts w:hint="default" w:ascii="Times New Roman" w:hAnsi="Times New Roman" w:eastAsia="Calibri" w:cs="Times New Roman"/>
                <w:color w:val="auto"/>
                <w:spacing w:val="3"/>
                <w:sz w:val="21"/>
                <w:szCs w:val="21"/>
              </w:rPr>
              <w:t>4.0</w:t>
            </w:r>
            <w:r>
              <w:rPr>
                <w:rFonts w:hint="default" w:ascii="Times New Roman" w:hAnsi="Times New Roman" w:cs="Times New Roman"/>
                <w:color w:val="auto"/>
                <w:spacing w:val="3"/>
                <w:sz w:val="21"/>
                <w:szCs w:val="21"/>
              </w:rPr>
              <w:t>（厂界）</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pacing w:val="3"/>
                <w:sz w:val="21"/>
                <w:szCs w:val="21"/>
                <w:lang w:val="en-US" w:eastAsia="zh-CN"/>
              </w:rPr>
              <w:t>10</w:t>
            </w:r>
            <w:r>
              <w:rPr>
                <w:rFonts w:hint="default" w:ascii="Times New Roman" w:hAnsi="Times New Roman" w:eastAsia="Calibri" w:cs="Times New Roman"/>
                <w:color w:val="auto"/>
                <w:spacing w:val="3"/>
                <w:sz w:val="21"/>
                <w:szCs w:val="21"/>
              </w:rPr>
              <w:t>.0</w:t>
            </w:r>
            <w:r>
              <w:rPr>
                <w:rFonts w:hint="default" w:ascii="Times New Roman" w:hAnsi="Times New Roman" w:cs="Times New Roman"/>
                <w:color w:val="auto"/>
                <w:spacing w:val="3"/>
                <w:sz w:val="21"/>
                <w:szCs w:val="21"/>
              </w:rPr>
              <w:t>（厂区内</w:t>
            </w:r>
            <w:r>
              <w:rPr>
                <w:rFonts w:hint="eastAsia" w:ascii="Times New Roman" w:hAnsi="Times New Roman" w:cs="Times New Roman"/>
                <w:color w:val="auto"/>
                <w:spacing w:val="3"/>
                <w:sz w:val="21"/>
                <w:szCs w:val="21"/>
                <w:lang w:val="en-US" w:eastAsia="zh-CN"/>
              </w:rPr>
              <w:t>1h平均浓度值</w:t>
            </w:r>
            <w:r>
              <w:rPr>
                <w:rFonts w:hint="default" w:ascii="Times New Roman" w:hAnsi="Times New Roman" w:cs="Times New Roman"/>
                <w:color w:val="auto"/>
                <w:spacing w:val="3"/>
                <w:sz w:val="21"/>
                <w:szCs w:val="21"/>
              </w:rPr>
              <w:t>）</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废水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w:t>
      </w:r>
      <w:r>
        <w:rPr>
          <w:rFonts w:hint="eastAsia" w:ascii="Times New Roman" w:hAnsi="Times New Roman" w:eastAsia="宋体" w:cs="Times New Roman"/>
          <w:color w:val="auto"/>
          <w:szCs w:val="28"/>
          <w:u w:val="none" w:color="auto"/>
          <w:lang w:val="en-US" w:eastAsia="zh-CN"/>
        </w:rPr>
        <w:t>车间内偶尔出现溶剂洒落时，使用稀释剂进行擦洗，沾染溶剂、油墨的废抹布作为危废处置，厂区无地面清洗废水产生。</w:t>
      </w:r>
      <w:r>
        <w:rPr>
          <w:rFonts w:hint="default" w:ascii="Times New Roman" w:hAnsi="Times New Roman" w:cs="Times New Roman"/>
          <w:color w:val="auto"/>
          <w:szCs w:val="28"/>
          <w:u w:val="none" w:color="auto"/>
        </w:rPr>
        <w:t>项目废水主要来源于</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员工</w:t>
      </w:r>
      <w:r>
        <w:rPr>
          <w:rFonts w:hint="eastAsia" w:ascii="Times New Roman" w:hAnsi="Times New Roman" w:eastAsia="宋体" w:cs="Times New Roman"/>
          <w:color w:val="auto"/>
          <w:szCs w:val="28"/>
          <w:u w:val="none" w:color="auto"/>
          <w:lang w:eastAsia="zh-CN"/>
        </w:rPr>
        <w:t>生活污水</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val="en-US" w:eastAsia="zh-CN"/>
        </w:rPr>
      </w:pPr>
      <w:r>
        <w:rPr>
          <w:rFonts w:hint="default" w:ascii="Times New Roman" w:hAnsi="Times New Roman" w:cs="Times New Roman"/>
          <w:color w:val="auto"/>
          <w:szCs w:val="28"/>
          <w:u w:val="none" w:color="auto"/>
        </w:rPr>
        <w:t>本项目生产车间部分设备（制袋机、印刷机、复合机）工作温度较高，冷却采用</w:t>
      </w:r>
      <w:r>
        <w:rPr>
          <w:rFonts w:hint="eastAsia" w:ascii="Times New Roman" w:hAnsi="Times New Roman" w:eastAsia="宋体" w:cs="Times New Roman"/>
          <w:color w:val="auto"/>
          <w:szCs w:val="28"/>
          <w:u w:val="none" w:color="auto"/>
          <w:lang w:val="en-US" w:eastAsia="zh-CN"/>
        </w:rPr>
        <w:t>软化</w:t>
      </w:r>
      <w:r>
        <w:rPr>
          <w:rFonts w:hint="default" w:ascii="Times New Roman" w:hAnsi="Times New Roman" w:cs="Times New Roman"/>
          <w:color w:val="auto"/>
          <w:szCs w:val="28"/>
          <w:u w:val="none" w:color="auto"/>
        </w:rPr>
        <w:t>冷却水进行冷却的方式，冷却水密闭循环使用</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本项目设1套软水制备系统，制袋机自带1个容积为1m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的蓄水箱并配套软水制备系统，</w:t>
      </w:r>
      <w:r>
        <w:rPr>
          <w:rFonts w:hint="default" w:ascii="Times New Roman" w:hAnsi="Times New Roman" w:cs="Times New Roman"/>
          <w:color w:val="auto"/>
          <w:szCs w:val="28"/>
          <w:u w:val="none" w:color="auto"/>
        </w:rPr>
        <w:t>印刷机、复合机</w:t>
      </w:r>
      <w:r>
        <w:rPr>
          <w:rFonts w:hint="eastAsia" w:ascii="Times New Roman" w:hAnsi="Times New Roman" w:eastAsia="宋体" w:cs="Times New Roman"/>
          <w:color w:val="auto"/>
          <w:szCs w:val="28"/>
          <w:u w:val="none" w:color="auto"/>
          <w:lang w:val="en-US" w:eastAsia="zh-CN"/>
        </w:rPr>
        <w:t>设置1个1m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的蓄水箱并配套软水制备系统。</w:t>
      </w:r>
      <w:r>
        <w:rPr>
          <w:rFonts w:hint="default" w:ascii="Times New Roman" w:hAnsi="Times New Roman" w:cs="Times New Roman"/>
          <w:color w:val="auto"/>
          <w:szCs w:val="28"/>
          <w:u w:val="none" w:color="auto"/>
        </w:rPr>
        <w:t>根据</w:t>
      </w:r>
      <w:r>
        <w:rPr>
          <w:rFonts w:hint="eastAsia" w:ascii="Times New Roman" w:hAnsi="Times New Roman" w:eastAsia="宋体" w:cs="Times New Roman"/>
          <w:color w:val="auto"/>
          <w:szCs w:val="28"/>
          <w:u w:val="none" w:color="auto"/>
          <w:lang w:val="en-US" w:eastAsia="zh-CN"/>
        </w:rPr>
        <w:t>建设单位</w:t>
      </w:r>
      <w:r>
        <w:rPr>
          <w:rFonts w:hint="default" w:ascii="Times New Roman" w:hAnsi="Times New Roman" w:cs="Times New Roman"/>
          <w:color w:val="auto"/>
          <w:szCs w:val="28"/>
          <w:u w:val="none" w:color="auto"/>
        </w:rPr>
        <w:t>提供资料，</w:t>
      </w:r>
      <w:r>
        <w:rPr>
          <w:rFonts w:hint="eastAsia" w:ascii="Times New Roman" w:hAnsi="Times New Roman" w:eastAsia="宋体" w:cs="Times New Roman"/>
          <w:color w:val="auto"/>
          <w:szCs w:val="28"/>
          <w:u w:val="none" w:color="auto"/>
          <w:lang w:val="en-US" w:eastAsia="zh-CN"/>
        </w:rPr>
        <w:t>每个蓄水箱新鲜水补给量约为1m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/d，则项目冷却水补给水量为2m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/d，制软水过程废水产生量按用水量的20%计，则该部分废水产生量为0.4m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/d（120m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/a）；蓄水箱计划每半个月清洗一次，每个蓄水箱每次清洗时用水量约为3m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，则清洗用水量为300m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/a，</w:t>
      </w:r>
      <w:r>
        <w:rPr>
          <w:rFonts w:hint="default" w:ascii="Times New Roman" w:hAnsi="Times New Roman" w:cs="Times New Roman"/>
          <w:color w:val="auto"/>
          <w:szCs w:val="28"/>
          <w:u w:val="none" w:color="auto"/>
        </w:rPr>
        <w:t>排污系数以85%计，则污水排放量为</w:t>
      </w:r>
      <w:r>
        <w:rPr>
          <w:rFonts w:hint="eastAsia" w:ascii="Times New Roman" w:hAnsi="Times New Roman" w:eastAsia="宋体" w:cs="Times New Roman"/>
          <w:color w:val="auto"/>
          <w:szCs w:val="28"/>
          <w:u w:val="none" w:color="auto"/>
          <w:lang w:val="en-US" w:eastAsia="zh-CN"/>
        </w:rPr>
        <w:t>255</w:t>
      </w:r>
      <w:r>
        <w:rPr>
          <w:rFonts w:hint="default" w:ascii="Times New Roman" w:hAnsi="Times New Roman" w:cs="Times New Roman"/>
          <w:color w:val="auto"/>
          <w:szCs w:val="28"/>
          <w:u w:val="none" w:color="auto"/>
        </w:rPr>
        <w:t>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/a。</w:t>
      </w:r>
      <w:r>
        <w:rPr>
          <w:rFonts w:hint="eastAsia" w:ascii="Times New Roman" w:hAnsi="Times New Roman"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eastAsia" w:ascii="Times New Roman" w:hAnsi="Times New Roman" w:cs="Times New Roman"/>
          <w:color w:val="auto"/>
          <w:szCs w:val="28"/>
          <w:u w:val="none" w:color="auto"/>
          <w:lang w:val="en-US" w:eastAsia="zh-CN"/>
        </w:rPr>
        <w:t>中主要污染物是SS，含少量</w:t>
      </w:r>
      <w:r>
        <w:rPr>
          <w:rFonts w:hint="default" w:ascii="Times New Roman" w:hAnsi="Times New Roman" w:cs="Times New Roman"/>
          <w:color w:val="auto"/>
          <w:szCs w:val="28"/>
          <w:u w:val="none" w:color="auto"/>
        </w:rPr>
        <w:t>钠离子</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氯离子</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钙离子</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镁离子和其他杂质</w:t>
      </w:r>
      <w:r>
        <w:rPr>
          <w:rFonts w:hint="eastAsia" w:ascii="Times New Roman" w:hAnsi="Times New Roman" w:cs="Times New Roman"/>
          <w:color w:val="auto"/>
          <w:szCs w:val="28"/>
          <w:u w:val="none" w:color="auto"/>
          <w:lang w:val="en-US" w:eastAsia="zh-CN"/>
        </w:rPr>
        <w:t>等，其产生量较小、水质简单，与其他生活污水一并</w:t>
      </w:r>
      <w:r>
        <w:rPr>
          <w:rFonts w:hint="default" w:ascii="Times New Roman" w:hAnsi="Times New Roman" w:cs="Times New Roman"/>
          <w:color w:val="auto"/>
          <w:szCs w:val="28"/>
          <w:u w:val="none" w:color="auto"/>
          <w:lang w:val="en-US" w:eastAsia="zh-CN"/>
        </w:rPr>
        <w:t>经化粪池处理</w:t>
      </w:r>
      <w:r>
        <w:rPr>
          <w:rFonts w:hint="eastAsia" w:ascii="Times New Roman" w:hAnsi="Times New Roman" w:cs="Times New Roman"/>
          <w:color w:val="auto"/>
          <w:szCs w:val="28"/>
          <w:u w:val="none" w:color="auto"/>
          <w:lang w:val="en-US"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（2）生活污水</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项目工作人员为</w:t>
      </w:r>
      <w:r>
        <w:rPr>
          <w:rFonts w:hint="eastAsia" w:ascii="Times New Roman" w:hAnsi="Times New Roman" w:eastAsia="宋体" w:cs="Times New Roman"/>
          <w:color w:val="auto"/>
          <w:szCs w:val="28"/>
          <w:u w:val="none" w:color="auto"/>
          <w:lang w:val="en-US" w:eastAsia="zh-CN"/>
        </w:rPr>
        <w:t>100</w:t>
      </w:r>
      <w:r>
        <w:rPr>
          <w:rFonts w:hint="default" w:ascii="Times New Roman" w:hAnsi="Times New Roman" w:cs="Times New Roman"/>
          <w:color w:val="auto"/>
          <w:szCs w:val="28"/>
          <w:u w:val="none" w:color="auto"/>
        </w:rPr>
        <w:t>人，厂区内设食堂</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不设</w:t>
      </w:r>
      <w:r>
        <w:rPr>
          <w:rFonts w:hint="default" w:ascii="Times New Roman" w:hAnsi="Times New Roman" w:cs="Times New Roman"/>
          <w:color w:val="auto"/>
          <w:szCs w:val="28"/>
          <w:u w:val="none" w:color="auto"/>
        </w:rPr>
        <w:t>宿舍。职工生活用水主要包括冲厕、洗手用水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食堂用水</w:t>
      </w:r>
      <w:r>
        <w:rPr>
          <w:rFonts w:hint="default" w:ascii="Times New Roman" w:hAnsi="Times New Roman" w:cs="Times New Roman"/>
          <w:color w:val="auto"/>
          <w:szCs w:val="28"/>
          <w:u w:val="none" w:color="auto"/>
        </w:rPr>
        <w:t>等，用水定额参照湖南省地方标准《湖南省用水定额》（DB43T388-2020），</w:t>
      </w:r>
      <w:r>
        <w:rPr>
          <w:rFonts w:hint="eastAsia" w:ascii="Times New Roman" w:hAnsi="Times New Roman" w:eastAsia="宋体" w:cs="Times New Roman"/>
          <w:color w:val="auto"/>
          <w:szCs w:val="28"/>
          <w:u w:val="none" w:color="auto"/>
          <w:lang w:val="en-US" w:eastAsia="zh-CN"/>
        </w:rPr>
        <w:t>员工</w:t>
      </w:r>
      <w:r>
        <w:rPr>
          <w:rFonts w:hint="default" w:ascii="Times New Roman" w:hAnsi="Times New Roman" w:cs="Times New Roman"/>
          <w:color w:val="auto"/>
          <w:szCs w:val="28"/>
          <w:u w:val="none" w:color="auto"/>
        </w:rPr>
        <w:t>用水量</w:t>
      </w:r>
      <w:r>
        <w:rPr>
          <w:rFonts w:hint="eastAsia" w:ascii="Times New Roman" w:hAnsi="Times New Roman" w:eastAsia="宋体" w:cs="Times New Roman"/>
          <w:color w:val="auto"/>
          <w:szCs w:val="28"/>
          <w:u w:val="none" w:color="auto"/>
          <w:lang w:val="en-US" w:eastAsia="zh-CN"/>
        </w:rPr>
        <w:t>参照办公楼用水量，</w:t>
      </w:r>
      <w:r>
        <w:rPr>
          <w:rFonts w:hint="default" w:ascii="Times New Roman" w:hAnsi="Times New Roman" w:cs="Times New Roman"/>
          <w:color w:val="auto"/>
          <w:szCs w:val="28"/>
          <w:u w:val="none" w:color="auto"/>
        </w:rPr>
        <w:t>按</w:t>
      </w:r>
      <w:r>
        <w:rPr>
          <w:rFonts w:hint="eastAsia" w:ascii="Times New Roman" w:hAnsi="Times New Roman" w:eastAsia="宋体" w:cs="Times New Roman"/>
          <w:color w:val="auto"/>
          <w:szCs w:val="28"/>
          <w:u w:val="none" w:color="auto"/>
          <w:lang w:val="en-US" w:eastAsia="zh-CN"/>
        </w:rPr>
        <w:t>38m</w:t>
      </w:r>
      <w:r>
        <w:rPr>
          <w:rFonts w:hint="eastAsia" w:ascii="Times New Roman" w:hAnsi="Times New Roman" w:eastAsia="宋体"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rPr>
        <w:t>/人·</w:t>
      </w:r>
      <w:r>
        <w:rPr>
          <w:rFonts w:hint="eastAsia" w:ascii="Times New Roman" w:hAnsi="Times New Roman" w:eastAsia="宋体" w:cs="Times New Roman"/>
          <w:color w:val="auto"/>
          <w:szCs w:val="28"/>
          <w:u w:val="none" w:color="auto"/>
          <w:lang w:val="en-US" w:eastAsia="zh-CN"/>
        </w:rPr>
        <w:t>a</w:t>
      </w:r>
      <w:r>
        <w:rPr>
          <w:rFonts w:hint="default" w:ascii="Times New Roman" w:hAnsi="Times New Roman" w:cs="Times New Roman"/>
          <w:color w:val="auto"/>
          <w:szCs w:val="28"/>
          <w:u w:val="none" w:color="auto"/>
        </w:rPr>
        <w:t>计</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食堂用水参照中小型正餐服务餐饮业用水量，按22.9m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/m</w:t>
      </w:r>
      <w:r>
        <w:rPr>
          <w:rFonts w:hint="eastAsia" w:ascii="Times New Roman" w:hAnsi="Times New Roman" w:eastAsia="宋体" w:cs="Times New Roman"/>
          <w:color w:val="auto"/>
          <w:szCs w:val="28"/>
          <w:u w:val="none" w:color="auto"/>
          <w:vertAlign w:val="superscript"/>
          <w:lang w:val="en-US" w:eastAsia="zh-CN"/>
        </w:rPr>
        <w:t>2</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a计，项目职工定员100人、厂区设置约100m</w:t>
      </w:r>
      <w:r>
        <w:rPr>
          <w:rFonts w:hint="eastAsia" w:ascii="Times New Roman" w:hAnsi="Times New Roman" w:eastAsia="宋体" w:cs="Times New Roman"/>
          <w:color w:val="auto"/>
          <w:szCs w:val="28"/>
          <w:u w:val="none" w:color="auto"/>
          <w:vertAlign w:val="superscript"/>
          <w:lang w:val="en-US" w:eastAsia="zh-CN"/>
        </w:rPr>
        <w:t>2</w:t>
      </w:r>
      <w:r>
        <w:rPr>
          <w:rFonts w:hint="eastAsia" w:ascii="Times New Roman" w:hAnsi="Times New Roman" w:eastAsia="宋体" w:cs="Times New Roman"/>
          <w:color w:val="auto"/>
          <w:szCs w:val="28"/>
          <w:u w:val="none" w:color="auto"/>
          <w:lang w:val="en-US" w:eastAsia="zh-CN"/>
        </w:rPr>
        <w:t>员工食堂，则本项目食堂用水量为2290m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/a，其他生活用水量为3800m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val="en-US" w:eastAsia="zh-CN"/>
        </w:rPr>
        <w:t>/a</w:t>
      </w:r>
      <w:r>
        <w:rPr>
          <w:rFonts w:hint="default" w:ascii="Times New Roman" w:hAnsi="Times New Roman" w:cs="Times New Roman"/>
          <w:color w:val="auto"/>
          <w:szCs w:val="28"/>
          <w:u w:val="none" w:color="auto"/>
        </w:rPr>
        <w:t>。排污系数以85%计，则污水排放量为</w:t>
      </w:r>
      <w:r>
        <w:rPr>
          <w:rFonts w:hint="eastAsia" w:ascii="Times New Roman" w:hAnsi="Times New Roman" w:eastAsia="宋体" w:cs="Times New Roman"/>
          <w:color w:val="auto"/>
          <w:szCs w:val="28"/>
          <w:u w:val="none" w:color="auto"/>
          <w:lang w:val="en-US" w:eastAsia="zh-CN"/>
        </w:rPr>
        <w:t>5176.5</w:t>
      </w:r>
      <w:r>
        <w:rPr>
          <w:rFonts w:hint="default" w:ascii="Times New Roman" w:hAnsi="Times New Roman" w:cs="Times New Roman"/>
          <w:color w:val="auto"/>
          <w:szCs w:val="28"/>
          <w:u w:val="none" w:color="auto"/>
        </w:rPr>
        <w:t>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/a。生活污水中主要污染物是COD、BOD</w:t>
      </w:r>
      <w:r>
        <w:rPr>
          <w:rFonts w:hint="default" w:ascii="Times New Roman" w:hAnsi="Times New Roman" w:cs="Times New Roman"/>
          <w:color w:val="auto"/>
          <w:szCs w:val="28"/>
          <w:u w:val="none" w:color="auto"/>
          <w:vertAlign w:val="subscript"/>
        </w:rPr>
        <w:t>5</w:t>
      </w:r>
      <w:r>
        <w:rPr>
          <w:rFonts w:hint="default" w:ascii="Times New Roman" w:hAnsi="Times New Roman" w:cs="Times New Roman"/>
          <w:color w:val="auto"/>
          <w:szCs w:val="28"/>
          <w:u w:val="none" w:color="auto"/>
        </w:rPr>
        <w:t>、NH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-N、SS、</w:t>
      </w:r>
      <w:r>
        <w:rPr>
          <w:rFonts w:hint="eastAsia" w:ascii="Times New Roman" w:hAnsi="Times New Roman" w:eastAsia="宋体" w:cs="Times New Roman"/>
          <w:color w:val="auto"/>
          <w:szCs w:val="28"/>
          <w:u w:val="none" w:color="auto"/>
          <w:lang w:val="en-US" w:eastAsia="zh-CN"/>
        </w:rPr>
        <w:t>动植物油</w:t>
      </w:r>
      <w:r>
        <w:rPr>
          <w:rFonts w:hint="default" w:ascii="Times New Roman" w:hAnsi="Times New Roman" w:cs="Times New Roman"/>
          <w:color w:val="auto"/>
          <w:szCs w:val="28"/>
          <w:u w:val="none" w:color="auto"/>
        </w:rPr>
        <w:t>等，产生浓度分别为300mg/L、200mg/L、35mg/L、150mg/L、</w:t>
      </w:r>
      <w:r>
        <w:rPr>
          <w:rFonts w:hint="eastAsia" w:ascii="Times New Roman" w:hAnsi="Times New Roman" w:eastAsia="宋体" w:cs="Times New Roman"/>
          <w:color w:val="auto"/>
          <w:szCs w:val="28"/>
          <w:u w:val="none" w:color="auto"/>
          <w:lang w:val="en-US" w:eastAsia="zh-CN"/>
        </w:rPr>
        <w:t>40</w:t>
      </w:r>
      <w:r>
        <w:rPr>
          <w:rFonts w:hint="default" w:ascii="Times New Roman" w:hAnsi="Times New Roman" w:cs="Times New Roman"/>
          <w:color w:val="auto"/>
          <w:szCs w:val="28"/>
          <w:u w:val="none" w:color="auto"/>
        </w:rPr>
        <w:t>mg/L。</w:t>
      </w:r>
      <w:r>
        <w:rPr>
          <w:rFonts w:hint="eastAsia" w:ascii="Times New Roman" w:hAnsi="Times New Roman" w:eastAsia="宋体" w:cs="Times New Roman"/>
          <w:color w:val="auto"/>
          <w:szCs w:val="28"/>
          <w:u w:val="none" w:color="auto"/>
          <w:lang w:val="en-US" w:eastAsia="zh-CN"/>
        </w:rPr>
        <w:t>食堂废水经隔油池预处理后与其他生活污水一并</w:t>
      </w:r>
      <w:r>
        <w:rPr>
          <w:rFonts w:hint="default" w:ascii="Times New Roman" w:hAnsi="Times New Roman" w:cs="Times New Roman"/>
          <w:color w:val="auto"/>
          <w:szCs w:val="28"/>
          <w:u w:val="none" w:color="auto"/>
        </w:rPr>
        <w:t>经化粪池处理</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项目废水产排污情况详见下表</w:t>
      </w:r>
      <w:r>
        <w:rPr>
          <w:rFonts w:hint="default" w:ascii="Times New Roman" w:hAnsi="Times New Roman" w:cs="Times New Roman"/>
          <w:color w:val="auto"/>
          <w:szCs w:val="28"/>
          <w:u w:val="none" w:color="auto"/>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项目废水产生排放情况一览表</w:t>
      </w:r>
    </w:p>
    <w:tbl>
      <w:tblPr>
        <w:tblStyle w:val="29"/>
        <w:tblW w:w="505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80"/>
        <w:gridCol w:w="1202"/>
        <w:gridCol w:w="1441"/>
        <w:gridCol w:w="1610"/>
        <w:gridCol w:w="1532"/>
        <w:gridCol w:w="155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4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污染源</w:t>
            </w:r>
          </w:p>
        </w:tc>
        <w:tc>
          <w:tcPr>
            <w:tcW w:w="714"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污染物名</w:t>
            </w:r>
            <w:r>
              <w:rPr>
                <w:rFonts w:hint="default" w:ascii="Times New Roman" w:hAnsi="Times New Roman" w:cs="Times New Roman"/>
                <w:b/>
                <w:bCs/>
                <w:color w:val="auto"/>
                <w:spacing w:val="-1"/>
                <w:sz w:val="21"/>
                <w:szCs w:val="21"/>
              </w:rPr>
              <w:t>称</w:t>
            </w:r>
          </w:p>
        </w:tc>
        <w:tc>
          <w:tcPr>
            <w:tcW w:w="1812"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产生情况</w:t>
            </w:r>
          </w:p>
        </w:tc>
        <w:tc>
          <w:tcPr>
            <w:tcW w:w="1831"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排入污水管网情况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1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5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position w:val="2"/>
                <w:sz w:val="21"/>
                <w:szCs w:val="21"/>
              </w:rPr>
              <w:t>浓度（</w:t>
            </w:r>
            <w:r>
              <w:rPr>
                <w:rFonts w:hint="default" w:ascii="Times New Roman" w:hAnsi="Times New Roman" w:eastAsia="Calibri" w:cs="Times New Roman"/>
                <w:b/>
                <w:bCs/>
                <w:color w:val="auto"/>
                <w:spacing w:val="-1"/>
                <w:position w:val="2"/>
                <w:sz w:val="21"/>
                <w:szCs w:val="21"/>
              </w:rPr>
              <w:t>mg/L</w:t>
            </w:r>
            <w:r>
              <w:rPr>
                <w:rFonts w:hint="default" w:ascii="Times New Roman" w:hAnsi="Times New Roman" w:cs="Times New Roman"/>
                <w:b/>
                <w:bCs/>
                <w:color w:val="auto"/>
                <w:spacing w:val="-1"/>
                <w:position w:val="2"/>
                <w:sz w:val="21"/>
                <w:szCs w:val="21"/>
              </w:rPr>
              <w:t>）</w:t>
            </w:r>
          </w:p>
        </w:tc>
        <w:tc>
          <w:tcPr>
            <w:tcW w:w="95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position w:val="2"/>
                <w:sz w:val="21"/>
                <w:szCs w:val="21"/>
              </w:rPr>
              <w:t>产生量（</w:t>
            </w:r>
            <w:r>
              <w:rPr>
                <w:rFonts w:hint="default" w:ascii="Times New Roman" w:hAnsi="Times New Roman" w:eastAsia="Calibri" w:cs="Times New Roman"/>
                <w:b/>
                <w:bCs/>
                <w:color w:val="auto"/>
                <w:spacing w:val="3"/>
                <w:position w:val="2"/>
                <w:sz w:val="21"/>
                <w:szCs w:val="21"/>
              </w:rPr>
              <w:t>t/a</w:t>
            </w:r>
            <w:r>
              <w:rPr>
                <w:rFonts w:hint="default" w:ascii="Times New Roman" w:hAnsi="Times New Roman" w:cs="Times New Roman"/>
                <w:b/>
                <w:bCs/>
                <w:color w:val="auto"/>
                <w:spacing w:val="3"/>
                <w:position w:val="2"/>
                <w:sz w:val="21"/>
                <w:szCs w:val="21"/>
              </w:rPr>
              <w:t>）</w:t>
            </w:r>
          </w:p>
        </w:tc>
        <w:tc>
          <w:tcPr>
            <w:tcW w:w="9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position w:val="2"/>
                <w:sz w:val="21"/>
                <w:szCs w:val="21"/>
              </w:rPr>
              <w:t>浓度（</w:t>
            </w:r>
            <w:r>
              <w:rPr>
                <w:rFonts w:hint="default" w:ascii="Times New Roman" w:hAnsi="Times New Roman" w:eastAsia="Calibri" w:cs="Times New Roman"/>
                <w:b/>
                <w:bCs/>
                <w:color w:val="auto"/>
                <w:spacing w:val="-1"/>
                <w:position w:val="2"/>
                <w:sz w:val="21"/>
                <w:szCs w:val="21"/>
              </w:rPr>
              <w:t>mg/L</w:t>
            </w:r>
            <w:r>
              <w:rPr>
                <w:rFonts w:hint="default" w:ascii="Times New Roman" w:hAnsi="Times New Roman" w:cs="Times New Roman"/>
                <w:b/>
                <w:bCs/>
                <w:color w:val="auto"/>
                <w:spacing w:val="-1"/>
                <w:position w:val="2"/>
                <w:sz w:val="21"/>
                <w:szCs w:val="21"/>
              </w:rPr>
              <w:t>）</w:t>
            </w:r>
          </w:p>
        </w:tc>
        <w:tc>
          <w:tcPr>
            <w:tcW w:w="9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position w:val="2"/>
                <w:sz w:val="21"/>
                <w:szCs w:val="21"/>
              </w:rPr>
              <w:t>产生量（</w:t>
            </w:r>
            <w:r>
              <w:rPr>
                <w:rFonts w:hint="default" w:ascii="Times New Roman" w:hAnsi="Times New Roman" w:eastAsia="Calibri" w:cs="Times New Roman"/>
                <w:b/>
                <w:bCs/>
                <w:color w:val="auto"/>
                <w:spacing w:val="3"/>
                <w:position w:val="2"/>
                <w:sz w:val="21"/>
                <w:szCs w:val="21"/>
              </w:rPr>
              <w:t>t/a</w:t>
            </w:r>
            <w:r>
              <w:rPr>
                <w:rFonts w:hint="default" w:ascii="Times New Roman" w:hAnsi="Times New Roman" w:cs="Times New Roman"/>
                <w:b/>
                <w:bCs/>
                <w:color w:val="auto"/>
                <w:spacing w:val="3"/>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4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cs="Times New Roman"/>
                <w:color w:val="auto"/>
                <w:spacing w:val="7"/>
                <w:sz w:val="21"/>
                <w:szCs w:val="21"/>
                <w:lang w:val="en-US" w:eastAsia="zh-CN"/>
              </w:rPr>
              <w:t>综合废水</w:t>
            </w:r>
            <w:r>
              <w:rPr>
                <w:rFonts w:hint="eastAsia" w:ascii="Times New Roman" w:hAnsi="Times New Roman" w:cs="Times New Roman"/>
                <w:color w:val="auto"/>
                <w:spacing w:val="3"/>
                <w:sz w:val="21"/>
                <w:szCs w:val="21"/>
                <w:lang w:val="en-US" w:eastAsia="zh-CN"/>
              </w:rPr>
              <w:t>5551.5</w:t>
            </w:r>
            <w:r>
              <w:rPr>
                <w:rFonts w:hint="default" w:ascii="Times New Roman" w:hAnsi="Times New Roman" w:eastAsia="Calibri" w:cs="Times New Roman"/>
                <w:color w:val="auto"/>
                <w:spacing w:val="3"/>
                <w:sz w:val="21"/>
                <w:szCs w:val="21"/>
              </w:rPr>
              <w:t>t/a</w:t>
            </w:r>
          </w:p>
        </w:tc>
        <w:tc>
          <w:tcPr>
            <w:tcW w:w="71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2"/>
                <w:sz w:val="21"/>
                <w:szCs w:val="21"/>
              </w:rPr>
              <w:t>COD</w:t>
            </w:r>
          </w:p>
        </w:tc>
        <w:tc>
          <w:tcPr>
            <w:tcW w:w="85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300</w:t>
            </w: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1.665 </w:t>
            </w:r>
          </w:p>
        </w:tc>
        <w:tc>
          <w:tcPr>
            <w:tcW w:w="91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2"/>
                <w:sz w:val="21"/>
                <w:szCs w:val="21"/>
              </w:rPr>
              <w:t>180</w:t>
            </w:r>
          </w:p>
        </w:tc>
        <w:tc>
          <w:tcPr>
            <w:tcW w:w="15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0.999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1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BOD</w:t>
            </w:r>
            <w:r>
              <w:rPr>
                <w:rFonts w:hint="default" w:ascii="Times New Roman" w:hAnsi="Times New Roman" w:eastAsia="Calibri" w:cs="Times New Roman"/>
                <w:color w:val="auto"/>
                <w:spacing w:val="3"/>
                <w:position w:val="-1"/>
                <w:sz w:val="21"/>
                <w:szCs w:val="21"/>
                <w:vertAlign w:val="subscript"/>
              </w:rPr>
              <w:t>5</w:t>
            </w:r>
          </w:p>
        </w:tc>
        <w:tc>
          <w:tcPr>
            <w:tcW w:w="85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200</w:t>
            </w: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1.111 </w:t>
            </w:r>
          </w:p>
        </w:tc>
        <w:tc>
          <w:tcPr>
            <w:tcW w:w="91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2"/>
                <w:sz w:val="21"/>
                <w:szCs w:val="21"/>
              </w:rPr>
              <w:t>150</w:t>
            </w:r>
          </w:p>
        </w:tc>
        <w:tc>
          <w:tcPr>
            <w:tcW w:w="15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0.833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1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SS</w:t>
            </w:r>
          </w:p>
        </w:tc>
        <w:tc>
          <w:tcPr>
            <w:tcW w:w="85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2"/>
                <w:sz w:val="21"/>
                <w:szCs w:val="21"/>
              </w:rPr>
              <w:t>150</w:t>
            </w: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0.833 </w:t>
            </w:r>
          </w:p>
        </w:tc>
        <w:tc>
          <w:tcPr>
            <w:tcW w:w="91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1"/>
                <w:sz w:val="21"/>
                <w:szCs w:val="21"/>
              </w:rPr>
              <w:t>70</w:t>
            </w:r>
          </w:p>
        </w:tc>
        <w:tc>
          <w:tcPr>
            <w:tcW w:w="15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0.389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1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NH</w:t>
            </w:r>
            <w:r>
              <w:rPr>
                <w:rFonts w:hint="default" w:ascii="Times New Roman" w:hAnsi="Times New Roman" w:eastAsia="Calibri" w:cs="Times New Roman"/>
                <w:color w:val="auto"/>
                <w:spacing w:val="1"/>
                <w:position w:val="-1"/>
                <w:sz w:val="21"/>
                <w:szCs w:val="21"/>
                <w:vertAlign w:val="subscript"/>
              </w:rPr>
              <w:t>3</w:t>
            </w:r>
            <w:r>
              <w:rPr>
                <w:rFonts w:hint="default" w:ascii="Times New Roman" w:hAnsi="Times New Roman" w:eastAsia="Calibri" w:cs="Times New Roman"/>
                <w:color w:val="auto"/>
                <w:spacing w:val="1"/>
                <w:sz w:val="21"/>
                <w:szCs w:val="21"/>
              </w:rPr>
              <w:t>-N</w:t>
            </w:r>
          </w:p>
        </w:tc>
        <w:tc>
          <w:tcPr>
            <w:tcW w:w="85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1"/>
                <w:sz w:val="21"/>
                <w:szCs w:val="21"/>
              </w:rPr>
              <w:t>35</w:t>
            </w: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0.194 </w:t>
            </w:r>
          </w:p>
        </w:tc>
        <w:tc>
          <w:tcPr>
            <w:tcW w:w="91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2"/>
                <w:sz w:val="21"/>
                <w:szCs w:val="21"/>
              </w:rPr>
              <w:t>20</w:t>
            </w:r>
          </w:p>
        </w:tc>
        <w:tc>
          <w:tcPr>
            <w:tcW w:w="15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0.111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1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动植物油</w:t>
            </w:r>
          </w:p>
        </w:tc>
        <w:tc>
          <w:tcPr>
            <w:tcW w:w="85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40</w:t>
            </w: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0.222 </w:t>
            </w:r>
          </w:p>
        </w:tc>
        <w:tc>
          <w:tcPr>
            <w:tcW w:w="91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20</w:t>
            </w:r>
          </w:p>
        </w:tc>
        <w:tc>
          <w:tcPr>
            <w:tcW w:w="15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0.111 </w:t>
            </w:r>
          </w:p>
        </w:tc>
      </w:tr>
    </w:tbl>
    <w:p>
      <w:pPr>
        <w:pStyle w:val="11"/>
        <w:keepNext/>
        <w:keepLines w:val="0"/>
        <w:pageBreakBefore w:val="0"/>
        <w:widowControl w:val="0"/>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噪声</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本项目生产设备运行期间噪声源主要为印刷机、复合机、风机、冷却塔等机械设备运行，源强60~85dB</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A</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之间，项目主要噪声源详见表</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.2-5。</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主要噪声源强一览表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33"/>
        <w:gridCol w:w="1702"/>
        <w:gridCol w:w="1155"/>
        <w:gridCol w:w="1238"/>
        <w:gridCol w:w="1343"/>
        <w:gridCol w:w="22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序号</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声源</w:t>
            </w:r>
          </w:p>
        </w:tc>
        <w:tc>
          <w:tcPr>
            <w:tcW w:w="69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数量</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（台</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z w:val="21"/>
                <w:szCs w:val="21"/>
              </w:rPr>
              <w:t>套）</w:t>
            </w:r>
          </w:p>
        </w:tc>
        <w:tc>
          <w:tcPr>
            <w:tcW w:w="7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rPr>
              <w:t>声源强度</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Calibri" w:cs="Times New Roman"/>
                <w:color w:val="auto"/>
                <w:sz w:val="21"/>
                <w:szCs w:val="21"/>
              </w:rPr>
              <w:t>dB</w:t>
            </w:r>
            <w:r>
              <w:rPr>
                <w:rFonts w:hint="default" w:ascii="Times New Roman" w:hAnsi="Times New Roman" w:cs="Times New Roman"/>
                <w:color w:val="auto"/>
                <w:spacing w:val="5"/>
                <w:sz w:val="21"/>
                <w:szCs w:val="21"/>
                <w:lang w:eastAsia="zh-CN"/>
              </w:rPr>
              <w:t>（</w:t>
            </w:r>
            <w:r>
              <w:rPr>
                <w:rFonts w:hint="default" w:ascii="Times New Roman" w:hAnsi="Times New Roman" w:eastAsia="Calibri" w:cs="Times New Roman"/>
                <w:color w:val="auto"/>
                <w:spacing w:val="5"/>
                <w:sz w:val="21"/>
                <w:szCs w:val="21"/>
              </w:rPr>
              <w:t>A</w:t>
            </w:r>
            <w:r>
              <w:rPr>
                <w:rFonts w:hint="default" w:ascii="Times New Roman" w:hAnsi="Times New Roman" w:cs="Times New Roman"/>
                <w:color w:val="auto"/>
                <w:spacing w:val="5"/>
                <w:sz w:val="21"/>
                <w:szCs w:val="21"/>
                <w:lang w:eastAsia="zh-CN"/>
              </w:rPr>
              <w:t>）</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产生位置</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处理措施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印刷机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75</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印刷机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75</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干法复合机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70</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无溶剂复合机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70</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品检机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60</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6</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制袋机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10</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70</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7</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烫金机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70</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8</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单口机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65</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9</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分切机</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75</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生产车间</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厂房隔声、基础减振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10</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风机</w:t>
            </w:r>
          </w:p>
        </w:tc>
        <w:tc>
          <w:tcPr>
            <w:tcW w:w="69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4"/>
                <w:sz w:val="21"/>
                <w:szCs w:val="21"/>
              </w:rPr>
              <w:t>2</w:t>
            </w:r>
            <w:r>
              <w:rPr>
                <w:rFonts w:hint="default" w:ascii="Times New Roman" w:hAnsi="Times New Roman" w:cs="Times New Roman"/>
                <w:color w:val="auto"/>
                <w:spacing w:val="4"/>
                <w:sz w:val="21"/>
                <w:szCs w:val="21"/>
              </w:rPr>
              <w:t>（室外）</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80</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生产车间外</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基础减振、隔声罩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11</w:t>
            </w:r>
          </w:p>
        </w:tc>
        <w:tc>
          <w:tcPr>
            <w:tcW w:w="10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冷却塔</w:t>
            </w:r>
          </w:p>
        </w:tc>
        <w:tc>
          <w:tcPr>
            <w:tcW w:w="6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74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75</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生产车间外</w:t>
            </w:r>
          </w:p>
        </w:tc>
        <w:tc>
          <w:tcPr>
            <w:tcW w:w="13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基础减振、隔声屏障、</w:t>
            </w:r>
            <w:r>
              <w:rPr>
                <w:rFonts w:hint="default" w:ascii="Times New Roman" w:hAnsi="Times New Roman" w:cs="Times New Roman"/>
                <w:color w:val="auto"/>
                <w:spacing w:val="8"/>
                <w:sz w:val="21"/>
                <w:szCs w:val="21"/>
              </w:rPr>
              <w:t>低噪声螺杆式机组</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固体废弃物</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本项目固体废物主要为员工生活垃圾</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塑料边角料、不合格产品等一般工业固废</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废交换树脂</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废油墨，废胶水，废弃包装桶（油墨包装桶、胶水包装桶，稀释剂正丙酯、异丙醇包装桶），废抹布等危险废物。</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（1）生活垃圾</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w:t>
      </w:r>
      <w:r>
        <w:rPr>
          <w:rFonts w:hint="eastAsia" w:ascii="Times New Roman" w:hAnsi="Times New Roman" w:eastAsia="宋体" w:cs="Times New Roman"/>
          <w:color w:val="auto"/>
          <w:szCs w:val="28"/>
          <w:u w:val="none" w:color="auto"/>
          <w:lang w:val="en-US" w:eastAsia="zh-CN"/>
        </w:rPr>
        <w:t>职工</w:t>
      </w:r>
      <w:r>
        <w:rPr>
          <w:rFonts w:hint="default" w:ascii="Times New Roman" w:hAnsi="Times New Roman" w:cs="Times New Roman"/>
          <w:color w:val="auto"/>
          <w:szCs w:val="28"/>
          <w:u w:val="none" w:color="auto"/>
        </w:rPr>
        <w:t>定员1</w:t>
      </w:r>
      <w:r>
        <w:rPr>
          <w:rFonts w:hint="eastAsia" w:ascii="Times New Roman" w:hAnsi="Times New Roman" w:eastAsia="宋体" w:cs="Times New Roman"/>
          <w:color w:val="auto"/>
          <w:szCs w:val="28"/>
          <w:u w:val="none" w:color="auto"/>
          <w:lang w:val="en-US" w:eastAsia="zh-CN"/>
        </w:rPr>
        <w:t>00</w:t>
      </w:r>
      <w:r>
        <w:rPr>
          <w:rFonts w:hint="default" w:ascii="Times New Roman" w:hAnsi="Times New Roman" w:cs="Times New Roman"/>
          <w:color w:val="auto"/>
          <w:szCs w:val="28"/>
          <w:u w:val="none" w:color="auto"/>
        </w:rPr>
        <w:t>人，</w:t>
      </w:r>
      <w:r>
        <w:rPr>
          <w:rFonts w:hint="eastAsia" w:ascii="Times New Roman" w:hAnsi="Times New Roman" w:eastAsia="宋体" w:cs="Times New Roman"/>
          <w:color w:val="auto"/>
          <w:szCs w:val="28"/>
          <w:u w:val="none" w:color="auto"/>
          <w:lang w:val="en-US" w:eastAsia="zh-CN"/>
        </w:rPr>
        <w:t>生活垃圾产生量</w:t>
      </w:r>
      <w:r>
        <w:rPr>
          <w:rFonts w:hint="default" w:ascii="Times New Roman" w:hAnsi="Times New Roman" w:cs="Times New Roman"/>
          <w:color w:val="auto"/>
          <w:szCs w:val="28"/>
          <w:u w:val="none" w:color="auto"/>
        </w:rPr>
        <w:t>按人均每天0.5kg计，</w:t>
      </w:r>
      <w:r>
        <w:rPr>
          <w:rFonts w:hint="eastAsia" w:ascii="Times New Roman" w:hAnsi="Times New Roman" w:eastAsia="宋体" w:cs="Times New Roman"/>
          <w:color w:val="auto"/>
          <w:szCs w:val="28"/>
          <w:u w:val="none" w:color="auto"/>
          <w:lang w:val="en-US" w:eastAsia="zh-CN"/>
        </w:rPr>
        <w:t>则本项目</w:t>
      </w:r>
      <w:r>
        <w:rPr>
          <w:rFonts w:hint="default" w:ascii="Times New Roman" w:hAnsi="Times New Roman" w:cs="Times New Roman"/>
          <w:color w:val="auto"/>
          <w:szCs w:val="28"/>
          <w:u w:val="none" w:color="auto"/>
        </w:rPr>
        <w:t>生活垃圾产生</w:t>
      </w:r>
      <w:r>
        <w:rPr>
          <w:rFonts w:hint="eastAsia" w:ascii="Times New Roman" w:hAnsi="Times New Roman" w:eastAsia="宋体" w:cs="Times New Roman"/>
          <w:color w:val="auto"/>
          <w:szCs w:val="28"/>
          <w:u w:val="none" w:color="auto"/>
          <w:lang w:val="en-US" w:eastAsia="zh-CN"/>
        </w:rPr>
        <w:t>量为15</w:t>
      </w:r>
      <w:r>
        <w:rPr>
          <w:rFonts w:hint="default" w:ascii="Times New Roman" w:hAnsi="Times New Roman" w:cs="Times New Roman"/>
          <w:color w:val="auto"/>
          <w:szCs w:val="28"/>
          <w:u w:val="none" w:color="auto"/>
        </w:rPr>
        <w:t>t/a</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50kg/d</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。生活垃圾定期清理交由环卫部门处理。</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（2）一般工业固废</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①塑料膜边角料</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塑料袋生产过程中会产生一定量的塑料膜边角料以及不合格产品，类比</w:t>
      </w:r>
      <w:r>
        <w:rPr>
          <w:rFonts w:hint="eastAsia" w:ascii="Times New Roman" w:hAnsi="Times New Roman" w:eastAsia="宋体" w:cs="Times New Roman"/>
          <w:color w:val="auto"/>
          <w:szCs w:val="28"/>
          <w:u w:val="none" w:color="auto"/>
          <w:lang w:val="en-US" w:eastAsia="zh-CN"/>
        </w:rPr>
        <w:t>同类型企业</w:t>
      </w:r>
      <w:r>
        <w:rPr>
          <w:rFonts w:hint="default" w:ascii="Times New Roman" w:hAnsi="Times New Roman" w:cs="Times New Roman"/>
          <w:color w:val="auto"/>
          <w:szCs w:val="28"/>
          <w:u w:val="none" w:color="auto"/>
        </w:rPr>
        <w:t>，边角废料以及不合格产品产生量约为2</w:t>
      </w:r>
      <w:r>
        <w:rPr>
          <w:rFonts w:hint="eastAsia" w:ascii="Times New Roman" w:hAnsi="Times New Roman" w:eastAsia="宋体" w:cs="Times New Roman"/>
          <w:color w:val="auto"/>
          <w:szCs w:val="28"/>
          <w:u w:val="none" w:color="auto"/>
          <w:lang w:val="en-US" w:eastAsia="zh-CN"/>
        </w:rPr>
        <w:t>25</w:t>
      </w:r>
      <w:r>
        <w:rPr>
          <w:rFonts w:hint="default" w:ascii="Times New Roman" w:hAnsi="Times New Roman" w:cs="Times New Roman"/>
          <w:color w:val="auto"/>
          <w:szCs w:val="28"/>
          <w:u w:val="none" w:color="auto"/>
        </w:rPr>
        <w:t>t/a。</w:t>
      </w:r>
      <w:r>
        <w:rPr>
          <w:rFonts w:hint="eastAsia" w:ascii="Times New Roman" w:hAnsi="Times New Roman" w:eastAsia="宋体" w:cs="Times New Roman"/>
          <w:color w:val="auto"/>
          <w:szCs w:val="28"/>
          <w:u w:val="none" w:color="auto"/>
          <w:lang w:val="en-US" w:eastAsia="zh-CN"/>
        </w:rPr>
        <w:t>本项目</w:t>
      </w:r>
      <w:r>
        <w:rPr>
          <w:rFonts w:hint="default" w:ascii="Times New Roman" w:hAnsi="Times New Roman" w:cs="Times New Roman"/>
          <w:color w:val="auto"/>
          <w:szCs w:val="28"/>
          <w:u w:val="none" w:color="auto"/>
        </w:rPr>
        <w:t>边角废料以及不合格产品由专门的回收公司回收处置。</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val="en-US" w:eastAsia="zh-CN"/>
        </w:rPr>
      </w:pPr>
      <w:r>
        <w:rPr>
          <w:rFonts w:hint="default" w:ascii="Times New Roman" w:hAnsi="Times New Roman" w:cs="Times New Roman"/>
          <w:color w:val="auto"/>
          <w:szCs w:val="28"/>
          <w:u w:val="none" w:color="auto"/>
        </w:rPr>
        <w:t>②</w:t>
      </w:r>
      <w:r>
        <w:rPr>
          <w:rFonts w:hint="eastAsia" w:ascii="Times New Roman" w:hAnsi="Times New Roman" w:eastAsia="宋体" w:cs="Times New Roman"/>
          <w:color w:val="auto"/>
          <w:szCs w:val="28"/>
          <w:u w:val="none" w:color="auto"/>
          <w:lang w:val="en-US" w:eastAsia="zh-CN"/>
        </w:rPr>
        <w:t>废交换树脂</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项目运营期采用离子交换法生产软水，用于冷却水，当交换树脂吸附水中的钙、镁硬度达到饱和时需对交换树脂进行更换，交换树脂的更换周期通常为3～5年，每次产生量约为0.4t，废树脂由更换厂家直接带走。</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3</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危险固废</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①废油墨</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印刷工艺过程中会产生一定量的废油墨，废油墨产生量约5t/a，根据《国家危险废物名录》（2021年版）可知，废油墨属于HW12染料、涂料废物中900-299-12生产、销售和使用过程中产生的失效、变质、不合格、淘汰、伪劣的油墨、染料、颜料、油漆（不包括水性漆）。收集于危废暂存间，</w:t>
      </w:r>
      <w:r>
        <w:rPr>
          <w:rFonts w:hint="eastAsia" w:ascii="Times New Roman" w:hAnsi="Times New Roman" w:eastAsia="宋体" w:cs="Times New Roman"/>
          <w:color w:val="auto"/>
          <w:szCs w:val="28"/>
          <w:u w:val="none" w:color="auto"/>
          <w:lang w:val="en-US" w:eastAsia="zh-CN"/>
        </w:rPr>
        <w:t>定期交</w:t>
      </w:r>
      <w:r>
        <w:rPr>
          <w:rFonts w:hint="default" w:ascii="Times New Roman" w:hAnsi="Times New Roman" w:cs="Times New Roman"/>
          <w:color w:val="auto"/>
          <w:szCs w:val="28"/>
          <w:u w:val="none" w:color="auto"/>
        </w:rPr>
        <w:t>由有资质的单位进行处理。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②废胶水</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本项目原材料使用过程中，会产生少量的废胶水，产生量约为</w:t>
      </w: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t/a，根据《国家危险废物名录》（2021年版）可知，废胶水属于HW13有机树脂类废物中900-014-13废弃的粘合剂和密封剂。收集于危废暂存间，由有资质的单位进行处理。</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③废弃包装桶</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废弃包装桶包括含油墨包装桶、胶水包装桶，稀释剂正丙酯、异丙醇、乙酸乙酯包装桶，废弃包装桶产生量约为50t/a，根据《国家危险废物名录》（2021年版）可知废弃包装桶属于HW49其他废物900-041-49含有或沾染毒性、感染性危险废物的废弃包装物、容器、过滤吸附介质。收集于危废暂存间内，其中完好无损的废稀释剂正丙酯、异丙醇、乙酸乙酯包装桶由厂家回收再利用，其余均由有资质的单位进行处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④废抹布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废抹布中沾有胶水、油墨、稀释剂等，产生量约为12t/a，根据《国家危险废物名录》（2021年版）可知废弃包装桶属于HW49其他废物900-041-49含有或沾染毒性、感染性危险废物的废弃包装物、容器、过滤吸附介质。收集于危废暂存间，之后由有资质的单位进行处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根据《建设项目危险废物环境影响评价指南》（2017年10月1日起实施）的要求，本次环评将本项目涉及的危险废物的名称、数量、类别、形态、危险特性和污染防治措施等情况介绍如下表。</w:t>
      </w:r>
    </w:p>
    <w:p>
      <w:pPr>
        <w:spacing w:line="380" w:lineRule="auto"/>
        <w:rPr>
          <w:rFonts w:ascii="宋体" w:hAnsi="宋体" w:eastAsia="宋体" w:cs="宋体"/>
          <w:color w:val="auto"/>
          <w:sz w:val="24"/>
          <w:szCs w:val="24"/>
        </w:rPr>
        <w:sectPr>
          <w:pgSz w:w="11905" w:h="16839"/>
          <w:pgMar w:top="1440" w:right="1803" w:bottom="1440" w:left="1803" w:header="0" w:footer="1126"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项目危险废物汇总表</w:t>
      </w:r>
    </w:p>
    <w:tbl>
      <w:tblPr>
        <w:tblStyle w:val="29"/>
        <w:tblW w:w="500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77"/>
        <w:gridCol w:w="2382"/>
        <w:gridCol w:w="885"/>
        <w:gridCol w:w="1101"/>
        <w:gridCol w:w="667"/>
        <w:gridCol w:w="973"/>
        <w:gridCol w:w="548"/>
        <w:gridCol w:w="1141"/>
        <w:gridCol w:w="1119"/>
        <w:gridCol w:w="941"/>
        <w:gridCol w:w="518"/>
        <w:gridCol w:w="24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896"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危废名称</w:t>
            </w:r>
          </w:p>
        </w:tc>
        <w:tc>
          <w:tcPr>
            <w:tcW w:w="333"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危废类别</w:t>
            </w:r>
          </w:p>
        </w:tc>
        <w:tc>
          <w:tcPr>
            <w:tcW w:w="414"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危废代码</w:t>
            </w:r>
          </w:p>
        </w:tc>
        <w:tc>
          <w:tcPr>
            <w:tcW w:w="25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产量</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2"/>
                <w:sz w:val="21"/>
                <w:szCs w:val="21"/>
              </w:rPr>
              <w:t>（</w:t>
            </w:r>
            <w:r>
              <w:rPr>
                <w:rFonts w:hint="default" w:ascii="Times New Roman" w:hAnsi="Times New Roman" w:eastAsia="Calibri" w:cs="Times New Roman"/>
                <w:color w:val="auto"/>
                <w:spacing w:val="-2"/>
                <w:sz w:val="21"/>
                <w:szCs w:val="21"/>
              </w:rPr>
              <w:t>t/a</w:t>
            </w:r>
            <w:r>
              <w:rPr>
                <w:rFonts w:hint="default" w:ascii="Times New Roman" w:hAnsi="Times New Roman" w:cs="Times New Roman"/>
                <w:color w:val="auto"/>
                <w:spacing w:val="-2"/>
                <w:sz w:val="21"/>
                <w:szCs w:val="21"/>
              </w:rPr>
              <w:t>）</w:t>
            </w:r>
          </w:p>
        </w:tc>
        <w:tc>
          <w:tcPr>
            <w:tcW w:w="366"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7"/>
                <w:sz w:val="21"/>
                <w:szCs w:val="21"/>
              </w:rPr>
              <w:t>产生工序及装置</w:t>
            </w:r>
          </w:p>
        </w:tc>
        <w:tc>
          <w:tcPr>
            <w:tcW w:w="206"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形态</w:t>
            </w:r>
          </w:p>
        </w:tc>
        <w:tc>
          <w:tcPr>
            <w:tcW w:w="429"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主要成分</w:t>
            </w:r>
          </w:p>
        </w:tc>
        <w:tc>
          <w:tcPr>
            <w:tcW w:w="42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7"/>
                <w:sz w:val="21"/>
                <w:szCs w:val="21"/>
              </w:rPr>
              <w:t>有害成分</w:t>
            </w:r>
          </w:p>
        </w:tc>
        <w:tc>
          <w:tcPr>
            <w:tcW w:w="354"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7"/>
                <w:sz w:val="21"/>
                <w:szCs w:val="21"/>
              </w:rPr>
              <w:t>产废周期</w:t>
            </w:r>
          </w:p>
        </w:tc>
        <w:tc>
          <w:tcPr>
            <w:tcW w:w="195"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危险</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4"/>
                <w:sz w:val="21"/>
                <w:szCs w:val="21"/>
              </w:rPr>
              <w:t>特性</w:t>
            </w:r>
          </w:p>
        </w:tc>
        <w:tc>
          <w:tcPr>
            <w:tcW w:w="914"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cs="Times New Roman"/>
                <w:color w:val="auto"/>
                <w:spacing w:val="7"/>
                <w:sz w:val="21"/>
                <w:szCs w:val="21"/>
              </w:rPr>
              <w:t>污染防治措施</w:t>
            </w:r>
            <w:r>
              <w:rPr>
                <w:rFonts w:hint="default" w:ascii="Times New Roman" w:hAnsi="Times New Roman" w:eastAsia="Calibri" w:cs="Times New Roman"/>
                <w:color w:val="auto"/>
                <w:spacing w:val="7"/>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8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废油墨</w:t>
            </w:r>
          </w:p>
        </w:tc>
        <w:tc>
          <w:tcPr>
            <w:tcW w:w="33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12</w:t>
            </w:r>
          </w:p>
        </w:tc>
        <w:tc>
          <w:tcPr>
            <w:tcW w:w="41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900-299-12</w:t>
            </w:r>
          </w:p>
        </w:tc>
        <w:tc>
          <w:tcPr>
            <w:tcW w:w="2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pacing w:val="1"/>
                <w:sz w:val="21"/>
                <w:szCs w:val="21"/>
                <w:lang w:val="en-US" w:eastAsia="zh-CN"/>
              </w:rPr>
              <w:t>5</w:t>
            </w:r>
          </w:p>
        </w:tc>
        <w:tc>
          <w:tcPr>
            <w:tcW w:w="36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印刷</w:t>
            </w:r>
          </w:p>
        </w:tc>
        <w:tc>
          <w:tcPr>
            <w:tcW w:w="2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液态</w:t>
            </w:r>
          </w:p>
        </w:tc>
        <w:tc>
          <w:tcPr>
            <w:tcW w:w="4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含油墨的有</w:t>
            </w:r>
            <w:r>
              <w:rPr>
                <w:rFonts w:hint="default" w:ascii="Times New Roman" w:hAnsi="Times New Roman" w:cs="Times New Roman"/>
                <w:color w:val="auto"/>
                <w:spacing w:val="7"/>
                <w:sz w:val="21"/>
                <w:szCs w:val="21"/>
              </w:rPr>
              <w:t>机溶剂</w:t>
            </w:r>
          </w:p>
        </w:tc>
        <w:tc>
          <w:tcPr>
            <w:tcW w:w="4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含有机溶</w:t>
            </w:r>
            <w:r>
              <w:rPr>
                <w:rFonts w:hint="default" w:ascii="Times New Roman" w:hAnsi="Times New Roman" w:cs="Times New Roman"/>
                <w:color w:val="auto"/>
                <w:sz w:val="21"/>
                <w:szCs w:val="21"/>
              </w:rPr>
              <w:t>剂</w:t>
            </w:r>
          </w:p>
        </w:tc>
        <w:tc>
          <w:tcPr>
            <w:tcW w:w="35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每月转运</w:t>
            </w:r>
            <w:r>
              <w:rPr>
                <w:rFonts w:hint="default" w:ascii="Times New Roman" w:hAnsi="Times New Roman" w:cs="Times New Roman"/>
                <w:color w:val="auto"/>
                <w:spacing w:val="3"/>
                <w:sz w:val="21"/>
                <w:szCs w:val="21"/>
              </w:rPr>
              <w:t>一次</w:t>
            </w:r>
          </w:p>
        </w:tc>
        <w:tc>
          <w:tcPr>
            <w:tcW w:w="19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T</w:t>
            </w:r>
          </w:p>
        </w:tc>
        <w:tc>
          <w:tcPr>
            <w:tcW w:w="91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按要求暂存、转运、处置；厂内</w:t>
            </w:r>
            <w:r>
              <w:rPr>
                <w:rFonts w:hint="default" w:ascii="Times New Roman" w:hAnsi="Times New Roman" w:cs="Times New Roman"/>
                <w:color w:val="auto"/>
                <w:spacing w:val="7"/>
                <w:sz w:val="21"/>
                <w:szCs w:val="21"/>
              </w:rPr>
              <w:t>设置危废暂存</w:t>
            </w:r>
            <w:r>
              <w:rPr>
                <w:rFonts w:hint="default" w:ascii="Times New Roman" w:hAnsi="Times New Roman" w:cs="Times New Roman"/>
                <w:color w:val="auto"/>
                <w:sz w:val="21"/>
                <w:szCs w:val="21"/>
              </w:rPr>
              <w:t>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8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废胶水</w:t>
            </w:r>
          </w:p>
        </w:tc>
        <w:tc>
          <w:tcPr>
            <w:tcW w:w="33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13</w:t>
            </w:r>
          </w:p>
        </w:tc>
        <w:tc>
          <w:tcPr>
            <w:tcW w:w="41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900-014-13</w:t>
            </w:r>
          </w:p>
        </w:tc>
        <w:tc>
          <w:tcPr>
            <w:tcW w:w="2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pacing w:val="1"/>
                <w:sz w:val="21"/>
                <w:szCs w:val="21"/>
                <w:lang w:val="en-US" w:eastAsia="zh-CN"/>
              </w:rPr>
              <w:t>5</w:t>
            </w:r>
          </w:p>
        </w:tc>
        <w:tc>
          <w:tcPr>
            <w:tcW w:w="36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原料使用</w:t>
            </w:r>
          </w:p>
        </w:tc>
        <w:tc>
          <w:tcPr>
            <w:tcW w:w="2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液态</w:t>
            </w:r>
          </w:p>
        </w:tc>
        <w:tc>
          <w:tcPr>
            <w:tcW w:w="4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含有机溶剂</w:t>
            </w:r>
          </w:p>
        </w:tc>
        <w:tc>
          <w:tcPr>
            <w:tcW w:w="4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含有机溶</w:t>
            </w:r>
            <w:r>
              <w:rPr>
                <w:rFonts w:hint="default" w:ascii="Times New Roman" w:hAnsi="Times New Roman" w:cs="Times New Roman"/>
                <w:color w:val="auto"/>
                <w:sz w:val="21"/>
                <w:szCs w:val="21"/>
              </w:rPr>
              <w:t>剂</w:t>
            </w:r>
          </w:p>
        </w:tc>
        <w:tc>
          <w:tcPr>
            <w:tcW w:w="35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每月转运</w:t>
            </w:r>
            <w:r>
              <w:rPr>
                <w:rFonts w:hint="default" w:ascii="Times New Roman" w:hAnsi="Times New Roman" w:cs="Times New Roman"/>
                <w:color w:val="auto"/>
                <w:spacing w:val="3"/>
                <w:sz w:val="21"/>
                <w:szCs w:val="21"/>
              </w:rPr>
              <w:t>一次</w:t>
            </w:r>
          </w:p>
        </w:tc>
        <w:tc>
          <w:tcPr>
            <w:tcW w:w="19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T</w:t>
            </w:r>
          </w:p>
        </w:tc>
        <w:tc>
          <w:tcPr>
            <w:tcW w:w="91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按要求暂存、转运、处置；厂内</w:t>
            </w:r>
            <w:r>
              <w:rPr>
                <w:rFonts w:hint="default" w:ascii="Times New Roman" w:hAnsi="Times New Roman" w:cs="Times New Roman"/>
                <w:color w:val="auto"/>
                <w:spacing w:val="7"/>
                <w:sz w:val="21"/>
                <w:szCs w:val="21"/>
              </w:rPr>
              <w:t>设置危废暂存</w:t>
            </w:r>
            <w:r>
              <w:rPr>
                <w:rFonts w:hint="default" w:ascii="Times New Roman" w:hAnsi="Times New Roman" w:cs="Times New Roman"/>
                <w:color w:val="auto"/>
                <w:sz w:val="21"/>
                <w:szCs w:val="21"/>
              </w:rPr>
              <w:t>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2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8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废弃包装桶（墨包装桶、胶水包</w:t>
            </w:r>
            <w:r>
              <w:rPr>
                <w:rFonts w:hint="default" w:ascii="Times New Roman" w:hAnsi="Times New Roman" w:cs="Times New Roman"/>
                <w:color w:val="auto"/>
                <w:spacing w:val="4"/>
                <w:sz w:val="21"/>
                <w:szCs w:val="21"/>
              </w:rPr>
              <w:t>装桶，稀释剂正丙酯、异丙醇包</w:t>
            </w:r>
            <w:r>
              <w:rPr>
                <w:rFonts w:hint="default" w:ascii="Times New Roman" w:hAnsi="Times New Roman" w:cs="Times New Roman"/>
                <w:color w:val="auto"/>
                <w:spacing w:val="3"/>
                <w:sz w:val="21"/>
                <w:szCs w:val="21"/>
              </w:rPr>
              <w:t>装桶）</w:t>
            </w:r>
          </w:p>
        </w:tc>
        <w:tc>
          <w:tcPr>
            <w:tcW w:w="33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49</w:t>
            </w:r>
          </w:p>
        </w:tc>
        <w:tc>
          <w:tcPr>
            <w:tcW w:w="41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900-041-49</w:t>
            </w:r>
          </w:p>
        </w:tc>
        <w:tc>
          <w:tcPr>
            <w:tcW w:w="2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50</w:t>
            </w:r>
          </w:p>
        </w:tc>
        <w:tc>
          <w:tcPr>
            <w:tcW w:w="36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原料包装</w:t>
            </w:r>
            <w:r>
              <w:rPr>
                <w:rFonts w:hint="default" w:ascii="Times New Roman" w:hAnsi="Times New Roman" w:cs="Times New Roman"/>
                <w:color w:val="auto"/>
                <w:sz w:val="21"/>
                <w:szCs w:val="21"/>
              </w:rPr>
              <w:t>桶</w:t>
            </w:r>
          </w:p>
        </w:tc>
        <w:tc>
          <w:tcPr>
            <w:tcW w:w="2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固态</w:t>
            </w:r>
          </w:p>
        </w:tc>
        <w:tc>
          <w:tcPr>
            <w:tcW w:w="4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含油墨、稀释剂等有机</w:t>
            </w:r>
            <w:r>
              <w:rPr>
                <w:rFonts w:hint="default" w:ascii="Times New Roman" w:hAnsi="Times New Roman" w:cs="Times New Roman"/>
                <w:color w:val="auto"/>
                <w:spacing w:val="3"/>
                <w:sz w:val="21"/>
                <w:szCs w:val="21"/>
              </w:rPr>
              <w:t>溶剂</w:t>
            </w:r>
          </w:p>
        </w:tc>
        <w:tc>
          <w:tcPr>
            <w:tcW w:w="4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含油墨、稀释剂等有机溶剂</w:t>
            </w:r>
          </w:p>
        </w:tc>
        <w:tc>
          <w:tcPr>
            <w:tcW w:w="35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每月转运</w:t>
            </w:r>
            <w:r>
              <w:rPr>
                <w:rFonts w:hint="default" w:ascii="Times New Roman" w:hAnsi="Times New Roman" w:cs="Times New Roman"/>
                <w:color w:val="auto"/>
                <w:spacing w:val="3"/>
                <w:sz w:val="21"/>
                <w:szCs w:val="21"/>
              </w:rPr>
              <w:t>一次</w:t>
            </w:r>
          </w:p>
        </w:tc>
        <w:tc>
          <w:tcPr>
            <w:tcW w:w="19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T</w:t>
            </w:r>
          </w:p>
        </w:tc>
        <w:tc>
          <w:tcPr>
            <w:tcW w:w="91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按要求暂存、转运、处置；厂内</w:t>
            </w:r>
            <w:r>
              <w:rPr>
                <w:rFonts w:hint="default" w:ascii="Times New Roman" w:hAnsi="Times New Roman" w:cs="Times New Roman"/>
                <w:color w:val="auto"/>
                <w:spacing w:val="7"/>
                <w:sz w:val="21"/>
                <w:szCs w:val="21"/>
              </w:rPr>
              <w:t>设置危废暂存</w:t>
            </w:r>
            <w:r>
              <w:rPr>
                <w:rFonts w:hint="default" w:ascii="Times New Roman" w:hAnsi="Times New Roman" w:cs="Times New Roman"/>
                <w:color w:val="auto"/>
                <w:sz w:val="21"/>
                <w:szCs w:val="21"/>
              </w:rPr>
              <w:t>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1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89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pacing w:val="7"/>
                <w:sz w:val="21"/>
                <w:szCs w:val="21"/>
              </w:rPr>
              <w:t>废抹布</w:t>
            </w:r>
            <w:r>
              <w:rPr>
                <w:rFonts w:hint="default" w:ascii="Times New Roman" w:hAnsi="Times New Roman" w:cs="Times New Roman"/>
                <w:color w:val="auto"/>
                <w:spacing w:val="7"/>
                <w:sz w:val="21"/>
                <w:szCs w:val="21"/>
                <w:lang w:eastAsia="zh-CN"/>
              </w:rPr>
              <w:t>（</w:t>
            </w:r>
            <w:r>
              <w:rPr>
                <w:rFonts w:hint="default" w:ascii="Times New Roman" w:hAnsi="Times New Roman" w:cs="Times New Roman"/>
                <w:color w:val="auto"/>
                <w:spacing w:val="7"/>
                <w:sz w:val="21"/>
                <w:szCs w:val="21"/>
              </w:rPr>
              <w:t>沾有胶</w:t>
            </w:r>
            <w:r>
              <w:rPr>
                <w:rFonts w:hint="default" w:ascii="Times New Roman" w:hAnsi="Times New Roman" w:cs="Times New Roman"/>
                <w:color w:val="auto"/>
                <w:spacing w:val="4"/>
                <w:sz w:val="21"/>
                <w:szCs w:val="21"/>
              </w:rPr>
              <w:t>水、油墨、稀释剂等</w:t>
            </w:r>
            <w:r>
              <w:rPr>
                <w:rFonts w:hint="default" w:ascii="Times New Roman" w:hAnsi="Times New Roman" w:cs="Times New Roman"/>
                <w:color w:val="auto"/>
                <w:spacing w:val="4"/>
                <w:sz w:val="21"/>
                <w:szCs w:val="21"/>
                <w:lang w:eastAsia="zh-CN"/>
              </w:rPr>
              <w:t>）</w:t>
            </w:r>
          </w:p>
        </w:tc>
        <w:tc>
          <w:tcPr>
            <w:tcW w:w="333"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49</w:t>
            </w:r>
          </w:p>
        </w:tc>
        <w:tc>
          <w:tcPr>
            <w:tcW w:w="4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900-041-49</w:t>
            </w:r>
          </w:p>
        </w:tc>
        <w:tc>
          <w:tcPr>
            <w:tcW w:w="25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1</w:t>
            </w:r>
            <w:r>
              <w:rPr>
                <w:rFonts w:hint="eastAsia" w:ascii="Times New Roman" w:hAnsi="Times New Roman" w:eastAsia="宋体" w:cs="Times New Roman"/>
                <w:color w:val="auto"/>
                <w:sz w:val="21"/>
                <w:szCs w:val="21"/>
                <w:lang w:val="en-US" w:eastAsia="zh-CN"/>
              </w:rPr>
              <w:t>2</w:t>
            </w:r>
          </w:p>
        </w:tc>
        <w:tc>
          <w:tcPr>
            <w:tcW w:w="36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原料使用</w:t>
            </w:r>
          </w:p>
        </w:tc>
        <w:tc>
          <w:tcPr>
            <w:tcW w:w="20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固态</w:t>
            </w:r>
          </w:p>
        </w:tc>
        <w:tc>
          <w:tcPr>
            <w:tcW w:w="42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沾有胶水、</w:t>
            </w:r>
            <w:r>
              <w:rPr>
                <w:rFonts w:hint="default" w:ascii="Times New Roman" w:hAnsi="Times New Roman" w:cs="Times New Roman"/>
                <w:color w:val="auto"/>
                <w:spacing w:val="3"/>
                <w:sz w:val="21"/>
                <w:szCs w:val="21"/>
              </w:rPr>
              <w:t>油墨</w:t>
            </w:r>
          </w:p>
        </w:tc>
        <w:tc>
          <w:tcPr>
            <w:tcW w:w="421"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含有机溶</w:t>
            </w:r>
            <w:r>
              <w:rPr>
                <w:rFonts w:hint="default" w:ascii="Times New Roman" w:hAnsi="Times New Roman" w:cs="Times New Roman"/>
                <w:color w:val="auto"/>
                <w:sz w:val="21"/>
                <w:szCs w:val="21"/>
              </w:rPr>
              <w:t>剂</w:t>
            </w:r>
          </w:p>
        </w:tc>
        <w:tc>
          <w:tcPr>
            <w:tcW w:w="354"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7"/>
                <w:sz w:val="21"/>
                <w:szCs w:val="21"/>
                <w:lang w:eastAsia="zh-CN"/>
              </w:rPr>
              <w:t>每月</w:t>
            </w:r>
            <w:r>
              <w:rPr>
                <w:rFonts w:hint="default" w:ascii="Times New Roman" w:hAnsi="Times New Roman" w:cs="Times New Roman"/>
                <w:color w:val="auto"/>
                <w:spacing w:val="7"/>
                <w:sz w:val="21"/>
                <w:szCs w:val="21"/>
              </w:rPr>
              <w:t>转</w:t>
            </w:r>
            <w:r>
              <w:rPr>
                <w:rFonts w:hint="default" w:ascii="Times New Roman" w:hAnsi="Times New Roman" w:cs="Times New Roman"/>
                <w:color w:val="auto"/>
                <w:spacing w:val="6"/>
                <w:sz w:val="21"/>
                <w:szCs w:val="21"/>
              </w:rPr>
              <w:t>运一次</w:t>
            </w:r>
          </w:p>
        </w:tc>
        <w:tc>
          <w:tcPr>
            <w:tcW w:w="19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T</w:t>
            </w:r>
          </w:p>
        </w:tc>
        <w:tc>
          <w:tcPr>
            <w:tcW w:w="914"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按要求暂存、转运、处置；厂内</w:t>
            </w:r>
            <w:r>
              <w:rPr>
                <w:rFonts w:hint="default" w:ascii="Times New Roman" w:hAnsi="Times New Roman" w:cs="Times New Roman"/>
                <w:color w:val="auto"/>
                <w:spacing w:val="7"/>
                <w:sz w:val="21"/>
                <w:szCs w:val="21"/>
              </w:rPr>
              <w:t>设置危废暂存</w:t>
            </w:r>
            <w:r>
              <w:rPr>
                <w:rFonts w:hint="default" w:ascii="Times New Roman" w:hAnsi="Times New Roman" w:cs="Times New Roman"/>
                <w:color w:val="auto"/>
                <w:sz w:val="21"/>
                <w:szCs w:val="21"/>
              </w:rPr>
              <w:t>间</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2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（4）固体废物产生及处置情况汇总</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建设项目固体废物产生情况汇总见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运营期固体废物分析结果汇总表</w:t>
      </w:r>
    </w:p>
    <w:tbl>
      <w:tblPr>
        <w:tblStyle w:val="29"/>
        <w:tblW w:w="500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09"/>
        <w:gridCol w:w="2497"/>
        <w:gridCol w:w="1130"/>
        <w:gridCol w:w="646"/>
        <w:gridCol w:w="917"/>
        <w:gridCol w:w="1532"/>
        <w:gridCol w:w="949"/>
        <w:gridCol w:w="979"/>
        <w:gridCol w:w="1069"/>
        <w:gridCol w:w="800"/>
        <w:gridCol w:w="185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类别</w:t>
            </w: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名称</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产生工</w:t>
            </w:r>
            <w:r>
              <w:rPr>
                <w:rFonts w:hint="default" w:ascii="Times New Roman" w:hAnsi="Times New Roman" w:cs="Times New Roman"/>
                <w:color w:val="auto"/>
                <w:spacing w:val="1"/>
                <w:sz w:val="21"/>
                <w:szCs w:val="21"/>
              </w:rPr>
              <w:t>序</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形态</w:t>
            </w:r>
          </w:p>
        </w:tc>
        <w:tc>
          <w:tcPr>
            <w:tcW w:w="3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主要成分</w:t>
            </w:r>
          </w:p>
        </w:tc>
        <w:tc>
          <w:tcPr>
            <w:tcW w:w="57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危险特性鉴别方法</w:t>
            </w:r>
          </w:p>
        </w:tc>
        <w:tc>
          <w:tcPr>
            <w:tcW w:w="35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危险特</w:t>
            </w:r>
            <w:r>
              <w:rPr>
                <w:rFonts w:hint="default" w:ascii="Times New Roman" w:hAnsi="Times New Roman" w:cs="Times New Roman"/>
                <w:color w:val="auto"/>
                <w:sz w:val="21"/>
                <w:szCs w:val="21"/>
              </w:rPr>
              <w:t>性</w:t>
            </w:r>
          </w:p>
        </w:tc>
        <w:tc>
          <w:tcPr>
            <w:tcW w:w="3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废物类别</w:t>
            </w:r>
          </w:p>
        </w:tc>
        <w:tc>
          <w:tcPr>
            <w:tcW w:w="40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废物代码</w:t>
            </w:r>
          </w:p>
        </w:tc>
        <w:tc>
          <w:tcPr>
            <w:tcW w:w="3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5"/>
                <w:position w:val="2"/>
                <w:sz w:val="21"/>
                <w:szCs w:val="21"/>
              </w:rPr>
            </w:pPr>
            <w:r>
              <w:rPr>
                <w:rFonts w:hint="default" w:ascii="Times New Roman" w:hAnsi="Times New Roman" w:cs="Times New Roman"/>
                <w:color w:val="auto"/>
                <w:spacing w:val="5"/>
                <w:position w:val="2"/>
                <w:sz w:val="21"/>
                <w:szCs w:val="21"/>
              </w:rPr>
              <w:t>产生量</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position w:val="2"/>
                <w:sz w:val="21"/>
                <w:szCs w:val="21"/>
              </w:rPr>
              <w:t>（</w:t>
            </w:r>
            <w:r>
              <w:rPr>
                <w:rFonts w:hint="default" w:ascii="Times New Roman" w:hAnsi="Times New Roman" w:eastAsia="Calibri" w:cs="Times New Roman"/>
                <w:color w:val="auto"/>
                <w:spacing w:val="5"/>
                <w:position w:val="2"/>
                <w:sz w:val="21"/>
                <w:szCs w:val="21"/>
              </w:rPr>
              <w:t>t/a</w:t>
            </w:r>
            <w:r>
              <w:rPr>
                <w:rFonts w:hint="default" w:ascii="Times New Roman" w:hAnsi="Times New Roman" w:cs="Times New Roman"/>
                <w:color w:val="auto"/>
                <w:spacing w:val="5"/>
                <w:position w:val="2"/>
                <w:sz w:val="21"/>
                <w:szCs w:val="21"/>
              </w:rPr>
              <w:t>）</w:t>
            </w:r>
          </w:p>
        </w:tc>
        <w:tc>
          <w:tcPr>
            <w:tcW w:w="69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处理</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处置）措施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生活垃圾</w:t>
            </w: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员工生活垃</w:t>
            </w:r>
            <w:r>
              <w:rPr>
                <w:rFonts w:hint="default" w:ascii="Times New Roman" w:hAnsi="Times New Roman" w:cs="Times New Roman"/>
                <w:color w:val="auto"/>
                <w:sz w:val="21"/>
                <w:szCs w:val="21"/>
              </w:rPr>
              <w:t>圾</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员工生</w:t>
            </w:r>
            <w:r>
              <w:rPr>
                <w:rFonts w:hint="default" w:ascii="Times New Roman" w:hAnsi="Times New Roman" w:cs="Times New Roman"/>
                <w:color w:val="auto"/>
                <w:sz w:val="21"/>
                <w:szCs w:val="21"/>
              </w:rPr>
              <w:t>活</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固态</w:t>
            </w:r>
          </w:p>
        </w:tc>
        <w:tc>
          <w:tcPr>
            <w:tcW w:w="3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生活垃圾</w:t>
            </w:r>
          </w:p>
        </w:tc>
        <w:tc>
          <w:tcPr>
            <w:tcW w:w="576"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《固体废物鉴别导</w:t>
            </w:r>
            <w:r>
              <w:rPr>
                <w:rFonts w:hint="default" w:ascii="Times New Roman" w:hAnsi="Times New Roman" w:cs="Times New Roman"/>
                <w:color w:val="auto"/>
                <w:spacing w:val="4"/>
                <w:sz w:val="21"/>
                <w:szCs w:val="21"/>
              </w:rPr>
              <w:t>则》（试行）和《国</w:t>
            </w:r>
            <w:r>
              <w:rPr>
                <w:rFonts w:hint="default" w:ascii="Times New Roman" w:hAnsi="Times New Roman" w:cs="Times New Roman"/>
                <w:color w:val="auto"/>
                <w:spacing w:val="7"/>
                <w:sz w:val="21"/>
                <w:szCs w:val="21"/>
              </w:rPr>
              <w:t>家危险废物名录》</w:t>
            </w:r>
            <w:r>
              <w:rPr>
                <w:rFonts w:hint="default" w:ascii="Times New Roman" w:hAnsi="Times New Roman" w:cs="Times New Roman"/>
                <w:color w:val="auto"/>
                <w:spacing w:val="2"/>
                <w:sz w:val="21"/>
                <w:szCs w:val="21"/>
              </w:rPr>
              <w:t>（</w:t>
            </w:r>
            <w:r>
              <w:rPr>
                <w:rFonts w:hint="default" w:ascii="Times New Roman" w:hAnsi="Times New Roman" w:eastAsia="Calibri" w:cs="Times New Roman"/>
                <w:color w:val="auto"/>
                <w:spacing w:val="2"/>
                <w:sz w:val="21"/>
                <w:szCs w:val="21"/>
              </w:rPr>
              <w:t>2021</w:t>
            </w:r>
            <w:r>
              <w:rPr>
                <w:rFonts w:hint="default" w:ascii="Times New Roman" w:hAnsi="Times New Roman" w:cs="Times New Roman"/>
                <w:color w:val="auto"/>
                <w:spacing w:val="2"/>
                <w:sz w:val="21"/>
                <w:szCs w:val="21"/>
              </w:rPr>
              <w:t>年版）</w:t>
            </w:r>
          </w:p>
        </w:tc>
        <w:tc>
          <w:tcPr>
            <w:tcW w:w="35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36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40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3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1"/>
                <w:sz w:val="21"/>
                <w:szCs w:val="21"/>
                <w:lang w:val="en-US" w:eastAsia="zh-CN"/>
              </w:rPr>
              <w:t>15</w:t>
            </w:r>
          </w:p>
        </w:tc>
        <w:tc>
          <w:tcPr>
            <w:tcW w:w="69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交由环卫部门处</w:t>
            </w:r>
            <w:r>
              <w:rPr>
                <w:rFonts w:hint="default" w:ascii="Times New Roman" w:hAnsi="Times New Roman" w:cs="Times New Roman"/>
                <w:color w:val="auto"/>
                <w:sz w:val="21"/>
                <w:szCs w:val="21"/>
              </w:rPr>
              <w:t>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一般</w:t>
            </w:r>
            <w:r>
              <w:rPr>
                <w:rFonts w:hint="default" w:ascii="Times New Roman" w:hAnsi="Times New Roman" w:cs="Times New Roman"/>
                <w:color w:val="auto"/>
                <w:spacing w:val="-5"/>
                <w:sz w:val="21"/>
                <w:szCs w:val="21"/>
              </w:rPr>
              <w:t>固废</w:t>
            </w: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塑料膜边角</w:t>
            </w:r>
            <w:r>
              <w:rPr>
                <w:rFonts w:hint="default" w:ascii="Times New Roman" w:hAnsi="Times New Roman" w:cs="Times New Roman"/>
                <w:color w:val="auto"/>
                <w:spacing w:val="8"/>
                <w:sz w:val="21"/>
                <w:szCs w:val="21"/>
              </w:rPr>
              <w:t>料以及不合</w:t>
            </w:r>
            <w:r>
              <w:rPr>
                <w:rFonts w:hint="default" w:ascii="Times New Roman" w:hAnsi="Times New Roman" w:cs="Times New Roman"/>
                <w:color w:val="auto"/>
                <w:spacing w:val="6"/>
                <w:sz w:val="21"/>
                <w:szCs w:val="21"/>
              </w:rPr>
              <w:t>格产品</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整个工</w:t>
            </w:r>
            <w:r>
              <w:rPr>
                <w:rFonts w:hint="default" w:ascii="Times New Roman" w:hAnsi="Times New Roman" w:cs="Times New Roman"/>
                <w:color w:val="auto"/>
                <w:spacing w:val="1"/>
                <w:sz w:val="21"/>
                <w:szCs w:val="21"/>
              </w:rPr>
              <w:t>序</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固态</w:t>
            </w:r>
          </w:p>
        </w:tc>
        <w:tc>
          <w:tcPr>
            <w:tcW w:w="3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塑料膜</w:t>
            </w:r>
          </w:p>
        </w:tc>
        <w:tc>
          <w:tcPr>
            <w:tcW w:w="57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36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40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3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2</w:t>
            </w:r>
            <w:r>
              <w:rPr>
                <w:rFonts w:hint="eastAsia" w:ascii="Times New Roman" w:hAnsi="Times New Roman" w:eastAsia="宋体" w:cs="Times New Roman"/>
                <w:color w:val="auto"/>
                <w:sz w:val="21"/>
                <w:szCs w:val="21"/>
                <w:lang w:val="en-US" w:eastAsia="zh-CN"/>
              </w:rPr>
              <w:t>25</w:t>
            </w:r>
          </w:p>
        </w:tc>
        <w:tc>
          <w:tcPr>
            <w:tcW w:w="69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外售给相关企业</w:t>
            </w:r>
            <w:r>
              <w:rPr>
                <w:rFonts w:hint="default" w:ascii="Times New Roman" w:hAnsi="Times New Roman" w:cs="Times New Roman"/>
                <w:color w:val="auto"/>
                <w:spacing w:val="2"/>
                <w:sz w:val="21"/>
                <w:szCs w:val="21"/>
              </w:rPr>
              <w:t>回收利用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3"/>
                <w:sz w:val="21"/>
                <w:szCs w:val="21"/>
              </w:rPr>
            </w:pP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rPr>
            </w:pPr>
            <w:r>
              <w:rPr>
                <w:rFonts w:hint="eastAsia" w:ascii="Times New Roman" w:hAnsi="Times New Roman" w:eastAsia="宋体" w:cs="Times New Roman"/>
                <w:color w:val="auto"/>
                <w:spacing w:val="6"/>
                <w:sz w:val="21"/>
                <w:szCs w:val="21"/>
                <w:lang w:val="en-US" w:eastAsia="zh-CN"/>
              </w:rPr>
              <w:t>废交换树脂</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lang w:val="en-US"/>
              </w:rPr>
            </w:pPr>
            <w:r>
              <w:rPr>
                <w:rFonts w:hint="eastAsia" w:ascii="Times New Roman" w:hAnsi="Times New Roman" w:eastAsia="宋体" w:cs="Times New Roman"/>
                <w:color w:val="auto"/>
                <w:spacing w:val="6"/>
                <w:sz w:val="21"/>
                <w:szCs w:val="21"/>
                <w:lang w:val="en-US" w:eastAsia="zh-CN"/>
              </w:rPr>
              <w:t>树脂更换</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固态</w:t>
            </w:r>
          </w:p>
        </w:tc>
        <w:tc>
          <w:tcPr>
            <w:tcW w:w="3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rPr>
            </w:pPr>
            <w:r>
              <w:rPr>
                <w:rFonts w:hint="eastAsia" w:ascii="Times New Roman" w:hAnsi="Times New Roman" w:eastAsia="宋体" w:cs="Times New Roman"/>
                <w:color w:val="auto"/>
                <w:spacing w:val="6"/>
                <w:sz w:val="21"/>
                <w:szCs w:val="21"/>
                <w:lang w:val="en-US" w:eastAsia="zh-CN"/>
              </w:rPr>
              <w:t>树脂</w:t>
            </w:r>
          </w:p>
        </w:tc>
        <w:tc>
          <w:tcPr>
            <w:tcW w:w="57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pacing w:val="3"/>
                <w:position w:val="3"/>
                <w:sz w:val="21"/>
                <w:szCs w:val="21"/>
              </w:rPr>
            </w:pPr>
            <w:r>
              <w:rPr>
                <w:rFonts w:hint="default" w:ascii="Times New Roman" w:hAnsi="Times New Roman" w:eastAsia="Calibri" w:cs="Times New Roman"/>
                <w:color w:val="auto"/>
                <w:spacing w:val="3"/>
                <w:position w:val="3"/>
                <w:sz w:val="21"/>
                <w:szCs w:val="21"/>
              </w:rPr>
              <w:t>/</w:t>
            </w:r>
          </w:p>
        </w:tc>
        <w:tc>
          <w:tcPr>
            <w:tcW w:w="36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pacing w:val="3"/>
                <w:position w:val="3"/>
                <w:sz w:val="21"/>
                <w:szCs w:val="21"/>
              </w:rPr>
            </w:pPr>
            <w:r>
              <w:rPr>
                <w:rFonts w:hint="default" w:ascii="Times New Roman" w:hAnsi="Times New Roman" w:eastAsia="Calibri" w:cs="Times New Roman"/>
                <w:color w:val="auto"/>
                <w:spacing w:val="3"/>
                <w:position w:val="3"/>
                <w:sz w:val="21"/>
                <w:szCs w:val="21"/>
              </w:rPr>
              <w:t>/</w:t>
            </w:r>
          </w:p>
        </w:tc>
        <w:tc>
          <w:tcPr>
            <w:tcW w:w="40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pacing w:val="3"/>
                <w:position w:val="3"/>
                <w:sz w:val="21"/>
                <w:szCs w:val="21"/>
              </w:rPr>
            </w:pPr>
            <w:r>
              <w:rPr>
                <w:rFonts w:hint="default" w:ascii="Times New Roman" w:hAnsi="Times New Roman" w:eastAsia="Calibri" w:cs="Times New Roman"/>
                <w:color w:val="auto"/>
                <w:spacing w:val="3"/>
                <w:position w:val="3"/>
                <w:sz w:val="21"/>
                <w:szCs w:val="21"/>
              </w:rPr>
              <w:t>/</w:t>
            </w:r>
          </w:p>
        </w:tc>
        <w:tc>
          <w:tcPr>
            <w:tcW w:w="3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0.4t/5年</w:t>
            </w:r>
          </w:p>
        </w:tc>
        <w:tc>
          <w:tcPr>
            <w:tcW w:w="69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8"/>
                <w:sz w:val="21"/>
                <w:szCs w:val="21"/>
              </w:rPr>
            </w:pPr>
            <w:r>
              <w:rPr>
                <w:rFonts w:hint="eastAsia" w:ascii="Times New Roman" w:hAnsi="Times New Roman" w:cs="Times New Roman"/>
                <w:color w:val="auto"/>
                <w:szCs w:val="28"/>
                <w:u w:val="none" w:color="auto"/>
                <w:lang w:val="en-US" w:eastAsia="zh-CN"/>
              </w:rPr>
              <w:t>更换厂家直接带走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危险</w:t>
            </w:r>
            <w:r>
              <w:rPr>
                <w:rFonts w:hint="default" w:ascii="Times New Roman" w:hAnsi="Times New Roman" w:cs="Times New Roman"/>
                <w:color w:val="auto"/>
                <w:spacing w:val="5"/>
                <w:sz w:val="21"/>
                <w:szCs w:val="21"/>
              </w:rPr>
              <w:t>废物</w:t>
            </w: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废油墨</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印刷</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液态</w:t>
            </w:r>
          </w:p>
        </w:tc>
        <w:tc>
          <w:tcPr>
            <w:tcW w:w="3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有机物</w:t>
            </w:r>
          </w:p>
        </w:tc>
        <w:tc>
          <w:tcPr>
            <w:tcW w:w="57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T</w:t>
            </w:r>
          </w:p>
        </w:tc>
        <w:tc>
          <w:tcPr>
            <w:tcW w:w="36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12</w:t>
            </w:r>
          </w:p>
        </w:tc>
        <w:tc>
          <w:tcPr>
            <w:tcW w:w="40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900-299-12</w:t>
            </w:r>
          </w:p>
        </w:tc>
        <w:tc>
          <w:tcPr>
            <w:tcW w:w="3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pacing w:val="1"/>
                <w:sz w:val="21"/>
                <w:szCs w:val="21"/>
                <w:lang w:val="en-US" w:eastAsia="zh-CN"/>
              </w:rPr>
              <w:t>5</w:t>
            </w:r>
          </w:p>
        </w:tc>
        <w:tc>
          <w:tcPr>
            <w:tcW w:w="698"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存放在危废暂存</w:t>
            </w:r>
            <w:r>
              <w:rPr>
                <w:rFonts w:hint="default" w:ascii="Times New Roman" w:hAnsi="Times New Roman" w:cs="Times New Roman"/>
                <w:color w:val="auto"/>
                <w:spacing w:val="6"/>
                <w:sz w:val="21"/>
                <w:szCs w:val="21"/>
              </w:rPr>
              <w:t>间内，分类、分区存放，之后由</w:t>
            </w:r>
            <w:r>
              <w:rPr>
                <w:rFonts w:hint="default" w:ascii="Times New Roman" w:hAnsi="Times New Roman" w:cs="Times New Roman"/>
                <w:color w:val="auto"/>
                <w:spacing w:val="7"/>
                <w:sz w:val="21"/>
                <w:szCs w:val="21"/>
              </w:rPr>
              <w:t>原厂家回用再利</w:t>
            </w:r>
            <w:r>
              <w:rPr>
                <w:rFonts w:hint="default" w:ascii="Times New Roman" w:hAnsi="Times New Roman" w:cs="Times New Roman"/>
                <w:color w:val="auto"/>
                <w:spacing w:val="8"/>
                <w:sz w:val="21"/>
                <w:szCs w:val="21"/>
              </w:rPr>
              <w:t>用或委托有资质</w:t>
            </w:r>
            <w:r>
              <w:rPr>
                <w:rFonts w:hint="default" w:ascii="Times New Roman" w:hAnsi="Times New Roman" w:cs="Times New Roman"/>
                <w:color w:val="auto"/>
                <w:spacing w:val="6"/>
                <w:sz w:val="21"/>
                <w:szCs w:val="21"/>
              </w:rPr>
              <w:t>单位处理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废胶水</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复合</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液态</w:t>
            </w:r>
          </w:p>
        </w:tc>
        <w:tc>
          <w:tcPr>
            <w:tcW w:w="3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有机物</w:t>
            </w:r>
          </w:p>
        </w:tc>
        <w:tc>
          <w:tcPr>
            <w:tcW w:w="57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T</w:t>
            </w:r>
          </w:p>
        </w:tc>
        <w:tc>
          <w:tcPr>
            <w:tcW w:w="36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13</w:t>
            </w:r>
          </w:p>
        </w:tc>
        <w:tc>
          <w:tcPr>
            <w:tcW w:w="40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900-014-13</w:t>
            </w:r>
          </w:p>
        </w:tc>
        <w:tc>
          <w:tcPr>
            <w:tcW w:w="3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pacing w:val="1"/>
                <w:sz w:val="21"/>
                <w:szCs w:val="21"/>
                <w:lang w:val="en-US" w:eastAsia="zh-CN"/>
              </w:rPr>
              <w:t>5</w:t>
            </w:r>
          </w:p>
        </w:tc>
        <w:tc>
          <w:tcPr>
            <w:tcW w:w="69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废弃包装桶</w:t>
            </w:r>
            <w:r>
              <w:rPr>
                <w:rFonts w:hint="default" w:ascii="Times New Roman" w:hAnsi="Times New Roman" w:cs="Times New Roman"/>
                <w:color w:val="auto"/>
                <w:spacing w:val="33"/>
                <w:sz w:val="21"/>
                <w:szCs w:val="21"/>
              </w:rPr>
              <w:t>（墨包装</w:t>
            </w:r>
            <w:r>
              <w:rPr>
                <w:rFonts w:hint="default" w:ascii="Times New Roman" w:hAnsi="Times New Roman" w:cs="Times New Roman"/>
                <w:color w:val="auto"/>
                <w:spacing w:val="8"/>
                <w:sz w:val="21"/>
                <w:szCs w:val="21"/>
              </w:rPr>
              <w:t>桶、胶水包装桶，稀释剂正丙酯、异丙醇包装</w:t>
            </w:r>
            <w:r>
              <w:rPr>
                <w:rFonts w:hint="default" w:ascii="Times New Roman" w:hAnsi="Times New Roman" w:cs="Times New Roman"/>
                <w:color w:val="auto"/>
                <w:spacing w:val="-1"/>
                <w:sz w:val="21"/>
                <w:szCs w:val="21"/>
              </w:rPr>
              <w:t>桶）</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3"/>
                <w:sz w:val="21"/>
                <w:szCs w:val="21"/>
              </w:rPr>
              <w:t>印刷、复</w:t>
            </w:r>
            <w:r>
              <w:rPr>
                <w:rFonts w:hint="default" w:ascii="Times New Roman" w:hAnsi="Times New Roman" w:cs="Times New Roman"/>
                <w:color w:val="auto"/>
                <w:sz w:val="21"/>
                <w:szCs w:val="21"/>
              </w:rPr>
              <w:t>合</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液态</w:t>
            </w:r>
          </w:p>
        </w:tc>
        <w:tc>
          <w:tcPr>
            <w:tcW w:w="34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57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T</w:t>
            </w:r>
          </w:p>
        </w:tc>
        <w:tc>
          <w:tcPr>
            <w:tcW w:w="36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49</w:t>
            </w:r>
          </w:p>
        </w:tc>
        <w:tc>
          <w:tcPr>
            <w:tcW w:w="40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900-041-49</w:t>
            </w:r>
          </w:p>
        </w:tc>
        <w:tc>
          <w:tcPr>
            <w:tcW w:w="3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50</w:t>
            </w:r>
          </w:p>
        </w:tc>
        <w:tc>
          <w:tcPr>
            <w:tcW w:w="69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pacing w:val="7"/>
                <w:sz w:val="21"/>
                <w:szCs w:val="21"/>
              </w:rPr>
              <w:t>废抹布</w:t>
            </w:r>
            <w:r>
              <w:rPr>
                <w:rFonts w:hint="default" w:ascii="Times New Roman" w:hAnsi="Times New Roman" w:cs="Times New Roman"/>
                <w:color w:val="auto"/>
                <w:spacing w:val="7"/>
                <w:sz w:val="21"/>
                <w:szCs w:val="21"/>
                <w:lang w:eastAsia="zh-CN"/>
              </w:rPr>
              <w:t>（</w:t>
            </w:r>
            <w:r>
              <w:rPr>
                <w:rFonts w:hint="default" w:ascii="Times New Roman" w:hAnsi="Times New Roman" w:cs="Times New Roman"/>
                <w:color w:val="auto"/>
                <w:spacing w:val="7"/>
                <w:sz w:val="21"/>
                <w:szCs w:val="21"/>
              </w:rPr>
              <w:t>沾有</w:t>
            </w:r>
            <w:r>
              <w:rPr>
                <w:rFonts w:hint="default" w:ascii="Times New Roman" w:hAnsi="Times New Roman" w:cs="Times New Roman"/>
                <w:color w:val="auto"/>
                <w:spacing w:val="2"/>
                <w:sz w:val="21"/>
                <w:szCs w:val="21"/>
              </w:rPr>
              <w:t>胶水、油墨、</w:t>
            </w:r>
            <w:r>
              <w:rPr>
                <w:rFonts w:hint="default" w:ascii="Times New Roman" w:hAnsi="Times New Roman" w:cs="Times New Roman"/>
                <w:color w:val="auto"/>
                <w:spacing w:val="7"/>
                <w:sz w:val="21"/>
                <w:szCs w:val="21"/>
              </w:rPr>
              <w:t>稀释剂等</w:t>
            </w:r>
            <w:r>
              <w:rPr>
                <w:rFonts w:hint="default" w:ascii="Times New Roman" w:hAnsi="Times New Roman" w:cs="Times New Roman"/>
                <w:color w:val="auto"/>
                <w:spacing w:val="7"/>
                <w:sz w:val="21"/>
                <w:szCs w:val="21"/>
                <w:lang w:eastAsia="zh-CN"/>
              </w:rPr>
              <w:t>）</w:t>
            </w:r>
          </w:p>
        </w:tc>
        <w:tc>
          <w:tcPr>
            <w:tcW w:w="4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13"/>
                <w:sz w:val="21"/>
                <w:szCs w:val="21"/>
              </w:rPr>
              <w:t>印刷、复</w:t>
            </w:r>
            <w:r>
              <w:rPr>
                <w:rFonts w:hint="default" w:ascii="Times New Roman" w:hAnsi="Times New Roman" w:cs="Times New Roman"/>
                <w:color w:val="auto"/>
                <w:sz w:val="21"/>
                <w:szCs w:val="21"/>
              </w:rPr>
              <w:t>合</w:t>
            </w:r>
          </w:p>
        </w:tc>
        <w:tc>
          <w:tcPr>
            <w:tcW w:w="2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5"/>
                <w:sz w:val="21"/>
                <w:szCs w:val="21"/>
              </w:rPr>
              <w:t>固态</w:t>
            </w:r>
          </w:p>
        </w:tc>
        <w:tc>
          <w:tcPr>
            <w:tcW w:w="34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3"/>
                <w:position w:val="3"/>
                <w:sz w:val="21"/>
                <w:szCs w:val="21"/>
              </w:rPr>
              <w:t>/</w:t>
            </w:r>
          </w:p>
        </w:tc>
        <w:tc>
          <w:tcPr>
            <w:tcW w:w="57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Arial" w:cs="Times New Roman"/>
                <w:snapToGrid w:val="0"/>
                <w:color w:val="auto"/>
                <w:kern w:val="0"/>
                <w:sz w:val="21"/>
                <w:szCs w:val="21"/>
                <w:lang w:val="en-US" w:eastAsia="en-US" w:bidi="ar-SA"/>
              </w:rPr>
            </w:pPr>
          </w:p>
        </w:tc>
        <w:tc>
          <w:tcPr>
            <w:tcW w:w="35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2"/>
                <w:sz w:val="21"/>
                <w:szCs w:val="21"/>
              </w:rPr>
              <w:t>T</w:t>
            </w:r>
          </w:p>
        </w:tc>
        <w:tc>
          <w:tcPr>
            <w:tcW w:w="36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HW</w:t>
            </w:r>
            <w:r>
              <w:rPr>
                <w:rFonts w:hint="default" w:ascii="Times New Roman" w:hAnsi="Times New Roman" w:eastAsia="Calibri" w:cs="Times New Roman"/>
                <w:color w:val="auto"/>
                <w:spacing w:val="2"/>
                <w:sz w:val="21"/>
                <w:szCs w:val="21"/>
              </w:rPr>
              <w:t>49</w:t>
            </w:r>
          </w:p>
        </w:tc>
        <w:tc>
          <w:tcPr>
            <w:tcW w:w="40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3"/>
                <w:sz w:val="21"/>
                <w:szCs w:val="21"/>
              </w:rPr>
              <w:t>900-041-49</w:t>
            </w:r>
          </w:p>
        </w:tc>
        <w:tc>
          <w:tcPr>
            <w:tcW w:w="3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Calibri" w:cs="Times New Roman"/>
                <w:color w:val="auto"/>
                <w:sz w:val="21"/>
                <w:szCs w:val="21"/>
              </w:rPr>
              <w:t>1</w:t>
            </w:r>
            <w:r>
              <w:rPr>
                <w:rFonts w:hint="eastAsia" w:ascii="Times New Roman" w:hAnsi="Times New Roman" w:eastAsia="宋体" w:cs="Times New Roman"/>
                <w:color w:val="auto"/>
                <w:sz w:val="21"/>
                <w:szCs w:val="21"/>
                <w:lang w:val="en-US" w:eastAsia="zh-CN"/>
              </w:rPr>
              <w:t>2</w:t>
            </w:r>
          </w:p>
        </w:tc>
        <w:tc>
          <w:tcPr>
            <w:tcW w:w="69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bl>
    <w:p>
      <w:pPr>
        <w:rPr>
          <w:rFonts w:ascii="Arial"/>
          <w:color w:val="auto"/>
          <w:sz w:val="10"/>
          <w:szCs w:val="10"/>
        </w:rPr>
      </w:pPr>
    </w:p>
    <w:p>
      <w:pPr>
        <w:rPr>
          <w:rFonts w:ascii="Arial" w:hAnsi="Arial" w:eastAsia="Arial" w:cs="Arial"/>
          <w:color w:val="auto"/>
          <w:sz w:val="10"/>
          <w:szCs w:val="10"/>
        </w:rPr>
        <w:sectPr>
          <w:pgSz w:w="16839" w:h="11905"/>
          <w:pgMar w:top="1440" w:right="1803" w:bottom="1440" w:left="1803" w:header="0" w:footer="1127"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危险废物贮存场所（设施）基本情况表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85"/>
        <w:gridCol w:w="2074"/>
        <w:gridCol w:w="1063"/>
        <w:gridCol w:w="985"/>
        <w:gridCol w:w="1138"/>
        <w:gridCol w:w="1093"/>
        <w:gridCol w:w="88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73" w:hRule="atLeast"/>
        </w:trPr>
        <w:tc>
          <w:tcPr>
            <w:tcW w:w="65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贮存场所</w:t>
            </w:r>
            <w:r>
              <w:rPr>
                <w:rFonts w:hint="default" w:ascii="Times New Roman" w:hAnsi="Times New Roman" w:cs="Times New Roman"/>
                <w:b/>
                <w:bCs/>
                <w:color w:val="auto"/>
                <w:spacing w:val="1"/>
                <w:sz w:val="21"/>
                <w:szCs w:val="21"/>
              </w:rPr>
              <w:t>（设施）</w:t>
            </w:r>
          </w:p>
        </w:tc>
        <w:tc>
          <w:tcPr>
            <w:tcW w:w="12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危险废物</w:t>
            </w:r>
          </w:p>
        </w:tc>
        <w:tc>
          <w:tcPr>
            <w:tcW w:w="63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位置</w:t>
            </w:r>
          </w:p>
        </w:tc>
        <w:tc>
          <w:tcPr>
            <w:tcW w:w="59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占地面积</w:t>
            </w:r>
            <w:r>
              <w:rPr>
                <w:rFonts w:hint="default" w:ascii="Times New Roman" w:hAnsi="Times New Roman" w:cs="Times New Roman"/>
                <w:b/>
                <w:bCs/>
                <w:color w:val="auto"/>
                <w:spacing w:val="-1"/>
                <w:sz w:val="21"/>
                <w:szCs w:val="21"/>
              </w:rPr>
              <w:t>（</w:t>
            </w:r>
            <w:r>
              <w:rPr>
                <w:rFonts w:hint="default" w:ascii="Times New Roman" w:hAnsi="Times New Roman" w:eastAsia="Calibri" w:cs="Times New Roman"/>
                <w:b/>
                <w:bCs/>
                <w:color w:val="auto"/>
                <w:spacing w:val="-1"/>
                <w:sz w:val="21"/>
                <w:szCs w:val="21"/>
              </w:rPr>
              <w:t>m</w:t>
            </w:r>
            <w:r>
              <w:rPr>
                <w:rFonts w:hint="eastAsia" w:ascii="Times New Roman" w:hAnsi="Times New Roman" w:eastAsia="宋体" w:cs="Times New Roman"/>
                <w:b/>
                <w:bCs/>
                <w:color w:val="auto"/>
                <w:spacing w:val="-1"/>
                <w:sz w:val="21"/>
                <w:szCs w:val="21"/>
                <w:vertAlign w:val="superscript"/>
                <w:lang w:val="en-US" w:eastAsia="zh-CN"/>
              </w:rPr>
              <w:t>2</w:t>
            </w:r>
            <w:r>
              <w:rPr>
                <w:rFonts w:hint="default" w:ascii="Times New Roman" w:hAnsi="Times New Roman" w:cs="Times New Roman"/>
                <w:b/>
                <w:bCs/>
                <w:color w:val="auto"/>
                <w:spacing w:val="-1"/>
                <w:sz w:val="21"/>
                <w:szCs w:val="21"/>
              </w:rPr>
              <w:t>）</w:t>
            </w:r>
          </w:p>
        </w:tc>
        <w:tc>
          <w:tcPr>
            <w:tcW w:w="68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贮存方式</w:t>
            </w:r>
          </w:p>
        </w:tc>
        <w:tc>
          <w:tcPr>
            <w:tcW w:w="65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w:t>
            </w:r>
            <w:r>
              <w:rPr>
                <w:rFonts w:hint="default" w:ascii="Times New Roman" w:hAnsi="Times New Roman" w:cs="Times New Roman"/>
                <w:b/>
                <w:bCs/>
                <w:color w:val="auto"/>
                <w:spacing w:val="-1"/>
                <w:sz w:val="21"/>
                <w:szCs w:val="21"/>
              </w:rPr>
              <w:t>能力</w:t>
            </w:r>
          </w:p>
        </w:tc>
        <w:tc>
          <w:tcPr>
            <w:tcW w:w="5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贮存周期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92" w:hRule="atLeast"/>
        </w:trPr>
        <w:tc>
          <w:tcPr>
            <w:tcW w:w="65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危险废物暂</w:t>
            </w:r>
            <w:r>
              <w:rPr>
                <w:rFonts w:hint="default" w:ascii="Times New Roman" w:hAnsi="Times New Roman" w:cs="Times New Roman"/>
                <w:color w:val="auto"/>
                <w:spacing w:val="5"/>
                <w:sz w:val="21"/>
                <w:szCs w:val="21"/>
              </w:rPr>
              <w:t>存间</w:t>
            </w:r>
          </w:p>
        </w:tc>
        <w:tc>
          <w:tcPr>
            <w:tcW w:w="12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1"/>
                <w:sz w:val="21"/>
                <w:szCs w:val="21"/>
              </w:rPr>
              <w:t>废油墨、废胶水、废弃包装桶、</w:t>
            </w:r>
            <w:r>
              <w:rPr>
                <w:rFonts w:hint="default" w:ascii="Times New Roman" w:hAnsi="Times New Roman" w:cs="Times New Roman"/>
                <w:color w:val="auto"/>
                <w:spacing w:val="8"/>
                <w:sz w:val="21"/>
                <w:szCs w:val="21"/>
              </w:rPr>
              <w:t>废沾染抹布</w:t>
            </w:r>
          </w:p>
        </w:tc>
        <w:tc>
          <w:tcPr>
            <w:tcW w:w="63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生产厂房东</w:t>
            </w:r>
            <w:r>
              <w:rPr>
                <w:rFonts w:hint="default" w:ascii="Times New Roman" w:hAnsi="Times New Roman" w:cs="Times New Roman"/>
                <w:color w:val="auto"/>
                <w:spacing w:val="3"/>
                <w:sz w:val="21"/>
                <w:szCs w:val="21"/>
              </w:rPr>
              <w:t>南侧</w:t>
            </w:r>
          </w:p>
        </w:tc>
        <w:tc>
          <w:tcPr>
            <w:tcW w:w="5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50</w:t>
            </w:r>
          </w:p>
        </w:tc>
        <w:tc>
          <w:tcPr>
            <w:tcW w:w="68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封闭</w:t>
            </w:r>
            <w:r>
              <w:rPr>
                <w:rFonts w:hint="default" w:ascii="Times New Roman" w:hAnsi="Times New Roman" w:cs="Times New Roman"/>
                <w:color w:val="auto"/>
                <w:sz w:val="21"/>
                <w:szCs w:val="21"/>
              </w:rPr>
              <w:t>式</w:t>
            </w:r>
          </w:p>
        </w:tc>
        <w:tc>
          <w:tcPr>
            <w:tcW w:w="6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10t</w:t>
            </w:r>
          </w:p>
        </w:tc>
        <w:tc>
          <w:tcPr>
            <w:tcW w:w="5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7"/>
                <w:sz w:val="21"/>
                <w:szCs w:val="21"/>
              </w:rPr>
              <w:t>1</w:t>
            </w:r>
            <w:r>
              <w:rPr>
                <w:rFonts w:hint="default" w:ascii="Times New Roman" w:hAnsi="Times New Roman" w:cs="Times New Roman"/>
                <w:color w:val="auto"/>
                <w:spacing w:val="-7"/>
                <w:sz w:val="21"/>
                <w:szCs w:val="21"/>
              </w:rPr>
              <w:t>月</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9</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一般工业固废贮存场所（设施）基本情况表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36"/>
        <w:gridCol w:w="1993"/>
        <w:gridCol w:w="1043"/>
        <w:gridCol w:w="1141"/>
        <w:gridCol w:w="1161"/>
        <w:gridCol w:w="863"/>
        <w:gridCol w:w="88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贮存场所</w:t>
            </w:r>
            <w:r>
              <w:rPr>
                <w:rFonts w:hint="default" w:ascii="Times New Roman" w:hAnsi="Times New Roman" w:cs="Times New Roman"/>
                <w:b/>
                <w:bCs/>
                <w:color w:val="auto"/>
                <w:spacing w:val="1"/>
                <w:sz w:val="21"/>
                <w:szCs w:val="21"/>
              </w:rPr>
              <w:t>（设施）</w:t>
            </w:r>
          </w:p>
        </w:tc>
        <w:tc>
          <w:tcPr>
            <w:tcW w:w="11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一般工业固废</w:t>
            </w:r>
          </w:p>
        </w:tc>
        <w:tc>
          <w:tcPr>
            <w:tcW w:w="62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位置</w:t>
            </w:r>
          </w:p>
        </w:tc>
        <w:tc>
          <w:tcPr>
            <w:tcW w:w="68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占地面积</w:t>
            </w:r>
            <w:r>
              <w:rPr>
                <w:rFonts w:hint="default" w:ascii="Times New Roman" w:hAnsi="Times New Roman" w:cs="Times New Roman"/>
                <w:b/>
                <w:bCs/>
                <w:color w:val="auto"/>
                <w:spacing w:val="-1"/>
                <w:sz w:val="21"/>
                <w:szCs w:val="21"/>
              </w:rPr>
              <w:t>（</w:t>
            </w:r>
            <w:r>
              <w:rPr>
                <w:rFonts w:hint="default" w:ascii="Times New Roman" w:hAnsi="Times New Roman" w:eastAsia="Calibri" w:cs="Times New Roman"/>
                <w:b/>
                <w:bCs/>
                <w:color w:val="auto"/>
                <w:spacing w:val="-1"/>
                <w:sz w:val="21"/>
                <w:szCs w:val="21"/>
              </w:rPr>
              <w:t>m</w:t>
            </w:r>
            <w:r>
              <w:rPr>
                <w:rFonts w:hint="eastAsia" w:ascii="Times New Roman" w:hAnsi="Times New Roman" w:eastAsia="宋体" w:cs="Times New Roman"/>
                <w:b/>
                <w:bCs/>
                <w:color w:val="auto"/>
                <w:spacing w:val="-1"/>
                <w:sz w:val="21"/>
                <w:szCs w:val="21"/>
                <w:vertAlign w:val="superscript"/>
                <w:lang w:val="en-US" w:eastAsia="zh-CN"/>
              </w:rPr>
              <w:t>2</w:t>
            </w:r>
            <w:r>
              <w:rPr>
                <w:rFonts w:hint="default" w:ascii="Times New Roman" w:hAnsi="Times New Roman" w:cs="Times New Roman"/>
                <w:b/>
                <w:bCs/>
                <w:color w:val="auto"/>
                <w:spacing w:val="-1"/>
                <w:sz w:val="21"/>
                <w:szCs w:val="21"/>
              </w:rPr>
              <w:t>）</w:t>
            </w:r>
          </w:p>
        </w:tc>
        <w:tc>
          <w:tcPr>
            <w:tcW w:w="69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贮存方式</w:t>
            </w:r>
          </w:p>
        </w:tc>
        <w:tc>
          <w:tcPr>
            <w:tcW w:w="51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w:t>
            </w:r>
            <w:r>
              <w:rPr>
                <w:rFonts w:hint="default" w:ascii="Times New Roman" w:hAnsi="Times New Roman" w:cs="Times New Roman"/>
                <w:b/>
                <w:bCs/>
                <w:color w:val="auto"/>
                <w:spacing w:val="-1"/>
                <w:sz w:val="21"/>
                <w:szCs w:val="21"/>
              </w:rPr>
              <w:t>能力</w:t>
            </w:r>
          </w:p>
        </w:tc>
        <w:tc>
          <w:tcPr>
            <w:tcW w:w="5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贮存周期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4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一般工业固废贮存间</w:t>
            </w:r>
          </w:p>
        </w:tc>
        <w:tc>
          <w:tcPr>
            <w:tcW w:w="119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塑料膜边角料以及不合格产品</w:t>
            </w:r>
          </w:p>
        </w:tc>
        <w:tc>
          <w:tcPr>
            <w:tcW w:w="62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生产厂房东</w:t>
            </w:r>
            <w:r>
              <w:rPr>
                <w:rFonts w:hint="default" w:ascii="Times New Roman" w:hAnsi="Times New Roman" w:cs="Times New Roman"/>
                <w:color w:val="auto"/>
                <w:spacing w:val="3"/>
                <w:sz w:val="21"/>
                <w:szCs w:val="21"/>
              </w:rPr>
              <w:t>南侧</w:t>
            </w:r>
          </w:p>
        </w:tc>
        <w:tc>
          <w:tcPr>
            <w:tcW w:w="68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2"/>
                <w:sz w:val="21"/>
                <w:szCs w:val="21"/>
                <w:lang w:val="en-US" w:eastAsia="zh-CN"/>
              </w:rPr>
              <w:t>50</w:t>
            </w:r>
          </w:p>
        </w:tc>
        <w:tc>
          <w:tcPr>
            <w:tcW w:w="69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封闭</w:t>
            </w:r>
            <w:r>
              <w:rPr>
                <w:rFonts w:hint="default" w:ascii="Times New Roman" w:hAnsi="Times New Roman" w:cs="Times New Roman"/>
                <w:color w:val="auto"/>
                <w:sz w:val="21"/>
                <w:szCs w:val="21"/>
              </w:rPr>
              <w:t>式</w:t>
            </w:r>
          </w:p>
        </w:tc>
        <w:tc>
          <w:tcPr>
            <w:tcW w:w="51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10t</w:t>
            </w:r>
          </w:p>
        </w:tc>
        <w:tc>
          <w:tcPr>
            <w:tcW w:w="5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7"/>
                <w:sz w:val="21"/>
                <w:szCs w:val="21"/>
              </w:rPr>
              <w:t>1</w:t>
            </w:r>
            <w:r>
              <w:rPr>
                <w:rFonts w:hint="default" w:ascii="Times New Roman" w:hAnsi="Times New Roman" w:cs="Times New Roman"/>
                <w:color w:val="auto"/>
                <w:spacing w:val="-7"/>
                <w:sz w:val="21"/>
                <w:szCs w:val="21"/>
              </w:rPr>
              <w:t>周</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污染物排放量汇总</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本项目污染物排放汇总见表</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.2-10。</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10</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本项目污染物排放汇总表（t/a）</w:t>
      </w:r>
    </w:p>
    <w:tbl>
      <w:tblPr>
        <w:tblStyle w:val="29"/>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328"/>
        <w:gridCol w:w="2562"/>
        <w:gridCol w:w="1497"/>
        <w:gridCol w:w="1497"/>
        <w:gridCol w:w="150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类别</w:t>
            </w:r>
          </w:p>
        </w:tc>
        <w:tc>
          <w:tcPr>
            <w:tcW w:w="1527"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污染物名称</w:t>
            </w:r>
          </w:p>
        </w:tc>
        <w:tc>
          <w:tcPr>
            <w:tcW w:w="2679"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污染物产生及排放量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2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position w:val="3"/>
                <w:sz w:val="21"/>
                <w:szCs w:val="21"/>
              </w:rPr>
              <w:t>产生量（</w:t>
            </w:r>
            <w:r>
              <w:rPr>
                <w:rFonts w:hint="default" w:ascii="Times New Roman" w:hAnsi="Times New Roman" w:eastAsia="Calibri" w:cs="Times New Roman"/>
                <w:b/>
                <w:bCs/>
                <w:color w:val="auto"/>
                <w:spacing w:val="2"/>
                <w:position w:val="3"/>
                <w:sz w:val="21"/>
                <w:szCs w:val="21"/>
              </w:rPr>
              <w:t>t/a</w:t>
            </w:r>
            <w:r>
              <w:rPr>
                <w:rFonts w:hint="default" w:ascii="Times New Roman" w:hAnsi="Times New Roman" w:cs="Times New Roman"/>
                <w:b/>
                <w:bCs/>
                <w:color w:val="auto"/>
                <w:spacing w:val="2"/>
                <w:position w:val="3"/>
                <w:sz w:val="21"/>
                <w:szCs w:val="21"/>
              </w:rPr>
              <w:t>）</w:t>
            </w:r>
          </w:p>
        </w:tc>
        <w:tc>
          <w:tcPr>
            <w:tcW w:w="8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position w:val="3"/>
                <w:sz w:val="21"/>
                <w:szCs w:val="21"/>
              </w:rPr>
              <w:t>消减量（</w:t>
            </w:r>
            <w:r>
              <w:rPr>
                <w:rFonts w:hint="default" w:ascii="Times New Roman" w:hAnsi="Times New Roman" w:eastAsia="Calibri" w:cs="Times New Roman"/>
                <w:b/>
                <w:bCs/>
                <w:color w:val="auto"/>
                <w:spacing w:val="2"/>
                <w:position w:val="3"/>
                <w:sz w:val="21"/>
                <w:szCs w:val="21"/>
              </w:rPr>
              <w:t>t/a</w:t>
            </w:r>
            <w:r>
              <w:rPr>
                <w:rFonts w:hint="default" w:ascii="Times New Roman" w:hAnsi="Times New Roman" w:cs="Times New Roman"/>
                <w:b/>
                <w:bCs/>
                <w:color w:val="auto"/>
                <w:spacing w:val="2"/>
                <w:position w:val="3"/>
                <w:sz w:val="21"/>
                <w:szCs w:val="21"/>
              </w:rPr>
              <w:t>）</w:t>
            </w:r>
          </w:p>
        </w:tc>
        <w:tc>
          <w:tcPr>
            <w:tcW w:w="89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position w:val="3"/>
                <w:sz w:val="21"/>
                <w:szCs w:val="21"/>
              </w:rPr>
              <w:t>排放量（</w:t>
            </w:r>
            <w:r>
              <w:rPr>
                <w:rFonts w:hint="default" w:ascii="Times New Roman" w:hAnsi="Times New Roman" w:eastAsia="Calibri" w:cs="Times New Roman"/>
                <w:b/>
                <w:bCs/>
                <w:color w:val="auto"/>
                <w:spacing w:val="2"/>
                <w:position w:val="3"/>
                <w:sz w:val="21"/>
                <w:szCs w:val="21"/>
              </w:rPr>
              <w:t>t/a</w:t>
            </w:r>
            <w:r>
              <w:rPr>
                <w:rFonts w:hint="default" w:ascii="Times New Roman" w:hAnsi="Times New Roman" w:cs="Times New Roman"/>
                <w:b/>
                <w:bCs/>
                <w:color w:val="auto"/>
                <w:spacing w:val="2"/>
                <w:position w:val="3"/>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废气</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（有组织）</w:t>
            </w:r>
          </w:p>
        </w:tc>
        <w:tc>
          <w:tcPr>
            <w:tcW w:w="15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1143</w:t>
            </w:r>
            <w:r>
              <w:rPr>
                <w:rFonts w:hint="eastAsia" w:ascii="Times New Roman" w:hAnsi="Times New Roman" w:eastAsia="宋体" w:cs="Times New Roman"/>
                <w:color w:val="auto"/>
                <w:spacing w:val="2"/>
                <w:sz w:val="21"/>
                <w:szCs w:val="21"/>
                <w:lang w:val="en-US" w:eastAsia="zh-CN"/>
              </w:rPr>
              <w:t>.855</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11</w:t>
            </w:r>
            <w:r>
              <w:rPr>
                <w:rFonts w:hint="eastAsia" w:ascii="Times New Roman" w:hAnsi="Times New Roman" w:eastAsia="宋体" w:cs="Times New Roman"/>
                <w:color w:val="auto"/>
                <w:spacing w:val="2"/>
                <w:sz w:val="21"/>
                <w:szCs w:val="21"/>
                <w:lang w:val="en-US" w:eastAsia="zh-CN"/>
              </w:rPr>
              <w:t>20.978</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2"/>
                <w:sz w:val="21"/>
                <w:szCs w:val="21"/>
                <w:lang w:val="en-US" w:eastAsia="zh-CN"/>
              </w:rPr>
              <w:t>22.877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9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7"/>
                <w:position w:val="-1"/>
                <w:sz w:val="21"/>
                <w:szCs w:val="21"/>
                <w:vertAlign w:val="subscript"/>
              </w:rPr>
              <w:t>2</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snapToGrid w:val="0"/>
                <w:color w:val="auto"/>
                <w:kern w:val="0"/>
                <w:sz w:val="21"/>
                <w:szCs w:val="21"/>
                <w:lang w:val="en-US" w:eastAsia="zh-CN" w:bidi="ar-SA"/>
              </w:rPr>
              <w:t>0.009</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snapToGrid w:val="0"/>
                <w:color w:val="auto"/>
                <w:kern w:val="0"/>
                <w:sz w:val="21"/>
                <w:szCs w:val="21"/>
                <w:lang w:val="en-US" w:eastAsia="zh-CN" w:bidi="ar-SA"/>
              </w:rPr>
              <w:t>0.009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NOx</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snapToGrid w:val="0"/>
                <w:color w:val="auto"/>
                <w:kern w:val="0"/>
                <w:sz w:val="21"/>
                <w:szCs w:val="21"/>
                <w:lang w:val="en-US" w:eastAsia="zh-CN" w:bidi="ar-SA"/>
              </w:rPr>
              <w:t>0.0567</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snapToGrid w:val="0"/>
                <w:color w:val="auto"/>
                <w:kern w:val="0"/>
                <w:sz w:val="21"/>
                <w:szCs w:val="21"/>
                <w:lang w:val="en-US" w:eastAsia="zh-CN" w:bidi="ar-SA"/>
              </w:rPr>
              <w:t>0.0567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废气</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（无组织）</w:t>
            </w:r>
          </w:p>
        </w:tc>
        <w:tc>
          <w:tcPr>
            <w:tcW w:w="15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1.14</w:t>
            </w:r>
            <w:r>
              <w:rPr>
                <w:rFonts w:hint="eastAsia" w:ascii="Times New Roman" w:hAnsi="Times New Roman" w:eastAsia="宋体" w:cs="Times New Roman"/>
                <w:color w:val="auto"/>
                <w:sz w:val="21"/>
                <w:szCs w:val="21"/>
                <w:lang w:val="en-US" w:eastAsia="zh-CN"/>
              </w:rPr>
              <w:t>5</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1.14</w:t>
            </w:r>
            <w:r>
              <w:rPr>
                <w:rFonts w:hint="eastAsia" w:ascii="Times New Roman" w:hAnsi="Times New Roman" w:eastAsia="宋体" w:cs="Times New Roman"/>
                <w:color w:val="auto"/>
                <w:sz w:val="21"/>
                <w:szCs w:val="21"/>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废水</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（生活污水</w:t>
            </w:r>
            <w:r>
              <w:rPr>
                <w:rFonts w:hint="eastAsia" w:ascii="Times New Roman" w:hAnsi="Times New Roman" w:eastAsia="宋体" w:cs="Times New Roman"/>
                <w:color w:val="auto"/>
                <w:spacing w:val="5"/>
                <w:sz w:val="21"/>
                <w:szCs w:val="21"/>
                <w:lang w:eastAsia="zh-CN"/>
              </w:rPr>
              <w:t>、</w:t>
            </w:r>
            <w:r>
              <w:rPr>
                <w:rFonts w:hint="eastAsia" w:ascii="Times New Roman" w:hAnsi="Times New Roman" w:eastAsia="宋体" w:cs="Times New Roman"/>
                <w:color w:val="auto"/>
                <w:spacing w:val="5"/>
                <w:sz w:val="21"/>
                <w:szCs w:val="21"/>
                <w:lang w:val="en-US" w:eastAsia="zh-CN"/>
              </w:rPr>
              <w:t>其他</w:t>
            </w:r>
            <w:r>
              <w:rPr>
                <w:rFonts w:hint="default" w:ascii="Times New Roman" w:hAnsi="Times New Roman" w:eastAsia="宋体" w:cs="Times New Roman"/>
                <w:color w:val="auto"/>
                <w:spacing w:val="5"/>
                <w:sz w:val="21"/>
                <w:szCs w:val="21"/>
              </w:rPr>
              <w:t>生活污水</w:t>
            </w:r>
            <w:r>
              <w:rPr>
                <w:rFonts w:hint="eastAsia" w:ascii="Times New Roman" w:hAnsi="Times New Roman" w:eastAsia="宋体" w:cs="Times New Roman"/>
                <w:color w:val="auto"/>
                <w:spacing w:val="5"/>
                <w:sz w:val="21"/>
                <w:szCs w:val="21"/>
                <w:lang w:eastAsia="zh-CN"/>
              </w:rPr>
              <w:t>、</w:t>
            </w:r>
            <w:r>
              <w:rPr>
                <w:rFonts w:hint="eastAsia" w:ascii="Times New Roman" w:hAnsi="Times New Roman" w:eastAsia="宋体" w:cs="Times New Roman"/>
                <w:color w:val="auto"/>
                <w:spacing w:val="5"/>
                <w:sz w:val="21"/>
                <w:szCs w:val="21"/>
                <w:lang w:val="en-US" w:eastAsia="zh-CN"/>
              </w:rPr>
              <w:t>制软水废水及蓄水箱清洗</w:t>
            </w:r>
            <w:r>
              <w:rPr>
                <w:rFonts w:hint="default" w:ascii="Times New Roman" w:hAnsi="Times New Roman" w:eastAsia="宋体" w:cs="Times New Roman"/>
                <w:color w:val="auto"/>
                <w:spacing w:val="5"/>
                <w:sz w:val="21"/>
                <w:szCs w:val="21"/>
              </w:rPr>
              <w:t>废水）</w:t>
            </w:r>
          </w:p>
        </w:tc>
        <w:tc>
          <w:tcPr>
            <w:tcW w:w="1527"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2"/>
                <w:sz w:val="21"/>
                <w:szCs w:val="21"/>
              </w:rPr>
              <w:t>COD</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highlight w:val="yellow"/>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1.665 </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1.346</w:t>
            </w:r>
          </w:p>
        </w:tc>
        <w:tc>
          <w:tcPr>
            <w:tcW w:w="893"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en-US"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0.222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92"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5"/>
                <w:sz w:val="21"/>
                <w:szCs w:val="21"/>
              </w:rPr>
            </w:pPr>
          </w:p>
        </w:tc>
        <w:tc>
          <w:tcPr>
            <w:tcW w:w="1527"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BOD</w:t>
            </w:r>
            <w:r>
              <w:rPr>
                <w:rFonts w:hint="default" w:ascii="Times New Roman" w:hAnsi="Times New Roman" w:eastAsia="Calibri" w:cs="Times New Roman"/>
                <w:color w:val="auto"/>
                <w:spacing w:val="3"/>
                <w:position w:val="-1"/>
                <w:sz w:val="21"/>
                <w:szCs w:val="21"/>
                <w:vertAlign w:val="subscript"/>
              </w:rPr>
              <w:t>5</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highlight w:val="yellow"/>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1.111 </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0.983</w:t>
            </w:r>
          </w:p>
        </w:tc>
        <w:tc>
          <w:tcPr>
            <w:tcW w:w="893"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en-US"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0.056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5"/>
                <w:sz w:val="21"/>
                <w:szCs w:val="21"/>
              </w:rPr>
            </w:pPr>
          </w:p>
        </w:tc>
        <w:tc>
          <w:tcPr>
            <w:tcW w:w="1527"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SS</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highlight w:val="yellow"/>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0.833 </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0.724</w:t>
            </w:r>
          </w:p>
        </w:tc>
        <w:tc>
          <w:tcPr>
            <w:tcW w:w="893"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en-US"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0.056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5"/>
                <w:sz w:val="21"/>
                <w:szCs w:val="21"/>
              </w:rPr>
            </w:pPr>
          </w:p>
        </w:tc>
        <w:tc>
          <w:tcPr>
            <w:tcW w:w="1527"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NH</w:t>
            </w:r>
            <w:r>
              <w:rPr>
                <w:rFonts w:hint="default" w:ascii="Times New Roman" w:hAnsi="Times New Roman" w:eastAsia="Calibri" w:cs="Times New Roman"/>
                <w:color w:val="auto"/>
                <w:spacing w:val="1"/>
                <w:position w:val="-1"/>
                <w:sz w:val="21"/>
                <w:szCs w:val="21"/>
                <w:vertAlign w:val="subscript"/>
              </w:rPr>
              <w:t>3</w:t>
            </w:r>
            <w:r>
              <w:rPr>
                <w:rFonts w:hint="default" w:ascii="Times New Roman" w:hAnsi="Times New Roman" w:eastAsia="Calibri" w:cs="Times New Roman"/>
                <w:color w:val="auto"/>
                <w:spacing w:val="1"/>
                <w:sz w:val="21"/>
                <w:szCs w:val="21"/>
              </w:rPr>
              <w:t>-N</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highlight w:val="yellow"/>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0.194 </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0.165</w:t>
            </w:r>
          </w:p>
        </w:tc>
        <w:tc>
          <w:tcPr>
            <w:tcW w:w="893"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en-US"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0.017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5"/>
                <w:sz w:val="21"/>
                <w:szCs w:val="21"/>
              </w:rPr>
            </w:pPr>
          </w:p>
        </w:tc>
        <w:tc>
          <w:tcPr>
            <w:tcW w:w="1527"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val="en-US" w:eastAsia="zh-CN"/>
              </w:rPr>
              <w:t>动植物油</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highlight w:val="yellow"/>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0.222 </w:t>
            </w:r>
          </w:p>
        </w:tc>
        <w:tc>
          <w:tcPr>
            <w:tcW w:w="89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0.202</w:t>
            </w:r>
          </w:p>
        </w:tc>
        <w:tc>
          <w:tcPr>
            <w:tcW w:w="893"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en-US"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0.006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生活垃圾</w:t>
            </w:r>
          </w:p>
        </w:tc>
        <w:tc>
          <w:tcPr>
            <w:tcW w:w="15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生活垃圾</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2"/>
                <w:sz w:val="21"/>
                <w:szCs w:val="21"/>
                <w:lang w:val="en-US" w:eastAsia="zh-CN"/>
              </w:rPr>
              <w:t>15</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2"/>
                <w:sz w:val="21"/>
                <w:szCs w:val="21"/>
                <w:lang w:val="en-US" w:eastAsia="zh-CN"/>
              </w:rPr>
              <w:t>15</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一般固废</w:t>
            </w:r>
          </w:p>
        </w:tc>
        <w:tc>
          <w:tcPr>
            <w:tcW w:w="1527" w:type="pct"/>
            <w:tcBorders>
              <w:bottom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塑料膜边角料以及不合</w:t>
            </w:r>
            <w:r>
              <w:rPr>
                <w:rFonts w:hint="default" w:ascii="Times New Roman" w:hAnsi="Times New Roman" w:cs="Times New Roman"/>
                <w:color w:val="auto"/>
                <w:spacing w:val="6"/>
                <w:sz w:val="21"/>
                <w:szCs w:val="21"/>
              </w:rPr>
              <w:t>格产品</w:t>
            </w:r>
          </w:p>
        </w:tc>
        <w:tc>
          <w:tcPr>
            <w:tcW w:w="892" w:type="pct"/>
            <w:tcBorders>
              <w:bottom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2</w:t>
            </w:r>
            <w:r>
              <w:rPr>
                <w:rFonts w:hint="eastAsia" w:ascii="Times New Roman" w:hAnsi="Times New Roman" w:eastAsia="宋体" w:cs="Times New Roman"/>
                <w:color w:val="auto"/>
                <w:sz w:val="21"/>
                <w:szCs w:val="21"/>
                <w:lang w:val="en-US" w:eastAsia="zh-CN"/>
              </w:rPr>
              <w:t>25</w:t>
            </w:r>
          </w:p>
        </w:tc>
        <w:tc>
          <w:tcPr>
            <w:tcW w:w="892" w:type="pct"/>
            <w:tcBorders>
              <w:bottom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2</w:t>
            </w:r>
            <w:r>
              <w:rPr>
                <w:rFonts w:hint="eastAsia" w:ascii="Times New Roman" w:hAnsi="Times New Roman" w:eastAsia="宋体" w:cs="Times New Roman"/>
                <w:color w:val="auto"/>
                <w:sz w:val="21"/>
                <w:szCs w:val="21"/>
                <w:lang w:val="en-US" w:eastAsia="zh-CN"/>
              </w:rPr>
              <w:t>25</w:t>
            </w:r>
          </w:p>
        </w:tc>
        <w:tc>
          <w:tcPr>
            <w:tcW w:w="893" w:type="pct"/>
            <w:tcBorders>
              <w:bottom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rPr>
            </w:pPr>
          </w:p>
        </w:tc>
        <w:tc>
          <w:tcPr>
            <w:tcW w:w="1527" w:type="pct"/>
            <w:tcBorders>
              <w:top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8"/>
                <w:sz w:val="21"/>
                <w:szCs w:val="21"/>
              </w:rPr>
            </w:pPr>
            <w:r>
              <w:rPr>
                <w:rFonts w:hint="eastAsia" w:ascii="Times New Roman" w:hAnsi="Times New Roman" w:cs="Times New Roman"/>
                <w:color w:val="auto"/>
                <w:spacing w:val="8"/>
                <w:sz w:val="21"/>
                <w:szCs w:val="21"/>
                <w:lang w:val="en-US" w:eastAsia="zh-CN"/>
              </w:rPr>
              <w:t>废交换树脂</w:t>
            </w:r>
          </w:p>
        </w:tc>
        <w:tc>
          <w:tcPr>
            <w:tcW w:w="892" w:type="pct"/>
            <w:tcBorders>
              <w:top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8"/>
                <w:sz w:val="21"/>
                <w:szCs w:val="21"/>
                <w:lang w:val="en-US" w:eastAsia="zh-CN"/>
              </w:rPr>
            </w:pPr>
            <w:r>
              <w:rPr>
                <w:rFonts w:hint="eastAsia" w:ascii="Times New Roman" w:hAnsi="Times New Roman" w:cs="Times New Roman"/>
                <w:color w:val="auto"/>
                <w:spacing w:val="8"/>
                <w:sz w:val="21"/>
                <w:szCs w:val="21"/>
                <w:lang w:val="en-US" w:eastAsia="zh-CN"/>
              </w:rPr>
              <w:t>0.4t/5年</w:t>
            </w:r>
          </w:p>
        </w:tc>
        <w:tc>
          <w:tcPr>
            <w:tcW w:w="892" w:type="pct"/>
            <w:tcBorders>
              <w:top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8"/>
                <w:sz w:val="21"/>
                <w:szCs w:val="21"/>
              </w:rPr>
            </w:pPr>
            <w:r>
              <w:rPr>
                <w:rFonts w:hint="eastAsia" w:ascii="Times New Roman" w:hAnsi="Times New Roman" w:cs="Times New Roman"/>
                <w:color w:val="auto"/>
                <w:spacing w:val="8"/>
                <w:sz w:val="21"/>
                <w:szCs w:val="21"/>
                <w:lang w:val="en-US" w:eastAsia="zh-CN"/>
              </w:rPr>
              <w:t>0.4t/5年</w:t>
            </w:r>
          </w:p>
        </w:tc>
        <w:tc>
          <w:tcPr>
            <w:tcW w:w="893" w:type="pct"/>
            <w:tcBorders>
              <w:top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危废废物</w:t>
            </w:r>
          </w:p>
        </w:tc>
        <w:tc>
          <w:tcPr>
            <w:tcW w:w="15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废油墨</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9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废胶水</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pacing w:val="1"/>
                <w:sz w:val="21"/>
                <w:szCs w:val="21"/>
                <w:lang w:val="en-US" w:eastAsia="zh-CN"/>
              </w:rPr>
              <w:t>5</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5</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废弃包装桶（油墨包装</w:t>
            </w:r>
            <w:r>
              <w:rPr>
                <w:rFonts w:hint="default" w:ascii="Times New Roman" w:hAnsi="Times New Roman" w:cs="Times New Roman"/>
                <w:color w:val="auto"/>
                <w:spacing w:val="8"/>
                <w:sz w:val="21"/>
                <w:szCs w:val="21"/>
              </w:rPr>
              <w:t>桶、胶水包装桶，稀释剂正丙酯、异丙醇包装</w:t>
            </w:r>
            <w:r>
              <w:rPr>
                <w:rFonts w:hint="default" w:ascii="Times New Roman" w:hAnsi="Times New Roman" w:cs="Times New Roman"/>
                <w:color w:val="auto"/>
                <w:spacing w:val="-1"/>
                <w:sz w:val="21"/>
                <w:szCs w:val="21"/>
              </w:rPr>
              <w:t>桶）</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50</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50</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w:t>
            </w:r>
            <w:r>
              <w:rPr>
                <w:rFonts w:hint="eastAsia" w:ascii="Times New Roman" w:hAnsi="Times New Roman" w:cs="Times New Roman"/>
                <w:color w:val="auto"/>
                <w:sz w:val="21"/>
                <w:szCs w:val="21"/>
                <w:lang w:val="en-US" w:eastAsia="zh-CN"/>
              </w:rPr>
              <w:t>抹</w:t>
            </w:r>
            <w:r>
              <w:rPr>
                <w:rFonts w:hint="default" w:ascii="Times New Roman" w:hAnsi="Times New Roman" w:cs="Times New Roman"/>
                <w:color w:val="auto"/>
                <w:sz w:val="21"/>
                <w:szCs w:val="21"/>
              </w:rPr>
              <w:t>布</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沾有胶水、油墨、</w:t>
            </w:r>
            <w:r>
              <w:rPr>
                <w:rFonts w:hint="default" w:ascii="Times New Roman" w:hAnsi="Times New Roman" w:cs="Times New Roman"/>
                <w:color w:val="auto"/>
                <w:spacing w:val="7"/>
                <w:sz w:val="21"/>
                <w:szCs w:val="21"/>
              </w:rPr>
              <w:t>稀释剂等</w:t>
            </w:r>
            <w:r>
              <w:rPr>
                <w:rFonts w:hint="default" w:ascii="Times New Roman" w:hAnsi="Times New Roman" w:cs="Times New Roman"/>
                <w:color w:val="auto"/>
                <w:spacing w:val="7"/>
                <w:sz w:val="21"/>
                <w:szCs w:val="21"/>
                <w:lang w:eastAsia="zh-CN"/>
              </w:rPr>
              <w:t>）</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8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12</w:t>
            </w:r>
          </w:p>
        </w:tc>
        <w:tc>
          <w:tcPr>
            <w:tcW w:w="8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0</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50" w:line="360" w:lineRule="auto"/>
        <w:ind w:left="567" w:hanging="567"/>
        <w:textAlignment w:val="baseline"/>
        <w:rPr>
          <w:rFonts w:hint="default" w:ascii="Times New Roman" w:hAnsi="Times New Roman" w:cs="Times New Roman"/>
          <w:color w:val="auto"/>
          <w:sz w:val="32"/>
          <w:szCs w:val="32"/>
        </w:rPr>
      </w:pPr>
      <w:bookmarkStart w:id="52" w:name="bookmark52"/>
      <w:bookmarkEnd w:id="52"/>
      <w:bookmarkStart w:id="53" w:name="_Toc24086"/>
      <w:r>
        <w:rPr>
          <w:rFonts w:hint="default" w:ascii="Times New Roman" w:hAnsi="Times New Roman" w:cs="Times New Roman"/>
          <w:color w:val="auto"/>
          <w:sz w:val="32"/>
          <w:szCs w:val="32"/>
        </w:rPr>
        <w:t>物料平衡和水平衡</w:t>
      </w:r>
      <w:bookmarkEnd w:id="53"/>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本项目水平衡详见图</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.3</w:t>
      </w:r>
      <w:r>
        <w:rPr>
          <w:rFonts w:hint="eastAsia" w:ascii="Times New Roman" w:hAnsi="Times New Roman" w:eastAsia="宋体" w:cs="Times New Roman"/>
          <w:color w:val="auto"/>
          <w:szCs w:val="28"/>
          <w:u w:val="none" w:color="auto"/>
          <w:lang w:val="en-US" w:eastAsia="zh-CN"/>
        </w:rPr>
        <w:t>-1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主要物料平衡</w:t>
      </w:r>
      <w:r>
        <w:rPr>
          <w:rFonts w:hint="eastAsia" w:ascii="Times New Roman" w:hAnsi="Times New Roman" w:eastAsia="宋体" w:cs="Times New Roman"/>
          <w:color w:val="auto"/>
          <w:szCs w:val="28"/>
          <w:u w:val="none" w:color="auto"/>
          <w:lang w:eastAsia="zh-CN"/>
        </w:rPr>
        <w:t>如</w:t>
      </w:r>
      <w:r>
        <w:rPr>
          <w:rFonts w:hint="default" w:ascii="Times New Roman" w:hAnsi="Times New Roman" w:cs="Times New Roman"/>
          <w:color w:val="auto"/>
          <w:szCs w:val="28"/>
          <w:u w:val="none" w:color="auto"/>
        </w:rPr>
        <w:t>表</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.3-1</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图4</w:t>
      </w:r>
      <w:r>
        <w:rPr>
          <w:rFonts w:hint="default" w:ascii="Times New Roman" w:hAnsi="Times New Roman" w:cs="Times New Roman"/>
          <w:color w:val="auto"/>
          <w:szCs w:val="28"/>
          <w:u w:val="none" w:color="auto"/>
        </w:rPr>
        <w:t>.3</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36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object>
          <v:shape id="_x0000_i1028" o:spt="75" type="#_x0000_t75" style="height:316.6pt;width:414.9pt;" o:ole="t" filled="f" o:preferrelative="t" stroked="f" coordsize="21600,21600">
            <v:path/>
            <v:fill on="f" focussize="0,0"/>
            <v:stroke on="f"/>
            <v:imagedata r:id="rId24" o:title=""/>
            <o:lock v:ext="edit" aspectratio="f"/>
            <w10:wrap type="none"/>
            <w10:anchorlock/>
          </v:shape>
          <o:OLEObject Type="Embed" ProgID="Visio.Drawing.11" ShapeID="_x0000_i1028" DrawAspect="Content" ObjectID="_1468075728" r:id="rId23">
            <o:LockedField>false</o:LockedField>
          </o:OLEObject>
        </w:objec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eastAsia" w:ascii="Times New Roman" w:hAnsi="Times New Roman" w:eastAsia="宋体" w:cs="Times New Roman"/>
          <w:b/>
          <w:bCs/>
          <w:color w:val="auto"/>
          <w:spacing w:val="5"/>
          <w:sz w:val="24"/>
          <w:szCs w:val="24"/>
          <w:lang w:eastAsia="zh-CN"/>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项目水平衡图</w:t>
      </w: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单位：t/a</w:t>
      </w:r>
      <w:r>
        <w:rPr>
          <w:rFonts w:hint="eastAsia" w:ascii="Times New Roman" w:hAnsi="Times New Roman" w:eastAsia="宋体" w:cs="Times New Roman"/>
          <w:b/>
          <w:bCs/>
          <w:color w:val="auto"/>
          <w:spacing w:val="5"/>
          <w:sz w:val="24"/>
          <w:szCs w:val="24"/>
          <w:lang w:eastAsia="zh-CN"/>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项目物料平衡一览表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082"/>
        <w:gridCol w:w="2077"/>
        <w:gridCol w:w="2076"/>
        <w:gridCol w:w="209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97"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投入</w:t>
            </w:r>
          </w:p>
        </w:tc>
        <w:tc>
          <w:tcPr>
            <w:tcW w:w="2502"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产出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position w:val="2"/>
                <w:sz w:val="21"/>
                <w:szCs w:val="21"/>
              </w:rPr>
              <w:t>投入量（</w:t>
            </w:r>
            <w:r>
              <w:rPr>
                <w:rFonts w:hint="default" w:ascii="Times New Roman" w:hAnsi="Times New Roman" w:eastAsia="Calibri" w:cs="Times New Roman"/>
                <w:b/>
                <w:bCs/>
                <w:color w:val="auto"/>
                <w:spacing w:val="3"/>
                <w:position w:val="2"/>
                <w:sz w:val="21"/>
                <w:szCs w:val="21"/>
              </w:rPr>
              <w:t>t/a</w:t>
            </w:r>
            <w:r>
              <w:rPr>
                <w:rFonts w:hint="default" w:ascii="Times New Roman" w:hAnsi="Times New Roman" w:cs="Times New Roman"/>
                <w:b/>
                <w:bCs/>
                <w:color w:val="auto"/>
                <w:spacing w:val="3"/>
                <w:position w:val="2"/>
                <w:sz w:val="21"/>
                <w:szCs w:val="21"/>
              </w:rPr>
              <w:t>）</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position w:val="2"/>
                <w:sz w:val="21"/>
                <w:szCs w:val="21"/>
              </w:rPr>
              <w:t>投入量（</w:t>
            </w:r>
            <w:r>
              <w:rPr>
                <w:rFonts w:hint="default" w:ascii="Times New Roman" w:hAnsi="Times New Roman" w:eastAsia="Calibri" w:cs="Times New Roman"/>
                <w:b/>
                <w:bCs/>
                <w:color w:val="auto"/>
                <w:spacing w:val="3"/>
                <w:position w:val="2"/>
                <w:sz w:val="21"/>
                <w:szCs w:val="21"/>
              </w:rPr>
              <w:t>t/a</w:t>
            </w:r>
            <w:r>
              <w:rPr>
                <w:rFonts w:hint="default" w:ascii="Times New Roman" w:hAnsi="Times New Roman" w:cs="Times New Roman"/>
                <w:b/>
                <w:bCs/>
                <w:color w:val="auto"/>
                <w:spacing w:val="3"/>
                <w:position w:val="2"/>
                <w:sz w:val="21"/>
                <w:szCs w:val="21"/>
              </w:rPr>
              <w:t>）</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物料名称</w:t>
            </w:r>
          </w:p>
        </w:tc>
        <w:tc>
          <w:tcPr>
            <w:tcW w:w="125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position w:val="2"/>
                <w:sz w:val="21"/>
                <w:szCs w:val="21"/>
              </w:rPr>
              <w:t>产生量（</w:t>
            </w:r>
            <w:r>
              <w:rPr>
                <w:rFonts w:hint="default" w:ascii="Times New Roman" w:hAnsi="Times New Roman" w:eastAsia="Calibri" w:cs="Times New Roman"/>
                <w:b/>
                <w:bCs/>
                <w:color w:val="auto"/>
                <w:spacing w:val="4"/>
                <w:position w:val="2"/>
                <w:sz w:val="21"/>
                <w:szCs w:val="21"/>
              </w:rPr>
              <w:t>t/a</w:t>
            </w:r>
            <w:r>
              <w:rPr>
                <w:rFonts w:hint="default" w:ascii="Times New Roman" w:hAnsi="Times New Roman" w:cs="Times New Roman"/>
                <w:b/>
                <w:bCs/>
                <w:color w:val="auto"/>
                <w:spacing w:val="4"/>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1"/>
                <w:sz w:val="21"/>
                <w:szCs w:val="21"/>
              </w:rPr>
              <w:t>PP</w:t>
            </w:r>
            <w:r>
              <w:rPr>
                <w:rFonts w:hint="default" w:ascii="Times New Roman" w:hAnsi="Times New Roman" w:cs="Times New Roman"/>
                <w:color w:val="auto"/>
                <w:spacing w:val="-1"/>
                <w:sz w:val="21"/>
                <w:szCs w:val="21"/>
              </w:rPr>
              <w:t>薄膜</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Calibri" w:cs="Times New Roman"/>
                <w:color w:val="auto"/>
                <w:sz w:val="21"/>
                <w:szCs w:val="21"/>
              </w:rPr>
              <w:t>000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软包装袋</w:t>
            </w:r>
          </w:p>
        </w:tc>
        <w:tc>
          <w:tcPr>
            <w:tcW w:w="20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highlight w:val="none"/>
              </w:rPr>
            </w:pPr>
            <w:r>
              <w:rPr>
                <w:rFonts w:hint="default" w:ascii="Times New Roman" w:hAnsi="Times New Roman" w:eastAsia="宋体" w:cs="Times New Roman"/>
                <w:i w:val="0"/>
                <w:iCs w:val="0"/>
                <w:snapToGrid w:val="0"/>
                <w:color w:val="000000"/>
                <w:kern w:val="0"/>
                <w:sz w:val="21"/>
                <w:szCs w:val="21"/>
                <w:u w:val="none"/>
                <w:lang w:val="en-US" w:eastAsia="zh-CN" w:bidi="ar"/>
              </w:rPr>
              <w:t>4000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PET</w:t>
            </w:r>
            <w:r>
              <w:rPr>
                <w:rFonts w:hint="default" w:ascii="Times New Roman" w:hAnsi="Times New Roman" w:cs="Times New Roman"/>
                <w:color w:val="auto"/>
                <w:sz w:val="21"/>
                <w:szCs w:val="21"/>
              </w:rPr>
              <w:t>薄膜</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1000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软包装卷膜</w:t>
            </w:r>
          </w:p>
        </w:tc>
        <w:tc>
          <w:tcPr>
            <w:tcW w:w="20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highlight w:val="none"/>
              </w:rPr>
            </w:pPr>
            <w:r>
              <w:rPr>
                <w:rFonts w:hint="default" w:ascii="Times New Roman" w:hAnsi="Times New Roman" w:eastAsia="宋体" w:cs="Times New Roman"/>
                <w:i w:val="0"/>
                <w:iCs w:val="0"/>
                <w:snapToGrid w:val="0"/>
                <w:color w:val="000000"/>
                <w:kern w:val="0"/>
                <w:sz w:val="21"/>
                <w:szCs w:val="21"/>
                <w:u w:val="none"/>
                <w:lang w:val="en-US" w:eastAsia="zh-CN" w:bidi="ar"/>
              </w:rPr>
              <w:t>2000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1"/>
                <w:sz w:val="21"/>
                <w:szCs w:val="21"/>
              </w:rPr>
              <w:t>PE</w:t>
            </w:r>
            <w:r>
              <w:rPr>
                <w:rFonts w:hint="default" w:ascii="Times New Roman" w:hAnsi="Times New Roman" w:cs="Times New Roman"/>
                <w:color w:val="auto"/>
                <w:spacing w:val="-1"/>
                <w:sz w:val="21"/>
                <w:szCs w:val="21"/>
              </w:rPr>
              <w:t>薄膜</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3"/>
                <w:sz w:val="21"/>
                <w:szCs w:val="21"/>
                <w:lang w:val="en-US" w:eastAsia="zh-CN"/>
              </w:rPr>
              <w:t>2</w:t>
            </w:r>
            <w:r>
              <w:rPr>
                <w:rFonts w:hint="default" w:ascii="Times New Roman" w:hAnsi="Times New Roman" w:eastAsia="Calibri" w:cs="Times New Roman"/>
                <w:color w:val="auto"/>
                <w:spacing w:val="3"/>
                <w:sz w:val="21"/>
                <w:szCs w:val="21"/>
              </w:rPr>
              <w:t>00</w:t>
            </w:r>
            <w:r>
              <w:rPr>
                <w:rFonts w:hint="eastAsia" w:ascii="Times New Roman" w:hAnsi="Times New Roman" w:eastAsia="宋体" w:cs="Times New Roman"/>
                <w:color w:val="auto"/>
                <w:spacing w:val="3"/>
                <w:sz w:val="21"/>
                <w:szCs w:val="21"/>
                <w:lang w:val="en-US" w:eastAsia="zh-CN"/>
              </w:rPr>
              <w:t>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其他包装袋膜</w:t>
            </w:r>
          </w:p>
        </w:tc>
        <w:tc>
          <w:tcPr>
            <w:tcW w:w="20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highlight w:val="none"/>
              </w:rPr>
            </w:pPr>
            <w:r>
              <w:rPr>
                <w:rFonts w:hint="default" w:ascii="Times New Roman" w:hAnsi="Times New Roman" w:eastAsia="宋体" w:cs="Times New Roman"/>
                <w:i w:val="0"/>
                <w:iCs w:val="0"/>
                <w:snapToGrid w:val="0"/>
                <w:color w:val="000000"/>
                <w:kern w:val="0"/>
                <w:sz w:val="21"/>
                <w:szCs w:val="21"/>
                <w:u w:val="none"/>
                <w:lang w:val="en-US" w:eastAsia="zh-CN" w:bidi="ar"/>
              </w:rPr>
              <w:t>1000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铝箔</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6</w:t>
            </w:r>
            <w:r>
              <w:rPr>
                <w:rFonts w:hint="default" w:ascii="Times New Roman" w:hAnsi="Times New Roman" w:eastAsia="Calibri" w:cs="Times New Roman"/>
                <w:color w:val="auto"/>
                <w:sz w:val="21"/>
                <w:szCs w:val="21"/>
              </w:rPr>
              <w:t>80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不合格产品、边角料</w:t>
            </w:r>
          </w:p>
        </w:tc>
        <w:tc>
          <w:tcPr>
            <w:tcW w:w="20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225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环保型聚氨酯型复合油</w:t>
            </w:r>
            <w:r>
              <w:rPr>
                <w:rFonts w:hint="default" w:ascii="Times New Roman" w:hAnsi="Times New Roman" w:cs="Times New Roman"/>
                <w:color w:val="auto"/>
                <w:sz w:val="21"/>
                <w:szCs w:val="21"/>
              </w:rPr>
              <w:t>墨</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500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有机废气</w:t>
            </w:r>
          </w:p>
        </w:tc>
        <w:tc>
          <w:tcPr>
            <w:tcW w:w="20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highlight w:val="none"/>
              </w:rPr>
            </w:pPr>
            <w:r>
              <w:rPr>
                <w:rFonts w:hint="default" w:ascii="Times New Roman" w:hAnsi="Times New Roman" w:eastAsia="宋体" w:cs="Times New Roman"/>
                <w:i w:val="0"/>
                <w:iCs w:val="0"/>
                <w:snapToGrid w:val="0"/>
                <w:color w:val="000000"/>
                <w:kern w:val="0"/>
                <w:sz w:val="21"/>
                <w:szCs w:val="21"/>
                <w:u w:val="none"/>
                <w:lang w:val="en-US" w:eastAsia="zh-CN" w:bidi="ar"/>
              </w:rPr>
              <w:t>1145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正丙酯</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370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废油墨</w:t>
            </w:r>
          </w:p>
        </w:tc>
        <w:tc>
          <w:tcPr>
            <w:tcW w:w="209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异丙醇</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30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废胶水</w:t>
            </w:r>
          </w:p>
        </w:tc>
        <w:tc>
          <w:tcPr>
            <w:tcW w:w="209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乙酸乙酯</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400</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聚氨酯胶水</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150</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无溶剂胶水</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250</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总计</w:t>
            </w:r>
          </w:p>
        </w:tc>
        <w:tc>
          <w:tcPr>
            <w:tcW w:w="124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8</w:t>
            </w:r>
            <w:r>
              <w:rPr>
                <w:rFonts w:hint="eastAsia" w:ascii="Times New Roman" w:hAnsi="Times New Roman" w:eastAsia="宋体" w:cs="Times New Roman"/>
                <w:color w:val="auto"/>
                <w:spacing w:val="2"/>
                <w:sz w:val="21"/>
                <w:szCs w:val="21"/>
                <w:lang w:val="en-US" w:eastAsia="zh-CN"/>
              </w:rPr>
              <w:t>3</w:t>
            </w:r>
            <w:r>
              <w:rPr>
                <w:rFonts w:hint="default" w:ascii="Times New Roman" w:hAnsi="Times New Roman" w:eastAsia="Calibri" w:cs="Times New Roman"/>
                <w:color w:val="auto"/>
                <w:spacing w:val="2"/>
                <w:sz w:val="21"/>
                <w:szCs w:val="21"/>
              </w:rPr>
              <w:t>80</w:t>
            </w:r>
          </w:p>
        </w:tc>
        <w:tc>
          <w:tcPr>
            <w:tcW w:w="124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总计</w:t>
            </w:r>
          </w:p>
        </w:tc>
        <w:tc>
          <w:tcPr>
            <w:tcW w:w="1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highlight w:val="none"/>
              </w:rPr>
            </w:pPr>
            <w:r>
              <w:rPr>
                <w:rFonts w:hint="default" w:ascii="Times New Roman" w:hAnsi="Times New Roman" w:eastAsia="Calibri" w:cs="Times New Roman"/>
                <w:color w:val="auto"/>
                <w:spacing w:val="2"/>
                <w:sz w:val="21"/>
                <w:szCs w:val="21"/>
                <w:highlight w:val="none"/>
              </w:rPr>
              <w:t>8380</w:t>
            </w:r>
          </w:p>
        </w:tc>
      </w:tr>
    </w:tbl>
    <w:p>
      <w:pPr>
        <w:spacing w:before="65" w:line="227" w:lineRule="auto"/>
        <w:jc w:val="center"/>
        <w:rPr>
          <w:rFonts w:ascii="宋体" w:hAnsi="宋体" w:eastAsia="宋体" w:cs="宋体"/>
          <w:color w:val="auto"/>
          <w:spacing w:val="5"/>
          <w:sz w:val="20"/>
          <w:szCs w:val="20"/>
        </w:rPr>
      </w:pPr>
      <w:r>
        <w:rPr>
          <w:rFonts w:ascii="宋体" w:hAnsi="宋体" w:eastAsia="宋体" w:cs="宋体"/>
          <w:color w:val="auto"/>
          <w:spacing w:val="5"/>
          <w:sz w:val="20"/>
          <w:szCs w:val="20"/>
        </w:rPr>
        <w:object>
          <v:shape id="_x0000_i1029" o:spt="75" type="#_x0000_t75" style="height:369.15pt;width:393.85pt;" o:ole="t" filled="f" o:preferrelative="t" stroked="f" coordsize="21600,21600">
            <v:path/>
            <v:fill on="f" focussize="0,0"/>
            <v:stroke on="f"/>
            <v:imagedata r:id="rId26" cropbottom="9814f" o:title=""/>
            <o:lock v:ext="edit" aspectratio="f"/>
            <w10:wrap type="none"/>
            <w10:anchorlock/>
          </v:shape>
          <o:OLEObject Type="Embed" ProgID="Visio.Drawing.11" ShapeID="_x0000_i1029" DrawAspect="Content" ObjectID="_1468075729" r:id="rId25">
            <o:LockedField>false</o:LockedField>
          </o:OLEObject>
        </w:objec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项目物料平衡图</w:t>
      </w:r>
    </w:p>
    <w:p>
      <w:pPr>
        <w:rPr>
          <w:rFonts w:hint="eastAsia"/>
          <w:color w:val="auto"/>
          <w:lang w:eastAsia="zh-CN"/>
        </w:rPr>
      </w:pP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sectPr>
          <w:pgSz w:w="11905" w:h="16839"/>
          <w:pgMar w:top="1440" w:right="1803" w:bottom="1440" w:left="1803" w:header="0" w:footer="1126"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54" w:name="bookmark54"/>
      <w:bookmarkEnd w:id="54"/>
      <w:bookmarkStart w:id="55" w:name="bookmark56"/>
      <w:bookmarkEnd w:id="55"/>
      <w:bookmarkStart w:id="56" w:name="_Toc16219"/>
      <w:r>
        <w:rPr>
          <w:rFonts w:hint="default" w:ascii="Times New Roman" w:hAnsi="Times New Roman" w:cs="Times New Roman" w:eastAsiaTheme="majorEastAsia"/>
          <w:color w:val="auto"/>
          <w:sz w:val="36"/>
          <w:szCs w:val="36"/>
        </w:rPr>
        <w:t>环境现状调查与评价</w:t>
      </w:r>
      <w:bookmarkEnd w:id="56"/>
    </w:p>
    <w:p>
      <w:pPr>
        <w:pStyle w:val="10"/>
        <w:bidi w:val="0"/>
        <w:spacing w:line="360" w:lineRule="auto"/>
        <w:rPr>
          <w:rFonts w:hint="default" w:ascii="Times New Roman" w:hAnsi="Times New Roman" w:cs="Times New Roman"/>
          <w:color w:val="auto"/>
          <w:sz w:val="32"/>
          <w:szCs w:val="32"/>
        </w:rPr>
      </w:pPr>
      <w:bookmarkStart w:id="57" w:name="_Toc30763"/>
      <w:r>
        <w:rPr>
          <w:rFonts w:hint="default" w:ascii="Times New Roman" w:hAnsi="Times New Roman" w:cs="Times New Roman"/>
          <w:color w:val="auto"/>
          <w:sz w:val="32"/>
          <w:szCs w:val="32"/>
        </w:rPr>
        <w:t>自然环境概况</w:t>
      </w:r>
      <w:bookmarkEnd w:id="57"/>
    </w:p>
    <w:p>
      <w:pPr>
        <w:pStyle w:val="11"/>
        <w:bidi w:val="0"/>
        <w:spacing w:line="360" w:lineRule="auto"/>
        <w:ind w:left="851" w:hanging="851"/>
        <w:rPr>
          <w:color w:val="auto"/>
          <w:sz w:val="30"/>
          <w:szCs w:val="30"/>
        </w:rPr>
      </w:pPr>
      <w:r>
        <w:rPr>
          <w:color w:val="auto"/>
          <w:sz w:val="30"/>
          <w:szCs w:val="30"/>
        </w:rPr>
        <w:t>地理位置</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永州位于湖南省西南部，东连郴州，南界广东连州，西接广西桂林，北邻衡阳、邵阳，地理位置为北纬24°39′～26°51′，东经111°06～112°21′，全市总面积2.24万平方公里。南北相距最长245公里，东西相间最宽144公里。辖零陵、冷水滩两区和祁阳、东安、双牌、道县、江永、宁远、蓝山、新田、江华九县。永州市市区</w:t>
      </w:r>
      <w:r>
        <w:rPr>
          <w:rFonts w:hint="eastAsia" w:ascii="Times New Roman" w:hAnsi="Times New Roman" w:eastAsia="宋体" w:cs="Times New Roman"/>
          <w:color w:val="auto"/>
          <w:szCs w:val="28"/>
          <w:u w:val="none" w:color="auto"/>
          <w:lang w:eastAsia="zh-CN"/>
        </w:rPr>
        <w:t>坐</w:t>
      </w:r>
      <w:r>
        <w:rPr>
          <w:rFonts w:hint="default" w:ascii="Times New Roman" w:hAnsi="Times New Roman" w:cs="Times New Roman"/>
          <w:color w:val="auto"/>
          <w:szCs w:val="28"/>
          <w:u w:val="none" w:color="auto"/>
        </w:rPr>
        <w:t>落在潇湘二水汇流处和湘桂线冷水滩站。整个市区分为相对独立的零陵、冷水滩两个区，两区边界直线距离17公里，由湘江和联城公路零陵大道将两城区</w:t>
      </w:r>
      <w:r>
        <w:rPr>
          <w:rFonts w:hint="eastAsia" w:ascii="Times New Roman" w:hAnsi="Times New Roman" w:eastAsia="宋体" w:cs="Times New Roman"/>
          <w:color w:val="auto"/>
          <w:szCs w:val="28"/>
          <w:u w:val="none" w:color="auto"/>
          <w:lang w:eastAsia="zh-CN"/>
        </w:rPr>
        <w:t>连</w:t>
      </w:r>
      <w:r>
        <w:rPr>
          <w:rFonts w:hint="default" w:ascii="Times New Roman" w:hAnsi="Times New Roman" w:cs="Times New Roman"/>
          <w:color w:val="auto"/>
          <w:szCs w:val="28"/>
          <w:u w:val="none" w:color="auto"/>
        </w:rPr>
        <w:t>接在一起，呈哑铃形框架，构成</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潇湘第一城</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独特的城市风貌。</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零陵区地处永州市北部湘江与潇水汇合处，地理位置东经111°11′～111°56′、北纬25°51′～25°26′，东靠祁阳，南连双牌，西接东安，北与冷水滩接壤，西南与</w:t>
      </w:r>
      <w:r>
        <w:rPr>
          <w:rFonts w:hint="eastAsia" w:ascii="Times New Roman" w:hAnsi="Times New Roman" w:cs="Times New Roman"/>
          <w:color w:val="auto"/>
          <w:szCs w:val="28"/>
          <w:u w:val="none" w:color="auto"/>
        </w:rPr>
        <w:t>广西壮族自治区</w:t>
      </w:r>
      <w:r>
        <w:rPr>
          <w:rFonts w:hint="default" w:ascii="Times New Roman" w:hAnsi="Times New Roman" w:cs="Times New Roman"/>
          <w:color w:val="auto"/>
          <w:szCs w:val="28"/>
          <w:u w:val="none" w:color="auto"/>
        </w:rPr>
        <w:t>全州县毗邻，总面积1959.11km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。本区潇水纵贯南北，洛湛铁路、衡昆高速公路、207与322国道穿越境内，城区北面10km有永州零陵机场，交通运输十分便利。</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永州市零陵高新技术产业开发区河西片区瑞翔大道南侧厂房</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本</w:t>
      </w:r>
      <w:r>
        <w:rPr>
          <w:rFonts w:hint="default" w:ascii="Times New Roman" w:hAnsi="Times New Roman" w:cs="Times New Roman"/>
          <w:color w:val="auto"/>
          <w:szCs w:val="28"/>
          <w:u w:val="none" w:color="auto"/>
        </w:rPr>
        <w:t>项目地理位置详见附图1。</w:t>
      </w:r>
    </w:p>
    <w:p>
      <w:pPr>
        <w:pStyle w:val="11"/>
        <w:bidi w:val="0"/>
        <w:spacing w:line="360" w:lineRule="auto"/>
        <w:ind w:left="851" w:hanging="851"/>
        <w:rPr>
          <w:color w:val="auto"/>
          <w:sz w:val="30"/>
          <w:szCs w:val="30"/>
        </w:rPr>
      </w:pPr>
      <w:r>
        <w:rPr>
          <w:color w:val="auto"/>
          <w:sz w:val="30"/>
          <w:szCs w:val="30"/>
        </w:rPr>
        <w:t>地形地貌与地质</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永州市地势西南部高，东北部及中部较低。境内都庞岭、越城岭屏障于西北，萌渚岭、九嶷山雄踞于东南，阳明山、紫金山拦腰穿插于东西，将全市分成南北两大块</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零祁、宁道两大盆地，即形成三山围夹两盆地，呈现向东倾斜的</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山</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字形地貌总轮廓。</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零陵区地处南岭山地向洞庭湖平原过</w:t>
      </w:r>
      <w:r>
        <w:rPr>
          <w:rFonts w:hint="eastAsia" w:ascii="Times New Roman" w:hAnsi="Times New Roman" w:eastAsia="宋体" w:cs="Times New Roman"/>
          <w:color w:val="auto"/>
          <w:szCs w:val="28"/>
          <w:u w:val="none" w:color="auto"/>
          <w:lang w:eastAsia="zh-CN"/>
        </w:rPr>
        <w:t>渡</w:t>
      </w:r>
      <w:r>
        <w:rPr>
          <w:rFonts w:hint="default" w:ascii="Times New Roman" w:hAnsi="Times New Roman" w:cs="Times New Roman"/>
          <w:color w:val="auto"/>
          <w:szCs w:val="28"/>
          <w:u w:val="none" w:color="auto"/>
        </w:rPr>
        <w:t>的零祁盆地初始地。地质为海相沉积的碳酸岩，土壤为灰岩红壤和灰岩黄红壤，地质结构和土壤属稳定类型。本区地处都庞岭北麓，地貌以岗地为主，山地、丘陵、平原、盆地俱全。地势南高北低，东、南、西三面群山环绕，北为湘江河谷，中间丘岗起伏。大部分区域</w:t>
      </w:r>
      <w:r>
        <w:rPr>
          <w:rFonts w:hint="eastAsia" w:ascii="Times New Roman" w:hAnsi="Times New Roman" w:eastAsia="宋体" w:cs="Times New Roman"/>
          <w:color w:val="auto"/>
          <w:szCs w:val="28"/>
          <w:u w:val="none" w:color="auto"/>
          <w:lang w:eastAsia="zh-CN"/>
        </w:rPr>
        <w:t>海拔</w:t>
      </w:r>
      <w:r>
        <w:rPr>
          <w:rFonts w:hint="default" w:ascii="Times New Roman" w:hAnsi="Times New Roman" w:cs="Times New Roman"/>
          <w:color w:val="auto"/>
          <w:szCs w:val="28"/>
          <w:u w:val="none" w:color="auto"/>
        </w:rPr>
        <w:t>在300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800m之间，相对高差约500m。</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项目区地质构造为白垩系红色岩层与二叠系灰岩呈现角度不整合接触，无大的断裂构造通过。按地质剖面由上至下分别有：耕植土层、洪积土层、冲积土层、残积土层、第四系</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Q</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、亚</w:t>
      </w:r>
      <w:r>
        <w:rPr>
          <w:rFonts w:hint="eastAsia" w:ascii="Times New Roman" w:hAnsi="Times New Roman" w:eastAsia="宋体" w:cs="Times New Roman"/>
          <w:color w:val="auto"/>
          <w:szCs w:val="28"/>
          <w:u w:val="none" w:color="auto"/>
          <w:lang w:eastAsia="zh-CN"/>
        </w:rPr>
        <w:t>黏土</w:t>
      </w:r>
      <w:r>
        <w:rPr>
          <w:rFonts w:hint="default" w:ascii="Times New Roman" w:hAnsi="Times New Roman" w:cs="Times New Roman"/>
          <w:color w:val="auto"/>
          <w:szCs w:val="28"/>
          <w:u w:val="none" w:color="auto"/>
        </w:rPr>
        <w:t>和砾石。项目区域属构造侵蚀剥蚀丘岗地貌，波状起伏地形、岗地平缓，坡角5-10度。地层岩性属于江南古陆的武陵雪峰分区，元古界地层分布最广，古生界以寒武系、奥陶系、石灰系、二迭系海相地层为主，中生界、新生界则以陆相沉积为特征。出露岩性有松散土层、砾岩、砂岩、泥灰岩、灰岩、粘土岩、板岩、变质砂岩等。地表分布有第四系</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Q</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、第三系</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N</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与上侏罗-白垩系地层，主要由黄土、粘土、亚</w:t>
      </w:r>
      <w:r>
        <w:rPr>
          <w:rFonts w:hint="eastAsia" w:ascii="Times New Roman" w:hAnsi="Times New Roman" w:eastAsia="宋体" w:cs="Times New Roman"/>
          <w:color w:val="auto"/>
          <w:szCs w:val="28"/>
          <w:u w:val="none" w:color="auto"/>
          <w:lang w:eastAsia="zh-CN"/>
        </w:rPr>
        <w:t>黏土</w:t>
      </w:r>
      <w:r>
        <w:rPr>
          <w:rFonts w:hint="default" w:ascii="Times New Roman" w:hAnsi="Times New Roman" w:cs="Times New Roman"/>
          <w:color w:val="auto"/>
          <w:szCs w:val="28"/>
          <w:u w:val="none" w:color="auto"/>
        </w:rPr>
        <w:t>砾石组成。第四纪坡积及残积地层分布面广，局部地带为低洼沟谷地。项目所在地主要为第四纪风化红土壤，地势较为平坦。</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根据1:400万《中国地震动峰值加速度区划图》和《中国地震动反应谱特征周期区划图》（GB18306-2001），工程区地震动峰值加速度为0.05g，地震动反应谱特征周期为0.35s；对应的地震基本烈度值为Ⅵ度区。</w:t>
      </w:r>
    </w:p>
    <w:p>
      <w:pPr>
        <w:pStyle w:val="11"/>
        <w:bidi w:val="0"/>
        <w:spacing w:line="360" w:lineRule="auto"/>
        <w:ind w:left="851" w:hanging="851"/>
        <w:rPr>
          <w:color w:val="auto"/>
          <w:sz w:val="30"/>
          <w:szCs w:val="30"/>
        </w:rPr>
      </w:pPr>
      <w:r>
        <w:rPr>
          <w:color w:val="auto"/>
          <w:sz w:val="30"/>
          <w:szCs w:val="30"/>
        </w:rPr>
        <w:t>气候气象</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eastAsia" w:ascii="Times New Roman" w:hAnsi="Times New Roman" w:cs="Times New Roman"/>
          <w:color w:val="auto"/>
          <w:szCs w:val="28"/>
          <w:u w:val="none" w:color="auto"/>
          <w:lang w:val="en-US" w:eastAsia="zh-CN"/>
        </w:rPr>
        <w:t>本次评价收集了永州气象站气象观测资料，</w:t>
      </w:r>
      <w:r>
        <w:rPr>
          <w:rFonts w:hint="eastAsia" w:ascii="Times New Roman" w:hAnsi="Times New Roman" w:cs="Times New Roman"/>
          <w:color w:val="auto"/>
          <w:szCs w:val="28"/>
          <w:u w:val="none" w:color="auto"/>
          <w:lang w:eastAsia="zh-CN"/>
        </w:rPr>
        <w:t>永州</w:t>
      </w:r>
      <w:r>
        <w:rPr>
          <w:rFonts w:hint="eastAsia" w:ascii="Times New Roman" w:hAnsi="Times New Roman" w:cs="Times New Roman"/>
          <w:color w:val="auto"/>
          <w:szCs w:val="28"/>
          <w:u w:val="none" w:color="auto"/>
        </w:rPr>
        <w:t>气象</w:t>
      </w:r>
      <w:r>
        <w:rPr>
          <w:rFonts w:hint="eastAsia" w:ascii="Times New Roman" w:hAnsi="Times New Roman" w:cs="Times New Roman"/>
          <w:color w:val="auto"/>
          <w:szCs w:val="28"/>
          <w:u w:val="none" w:color="auto"/>
          <w:lang w:eastAsia="zh-CN"/>
        </w:rPr>
        <w:t>站位于项目东</w:t>
      </w:r>
      <w:r>
        <w:rPr>
          <w:rFonts w:hint="eastAsia" w:ascii="Times New Roman" w:hAnsi="Times New Roman" w:cs="Times New Roman"/>
          <w:color w:val="auto"/>
          <w:szCs w:val="28"/>
          <w:u w:val="none" w:color="auto"/>
          <w:lang w:val="en-US" w:eastAsia="zh-CN"/>
        </w:rPr>
        <w:t>北</w:t>
      </w:r>
      <w:r>
        <w:rPr>
          <w:rFonts w:hint="eastAsia" w:ascii="Times New Roman" w:hAnsi="Times New Roman" w:cs="Times New Roman"/>
          <w:color w:val="auto"/>
          <w:szCs w:val="28"/>
          <w:u w:val="none" w:color="auto"/>
          <w:lang w:eastAsia="zh-CN"/>
        </w:rPr>
        <w:t>侧</w:t>
      </w:r>
      <w:r>
        <w:rPr>
          <w:rFonts w:hint="eastAsia" w:ascii="Times New Roman" w:hAnsi="Times New Roman" w:cs="Times New Roman"/>
          <w:color w:val="auto"/>
          <w:szCs w:val="28"/>
          <w:u w:val="none" w:color="auto"/>
          <w:lang w:val="en-US" w:eastAsia="zh-CN"/>
        </w:rPr>
        <w:t>4.75</w:t>
      </w:r>
      <w:r>
        <w:rPr>
          <w:rFonts w:hint="eastAsia" w:ascii="Times New Roman" w:hAnsi="Times New Roman" w:cs="Times New Roman"/>
          <w:color w:val="auto"/>
          <w:szCs w:val="28"/>
          <w:u w:val="none" w:color="auto"/>
          <w:lang w:eastAsia="zh-CN"/>
        </w:rPr>
        <w:t>km，站台编号为5</w:t>
      </w:r>
      <w:r>
        <w:rPr>
          <w:rFonts w:hint="eastAsia" w:ascii="Times New Roman" w:hAnsi="Times New Roman" w:cs="Times New Roman"/>
          <w:color w:val="auto"/>
          <w:szCs w:val="28"/>
          <w:u w:val="none" w:color="auto"/>
          <w:lang w:val="en-US" w:eastAsia="zh-CN"/>
        </w:rPr>
        <w:t>7866</w:t>
      </w:r>
      <w:r>
        <w:rPr>
          <w:rFonts w:hint="eastAsia" w:ascii="Times New Roman" w:hAnsi="Times New Roman" w:cs="Times New Roman"/>
          <w:color w:val="auto"/>
          <w:szCs w:val="28"/>
          <w:u w:val="none" w:color="auto"/>
          <w:lang w:eastAsia="zh-CN"/>
        </w:rPr>
        <w:t>，海拔</w:t>
      </w:r>
      <w:r>
        <w:rPr>
          <w:rFonts w:hint="eastAsia" w:ascii="Times New Roman" w:hAnsi="Times New Roman" w:cs="Times New Roman"/>
          <w:color w:val="auto"/>
          <w:szCs w:val="28"/>
          <w:u w:val="none" w:color="auto"/>
        </w:rPr>
        <w:t>为</w:t>
      </w:r>
      <w:r>
        <w:rPr>
          <w:rFonts w:hint="eastAsia" w:ascii="Times New Roman" w:hAnsi="Times New Roman" w:cs="Times New Roman"/>
          <w:color w:val="auto"/>
          <w:szCs w:val="28"/>
          <w:u w:val="none" w:color="auto"/>
          <w:lang w:val="en-US" w:eastAsia="zh-CN"/>
        </w:rPr>
        <w:t>172.62</w:t>
      </w:r>
      <w:r>
        <w:rPr>
          <w:rFonts w:hint="eastAsia" w:ascii="Times New Roman" w:hAnsi="Times New Roman" w:cs="Times New Roman"/>
          <w:color w:val="auto"/>
          <w:szCs w:val="28"/>
          <w:u w:val="none" w:color="auto"/>
        </w:rPr>
        <w:t>m，站点经纬度为北纬26.2258°、东经111.6167°。</w:t>
      </w:r>
      <w:r>
        <w:rPr>
          <w:rFonts w:hint="eastAsia" w:ascii="Times New Roman" w:hAnsi="Times New Roman" w:cs="Times New Roman"/>
          <w:color w:val="auto"/>
          <w:szCs w:val="28"/>
          <w:u w:val="none" w:color="auto"/>
          <w:lang w:eastAsia="zh-CN"/>
        </w:rPr>
        <w:t>据永州气象站2004～2023年累计气象观测资料，本地区多年最大日降水量为</w:t>
      </w:r>
      <w:r>
        <w:rPr>
          <w:rFonts w:hint="eastAsia" w:ascii="Times New Roman" w:hAnsi="Times New Roman" w:cs="Times New Roman"/>
          <w:color w:val="auto"/>
          <w:szCs w:val="28"/>
          <w:u w:val="none" w:color="auto"/>
          <w:lang w:val="en-US" w:eastAsia="zh-CN"/>
        </w:rPr>
        <w:t>88.21</w:t>
      </w:r>
      <w:r>
        <w:rPr>
          <w:rFonts w:hint="eastAsia" w:ascii="Times New Roman" w:hAnsi="Times New Roman" w:cs="Times New Roman"/>
          <w:color w:val="auto"/>
          <w:szCs w:val="28"/>
          <w:u w:val="none" w:color="auto"/>
          <w:lang w:eastAsia="zh-CN"/>
        </w:rPr>
        <w:t>mm（极值为2</w:t>
      </w:r>
      <w:r>
        <w:rPr>
          <w:rFonts w:hint="eastAsia" w:ascii="Times New Roman" w:hAnsi="Times New Roman" w:cs="Times New Roman"/>
          <w:color w:val="auto"/>
          <w:szCs w:val="28"/>
          <w:u w:val="none" w:color="auto"/>
          <w:lang w:val="en-US" w:eastAsia="zh-CN"/>
        </w:rPr>
        <w:t>03.9</w:t>
      </w:r>
      <w:r>
        <w:rPr>
          <w:rFonts w:hint="eastAsia" w:ascii="Times New Roman" w:hAnsi="Times New Roman" w:cs="Times New Roman"/>
          <w:color w:val="auto"/>
          <w:szCs w:val="28"/>
          <w:u w:val="none" w:color="auto"/>
          <w:lang w:eastAsia="zh-CN"/>
        </w:rPr>
        <w:t>mm，出现时间：201</w:t>
      </w:r>
      <w:r>
        <w:rPr>
          <w:rFonts w:hint="eastAsia" w:ascii="Times New Roman" w:hAnsi="Times New Roman" w:cs="Times New Roman"/>
          <w:color w:val="auto"/>
          <w:szCs w:val="28"/>
          <w:u w:val="none" w:color="auto"/>
          <w:lang w:val="en-US" w:eastAsia="zh-CN"/>
        </w:rPr>
        <w:t>8</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8</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16</w:t>
      </w:r>
      <w:r>
        <w:rPr>
          <w:rFonts w:hint="eastAsia" w:ascii="Times New Roman" w:hAnsi="Times New Roman" w:cs="Times New Roman"/>
          <w:color w:val="auto"/>
          <w:szCs w:val="28"/>
          <w:u w:val="none" w:color="auto"/>
          <w:lang w:eastAsia="zh-CN"/>
        </w:rPr>
        <w:t>），多年最高气温为3</w:t>
      </w:r>
      <w:r>
        <w:rPr>
          <w:rFonts w:hint="eastAsia" w:ascii="Times New Roman" w:hAnsi="Times New Roman" w:cs="Times New Roman"/>
          <w:color w:val="auto"/>
          <w:szCs w:val="28"/>
          <w:u w:val="none" w:color="auto"/>
          <w:lang w:val="en-US" w:eastAsia="zh-CN"/>
        </w:rPr>
        <w:t>8.29</w:t>
      </w:r>
      <w:r>
        <w:rPr>
          <w:rFonts w:hint="eastAsia" w:ascii="Times New Roman" w:hAnsi="Times New Roman" w:cs="Times New Roman"/>
          <w:color w:val="auto"/>
          <w:szCs w:val="28"/>
          <w:u w:val="none" w:color="auto"/>
          <w:lang w:eastAsia="zh-CN"/>
        </w:rPr>
        <w:t>℃（极值为4</w:t>
      </w:r>
      <w:r>
        <w:rPr>
          <w:rFonts w:hint="eastAsia" w:ascii="Times New Roman" w:hAnsi="Times New Roman" w:cs="Times New Roman"/>
          <w:color w:val="auto"/>
          <w:szCs w:val="28"/>
          <w:u w:val="none" w:color="auto"/>
          <w:lang w:val="en-US" w:eastAsia="zh-CN"/>
        </w:rPr>
        <w:t>0.3</w:t>
      </w:r>
      <w:r>
        <w:rPr>
          <w:rFonts w:hint="eastAsia" w:ascii="Times New Roman" w:hAnsi="Times New Roman" w:cs="Times New Roman"/>
          <w:color w:val="auto"/>
          <w:szCs w:val="28"/>
          <w:u w:val="none" w:color="auto"/>
          <w:lang w:eastAsia="zh-CN"/>
        </w:rPr>
        <w:t>℃，出现时间：</w:t>
      </w:r>
      <w:r>
        <w:rPr>
          <w:rFonts w:hint="eastAsia" w:ascii="Times New Roman" w:hAnsi="Times New Roman" w:cs="Times New Roman"/>
          <w:color w:val="auto"/>
          <w:szCs w:val="28"/>
          <w:u w:val="none" w:color="auto"/>
          <w:lang w:val="en-US" w:eastAsia="zh-CN"/>
        </w:rPr>
        <w:t>2010</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8</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5</w:t>
      </w:r>
      <w:r>
        <w:rPr>
          <w:rFonts w:hint="eastAsia" w:ascii="Times New Roman" w:hAnsi="Times New Roman" w:cs="Times New Roman"/>
          <w:color w:val="auto"/>
          <w:szCs w:val="28"/>
          <w:u w:val="none" w:color="auto"/>
          <w:lang w:eastAsia="zh-CN"/>
        </w:rPr>
        <w:t>），多年最低气温为-1</w:t>
      </w:r>
      <w:r>
        <w:rPr>
          <w:rFonts w:hint="eastAsia" w:ascii="Times New Roman" w:hAnsi="Times New Roman" w:cs="Times New Roman"/>
          <w:color w:val="auto"/>
          <w:szCs w:val="28"/>
          <w:u w:val="none" w:color="auto"/>
          <w:lang w:val="en-US" w:eastAsia="zh-CN"/>
        </w:rPr>
        <w:t>.56</w:t>
      </w:r>
      <w:r>
        <w:rPr>
          <w:rFonts w:hint="eastAsia" w:ascii="Times New Roman" w:hAnsi="Times New Roman" w:cs="Times New Roman"/>
          <w:color w:val="auto"/>
          <w:szCs w:val="28"/>
          <w:u w:val="none" w:color="auto"/>
          <w:lang w:eastAsia="zh-CN"/>
        </w:rPr>
        <w:t>℃（极值为-</w:t>
      </w:r>
      <w:r>
        <w:rPr>
          <w:rFonts w:hint="eastAsia" w:ascii="Times New Roman" w:hAnsi="Times New Roman" w:cs="Times New Roman"/>
          <w:color w:val="auto"/>
          <w:szCs w:val="28"/>
          <w:u w:val="none" w:color="auto"/>
          <w:lang w:val="en-US" w:eastAsia="zh-CN"/>
        </w:rPr>
        <w:t>3.9</w:t>
      </w:r>
      <w:r>
        <w:rPr>
          <w:rFonts w:hint="eastAsia" w:ascii="Times New Roman" w:hAnsi="Times New Roman" w:cs="Times New Roman"/>
          <w:color w:val="auto"/>
          <w:szCs w:val="28"/>
          <w:u w:val="none" w:color="auto"/>
          <w:lang w:eastAsia="zh-CN"/>
        </w:rPr>
        <w:t>℃，出现时间：20</w:t>
      </w:r>
      <w:r>
        <w:rPr>
          <w:rFonts w:hint="eastAsia" w:ascii="Times New Roman" w:hAnsi="Times New Roman" w:cs="Times New Roman"/>
          <w:color w:val="auto"/>
          <w:szCs w:val="28"/>
          <w:u w:val="none" w:color="auto"/>
          <w:lang w:val="en-US" w:eastAsia="zh-CN"/>
        </w:rPr>
        <w:t>08</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2</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3</w:t>
      </w:r>
      <w:r>
        <w:rPr>
          <w:rFonts w:hint="eastAsia" w:ascii="Times New Roman" w:hAnsi="Times New Roman" w:cs="Times New Roman"/>
          <w:color w:val="auto"/>
          <w:szCs w:val="28"/>
          <w:u w:val="none" w:color="auto"/>
          <w:lang w:eastAsia="zh-CN"/>
        </w:rPr>
        <w:t>），多年最大风速为20.</w:t>
      </w:r>
      <w:r>
        <w:rPr>
          <w:rFonts w:hint="eastAsia" w:ascii="Times New Roman" w:hAnsi="Times New Roman" w:cs="Times New Roman"/>
          <w:color w:val="auto"/>
          <w:szCs w:val="28"/>
          <w:u w:val="none" w:color="auto"/>
          <w:lang w:val="en-US" w:eastAsia="zh-CN"/>
        </w:rPr>
        <w:t>17</w:t>
      </w:r>
      <w:r>
        <w:rPr>
          <w:rFonts w:hint="eastAsia" w:ascii="Times New Roman" w:hAnsi="Times New Roman" w:cs="Times New Roman"/>
          <w:color w:val="auto"/>
          <w:szCs w:val="28"/>
          <w:u w:val="none" w:color="auto"/>
          <w:lang w:eastAsia="zh-CN"/>
        </w:rPr>
        <w:t>m/s（极值为2</w:t>
      </w:r>
      <w:r>
        <w:rPr>
          <w:rFonts w:hint="eastAsia" w:ascii="Times New Roman" w:hAnsi="Times New Roman" w:cs="Times New Roman"/>
          <w:color w:val="auto"/>
          <w:szCs w:val="28"/>
          <w:u w:val="none" w:color="auto"/>
          <w:lang w:val="en-US" w:eastAsia="zh-CN"/>
        </w:rPr>
        <w:t>4.4</w:t>
      </w:r>
      <w:r>
        <w:rPr>
          <w:rFonts w:hint="eastAsia" w:ascii="Times New Roman" w:hAnsi="Times New Roman" w:cs="Times New Roman"/>
          <w:color w:val="auto"/>
          <w:szCs w:val="28"/>
          <w:u w:val="none" w:color="auto"/>
          <w:lang w:eastAsia="zh-CN"/>
        </w:rPr>
        <w:t>m/s，出现时间：20</w:t>
      </w:r>
      <w:r>
        <w:rPr>
          <w:rFonts w:hint="eastAsia" w:ascii="Times New Roman" w:hAnsi="Times New Roman" w:cs="Times New Roman"/>
          <w:color w:val="auto"/>
          <w:szCs w:val="28"/>
          <w:u w:val="none" w:color="auto"/>
          <w:lang w:val="en-US" w:eastAsia="zh-CN"/>
        </w:rPr>
        <w:t>18</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3</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3</w:t>
      </w:r>
      <w:r>
        <w:rPr>
          <w:rFonts w:hint="eastAsia" w:ascii="Times New Roman" w:hAnsi="Times New Roman" w:cs="Times New Roman"/>
          <w:color w:val="auto"/>
          <w:szCs w:val="28"/>
          <w:u w:val="none" w:color="auto"/>
          <w:lang w:eastAsia="zh-CN"/>
        </w:rPr>
        <w:t>），多年平均气压为</w:t>
      </w:r>
      <w:r>
        <w:rPr>
          <w:rFonts w:hint="eastAsia" w:ascii="Times New Roman" w:hAnsi="Times New Roman" w:cs="Times New Roman"/>
          <w:color w:val="auto"/>
          <w:szCs w:val="28"/>
          <w:u w:val="none" w:color="auto"/>
          <w:lang w:val="en-US" w:eastAsia="zh-CN"/>
        </w:rPr>
        <w:t>995.0</w:t>
      </w:r>
      <w:r>
        <w:rPr>
          <w:rFonts w:hint="eastAsia" w:ascii="Times New Roman" w:hAnsi="Times New Roman" w:cs="Times New Roman"/>
          <w:color w:val="auto"/>
          <w:szCs w:val="28"/>
          <w:u w:val="none" w:color="auto"/>
          <w:lang w:eastAsia="zh-CN"/>
        </w:rPr>
        <w:t>hPa。</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eastAsia" w:ascii="Times New Roman" w:hAnsi="Times New Roman" w:cs="Times New Roman"/>
          <w:color w:val="auto"/>
          <w:szCs w:val="28"/>
          <w:u w:val="none" w:color="auto"/>
          <w:lang w:eastAsia="zh-CN"/>
        </w:rPr>
        <w:t>据永州气象站2004～2023年累计气象观测资料统计，主要气象特征如下：</w:t>
      </w:r>
    </w:p>
    <w:p>
      <w:pPr>
        <w:keepNext w:val="0"/>
        <w:keepLines w:val="0"/>
        <w:pageBreakBefore w:val="0"/>
        <w:widowControl/>
        <w:wordWrap/>
        <w:overflowPunct/>
        <w:topLinePunct w:val="0"/>
        <w:autoSpaceDE w:val="0"/>
        <w:autoSpaceDN w:val="0"/>
        <w:bidi w:val="0"/>
        <w:adjustRightInd w:val="0"/>
        <w:snapToGrid w:val="0"/>
        <w:spacing w:line="360" w:lineRule="auto"/>
        <w:textAlignment w:val="baseline"/>
        <w:rPr>
          <w:rFonts w:ascii="宋体" w:hAnsi="宋体"/>
          <w:color w:val="auto"/>
          <w:sz w:val="24"/>
        </w:rPr>
      </w:pPr>
      <w:r>
        <w:rPr>
          <w:rFonts w:hint="eastAsia" w:ascii="宋体" w:hAnsi="宋体" w:eastAsia="宋体"/>
          <w:color w:val="auto"/>
          <w:sz w:val="24"/>
          <w:lang w:eastAsia="zh-CN"/>
        </w:rPr>
        <w:t>（</w:t>
      </w:r>
      <w:r>
        <w:rPr>
          <w:rFonts w:hint="eastAsia" w:ascii="宋体" w:hAnsi="宋体"/>
          <w:color w:val="auto"/>
          <w:sz w:val="24"/>
        </w:rPr>
        <w:t>1</w:t>
      </w:r>
      <w:r>
        <w:rPr>
          <w:rFonts w:hint="eastAsia" w:ascii="宋体" w:hAnsi="宋体" w:eastAsia="宋体"/>
          <w:color w:val="auto"/>
          <w:sz w:val="24"/>
          <w:lang w:eastAsia="zh-CN"/>
        </w:rPr>
        <w:t>）</w:t>
      </w:r>
      <w:r>
        <w:rPr>
          <w:rFonts w:ascii="宋体" w:hAnsi="宋体"/>
          <w:color w:val="auto"/>
          <w:sz w:val="24"/>
        </w:rPr>
        <w:t>气温</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eastAsia" w:ascii="Times New Roman" w:hAnsi="Times New Roman" w:cs="Times New Roman"/>
          <w:color w:val="auto"/>
          <w:szCs w:val="28"/>
          <w:u w:val="none" w:color="auto"/>
          <w:lang w:eastAsia="zh-CN"/>
        </w:rPr>
        <w:t>永州地区1月份平均气温最低</w:t>
      </w:r>
      <w:r>
        <w:rPr>
          <w:rFonts w:hint="eastAsia" w:ascii="Times New Roman" w:hAnsi="Times New Roman" w:cs="Times New Roman"/>
          <w:color w:val="auto"/>
          <w:szCs w:val="28"/>
          <w:u w:val="none" w:color="auto"/>
          <w:lang w:val="en-US" w:eastAsia="zh-CN"/>
        </w:rPr>
        <w:t>6.53</w:t>
      </w:r>
      <w:r>
        <w:rPr>
          <w:rFonts w:hint="eastAsia" w:ascii="Times New Roman" w:hAnsi="Times New Roman" w:cs="Times New Roman"/>
          <w:color w:val="auto"/>
          <w:szCs w:val="28"/>
          <w:u w:val="none" w:color="auto"/>
          <w:lang w:eastAsia="zh-CN"/>
        </w:rPr>
        <w:t>℃，7月份平均气温最高2</w:t>
      </w:r>
      <w:r>
        <w:rPr>
          <w:rFonts w:hint="eastAsia" w:ascii="Times New Roman" w:hAnsi="Times New Roman" w:cs="Times New Roman"/>
          <w:color w:val="auto"/>
          <w:szCs w:val="28"/>
          <w:u w:val="none" w:color="auto"/>
          <w:lang w:val="en-US" w:eastAsia="zh-CN"/>
        </w:rPr>
        <w:t>9.41</w:t>
      </w:r>
      <w:r>
        <w:rPr>
          <w:rFonts w:hint="eastAsia" w:ascii="Times New Roman" w:hAnsi="Times New Roman" w:cs="Times New Roman"/>
          <w:color w:val="auto"/>
          <w:szCs w:val="28"/>
          <w:u w:val="none" w:color="auto"/>
          <w:lang w:eastAsia="zh-CN"/>
        </w:rPr>
        <w:t>℃，年平均气温1</w:t>
      </w:r>
      <w:r>
        <w:rPr>
          <w:rFonts w:hint="eastAsia" w:ascii="Times New Roman" w:hAnsi="Times New Roman" w:cs="Times New Roman"/>
          <w:color w:val="auto"/>
          <w:szCs w:val="28"/>
          <w:u w:val="none" w:color="auto"/>
          <w:lang w:val="en-US" w:eastAsia="zh-CN"/>
        </w:rPr>
        <w:t>8.68</w:t>
      </w:r>
      <w:r>
        <w:rPr>
          <w:rFonts w:hint="eastAsia" w:ascii="Times New Roman" w:hAnsi="Times New Roman" w:cs="Times New Roman"/>
          <w:color w:val="auto"/>
          <w:szCs w:val="28"/>
          <w:u w:val="none" w:color="auto"/>
          <w:lang w:eastAsia="zh-CN"/>
        </w:rPr>
        <w:t>℃。永州地区累年平均气温统计见表</w:t>
      </w:r>
      <w:r>
        <w:rPr>
          <w:rFonts w:hint="eastAsia" w:ascii="Times New Roman" w:hAnsi="Times New Roman" w:cs="Times New Roman"/>
          <w:color w:val="auto"/>
          <w:szCs w:val="28"/>
          <w:u w:val="none" w:color="auto"/>
          <w:lang w:val="en-US" w:eastAsia="zh-CN"/>
        </w:rPr>
        <w:t>5.1-1</w:t>
      </w:r>
      <w:r>
        <w:rPr>
          <w:rFonts w:hint="eastAsia" w:ascii="Times New Roman" w:hAnsi="Times New Roman" w:cs="Times New Roman"/>
          <w:color w:val="auto"/>
          <w:szCs w:val="28"/>
          <w:u w:val="none" w:color="auto"/>
          <w:lang w:eastAsia="zh-CN"/>
        </w:rPr>
        <w:t>。</w:t>
      </w:r>
    </w:p>
    <w:p>
      <w:pPr>
        <w:pStyle w:val="16"/>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5.1</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 xml:space="preserve">   永州</w:t>
      </w:r>
      <w:r>
        <w:rPr>
          <w:rFonts w:hint="default" w:ascii="Times New Roman" w:hAnsi="Times New Roman" w:cs="Times New Roman" w:eastAsiaTheme="minorEastAsia"/>
          <w:b/>
          <w:bCs/>
          <w:color w:val="auto"/>
          <w:sz w:val="24"/>
          <w:szCs w:val="24"/>
        </w:rPr>
        <w:t>地区</w:t>
      </w:r>
      <w:r>
        <w:rPr>
          <w:rFonts w:hint="eastAsia" w:ascii="Times New Roman" w:hAnsi="Times New Roman" w:cs="Times New Roman" w:eastAsiaTheme="minorEastAsia"/>
          <w:b/>
          <w:bCs/>
          <w:color w:val="auto"/>
          <w:sz w:val="24"/>
          <w:szCs w:val="24"/>
        </w:rPr>
        <w:t>2004-2023</w:t>
      </w:r>
      <w:r>
        <w:rPr>
          <w:rFonts w:hint="default" w:ascii="Times New Roman" w:hAnsi="Times New Roman" w:cs="Times New Roman" w:eastAsiaTheme="minorEastAsia"/>
          <w:b/>
          <w:bCs/>
          <w:color w:val="auto"/>
          <w:sz w:val="24"/>
          <w:szCs w:val="24"/>
        </w:rPr>
        <w:t>年</w:t>
      </w:r>
      <w:r>
        <w:rPr>
          <w:rFonts w:hint="eastAsia" w:ascii="Times New Roman" w:hAnsi="Times New Roman" w:cs="Times New Roman" w:eastAsiaTheme="minorEastAsia"/>
          <w:b/>
          <w:bCs/>
          <w:color w:val="auto"/>
          <w:sz w:val="24"/>
          <w:szCs w:val="24"/>
        </w:rPr>
        <w:t>平均气温的月变化</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01"/>
        <w:gridCol w:w="541"/>
        <w:gridCol w:w="628"/>
        <w:gridCol w:w="585"/>
        <w:gridCol w:w="541"/>
        <w:gridCol w:w="585"/>
        <w:gridCol w:w="541"/>
        <w:gridCol w:w="585"/>
        <w:gridCol w:w="585"/>
        <w:gridCol w:w="585"/>
        <w:gridCol w:w="541"/>
        <w:gridCol w:w="533"/>
        <w:gridCol w:w="626"/>
        <w:gridCol w:w="6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月份</w:t>
            </w:r>
          </w:p>
        </w:tc>
        <w:tc>
          <w:tcPr>
            <w:tcW w:w="32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rPr>
              <w:t>1月</w:t>
            </w:r>
          </w:p>
        </w:tc>
        <w:tc>
          <w:tcPr>
            <w:tcW w:w="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3月</w:t>
            </w:r>
          </w:p>
        </w:tc>
        <w:tc>
          <w:tcPr>
            <w:tcW w:w="32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4月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5月</w:t>
            </w:r>
          </w:p>
        </w:tc>
        <w:tc>
          <w:tcPr>
            <w:tcW w:w="32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6月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9月</w:t>
            </w:r>
          </w:p>
        </w:tc>
        <w:tc>
          <w:tcPr>
            <w:tcW w:w="32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10月</w:t>
            </w:r>
          </w:p>
        </w:tc>
        <w:tc>
          <w:tcPr>
            <w:tcW w:w="32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11月</w:t>
            </w:r>
          </w:p>
        </w:tc>
        <w:tc>
          <w:tcPr>
            <w:tcW w:w="3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12月</w:t>
            </w:r>
          </w:p>
        </w:tc>
        <w:tc>
          <w:tcPr>
            <w:tcW w:w="3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温度</w:t>
            </w:r>
            <w:r>
              <w:rPr>
                <w:rFonts w:hint="default" w:ascii="Times New Roman" w:hAnsi="Times New Roman" w:cs="Times New Roman" w:eastAsiaTheme="minorEastAsia"/>
                <w:color w:val="auto"/>
                <w:spacing w:val="16"/>
                <w:kern w:val="0"/>
                <w:sz w:val="21"/>
                <w:szCs w:val="21"/>
              </w:rPr>
              <w:t>℃</w:t>
            </w:r>
          </w:p>
        </w:tc>
        <w:tc>
          <w:tcPr>
            <w:tcW w:w="54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6.53</w:t>
            </w:r>
          </w:p>
        </w:tc>
        <w:tc>
          <w:tcPr>
            <w:tcW w:w="625"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9.01</w:t>
            </w:r>
          </w:p>
        </w:tc>
        <w:tc>
          <w:tcPr>
            <w:tcW w:w="58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13.54</w:t>
            </w:r>
          </w:p>
        </w:tc>
        <w:tc>
          <w:tcPr>
            <w:tcW w:w="54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18.95</w:t>
            </w:r>
          </w:p>
        </w:tc>
        <w:tc>
          <w:tcPr>
            <w:tcW w:w="58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23.16</w:t>
            </w:r>
          </w:p>
        </w:tc>
        <w:tc>
          <w:tcPr>
            <w:tcW w:w="54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26.63</w:t>
            </w:r>
          </w:p>
        </w:tc>
        <w:tc>
          <w:tcPr>
            <w:tcW w:w="58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29.41</w:t>
            </w:r>
          </w:p>
        </w:tc>
        <w:tc>
          <w:tcPr>
            <w:tcW w:w="583"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28.55</w:t>
            </w:r>
          </w:p>
        </w:tc>
        <w:tc>
          <w:tcPr>
            <w:tcW w:w="583"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25.32</w:t>
            </w:r>
          </w:p>
        </w:tc>
        <w:tc>
          <w:tcPr>
            <w:tcW w:w="54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19.89</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14.53</w:t>
            </w:r>
          </w:p>
        </w:tc>
        <w:tc>
          <w:tcPr>
            <w:tcW w:w="625"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8.61</w:t>
            </w:r>
          </w:p>
        </w:tc>
        <w:tc>
          <w:tcPr>
            <w:tcW w:w="39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rPr>
              <w:t>1</w:t>
            </w:r>
            <w:r>
              <w:rPr>
                <w:rFonts w:hint="default" w:ascii="Times New Roman" w:hAnsi="Times New Roman" w:cs="Times New Roman" w:eastAsiaTheme="minorEastAsia"/>
                <w:color w:val="auto"/>
                <w:kern w:val="0"/>
                <w:sz w:val="21"/>
                <w:szCs w:val="21"/>
                <w:lang w:val="en-US" w:eastAsia="zh-CN"/>
              </w:rPr>
              <w:t>8.68</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（2）相对湿度</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eastAsia="zh-CN"/>
        </w:rPr>
      </w:pPr>
      <w:r>
        <w:rPr>
          <w:rFonts w:hint="eastAsia" w:ascii="Times New Roman" w:hAnsi="Times New Roman" w:cs="Times New Roman"/>
          <w:color w:val="auto"/>
          <w:szCs w:val="28"/>
          <w:u w:val="none" w:color="auto"/>
          <w:lang w:val="en-US" w:eastAsia="zh-CN"/>
        </w:rPr>
        <w:t>永州地区年平均相对湿度为79.90%。永州地区累年平均相对湿度统计见表5.1-2</w:t>
      </w:r>
      <w:r>
        <w:rPr>
          <w:rFonts w:hint="eastAsia" w:ascii="Times New Roman" w:hAnsi="Times New Roman" w:cs="Times New Roman"/>
          <w:color w:val="auto"/>
          <w:szCs w:val="28"/>
          <w:u w:val="none" w:color="auto"/>
          <w:lang w:eastAsia="zh-CN"/>
        </w:rPr>
        <w:t>。</w:t>
      </w:r>
    </w:p>
    <w:p>
      <w:pPr>
        <w:pStyle w:val="16"/>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5.1</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 xml:space="preserve">   永州</w:t>
      </w:r>
      <w:r>
        <w:rPr>
          <w:rFonts w:hint="default" w:ascii="Times New Roman" w:hAnsi="Times New Roman" w:cs="Times New Roman" w:eastAsiaTheme="minorEastAsia"/>
          <w:b/>
          <w:bCs/>
          <w:color w:val="auto"/>
          <w:sz w:val="24"/>
          <w:szCs w:val="24"/>
        </w:rPr>
        <w:t>地区</w:t>
      </w:r>
      <w:r>
        <w:rPr>
          <w:rFonts w:hint="eastAsia" w:ascii="Times New Roman" w:hAnsi="Times New Roman" w:cs="Times New Roman" w:eastAsiaTheme="minorEastAsia"/>
          <w:b/>
          <w:bCs/>
          <w:color w:val="auto"/>
          <w:sz w:val="24"/>
          <w:szCs w:val="24"/>
        </w:rPr>
        <w:t>2004-2023</w:t>
      </w:r>
      <w:r>
        <w:rPr>
          <w:rFonts w:hint="default" w:ascii="Times New Roman" w:hAnsi="Times New Roman" w:cs="Times New Roman" w:eastAsiaTheme="minorEastAsia"/>
          <w:b/>
          <w:bCs/>
          <w:color w:val="auto"/>
          <w:sz w:val="24"/>
          <w:szCs w:val="24"/>
        </w:rPr>
        <w:t>年</w:t>
      </w:r>
      <w:r>
        <w:rPr>
          <w:rFonts w:hint="eastAsia" w:ascii="Times New Roman" w:hAnsi="Times New Roman" w:cs="Times New Roman" w:eastAsiaTheme="minorEastAsia"/>
          <w:b/>
          <w:bCs/>
          <w:color w:val="auto"/>
          <w:sz w:val="24"/>
          <w:szCs w:val="24"/>
        </w:rPr>
        <w:t>平均湿度的月变化</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06"/>
        <w:gridCol w:w="540"/>
        <w:gridCol w:w="629"/>
        <w:gridCol w:w="585"/>
        <w:gridCol w:w="535"/>
        <w:gridCol w:w="585"/>
        <w:gridCol w:w="535"/>
        <w:gridCol w:w="585"/>
        <w:gridCol w:w="585"/>
        <w:gridCol w:w="585"/>
        <w:gridCol w:w="535"/>
        <w:gridCol w:w="536"/>
        <w:gridCol w:w="630"/>
        <w:gridCol w:w="6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月份</w:t>
            </w:r>
          </w:p>
        </w:tc>
        <w:tc>
          <w:tcPr>
            <w:tcW w:w="32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rPr>
              <w:t>1月</w:t>
            </w:r>
          </w:p>
        </w:tc>
        <w:tc>
          <w:tcPr>
            <w:tcW w:w="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3月</w:t>
            </w:r>
          </w:p>
        </w:tc>
        <w:tc>
          <w:tcPr>
            <w:tcW w:w="3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4月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5月</w:t>
            </w:r>
          </w:p>
        </w:tc>
        <w:tc>
          <w:tcPr>
            <w:tcW w:w="3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6月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8月</w:t>
            </w:r>
          </w:p>
        </w:tc>
        <w:tc>
          <w:tcPr>
            <w:tcW w:w="3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9月</w:t>
            </w:r>
          </w:p>
        </w:tc>
        <w:tc>
          <w:tcPr>
            <w:tcW w:w="3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10月</w:t>
            </w:r>
          </w:p>
        </w:tc>
        <w:tc>
          <w:tcPr>
            <w:tcW w:w="3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11月</w:t>
            </w:r>
          </w:p>
        </w:tc>
        <w:tc>
          <w:tcPr>
            <w:tcW w:w="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12月</w:t>
            </w:r>
          </w:p>
        </w:tc>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湿度%</w:t>
            </w:r>
          </w:p>
        </w:tc>
        <w:tc>
          <w:tcPr>
            <w:tcW w:w="324"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77.12</w:t>
            </w:r>
          </w:p>
        </w:tc>
        <w:tc>
          <w:tcPr>
            <w:tcW w:w="377"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78.67</w:t>
            </w:r>
          </w:p>
        </w:tc>
        <w:tc>
          <w:tcPr>
            <w:tcW w:w="35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79.89</w:t>
            </w:r>
          </w:p>
        </w:tc>
        <w:tc>
          <w:tcPr>
            <w:tcW w:w="32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77.55</w:t>
            </w:r>
          </w:p>
        </w:tc>
        <w:tc>
          <w:tcPr>
            <w:tcW w:w="35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78.94</w:t>
            </w:r>
          </w:p>
        </w:tc>
        <w:tc>
          <w:tcPr>
            <w:tcW w:w="32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79.73</w:t>
            </w:r>
          </w:p>
        </w:tc>
        <w:tc>
          <w:tcPr>
            <w:tcW w:w="35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70.61</w:t>
            </w:r>
          </w:p>
        </w:tc>
        <w:tc>
          <w:tcPr>
            <w:tcW w:w="35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72.98</w:t>
            </w:r>
          </w:p>
        </w:tc>
        <w:tc>
          <w:tcPr>
            <w:tcW w:w="35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73.76</w:t>
            </w:r>
          </w:p>
        </w:tc>
        <w:tc>
          <w:tcPr>
            <w:tcW w:w="32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72.95</w:t>
            </w:r>
          </w:p>
        </w:tc>
        <w:tc>
          <w:tcPr>
            <w:tcW w:w="321"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76.44</w:t>
            </w:r>
          </w:p>
        </w:tc>
        <w:tc>
          <w:tcPr>
            <w:tcW w:w="377"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right"/>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72.14</w:t>
            </w:r>
          </w:p>
        </w:tc>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79.90</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（3）降水</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永州地区降水集中于夏季，12月份降水量最低为59.42mm，5月份降水量最高为207.51mm，全年降水量为1411.97mm。永州地区累年平均降水统计见表5.1-3。</w:t>
      </w:r>
    </w:p>
    <w:p>
      <w:pPr>
        <w:pStyle w:val="16"/>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5.1</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3</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 xml:space="preserve">   永州</w:t>
      </w:r>
      <w:r>
        <w:rPr>
          <w:rFonts w:hint="default" w:ascii="Times New Roman" w:hAnsi="Times New Roman" w:cs="Times New Roman" w:eastAsiaTheme="minorEastAsia"/>
          <w:b/>
          <w:bCs/>
          <w:color w:val="auto"/>
          <w:sz w:val="24"/>
          <w:szCs w:val="24"/>
        </w:rPr>
        <w:t>地区</w:t>
      </w:r>
      <w:r>
        <w:rPr>
          <w:rFonts w:hint="eastAsia" w:ascii="Times New Roman" w:hAnsi="Times New Roman" w:cs="Times New Roman" w:eastAsiaTheme="minorEastAsia"/>
          <w:b/>
          <w:bCs/>
          <w:color w:val="auto"/>
          <w:sz w:val="24"/>
          <w:szCs w:val="24"/>
        </w:rPr>
        <w:t>2004-2023</w:t>
      </w:r>
      <w:r>
        <w:rPr>
          <w:rFonts w:hint="default" w:ascii="Times New Roman" w:hAnsi="Times New Roman" w:cs="Times New Roman" w:eastAsiaTheme="minorEastAsia"/>
          <w:b/>
          <w:bCs/>
          <w:color w:val="auto"/>
          <w:sz w:val="24"/>
          <w:szCs w:val="24"/>
        </w:rPr>
        <w:t>年</w:t>
      </w:r>
      <w:r>
        <w:rPr>
          <w:rFonts w:hint="eastAsia" w:ascii="Times New Roman" w:hAnsi="Times New Roman" w:cs="Times New Roman" w:eastAsiaTheme="minorEastAsia"/>
          <w:b/>
          <w:bCs/>
          <w:color w:val="auto"/>
          <w:sz w:val="24"/>
          <w:szCs w:val="24"/>
        </w:rPr>
        <w:t>平均降水的月变化</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24"/>
        <w:gridCol w:w="483"/>
        <w:gridCol w:w="483"/>
        <w:gridCol w:w="588"/>
        <w:gridCol w:w="588"/>
        <w:gridCol w:w="588"/>
        <w:gridCol w:w="588"/>
        <w:gridCol w:w="589"/>
        <w:gridCol w:w="589"/>
        <w:gridCol w:w="483"/>
        <w:gridCol w:w="506"/>
        <w:gridCol w:w="588"/>
        <w:gridCol w:w="528"/>
        <w:gridCol w:w="7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51" w:type="pct"/>
            <w:tcBorders>
              <w:tl2br w:val="nil"/>
              <w:tr2bl w:val="nil"/>
            </w:tcBorders>
            <w:vAlign w:val="center"/>
          </w:tcPr>
          <w:p>
            <w:pPr>
              <w:widowControl/>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月份</w:t>
            </w:r>
          </w:p>
        </w:tc>
        <w:tc>
          <w:tcPr>
            <w:tcW w:w="277"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rPr>
              <w:t>1月</w:t>
            </w:r>
          </w:p>
        </w:tc>
        <w:tc>
          <w:tcPr>
            <w:tcW w:w="277"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2月</w:t>
            </w:r>
          </w:p>
        </w:tc>
        <w:tc>
          <w:tcPr>
            <w:tcW w:w="314"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3月</w:t>
            </w:r>
          </w:p>
        </w:tc>
        <w:tc>
          <w:tcPr>
            <w:tcW w:w="314"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4月</w:t>
            </w:r>
          </w:p>
        </w:tc>
        <w:tc>
          <w:tcPr>
            <w:tcW w:w="314"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5月</w:t>
            </w:r>
          </w:p>
        </w:tc>
        <w:tc>
          <w:tcPr>
            <w:tcW w:w="314"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6月</w:t>
            </w:r>
          </w:p>
        </w:tc>
        <w:tc>
          <w:tcPr>
            <w:tcW w:w="390"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7月</w:t>
            </w:r>
          </w:p>
        </w:tc>
        <w:tc>
          <w:tcPr>
            <w:tcW w:w="390"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8月</w:t>
            </w:r>
          </w:p>
        </w:tc>
        <w:tc>
          <w:tcPr>
            <w:tcW w:w="314"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9月</w:t>
            </w:r>
          </w:p>
        </w:tc>
        <w:tc>
          <w:tcPr>
            <w:tcW w:w="353"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10月</w:t>
            </w:r>
          </w:p>
        </w:tc>
        <w:tc>
          <w:tcPr>
            <w:tcW w:w="353"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11月</w:t>
            </w:r>
          </w:p>
        </w:tc>
        <w:tc>
          <w:tcPr>
            <w:tcW w:w="353"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12月</w:t>
            </w:r>
          </w:p>
        </w:tc>
        <w:tc>
          <w:tcPr>
            <w:tcW w:w="385"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51" w:type="pct"/>
            <w:tcBorders>
              <w:tl2br w:val="nil"/>
              <w:tr2bl w:val="nil"/>
            </w:tcBorders>
            <w:vAlign w:val="center"/>
          </w:tcPr>
          <w:p>
            <w:pPr>
              <w:widowControl/>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降水量mm</w:t>
            </w:r>
          </w:p>
        </w:tc>
        <w:tc>
          <w:tcPr>
            <w:tcW w:w="451"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67.32</w:t>
            </w:r>
          </w:p>
        </w:tc>
        <w:tc>
          <w:tcPr>
            <w:tcW w:w="451"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90.72</w:t>
            </w:r>
          </w:p>
        </w:tc>
        <w:tc>
          <w:tcPr>
            <w:tcW w:w="541"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158.56</w:t>
            </w:r>
          </w:p>
        </w:tc>
        <w:tc>
          <w:tcPr>
            <w:tcW w:w="541"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166.82</w:t>
            </w:r>
          </w:p>
        </w:tc>
        <w:tc>
          <w:tcPr>
            <w:tcW w:w="541"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207.51</w:t>
            </w:r>
          </w:p>
        </w:tc>
        <w:tc>
          <w:tcPr>
            <w:tcW w:w="541"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179.48</w:t>
            </w:r>
          </w:p>
        </w:tc>
        <w:tc>
          <w:tcPr>
            <w:tcW w:w="646"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113.72</w:t>
            </w:r>
          </w:p>
        </w:tc>
        <w:tc>
          <w:tcPr>
            <w:tcW w:w="646"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142.5</w:t>
            </w:r>
          </w:p>
        </w:tc>
        <w:tc>
          <w:tcPr>
            <w:tcW w:w="501"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56.74</w:t>
            </w:r>
          </w:p>
        </w:tc>
        <w:tc>
          <w:tcPr>
            <w:tcW w:w="578"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51.66</w:t>
            </w:r>
          </w:p>
        </w:tc>
        <w:tc>
          <w:tcPr>
            <w:tcW w:w="578"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117.52</w:t>
            </w:r>
          </w:p>
        </w:tc>
        <w:tc>
          <w:tcPr>
            <w:tcW w:w="579" w:type="dxa"/>
            <w:tcBorders>
              <w:tl2br w:val="nil"/>
              <w:tr2bl w:val="nil"/>
            </w:tcBorders>
            <w:vAlign w:val="center"/>
          </w:tcPr>
          <w:p>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59.42</w:t>
            </w:r>
          </w:p>
        </w:tc>
        <w:tc>
          <w:tcPr>
            <w:tcW w:w="385" w:type="pct"/>
            <w:tcBorders>
              <w:tl2br w:val="nil"/>
              <w:tr2bl w:val="nil"/>
            </w:tcBorders>
            <w:vAlign w:val="center"/>
          </w:tcPr>
          <w:p>
            <w:pPr>
              <w:widowControl/>
              <w:spacing w:line="240" w:lineRule="auto"/>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1</w:t>
            </w:r>
            <w:r>
              <w:rPr>
                <w:rFonts w:hint="eastAsia" w:ascii="Times New Roman" w:hAnsi="Times New Roman" w:cs="Times New Roman" w:eastAsiaTheme="minorEastAsia"/>
                <w:color w:val="auto"/>
                <w:kern w:val="0"/>
                <w:sz w:val="21"/>
                <w:szCs w:val="21"/>
                <w:lang w:val="en-US" w:eastAsia="zh-CN"/>
              </w:rPr>
              <w:t>411.97</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（4）日照时数</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永州地区全年日照时数为1386.11h，7月份最高为219.61h，1月份最低为52.8h。永州地区累年平均日照时数统计见表5.1-4。</w:t>
      </w:r>
    </w:p>
    <w:p>
      <w:pPr>
        <w:pStyle w:val="16"/>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5.1</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4</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 xml:space="preserve">   永州</w:t>
      </w:r>
      <w:r>
        <w:rPr>
          <w:rFonts w:hint="default" w:ascii="Times New Roman" w:hAnsi="Times New Roman" w:cs="Times New Roman" w:eastAsiaTheme="minorEastAsia"/>
          <w:b/>
          <w:bCs/>
          <w:color w:val="auto"/>
          <w:sz w:val="24"/>
          <w:szCs w:val="24"/>
        </w:rPr>
        <w:t>地区</w:t>
      </w:r>
      <w:r>
        <w:rPr>
          <w:rFonts w:hint="eastAsia" w:ascii="Times New Roman" w:hAnsi="Times New Roman" w:cs="Times New Roman" w:eastAsiaTheme="minorEastAsia"/>
          <w:b/>
          <w:bCs/>
          <w:color w:val="auto"/>
          <w:sz w:val="24"/>
          <w:szCs w:val="24"/>
        </w:rPr>
        <w:t>2004-2023</w:t>
      </w:r>
      <w:r>
        <w:rPr>
          <w:rFonts w:hint="default" w:ascii="Times New Roman" w:hAnsi="Times New Roman" w:cs="Times New Roman" w:eastAsiaTheme="minorEastAsia"/>
          <w:b/>
          <w:bCs/>
          <w:color w:val="auto"/>
          <w:sz w:val="24"/>
          <w:szCs w:val="24"/>
        </w:rPr>
        <w:t>年</w:t>
      </w:r>
      <w:r>
        <w:rPr>
          <w:rFonts w:hint="eastAsia" w:ascii="Times New Roman" w:hAnsi="Times New Roman" w:cs="Times New Roman" w:eastAsiaTheme="minorEastAsia"/>
          <w:b/>
          <w:bCs/>
          <w:color w:val="auto"/>
          <w:sz w:val="24"/>
          <w:szCs w:val="24"/>
        </w:rPr>
        <w:t>平均日照时数的月变化</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82"/>
        <w:gridCol w:w="557"/>
        <w:gridCol w:w="557"/>
        <w:gridCol w:w="557"/>
        <w:gridCol w:w="557"/>
        <w:gridCol w:w="588"/>
        <w:gridCol w:w="588"/>
        <w:gridCol w:w="588"/>
        <w:gridCol w:w="588"/>
        <w:gridCol w:w="588"/>
        <w:gridCol w:w="588"/>
        <w:gridCol w:w="588"/>
        <w:gridCol w:w="461"/>
        <w:gridCol w:w="6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月份</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sz w:val="21"/>
                <w:szCs w:val="21"/>
              </w:rPr>
              <w:t>1月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2月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3月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4月</w:t>
            </w:r>
          </w:p>
        </w:tc>
        <w:tc>
          <w:tcPr>
            <w:tcW w:w="2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5月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6月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7月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8月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9月</w:t>
            </w:r>
          </w:p>
        </w:tc>
        <w:tc>
          <w:tcPr>
            <w:tcW w:w="2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10月</w:t>
            </w:r>
          </w:p>
        </w:tc>
        <w:tc>
          <w:tcPr>
            <w:tcW w:w="35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11月</w:t>
            </w:r>
          </w:p>
        </w:tc>
        <w:tc>
          <w:tcPr>
            <w:tcW w:w="2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12月</w:t>
            </w:r>
          </w:p>
        </w:tc>
        <w:tc>
          <w:tcPr>
            <w:tcW w:w="40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rPr>
            </w:pPr>
            <w:r>
              <w:rPr>
                <w:rFonts w:hint="default" w:ascii="Times New Roman" w:hAnsi="Times New Roman" w:cs="Times New Roman" w:eastAsiaTheme="minorEastAsia"/>
                <w:color w:val="auto"/>
                <w:w w:val="90"/>
                <w:kern w:val="0"/>
                <w:sz w:val="21"/>
                <w:szCs w:val="21"/>
              </w:rPr>
              <w:t>日照时数</w:t>
            </w:r>
            <w:r>
              <w:rPr>
                <w:rFonts w:hint="default" w:ascii="Times New Roman" w:hAnsi="Times New Roman" w:cs="Times New Roman" w:eastAsiaTheme="minorEastAsia"/>
                <w:bCs/>
                <w:iCs/>
                <w:color w:val="auto"/>
                <w:w w:val="90"/>
                <w:kern w:val="0"/>
                <w:sz w:val="21"/>
                <w:szCs w:val="21"/>
              </w:rPr>
              <w:t>h</w:t>
            </w:r>
          </w:p>
        </w:tc>
        <w:tc>
          <w:tcPr>
            <w:tcW w:w="58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52.8</w:t>
            </w:r>
          </w:p>
        </w:tc>
        <w:tc>
          <w:tcPr>
            <w:tcW w:w="58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55.54</w:t>
            </w:r>
          </w:p>
        </w:tc>
        <w:tc>
          <w:tcPr>
            <w:tcW w:w="58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65.04</w:t>
            </w:r>
          </w:p>
        </w:tc>
        <w:tc>
          <w:tcPr>
            <w:tcW w:w="58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96.24</w:t>
            </w:r>
          </w:p>
        </w:tc>
        <w:tc>
          <w:tcPr>
            <w:tcW w:w="48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116.57</w:t>
            </w:r>
          </w:p>
        </w:tc>
        <w:tc>
          <w:tcPr>
            <w:tcW w:w="585"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124.83</w:t>
            </w:r>
          </w:p>
        </w:tc>
        <w:tc>
          <w:tcPr>
            <w:tcW w:w="585"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219.61</w:t>
            </w:r>
          </w:p>
        </w:tc>
        <w:tc>
          <w:tcPr>
            <w:tcW w:w="585"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195.18</w:t>
            </w:r>
          </w:p>
        </w:tc>
        <w:tc>
          <w:tcPr>
            <w:tcW w:w="585"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145.32</w:t>
            </w:r>
          </w:p>
        </w:tc>
        <w:tc>
          <w:tcPr>
            <w:tcW w:w="48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121.54</w:t>
            </w:r>
          </w:p>
        </w:tc>
        <w:tc>
          <w:tcPr>
            <w:tcW w:w="585"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101.84</w:t>
            </w:r>
          </w:p>
        </w:tc>
        <w:tc>
          <w:tcPr>
            <w:tcW w:w="48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0"/>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91.6</w:t>
            </w:r>
          </w:p>
        </w:tc>
        <w:tc>
          <w:tcPr>
            <w:tcW w:w="40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0"/>
                <w:kern w:val="0"/>
                <w:sz w:val="21"/>
                <w:szCs w:val="21"/>
                <w:lang w:val="en-US" w:eastAsia="zh-CN"/>
              </w:rPr>
            </w:pPr>
            <w:r>
              <w:rPr>
                <w:rFonts w:hint="default" w:ascii="Times New Roman" w:hAnsi="Times New Roman" w:cs="Times New Roman" w:eastAsiaTheme="minorEastAsia"/>
                <w:color w:val="auto"/>
                <w:w w:val="90"/>
                <w:kern w:val="0"/>
                <w:sz w:val="21"/>
                <w:szCs w:val="21"/>
                <w:lang w:val="en-US" w:eastAsia="zh-CN"/>
              </w:rPr>
              <w:t>1386.11</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（5）风速</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永州地区年平均风速2.29m/s，月平均风速2月份相对较大为2.46m/s，6月份相对较小为2.13m/s。永州地区累年平均风速统计见表5.1-5。</w:t>
      </w:r>
    </w:p>
    <w:p>
      <w:pPr>
        <w:pStyle w:val="16"/>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5.1</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 xml:space="preserve">   永州</w:t>
      </w:r>
      <w:r>
        <w:rPr>
          <w:rFonts w:hint="default" w:ascii="Times New Roman" w:hAnsi="Times New Roman" w:cs="Times New Roman" w:eastAsiaTheme="minorEastAsia"/>
          <w:b/>
          <w:bCs/>
          <w:color w:val="auto"/>
          <w:sz w:val="24"/>
          <w:szCs w:val="24"/>
        </w:rPr>
        <w:t>地区</w:t>
      </w:r>
      <w:r>
        <w:rPr>
          <w:rFonts w:hint="eastAsia" w:ascii="Times New Roman" w:hAnsi="Times New Roman" w:cs="Times New Roman" w:eastAsiaTheme="minorEastAsia"/>
          <w:b/>
          <w:bCs/>
          <w:color w:val="auto"/>
          <w:sz w:val="24"/>
          <w:szCs w:val="24"/>
        </w:rPr>
        <w:t>2004-2023</w:t>
      </w:r>
      <w:r>
        <w:rPr>
          <w:rFonts w:hint="default" w:ascii="Times New Roman" w:hAnsi="Times New Roman" w:cs="Times New Roman" w:eastAsiaTheme="minorEastAsia"/>
          <w:b/>
          <w:bCs/>
          <w:color w:val="auto"/>
          <w:sz w:val="24"/>
          <w:szCs w:val="24"/>
        </w:rPr>
        <w:t>年</w:t>
      </w:r>
      <w:r>
        <w:rPr>
          <w:rFonts w:hint="eastAsia" w:ascii="Times New Roman" w:hAnsi="Times New Roman" w:cs="Times New Roman" w:eastAsiaTheme="minorEastAsia"/>
          <w:b/>
          <w:bCs/>
          <w:color w:val="auto"/>
          <w:sz w:val="24"/>
          <w:szCs w:val="24"/>
        </w:rPr>
        <w:t>平均风速的月变化</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00"/>
        <w:gridCol w:w="543"/>
        <w:gridCol w:w="623"/>
        <w:gridCol w:w="582"/>
        <w:gridCol w:w="543"/>
        <w:gridCol w:w="582"/>
        <w:gridCol w:w="543"/>
        <w:gridCol w:w="583"/>
        <w:gridCol w:w="583"/>
        <w:gridCol w:w="583"/>
        <w:gridCol w:w="543"/>
        <w:gridCol w:w="543"/>
        <w:gridCol w:w="623"/>
        <w:gridCol w:w="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月份</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rPr>
              <w:t>1月</w:t>
            </w:r>
          </w:p>
        </w:tc>
        <w:tc>
          <w:tcPr>
            <w:tcW w:w="37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2月</w:t>
            </w:r>
          </w:p>
        </w:tc>
        <w:tc>
          <w:tcPr>
            <w:tcW w:w="3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3月</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4月</w:t>
            </w:r>
          </w:p>
        </w:tc>
        <w:tc>
          <w:tcPr>
            <w:tcW w:w="3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5月</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6月</w:t>
            </w:r>
          </w:p>
        </w:tc>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7月</w:t>
            </w:r>
          </w:p>
        </w:tc>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8月</w:t>
            </w:r>
          </w:p>
        </w:tc>
        <w:tc>
          <w:tcPr>
            <w:tcW w:w="3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9月</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10月</w:t>
            </w:r>
          </w:p>
        </w:tc>
        <w:tc>
          <w:tcPr>
            <w:tcW w:w="32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11月</w:t>
            </w:r>
          </w:p>
        </w:tc>
        <w:tc>
          <w:tcPr>
            <w:tcW w:w="37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12月</w:t>
            </w:r>
          </w:p>
        </w:tc>
        <w:tc>
          <w:tcPr>
            <w:tcW w:w="3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风速m/s</w:t>
            </w:r>
          </w:p>
        </w:tc>
        <w:tc>
          <w:tcPr>
            <w:tcW w:w="54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2.28</w:t>
            </w:r>
          </w:p>
        </w:tc>
        <w:tc>
          <w:tcPr>
            <w:tcW w:w="620"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2.46</w:t>
            </w:r>
          </w:p>
        </w:tc>
        <w:tc>
          <w:tcPr>
            <w:tcW w:w="580"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2.37</w:t>
            </w:r>
          </w:p>
        </w:tc>
        <w:tc>
          <w:tcPr>
            <w:tcW w:w="54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2.36</w:t>
            </w:r>
          </w:p>
        </w:tc>
        <w:tc>
          <w:tcPr>
            <w:tcW w:w="580"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2.17</w:t>
            </w:r>
          </w:p>
        </w:tc>
        <w:tc>
          <w:tcPr>
            <w:tcW w:w="54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2.13</w:t>
            </w:r>
          </w:p>
        </w:tc>
        <w:tc>
          <w:tcPr>
            <w:tcW w:w="58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2.37</w:t>
            </w:r>
          </w:p>
        </w:tc>
        <w:tc>
          <w:tcPr>
            <w:tcW w:w="58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2.25</w:t>
            </w:r>
          </w:p>
        </w:tc>
        <w:tc>
          <w:tcPr>
            <w:tcW w:w="58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2.29</w:t>
            </w:r>
          </w:p>
        </w:tc>
        <w:tc>
          <w:tcPr>
            <w:tcW w:w="54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2.31</w:t>
            </w:r>
          </w:p>
        </w:tc>
        <w:tc>
          <w:tcPr>
            <w:tcW w:w="54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2.24</w:t>
            </w:r>
          </w:p>
        </w:tc>
        <w:tc>
          <w:tcPr>
            <w:tcW w:w="62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2.21</w:t>
            </w:r>
          </w:p>
        </w:tc>
        <w:tc>
          <w:tcPr>
            <w:tcW w:w="39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rPr>
              <w:t>2.</w:t>
            </w:r>
            <w:r>
              <w:rPr>
                <w:rFonts w:hint="default" w:ascii="Times New Roman" w:hAnsi="Times New Roman" w:cs="Times New Roman" w:eastAsiaTheme="minorEastAsia"/>
                <w:color w:val="auto"/>
                <w:kern w:val="0"/>
                <w:sz w:val="21"/>
                <w:szCs w:val="21"/>
                <w:lang w:val="en-US" w:eastAsia="zh-CN"/>
              </w:rPr>
              <w:t>29</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（6）风频</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永州地区累年风频最多的是NE，频率为15.17%；其次是NNE，频率为15.17%，ESE最少，频率为1.87%。永州地区累年风频统计见表5.1-6和风频玫瑰图见图5.1-1。</w:t>
      </w:r>
    </w:p>
    <w:p>
      <w:pPr>
        <w:pStyle w:val="16"/>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 xml:space="preserve">表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5.1</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表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6</w:t>
      </w:r>
      <w:r>
        <w:rPr>
          <w:rFonts w:hint="default" w:ascii="Times New Roman" w:hAnsi="Times New Roman" w:cs="Times New Roman" w:eastAsiaTheme="minorEastAsia"/>
          <w:b/>
          <w:bCs/>
          <w:color w:val="auto"/>
          <w:sz w:val="24"/>
          <w:szCs w:val="24"/>
        </w:rPr>
        <w:fldChar w:fldCharType="end"/>
      </w:r>
      <w:r>
        <w:rPr>
          <w:rFonts w:hint="eastAsia" w:ascii="Times New Roman" w:hAnsi="Times New Roman" w:cs="Times New Roman" w:eastAsiaTheme="minorEastAsia"/>
          <w:b/>
          <w:bCs/>
          <w:color w:val="auto"/>
          <w:sz w:val="24"/>
          <w:szCs w:val="24"/>
          <w:lang w:eastAsia="zh-CN"/>
        </w:rPr>
        <w:t xml:space="preserve">   永州</w:t>
      </w:r>
      <w:r>
        <w:rPr>
          <w:rFonts w:hint="default" w:ascii="Times New Roman" w:hAnsi="Times New Roman" w:cs="Times New Roman" w:eastAsiaTheme="minorEastAsia"/>
          <w:b/>
          <w:bCs/>
          <w:color w:val="auto"/>
          <w:sz w:val="24"/>
          <w:szCs w:val="24"/>
        </w:rPr>
        <w:t>地区</w:t>
      </w:r>
      <w:r>
        <w:rPr>
          <w:rFonts w:hint="eastAsia" w:ascii="Times New Roman" w:hAnsi="Times New Roman" w:cs="Times New Roman" w:eastAsiaTheme="minorEastAsia"/>
          <w:b/>
          <w:bCs/>
          <w:color w:val="auto"/>
          <w:sz w:val="24"/>
          <w:szCs w:val="24"/>
        </w:rPr>
        <w:t>2004-2023</w:t>
      </w:r>
      <w:r>
        <w:rPr>
          <w:rFonts w:hint="default" w:ascii="Times New Roman" w:hAnsi="Times New Roman" w:cs="Times New Roman" w:eastAsiaTheme="minorEastAsia"/>
          <w:b/>
          <w:bCs/>
          <w:color w:val="auto"/>
          <w:sz w:val="24"/>
          <w:szCs w:val="24"/>
        </w:rPr>
        <w:t>年</w:t>
      </w:r>
      <w:r>
        <w:rPr>
          <w:rFonts w:hint="eastAsia" w:ascii="Times New Roman" w:hAnsi="Times New Roman" w:cs="Times New Roman" w:eastAsiaTheme="minorEastAsia"/>
          <w:b/>
          <w:bCs/>
          <w:color w:val="auto"/>
          <w:sz w:val="24"/>
          <w:szCs w:val="24"/>
        </w:rPr>
        <w:t>平均</w:t>
      </w:r>
      <w:r>
        <w:rPr>
          <w:rFonts w:hint="default" w:ascii="Times New Roman" w:hAnsi="Times New Roman" w:cs="Times New Roman" w:eastAsiaTheme="minorEastAsia"/>
          <w:b/>
          <w:bCs/>
          <w:color w:val="auto"/>
          <w:sz w:val="24"/>
          <w:szCs w:val="24"/>
        </w:rPr>
        <w:t>风频</w:t>
      </w:r>
      <w:r>
        <w:rPr>
          <w:rFonts w:hint="eastAsia" w:ascii="Times New Roman" w:hAnsi="Times New Roman" w:cs="Times New Roman" w:eastAsiaTheme="minorEastAsia"/>
          <w:b/>
          <w:bCs/>
          <w:color w:val="auto"/>
          <w:sz w:val="24"/>
          <w:szCs w:val="24"/>
        </w:rPr>
        <w:t>的月变化</w:t>
      </w:r>
      <w:r>
        <w:rPr>
          <w:rFonts w:hint="default" w:ascii="Times New Roman" w:hAnsi="Times New Roman" w:cs="Times New Roman" w:eastAsiaTheme="minorEastAsia"/>
          <w:b/>
          <w:bCs/>
          <w:color w:val="auto"/>
          <w:sz w:val="24"/>
          <w:szCs w:val="24"/>
        </w:rPr>
        <w:t>(%)</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31"/>
        <w:gridCol w:w="501"/>
        <w:gridCol w:w="501"/>
        <w:gridCol w:w="501"/>
        <w:gridCol w:w="483"/>
        <w:gridCol w:w="398"/>
        <w:gridCol w:w="398"/>
        <w:gridCol w:w="398"/>
        <w:gridCol w:w="483"/>
        <w:gridCol w:w="483"/>
        <w:gridCol w:w="501"/>
        <w:gridCol w:w="398"/>
        <w:gridCol w:w="513"/>
        <w:gridCol w:w="398"/>
        <w:gridCol w:w="548"/>
        <w:gridCol w:w="398"/>
        <w:gridCol w:w="502"/>
        <w:gridCol w:w="4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月份</w:t>
            </w:r>
          </w:p>
        </w:tc>
        <w:tc>
          <w:tcPr>
            <w:tcW w:w="31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N</w:t>
            </w:r>
          </w:p>
        </w:tc>
        <w:tc>
          <w:tcPr>
            <w:tcW w:w="31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NNE</w:t>
            </w:r>
          </w:p>
        </w:tc>
        <w:tc>
          <w:tcPr>
            <w:tcW w:w="31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NE</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ENE</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E</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ESE</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SE</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SSE</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S</w:t>
            </w:r>
          </w:p>
        </w:tc>
        <w:tc>
          <w:tcPr>
            <w:tcW w:w="31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SSW</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SW</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WSW</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W</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WNW</w:t>
            </w:r>
          </w:p>
        </w:tc>
        <w:tc>
          <w:tcPr>
            <w:tcW w:w="2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NW</w:t>
            </w:r>
          </w:p>
        </w:tc>
        <w:tc>
          <w:tcPr>
            <w:tcW w:w="31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NNW</w:t>
            </w:r>
          </w:p>
        </w:tc>
        <w:tc>
          <w:tcPr>
            <w:tcW w:w="31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1月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8.05</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20.19</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20.95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9.68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3.53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1.57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1.55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3.87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4.88</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4.56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2.95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3.17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2.75</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2.51</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2.69</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3.95</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2月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7.65</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20.45</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20.64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1.55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6.33</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4.99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2.71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1.75</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1.92</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4.07</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3月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6.52</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16.02</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18.14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8.89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3.74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5.39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7.59</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6.21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4.54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2.56</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2.67</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3.35</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4.44</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4月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5.94</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13.52</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15.21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7.78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3.62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7.94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10.13</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8.11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5.33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3.59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2.44</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2.68</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3.13</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4.03</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5月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5.74</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12.61</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13.17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7.53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3.88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2.17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7.99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10.61</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8.46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5.33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3.69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2.53</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2.58</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3.88</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4.13</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6月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4.47</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9.62</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10.68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6.63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3.53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2.13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10.04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13.46</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11.46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6.58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2.59</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2.35</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3.07</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3.45</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7月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3.13</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6.89</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5.25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3.21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1.82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12.08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17.51</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14.41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8.3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6.14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2.7</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2.06</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2.15</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2.37</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8月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4.24</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9.13</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7.73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4.52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2.98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10.53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11.91</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10.76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6.46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4.77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2.61</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2.86</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3.35</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9月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6.31</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16.14</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16.7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10.25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4.89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6.83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7.87</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6.91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4.51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2.99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1.75</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2.07</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2.49</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3.77</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10月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7.25</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18.81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10.73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3.99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1.83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5.49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6.64</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5.22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1.62</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1.96</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2.63</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3.67</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11月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6.68</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18.27</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19.63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9.86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3.94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5.07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6.11</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5.33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2.02</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2.46</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2.94</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4.01</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12月</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7.27</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19.3</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19.44</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9.62</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1.69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1.71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4.38</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5.95</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3.13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2.71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2.61</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3.05</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3.13</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3.81</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eastAsiaTheme="minorEastAsia"/>
                <w:color w:val="auto"/>
                <w:w w:val="98"/>
                <w:kern w:val="0"/>
                <w:sz w:val="21"/>
                <w:szCs w:val="21"/>
              </w:rPr>
            </w:pPr>
            <w:r>
              <w:rPr>
                <w:rFonts w:hint="default" w:ascii="Times New Roman" w:hAnsi="Times New Roman" w:cs="Times New Roman" w:eastAsiaTheme="minorEastAsia"/>
                <w:color w:val="auto"/>
                <w:w w:val="98"/>
                <w:kern w:val="0"/>
                <w:sz w:val="21"/>
                <w:szCs w:val="21"/>
              </w:rPr>
              <w:t>全年</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6.1</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15.17</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15.99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8.65</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3.83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1.87</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2.09</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7.03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9.08</w:t>
            </w:r>
          </w:p>
        </w:tc>
        <w:tc>
          <w:tcPr>
            <w:tcW w:w="531"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7.61</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4.76</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3.53</w:t>
            </w:r>
          </w:p>
        </w:tc>
        <w:tc>
          <w:tcPr>
            <w:tcW w:w="428"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2.31</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2.41</w:t>
            </w:r>
          </w:p>
        </w:tc>
        <w:tc>
          <w:tcPr>
            <w:tcW w:w="429"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2.9</w:t>
            </w:r>
          </w:p>
        </w:tc>
        <w:tc>
          <w:tcPr>
            <w:tcW w:w="532"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3.75</w:t>
            </w:r>
          </w:p>
        </w:tc>
        <w:tc>
          <w:tcPr>
            <w:tcW w:w="524" w:type="dxa"/>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eastAsiaTheme="minorEastAsia"/>
                <w:color w:val="auto"/>
                <w:w w:val="98"/>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3.28</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30" w:line="240" w:lineRule="auto"/>
        <w:jc w:val="center"/>
        <w:textAlignment w:val="baseline"/>
        <w:rPr>
          <w:rFonts w:ascii="宋体" w:hAnsi="宋体"/>
          <w:color w:val="auto"/>
          <w:sz w:val="24"/>
        </w:rPr>
      </w:pPr>
      <w:r>
        <w:rPr>
          <w:color w:val="auto"/>
        </w:rPr>
        <w:drawing>
          <wp:inline distT="0" distB="0" distL="114300" distR="114300">
            <wp:extent cx="5141595" cy="5690870"/>
            <wp:effectExtent l="0" t="0" r="1905" b="5080"/>
            <wp:docPr id="56"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37"/>
                    <pic:cNvPicPr>
                      <a:picLocks noChangeAspect="true"/>
                    </pic:cNvPicPr>
                  </pic:nvPicPr>
                  <pic:blipFill>
                    <a:blip r:embed="rId27"/>
                    <a:srcRect t="3164"/>
                    <a:stretch>
                      <a:fillRect/>
                    </a:stretch>
                  </pic:blipFill>
                  <pic:spPr>
                    <a:xfrm>
                      <a:off x="0" y="0"/>
                      <a:ext cx="5141595" cy="5690870"/>
                    </a:xfrm>
                    <a:prstGeom prst="rect">
                      <a:avLst/>
                    </a:prstGeom>
                    <a:noFill/>
                    <a:ln>
                      <a:noFill/>
                    </a:ln>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after="0" w:line="240" w:lineRule="auto"/>
        <w:jc w:val="center"/>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 xml:space="preserve">图 </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STYLEREF 2 \s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5.1</w:t>
      </w:r>
      <w:r>
        <w:rPr>
          <w:rFonts w:hint="default" w:ascii="Times New Roman" w:hAnsi="Times New Roman" w:cs="Times New Roman" w:eastAsiaTheme="minorEastAsia"/>
          <w:b/>
          <w:bCs/>
          <w:color w:val="auto"/>
          <w:sz w:val="24"/>
          <w:szCs w:val="24"/>
        </w:rPr>
        <w:fldChar w:fldCharType="end"/>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fldChar w:fldCharType="begin"/>
      </w:r>
      <w:r>
        <w:rPr>
          <w:rFonts w:hint="default" w:ascii="Times New Roman" w:hAnsi="Times New Roman" w:cs="Times New Roman" w:eastAsiaTheme="minorEastAsia"/>
          <w:b/>
          <w:bCs/>
          <w:color w:val="auto"/>
          <w:sz w:val="24"/>
          <w:szCs w:val="24"/>
        </w:rPr>
        <w:instrText xml:space="preserve"> SEQ 图 \* ARABIC \s 2 </w:instrText>
      </w:r>
      <w:r>
        <w:rPr>
          <w:rFonts w:hint="default" w:ascii="Times New Roman" w:hAnsi="Times New Roman" w:cs="Times New Roman" w:eastAsiaTheme="minorEastAsia"/>
          <w:b/>
          <w:bCs/>
          <w:color w:val="auto"/>
          <w:sz w:val="24"/>
          <w:szCs w:val="24"/>
        </w:rPr>
        <w:fldChar w:fldCharType="separate"/>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rPr>
        <w:fldChar w:fldCharType="end"/>
      </w:r>
      <w:r>
        <w:rPr>
          <w:rFonts w:hint="default" w:ascii="Times New Roman" w:hAnsi="Times New Roman" w:cs="Times New Roman" w:eastAsiaTheme="minorEastAsia"/>
          <w:b/>
          <w:bCs/>
          <w:color w:val="auto"/>
          <w:sz w:val="24"/>
          <w:szCs w:val="24"/>
          <w:lang w:eastAsia="zh-CN"/>
        </w:rPr>
        <w:t xml:space="preserve">   永州</w:t>
      </w:r>
      <w:r>
        <w:rPr>
          <w:rFonts w:hint="default" w:ascii="Times New Roman" w:hAnsi="Times New Roman" w:cs="Times New Roman" w:eastAsiaTheme="minorEastAsia"/>
          <w:b/>
          <w:bCs/>
          <w:color w:val="auto"/>
          <w:sz w:val="24"/>
          <w:szCs w:val="24"/>
        </w:rPr>
        <w:t>地区2004-2023年平均风向频率玫瑰图</w:t>
      </w:r>
    </w:p>
    <w:p>
      <w:pPr>
        <w:pStyle w:val="11"/>
        <w:keepNext/>
        <w:keepLines w:val="0"/>
        <w:pageBreakBefore w:val="0"/>
        <w:widowControl/>
        <w:kinsoku w:val="0"/>
        <w:wordWrap/>
        <w:overflowPunct/>
        <w:topLinePunct w:val="0"/>
        <w:autoSpaceDE w:val="0"/>
        <w:autoSpaceDN w:val="0"/>
        <w:bidi w:val="0"/>
        <w:adjustRightInd w:val="0"/>
        <w:snapToGrid w:val="0"/>
        <w:spacing w:line="360" w:lineRule="auto"/>
        <w:ind w:left="850" w:hanging="850"/>
        <w:textAlignment w:val="baseline"/>
        <w:rPr>
          <w:color w:val="auto"/>
          <w:sz w:val="30"/>
          <w:szCs w:val="30"/>
        </w:rPr>
      </w:pPr>
      <w:r>
        <w:rPr>
          <w:color w:val="auto"/>
          <w:sz w:val="30"/>
          <w:szCs w:val="30"/>
        </w:rPr>
        <w:t>水文</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零陵境内年平均降水量</w:t>
      </w:r>
      <w:r>
        <w:rPr>
          <w:rFonts w:hint="default" w:ascii="Times New Roman" w:hAnsi="Times New Roman" w:cs="Times New Roman"/>
          <w:color w:val="auto"/>
          <w:szCs w:val="28"/>
          <w:u w:val="none" w:color="auto"/>
        </w:rPr>
        <w:t>1270.2mm</w:t>
      </w:r>
      <w:r>
        <w:rPr>
          <w:rFonts w:hint="eastAsia" w:ascii="Times New Roman" w:hAnsi="Times New Roman" w:cs="Times New Roman"/>
          <w:color w:val="auto"/>
          <w:szCs w:val="28"/>
          <w:u w:val="none" w:color="auto"/>
        </w:rPr>
        <w:t>，年均蒸发量</w:t>
      </w:r>
      <w:r>
        <w:rPr>
          <w:rFonts w:hint="default" w:ascii="Times New Roman" w:hAnsi="Times New Roman" w:cs="Times New Roman"/>
          <w:color w:val="auto"/>
          <w:szCs w:val="28"/>
          <w:u w:val="none" w:color="auto"/>
        </w:rPr>
        <w:t>1677.1mm</w:t>
      </w:r>
      <w:r>
        <w:rPr>
          <w:rFonts w:hint="eastAsia" w:ascii="Times New Roman" w:hAnsi="Times New Roman" w:cs="Times New Roman"/>
          <w:color w:val="auto"/>
          <w:szCs w:val="28"/>
          <w:u w:val="none" w:color="auto"/>
        </w:rPr>
        <w:t>，平均径流深度</w:t>
      </w:r>
      <w:r>
        <w:rPr>
          <w:rFonts w:hint="default" w:ascii="Times New Roman" w:hAnsi="Times New Roman" w:cs="Times New Roman"/>
          <w:color w:val="auto"/>
          <w:szCs w:val="28"/>
          <w:u w:val="none" w:color="auto"/>
        </w:rPr>
        <w:t>734.8mm</w:t>
      </w:r>
      <w:r>
        <w:rPr>
          <w:rFonts w:hint="eastAsia" w:ascii="Times New Roman" w:hAnsi="Times New Roman" w:cs="Times New Roman"/>
          <w:color w:val="auto"/>
          <w:szCs w:val="28"/>
          <w:u w:val="none" w:color="auto"/>
        </w:rPr>
        <w:t>。河流属湘江流域水系，共有大中河流</w:t>
      </w:r>
      <w:r>
        <w:rPr>
          <w:rFonts w:hint="default" w:ascii="Times New Roman" w:hAnsi="Times New Roman" w:cs="Times New Roman"/>
          <w:color w:val="auto"/>
          <w:szCs w:val="28"/>
          <w:u w:val="none" w:color="auto"/>
        </w:rPr>
        <w:t>25</w:t>
      </w:r>
      <w:r>
        <w:rPr>
          <w:rFonts w:hint="eastAsia" w:ascii="Times New Roman" w:hAnsi="Times New Roman" w:cs="Times New Roman"/>
          <w:color w:val="auto"/>
          <w:szCs w:val="28"/>
          <w:u w:val="none" w:color="auto"/>
        </w:rPr>
        <w:t>条。</w:t>
      </w:r>
      <w:r>
        <w:rPr>
          <w:rFonts w:hint="eastAsia" w:ascii="Times New Roman" w:hAnsi="Times New Roman" w:eastAsia="宋体" w:cs="Times New Roman"/>
          <w:color w:val="auto"/>
          <w:szCs w:val="28"/>
          <w:u w:val="none" w:color="auto"/>
          <w:lang w:eastAsia="zh-CN"/>
        </w:rPr>
        <w:t>零陵高新技术产业开发区</w:t>
      </w:r>
      <w:r>
        <w:rPr>
          <w:rFonts w:hint="default" w:ascii="Times New Roman" w:hAnsi="Times New Roman" w:cs="Times New Roman"/>
          <w:color w:val="auto"/>
          <w:szCs w:val="28"/>
          <w:u w:val="none" w:color="auto"/>
        </w:rPr>
        <w:t>河西片区所涉及的河流主要为湘江、潇水、愚溪河。</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湘江是永州境内最大的过境河，为长江主要支流之一。发源于湖南省永州市海拔近2000米的九嶷山脚蓝山县野狗山麓，上游称潇水，零陵以北开始称湘江，向东流经永州、衡阳、株洲、湘潭、长沙，至湘阴县入洞庭湖后归长江。全长817公里，流域面积92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300km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上游水急滩多，中下游水量丰富，水流平稳。干支流大部可通航，旧时是两湖与两广的重要交通运输线路。潇水发源于永州市蓝山县野狗山，经江华水口、沱江镇，过界牌流入道县境内，北流而下经双牌至零陵区萍岛后称湘江，全流域面积12099k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。永州市零陵区地处潇水下游末端，河源至零陵城区约321km，流经市区长度为25km，流经市中心长度为11km，河床宽150～250m，河槽深10～15m，多年平均流量331.0m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/s，河床平均坡降0.76%，历年最高水位106.72m（大西门处），最低水位98.70m（大西门处），平均水位99.25m。根据现场收集资料，</w:t>
      </w:r>
      <w:r>
        <w:rPr>
          <w:rFonts w:hint="eastAsia" w:ascii="Times New Roman" w:hAnsi="Times New Roman" w:eastAsia="宋体" w:cs="Times New Roman"/>
          <w:color w:val="auto"/>
          <w:szCs w:val="28"/>
          <w:u w:val="none" w:color="auto"/>
          <w:lang w:eastAsia="zh-CN"/>
        </w:rPr>
        <w:t>零陵高新技术产业开发区</w:t>
      </w:r>
      <w:r>
        <w:rPr>
          <w:rFonts w:hint="default" w:ascii="Times New Roman" w:hAnsi="Times New Roman" w:cs="Times New Roman"/>
          <w:color w:val="auto"/>
          <w:szCs w:val="28"/>
          <w:u w:val="none" w:color="auto"/>
        </w:rPr>
        <w:t>所在湘江段枯水期流速0.064m/s，流量200m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/s，水面宽350m，水深8.9m</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水力坡降0.134</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潇水，属零陵境内内河，是湘江上游的一级大支流。其干流发源于蓝山县野狗山南麓，流经蓝山、江华、江永、宁远、道县、双牌、永州。至永州萍岛注入湘江。干流长354公里，流域面积12099km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，多年平均流量345m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/s，多年平均径流量108.8亿</w:t>
      </w:r>
      <w:r>
        <w:rPr>
          <w:rFonts w:hint="eastAsia" w:ascii="Times New Roman" w:hAnsi="Times New Roman" w:cs="Times New Roman"/>
          <w:color w:val="auto"/>
          <w:szCs w:val="28"/>
          <w:u w:val="none" w:color="auto"/>
        </w:rPr>
        <w:t>m</w:t>
      </w:r>
      <w:r>
        <w:rPr>
          <w:rFonts w:hint="eastAsia"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。潇水河网密布，水量丰富。河长在5公里以上的大小支流共308条，一级支流流域面积大于100km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的有21条，大于300km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的有9条，自上而下有辇江、岑东河、萌渚水、蚣坝河、永明河、宜水、宁远河、浮江、贤水。其出口多年平均径流总量104亿</w:t>
      </w:r>
      <w:r>
        <w:rPr>
          <w:rFonts w:hint="eastAsia" w:ascii="Times New Roman" w:hAnsi="Times New Roman" w:cs="Times New Roman"/>
          <w:color w:val="auto"/>
          <w:szCs w:val="28"/>
          <w:u w:val="none" w:color="auto"/>
        </w:rPr>
        <w:t>m</w:t>
      </w:r>
      <w:r>
        <w:rPr>
          <w:rFonts w:hint="eastAsia"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，每平方公里年产水量86.3万m</w:t>
      </w:r>
      <w:r>
        <w:rPr>
          <w:rFonts w:hint="eastAsia"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。根据现场收集资料，</w:t>
      </w:r>
      <w:r>
        <w:rPr>
          <w:rFonts w:hint="eastAsia" w:ascii="Times New Roman" w:hAnsi="Times New Roman" w:eastAsia="宋体" w:cs="Times New Roman"/>
          <w:color w:val="auto"/>
          <w:szCs w:val="28"/>
          <w:u w:val="none" w:color="auto"/>
          <w:lang w:eastAsia="zh-CN"/>
        </w:rPr>
        <w:t>零陵高新技术产业开发区</w:t>
      </w:r>
      <w:r>
        <w:rPr>
          <w:rFonts w:hint="default" w:ascii="Times New Roman" w:hAnsi="Times New Roman" w:cs="Times New Roman"/>
          <w:color w:val="auto"/>
          <w:szCs w:val="28"/>
          <w:u w:val="none" w:color="auto"/>
        </w:rPr>
        <w:t>所在潇水段枯水期流速0.16m/s，流量120m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/s，水面宽250m，水深2.6m</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水力坡降0.75‰。</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愚溪河为潇水一级支流，湘江二级支流。发源于零陵区梳子铺乡大古源，于零陵区河西办事处柳子街汇入潇水。全长41km，流域面积153.7km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。落差39m，坡度0.95‰。愚溪河平均流量3.6m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/s，枯水期流量1.4m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/s，年平均总径流量1.14亿m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，河宽20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30m。该流域未进行功能区划，水体现有实际功能主要为农业用水，水质按</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GB3838-2002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Ⅲ类标准执行。</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本项目污水排入园区污水管网，进入鹿坪污水处理厂深度处理，达标后排入湘江，该段属于湘江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紫水河与湘江汇合口上游500米至芝山萍岛上端</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段执行《地表水环境质量标准》（GB3838-2002）中Ⅲ类标准。</w:t>
      </w:r>
    </w:p>
    <w:p>
      <w:pPr>
        <w:pStyle w:val="11"/>
        <w:bidi w:val="0"/>
        <w:spacing w:line="360" w:lineRule="auto"/>
        <w:ind w:left="851" w:hanging="851"/>
        <w:rPr>
          <w:color w:val="auto"/>
          <w:sz w:val="30"/>
          <w:szCs w:val="30"/>
        </w:rPr>
      </w:pPr>
      <w:r>
        <w:rPr>
          <w:color w:val="auto"/>
          <w:sz w:val="30"/>
          <w:szCs w:val="30"/>
        </w:rPr>
        <w:t>生态环境</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（1）植物资源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永州市零陵区属华南植物区系北界，森林植被是以乔、灌木为主体的天然或人工植物群落。区内植物资源比较丰富，野生的木本植物主要有马尾松、樟树、枫香、杉木、日本黑松、槲树、构树、槐树、狭叶石栎、四川山矾、黑松、槭树、冬青、肉花卫茅、构骨、檵木、狭叶爬楔、泡洞、大叶荨麻、山胡椒、苦楝、油杉、枫杨、胡桃、青冈等；草本植物主要有狗尾草、车前草、野菊花、狗牙根、芒、蒲公英等；另外还有多种蕨类。乔木植物的优势种类为马尾松、樟树、杉木、枫香。经济作物有茶、油、桔等。</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园区用于绿化的植物种类有广玉兰、大叶黄杨、小叶女贞、罗汉松、雪松、龙柏、桂花、红檵木、悬铃木、侧柏、茶花、柑桔、杜鹃、竹、茶、紫荆、含笑、小叶黄杨、爬山虎、常青藤等。植物以华中植物区系为主，物种丰富，但人工抚育种比例大。</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（2）动物资源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永州市已查明的野生动物有1000余种，其中有大量的珍稀动物。现列为国家保护的有31种：属国家一级保护的有华南虎、黄腹角雉；二级保护的有猕猴、穿山甲、金钱豹、麝、红腹角雉、毛冠鹿、水鹿、大鲵（娃娃鱼）、红石猴、灰腹角雉等10种；三级保护的有獐、青羊、苏州羚、白鹇、金鸡等19种。全市已知水产动物有186种，其中鱼类有153种；主要经济鱼类有草、青、鲢、鳙、鲤等20余种；稀有珍贵鱼类有中华鲟、竹鱼等；水产两栖动物有大鲵（娃娃鱼）等16种；水产爬行动物主要有鳖、团鱼、乌龟等；珍贵水产兽类有华东水獭（俗名水貂）。在我国200多种蛇中，其境内就有70余种，尤其以盛产五步蛇、银环蛇、眼镜蛇、竹叶青、烙铁头等</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异蛇</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著称。</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园区动物资源主要以人工养殖的家畜、家禽为主，由于该区属于城郊，人为活动频繁，开发活动较为强烈，野生动物尤其大型野生动物生存环境遭到破坏，因此野生动物的活动踪迹较少，无列入国家重点保护名录的珍稀野生动物分布，主要野生动物都是一些常见的种类如：田鼠、竹鼠、蛇、蛙、黄鼠狼，以及一些鸟类有燕、喜鹊、八哥、画眉、布谷、猫头鹰等。</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本项目</w:t>
      </w:r>
      <w:r>
        <w:rPr>
          <w:rFonts w:hint="default" w:ascii="Times New Roman" w:hAnsi="Times New Roman" w:cs="Times New Roman"/>
          <w:color w:val="auto"/>
          <w:szCs w:val="28"/>
          <w:u w:val="none" w:color="auto"/>
        </w:rPr>
        <w:t>厂址处为工业园建设用地，目前已基本无自然植被。</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通过现场调查，项目评价区域内未见国家保护的珍稀野生保护动植物，无受国家、省、市保护的生态敏感保护区和文物古迹。</w:t>
      </w:r>
    </w:p>
    <w:p>
      <w:pPr>
        <w:pStyle w:val="10"/>
        <w:bidi w:val="0"/>
        <w:spacing w:line="360" w:lineRule="auto"/>
        <w:rPr>
          <w:rFonts w:hint="default" w:ascii="Times New Roman" w:hAnsi="Times New Roman" w:cs="Times New Roman"/>
          <w:color w:val="auto"/>
          <w:sz w:val="32"/>
          <w:szCs w:val="32"/>
        </w:rPr>
      </w:pPr>
      <w:bookmarkStart w:id="58" w:name="bookmark58"/>
      <w:bookmarkEnd w:id="58"/>
      <w:bookmarkStart w:id="59" w:name="_Toc20947"/>
      <w:r>
        <w:rPr>
          <w:rFonts w:hint="default" w:ascii="Times New Roman" w:hAnsi="Times New Roman" w:cs="Times New Roman"/>
          <w:color w:val="auto"/>
          <w:sz w:val="32"/>
          <w:szCs w:val="32"/>
        </w:rPr>
        <w:t>环境质量现状调查与评价</w:t>
      </w:r>
      <w:bookmarkEnd w:id="59"/>
    </w:p>
    <w:p>
      <w:pPr>
        <w:pStyle w:val="11"/>
        <w:bidi w:val="0"/>
        <w:spacing w:line="360" w:lineRule="auto"/>
        <w:ind w:left="851" w:hanging="851"/>
        <w:rPr>
          <w:color w:val="auto"/>
          <w:sz w:val="30"/>
          <w:szCs w:val="30"/>
        </w:rPr>
      </w:pPr>
      <w:r>
        <w:rPr>
          <w:color w:val="auto"/>
          <w:sz w:val="30"/>
          <w:szCs w:val="30"/>
        </w:rPr>
        <w:t>大气环境质量现状调查与评价</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根据</w:t>
      </w:r>
      <w:r>
        <w:rPr>
          <w:rFonts w:hint="default" w:ascii="Times New Roman" w:hAnsi="Times New Roman" w:cs="Times New Roman"/>
          <w:color w:val="auto"/>
          <w:szCs w:val="28"/>
          <w:u w:val="none" w:color="auto"/>
        </w:rPr>
        <w:t>《环境影响评价技术导则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HJ2.2-20</w:t>
      </w:r>
      <w:r>
        <w:rPr>
          <w:rFonts w:hint="eastAsia" w:ascii="Times New Roman" w:hAnsi="Times New Roman" w:cs="Times New Roman"/>
          <w:color w:val="auto"/>
          <w:szCs w:val="28"/>
          <w:u w:val="none" w:color="auto"/>
        </w:rPr>
        <w:t>1</w:t>
      </w:r>
      <w:r>
        <w:rPr>
          <w:rFonts w:hint="default" w:ascii="Times New Roman" w:hAnsi="Times New Roman" w:cs="Times New Roman"/>
          <w:color w:val="auto"/>
          <w:szCs w:val="28"/>
          <w:u w:val="none" w:color="auto"/>
        </w:rPr>
        <w:t>8</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rPr>
        <w:t>，环境空气质量现状调查与评价，基本污染物环境质量现状数据采用评价范围内国家或地方环境空气质量监测网中评价基准年连续1年的监测数据，或采用生态环境主管部门公开发布的环境空气质量现状数据。项目所在区域达标判定优先采用国家或地方生态环境主管部门公开发布的环境质量公报或环境质量报告中的数据或结论。评价范围内没有环境空气质量检测网数据或公开发布的环境空气质量现状数据的，可选择符合</w:t>
      </w:r>
      <w:r>
        <w:rPr>
          <w:rFonts w:hint="default" w:ascii="Times New Roman" w:hAnsi="Times New Roman" w:cs="Times New Roman"/>
          <w:color w:val="auto"/>
          <w:szCs w:val="28"/>
          <w:u w:val="none" w:color="auto"/>
        </w:rPr>
        <w:t>HJ664</w:t>
      </w:r>
      <w:r>
        <w:rPr>
          <w:rFonts w:hint="eastAsia" w:ascii="Times New Roman" w:hAnsi="Times New Roman" w:cs="Times New Roman"/>
          <w:color w:val="auto"/>
          <w:szCs w:val="28"/>
          <w:u w:val="none" w:color="auto"/>
        </w:rPr>
        <w:t>规定，并且与评价范围地理位置临近，地形气候条件相近的环境空气质量城市点或区域点监测数据。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（1）环境空气达标判定</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依据评价所需环境空气质量现状、气象资料等数据的可获得性、数据质量、代表性等因素，选择近三年中数据相对完整的一个日历年作为基准年。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项目位于永州市零陵区，评价选择2023年零陵区空气监测点的环境空气质量监测数据，2023年为近三年中数据代表性更好的一个基准年，且项目位于城区规划范围内，为监测点有效范围内的常规数据监测点数据。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①监测因子：</w:t>
      </w:r>
      <w:r>
        <w:rPr>
          <w:rFonts w:hint="default" w:ascii="Times New Roman" w:hAnsi="Times New Roman" w:cs="Times New Roman"/>
          <w:color w:val="auto"/>
          <w:szCs w:val="28"/>
          <w:u w:val="none" w:color="auto"/>
        </w:rPr>
        <w:t>SO</w:t>
      </w:r>
      <w:r>
        <w:rPr>
          <w:rFonts w:hint="default" w:ascii="Times New Roman" w:hAnsi="Times New Roman" w:cs="Times New Roman"/>
          <w:color w:val="auto"/>
          <w:szCs w:val="28"/>
          <w:u w:val="none" w:color="auto"/>
          <w:vertAlign w:val="subscript"/>
        </w:rPr>
        <w:t>2</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NO</w:t>
      </w:r>
      <w:r>
        <w:rPr>
          <w:rFonts w:hint="default" w:ascii="Times New Roman" w:hAnsi="Times New Roman" w:cs="Times New Roman"/>
          <w:color w:val="auto"/>
          <w:szCs w:val="28"/>
          <w:u w:val="none" w:color="auto"/>
          <w:vertAlign w:val="subscript"/>
        </w:rPr>
        <w:t>2</w:t>
      </w:r>
      <w:r>
        <w:rPr>
          <w:rFonts w:hint="eastAsia" w:ascii="Times New Roman" w:hAnsi="Times New Roman" w:cs="Times New Roman"/>
          <w:color w:val="auto"/>
          <w:szCs w:val="28"/>
          <w:u w:val="none" w:color="auto"/>
        </w:rPr>
        <w:t>、PM</w:t>
      </w:r>
      <w:r>
        <w:rPr>
          <w:rFonts w:hint="eastAsia" w:ascii="Times New Roman" w:hAnsi="Times New Roman" w:cs="Times New Roman"/>
          <w:color w:val="auto"/>
          <w:szCs w:val="28"/>
          <w:u w:val="none" w:color="auto"/>
          <w:vertAlign w:val="subscript"/>
        </w:rPr>
        <w:t>2.5</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PM</w:t>
      </w:r>
      <w:r>
        <w:rPr>
          <w:rFonts w:hint="default" w:ascii="Times New Roman" w:hAnsi="Times New Roman" w:cs="Times New Roman"/>
          <w:color w:val="auto"/>
          <w:szCs w:val="28"/>
          <w:u w:val="none" w:color="auto"/>
          <w:vertAlign w:val="subscript"/>
        </w:rPr>
        <w:t>10</w:t>
      </w:r>
      <w:r>
        <w:rPr>
          <w:rFonts w:hint="eastAsia" w:ascii="Times New Roman" w:hAnsi="Times New Roman" w:cs="Times New Roman"/>
          <w:color w:val="auto"/>
          <w:szCs w:val="28"/>
          <w:u w:val="none" w:color="auto"/>
        </w:rPr>
        <w:t>、CO、</w:t>
      </w:r>
      <w:r>
        <w:rPr>
          <w:rFonts w:hint="default" w:ascii="Times New Roman" w:hAnsi="Times New Roman" w:cs="Times New Roman"/>
          <w:color w:val="auto"/>
          <w:szCs w:val="28"/>
          <w:u w:val="none" w:color="auto"/>
        </w:rPr>
        <w:t>O</w:t>
      </w:r>
      <w:r>
        <w:rPr>
          <w:rFonts w:hint="eastAsia" w:ascii="Times New Roman" w:hAnsi="Times New Roman" w:cs="Times New Roman"/>
          <w:color w:val="auto"/>
          <w:szCs w:val="28"/>
          <w:u w:val="none" w:color="auto"/>
          <w:vertAlign w:val="subscript"/>
        </w:rPr>
        <w:t>3</w:t>
      </w:r>
      <w:r>
        <w:rPr>
          <w:rFonts w:hint="eastAsia"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②监测点位：零陵区常规监测点</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③监测时间：2023年。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④执行标准：《环境空气质量标准》（</w:t>
      </w:r>
      <w:r>
        <w:rPr>
          <w:rFonts w:hint="default" w:ascii="Times New Roman" w:hAnsi="Times New Roman" w:cs="Times New Roman"/>
          <w:color w:val="auto"/>
          <w:szCs w:val="28"/>
          <w:u w:val="none" w:color="auto"/>
        </w:rPr>
        <w:t>GB3095-2012</w:t>
      </w:r>
      <w:r>
        <w:rPr>
          <w:rFonts w:hint="eastAsia" w:ascii="Times New Roman" w:hAnsi="Times New Roman" w:cs="Times New Roman"/>
          <w:color w:val="auto"/>
          <w:szCs w:val="28"/>
          <w:u w:val="none" w:color="auto"/>
        </w:rPr>
        <w:t>）中的二级标准。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⑤零陵区基本污染物空气质量现状评价见下表</w:t>
      </w:r>
      <w:r>
        <w:rPr>
          <w:rFonts w:hint="eastAsia" w:ascii="Times New Roman" w:hAnsi="Times New Roman" w:eastAsia="宋体" w:cs="Times New Roman"/>
          <w:color w:val="auto"/>
          <w:szCs w:val="28"/>
          <w:u w:val="none" w:color="auto"/>
          <w:lang w:val="en-US" w:eastAsia="zh-CN"/>
        </w:rPr>
        <w:t>5.2</w:t>
      </w:r>
      <w:r>
        <w:rPr>
          <w:rFonts w:hint="eastAsia" w:ascii="Times New Roman" w:hAnsi="Times New Roman" w:cs="Times New Roman"/>
          <w:color w:val="auto"/>
          <w:szCs w:val="28"/>
          <w:u w:val="none" w:color="auto"/>
        </w:rPr>
        <w:t>-1。</w:t>
      </w:r>
    </w:p>
    <w:p>
      <w:pPr>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br w:type="page"/>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区域基本污染物空气质量现状评价表</w:t>
      </w:r>
    </w:p>
    <w:tbl>
      <w:tblPr>
        <w:tblStyle w:val="23"/>
        <w:tblW w:w="502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23"/>
        <w:gridCol w:w="1445"/>
        <w:gridCol w:w="1869"/>
        <w:gridCol w:w="1688"/>
        <w:gridCol w:w="1243"/>
        <w:gridCol w:w="119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44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年评价指标</w:t>
            </w:r>
          </w:p>
        </w:tc>
        <w:tc>
          <w:tcPr>
            <w:tcW w:w="186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现状浓度/（</w:t>
            </w:r>
            <w:r>
              <w:rPr>
                <w:rFonts w:hint="default" w:ascii="Times New Roman" w:hAnsi="Times New Roman" w:eastAsia="宋体" w:cs="Times New Roman"/>
                <w:color w:val="auto"/>
                <w:sz w:val="21"/>
                <w:szCs w:val="21"/>
                <w:lang w:eastAsia="zh-CN"/>
              </w:rPr>
              <w:t>μg/m</w:t>
            </w:r>
            <w:r>
              <w:rPr>
                <w:rFonts w:hint="default" w:ascii="Times New Roman" w:hAnsi="Times New Roman" w:eastAsia="宋体" w:cs="Times New Roman"/>
                <w:color w:val="auto"/>
                <w:sz w:val="21"/>
                <w:szCs w:val="21"/>
                <w:vertAlign w:val="superscript"/>
                <w:lang w:eastAsia="zh-CN"/>
              </w:rPr>
              <w:t>3</w:t>
            </w:r>
            <w:r>
              <w:rPr>
                <w:rFonts w:hint="default" w:ascii="Times New Roman" w:hAnsi="Times New Roman" w:cs="Times New Roman"/>
                <w:color w:val="auto"/>
                <w:sz w:val="21"/>
                <w:szCs w:val="21"/>
              </w:rPr>
              <w:t>）</w:t>
            </w:r>
          </w:p>
        </w:tc>
        <w:tc>
          <w:tcPr>
            <w:tcW w:w="1682"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标准值/（</w:t>
            </w:r>
            <w:r>
              <w:rPr>
                <w:rFonts w:hint="default" w:ascii="Times New Roman" w:hAnsi="Times New Roman" w:eastAsia="宋体" w:cs="Times New Roman"/>
                <w:color w:val="auto"/>
                <w:sz w:val="21"/>
                <w:szCs w:val="21"/>
                <w:lang w:eastAsia="zh-CN"/>
              </w:rPr>
              <w:t>μg/m</w:t>
            </w:r>
            <w:r>
              <w:rPr>
                <w:rFonts w:hint="default" w:ascii="Times New Roman" w:hAnsi="Times New Roman" w:eastAsia="宋体" w:cs="Times New Roman"/>
                <w:color w:val="auto"/>
                <w:sz w:val="21"/>
                <w:szCs w:val="21"/>
                <w:vertAlign w:val="superscript"/>
                <w:lang w:eastAsia="zh-CN"/>
              </w:rPr>
              <w:t>3</w:t>
            </w:r>
            <w:r>
              <w:rPr>
                <w:rFonts w:hint="default" w:ascii="Times New Roman" w:hAnsi="Times New Roman" w:cs="Times New Roman"/>
                <w:color w:val="auto"/>
                <w:sz w:val="21"/>
                <w:szCs w:val="21"/>
              </w:rPr>
              <w:t>）</w:t>
            </w:r>
          </w:p>
        </w:tc>
        <w:tc>
          <w:tcPr>
            <w:tcW w:w="123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占标率/%</w:t>
            </w:r>
          </w:p>
        </w:tc>
        <w:tc>
          <w:tcPr>
            <w:tcW w:w="1194"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p>
        </w:tc>
        <w:tc>
          <w:tcPr>
            <w:tcW w:w="1440"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年平均质量浓度</w:t>
            </w:r>
          </w:p>
        </w:tc>
        <w:tc>
          <w:tcPr>
            <w:tcW w:w="186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w:t>
            </w:r>
          </w:p>
        </w:tc>
        <w:tc>
          <w:tcPr>
            <w:tcW w:w="1682"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w:t>
            </w:r>
          </w:p>
        </w:tc>
        <w:tc>
          <w:tcPr>
            <w:tcW w:w="123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102.9</w:t>
            </w:r>
          </w:p>
        </w:tc>
        <w:tc>
          <w:tcPr>
            <w:tcW w:w="1194"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p>
        </w:tc>
        <w:tc>
          <w:tcPr>
            <w:tcW w:w="1440"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p>
        </w:tc>
        <w:tc>
          <w:tcPr>
            <w:tcW w:w="186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5</w:t>
            </w:r>
            <w:r>
              <w:rPr>
                <w:rFonts w:hint="eastAsia" w:ascii="Times New Roman" w:hAnsi="Times New Roman" w:eastAsia="宋体" w:cs="Times New Roman"/>
                <w:color w:val="auto"/>
                <w:sz w:val="21"/>
                <w:szCs w:val="21"/>
                <w:lang w:val="en-US" w:eastAsia="zh-CN"/>
              </w:rPr>
              <w:t>1</w:t>
            </w:r>
          </w:p>
        </w:tc>
        <w:tc>
          <w:tcPr>
            <w:tcW w:w="1682"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123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7</w:t>
            </w:r>
            <w:r>
              <w:rPr>
                <w:rFonts w:hint="eastAsia" w:ascii="Times New Roman" w:hAnsi="Times New Roman" w:eastAsia="宋体" w:cs="Times New Roman"/>
                <w:color w:val="auto"/>
                <w:sz w:val="21"/>
                <w:szCs w:val="21"/>
                <w:lang w:val="en-US" w:eastAsia="zh-CN"/>
              </w:rPr>
              <w:t>2.9</w:t>
            </w:r>
          </w:p>
        </w:tc>
        <w:tc>
          <w:tcPr>
            <w:tcW w:w="1194"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p>
        </w:tc>
        <w:tc>
          <w:tcPr>
            <w:tcW w:w="1440"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p>
        </w:tc>
        <w:tc>
          <w:tcPr>
            <w:tcW w:w="186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1682"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123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194"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p>
        </w:tc>
        <w:tc>
          <w:tcPr>
            <w:tcW w:w="1440"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p>
        </w:tc>
        <w:tc>
          <w:tcPr>
            <w:tcW w:w="186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1682"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123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1194"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w:t>
            </w:r>
          </w:p>
        </w:tc>
        <w:tc>
          <w:tcPr>
            <w:tcW w:w="144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日平均</w:t>
            </w:r>
          </w:p>
        </w:tc>
        <w:tc>
          <w:tcPr>
            <w:tcW w:w="186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w:t>
            </w:r>
          </w:p>
        </w:tc>
        <w:tc>
          <w:tcPr>
            <w:tcW w:w="1682"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4000</w:t>
            </w:r>
          </w:p>
        </w:tc>
        <w:tc>
          <w:tcPr>
            <w:tcW w:w="123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c>
          <w:tcPr>
            <w:tcW w:w="1194"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p>
        </w:tc>
        <w:tc>
          <w:tcPr>
            <w:tcW w:w="1440"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8h平均值</w:t>
            </w:r>
          </w:p>
        </w:tc>
        <w:tc>
          <w:tcPr>
            <w:tcW w:w="1863"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127</w:t>
            </w:r>
          </w:p>
        </w:tc>
        <w:tc>
          <w:tcPr>
            <w:tcW w:w="1682"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160</w:t>
            </w:r>
          </w:p>
        </w:tc>
        <w:tc>
          <w:tcPr>
            <w:tcW w:w="123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79.4</w:t>
            </w:r>
          </w:p>
        </w:tc>
        <w:tc>
          <w:tcPr>
            <w:tcW w:w="1194"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3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2023</w:t>
      </w:r>
      <w:r>
        <w:rPr>
          <w:rFonts w:hint="eastAsia" w:ascii="Times New Roman" w:hAnsi="Times New Roman" w:cs="Times New Roman"/>
          <w:color w:val="auto"/>
          <w:szCs w:val="28"/>
          <w:u w:val="none" w:color="auto"/>
          <w:lang w:val="en-US" w:eastAsia="zh-CN"/>
        </w:rPr>
        <w:t>年零陵区</w:t>
      </w:r>
      <w:r>
        <w:rPr>
          <w:rFonts w:hint="default" w:ascii="Times New Roman" w:hAnsi="Times New Roman" w:cs="Times New Roman"/>
          <w:color w:val="auto"/>
          <w:szCs w:val="28"/>
          <w:u w:val="none" w:color="auto"/>
          <w:lang w:val="en-US" w:eastAsia="zh-CN"/>
        </w:rPr>
        <w:t>SO</w:t>
      </w:r>
      <w:r>
        <w:rPr>
          <w:rFonts w:hint="default" w:ascii="Times New Roman" w:hAnsi="Times New Roman" w:cs="Times New Roman"/>
          <w:color w:val="auto"/>
          <w:szCs w:val="28"/>
          <w:u w:val="none" w:color="auto"/>
          <w:vertAlign w:val="subscript"/>
          <w:lang w:val="en-US" w:eastAsia="zh-CN"/>
        </w:rPr>
        <w:t>2</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NO</w:t>
      </w:r>
      <w:r>
        <w:rPr>
          <w:rFonts w:hint="default" w:ascii="Times New Roman" w:hAnsi="Times New Roman" w:cs="Times New Roman"/>
          <w:color w:val="auto"/>
          <w:szCs w:val="28"/>
          <w:u w:val="none" w:color="auto"/>
          <w:vertAlign w:val="subscript"/>
          <w:lang w:val="en-US" w:eastAsia="zh-CN"/>
        </w:rPr>
        <w:t>2</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PM</w:t>
      </w:r>
      <w:r>
        <w:rPr>
          <w:rFonts w:hint="default" w:ascii="Times New Roman" w:hAnsi="Times New Roman" w:cs="Times New Roman"/>
          <w:color w:val="auto"/>
          <w:szCs w:val="28"/>
          <w:u w:val="none" w:color="auto"/>
          <w:vertAlign w:val="subscript"/>
          <w:lang w:val="en-US" w:eastAsia="zh-CN"/>
        </w:rPr>
        <w:t>10</w:t>
      </w:r>
      <w:r>
        <w:rPr>
          <w:rFonts w:hint="eastAsia" w:ascii="Times New Roman" w:hAnsi="Times New Roman" w:cs="Times New Roman"/>
          <w:color w:val="auto"/>
          <w:szCs w:val="28"/>
          <w:u w:val="none" w:color="auto"/>
          <w:lang w:val="en-US" w:eastAsia="zh-CN"/>
        </w:rPr>
        <w:t>质量浓度占标率分别为</w:t>
      </w:r>
      <w:r>
        <w:rPr>
          <w:rFonts w:hint="default" w:ascii="Times New Roman" w:hAnsi="Times New Roman" w:cs="Times New Roman"/>
          <w:color w:val="auto"/>
          <w:szCs w:val="28"/>
          <w:u w:val="none" w:color="auto"/>
          <w:lang w:val="en-US" w:eastAsia="zh-CN"/>
        </w:rPr>
        <w:t>15.00%</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40.00%</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72.86%</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CO</w:t>
      </w:r>
      <w:r>
        <w:rPr>
          <w:rFonts w:hint="eastAsia" w:ascii="Times New Roman" w:hAnsi="Times New Roman" w:cs="Times New Roman"/>
          <w:color w:val="auto"/>
          <w:szCs w:val="28"/>
          <w:u w:val="none" w:color="auto"/>
          <w:lang w:val="en-US" w:eastAsia="zh-CN"/>
        </w:rPr>
        <w:t>第</w:t>
      </w:r>
      <w:r>
        <w:rPr>
          <w:rFonts w:hint="default" w:ascii="Times New Roman" w:hAnsi="Times New Roman" w:cs="Times New Roman"/>
          <w:color w:val="auto"/>
          <w:szCs w:val="28"/>
          <w:u w:val="none" w:color="auto"/>
          <w:lang w:val="en-US" w:eastAsia="zh-CN"/>
        </w:rPr>
        <w:t>95</w:t>
      </w:r>
      <w:r>
        <w:rPr>
          <w:rFonts w:hint="eastAsia" w:ascii="Times New Roman" w:hAnsi="Times New Roman" w:cs="Times New Roman"/>
          <w:color w:val="auto"/>
          <w:szCs w:val="28"/>
          <w:u w:val="none" w:color="auto"/>
          <w:lang w:val="en-US" w:eastAsia="zh-CN"/>
        </w:rPr>
        <w:t>百分位数日平均质量浓度占标率为</w:t>
      </w:r>
      <w:r>
        <w:rPr>
          <w:rFonts w:hint="default" w:ascii="Times New Roman" w:hAnsi="Times New Roman" w:cs="Times New Roman"/>
          <w:color w:val="auto"/>
          <w:szCs w:val="28"/>
          <w:u w:val="none" w:color="auto"/>
          <w:lang w:val="en-US" w:eastAsia="zh-CN"/>
        </w:rPr>
        <w:t>25%</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O</w:t>
      </w:r>
      <w:r>
        <w:rPr>
          <w:rFonts w:hint="default" w:ascii="Times New Roman" w:hAnsi="Times New Roman" w:cs="Times New Roman"/>
          <w:color w:val="auto"/>
          <w:szCs w:val="28"/>
          <w:u w:val="none" w:color="auto"/>
          <w:vertAlign w:val="subscript"/>
          <w:lang w:val="en-US" w:eastAsia="zh-CN"/>
        </w:rPr>
        <w:t>3</w:t>
      </w:r>
      <w:r>
        <w:rPr>
          <w:rFonts w:hint="eastAsia" w:ascii="Times New Roman" w:hAnsi="Times New Roman" w:cs="Times New Roman"/>
          <w:color w:val="auto"/>
          <w:szCs w:val="28"/>
          <w:u w:val="none" w:color="auto"/>
          <w:lang w:val="en-US" w:eastAsia="zh-CN"/>
        </w:rPr>
        <w:t>日最大</w:t>
      </w:r>
      <w:r>
        <w:rPr>
          <w:rFonts w:hint="default" w:ascii="Times New Roman" w:hAnsi="Times New Roman" w:cs="Times New Roman"/>
          <w:color w:val="auto"/>
          <w:szCs w:val="28"/>
          <w:u w:val="none" w:color="auto"/>
          <w:lang w:val="en-US" w:eastAsia="zh-CN"/>
        </w:rPr>
        <w:t>8h</w:t>
      </w:r>
      <w:r>
        <w:rPr>
          <w:rFonts w:hint="eastAsia" w:ascii="Times New Roman" w:hAnsi="Times New Roman" w:cs="Times New Roman"/>
          <w:color w:val="auto"/>
          <w:szCs w:val="28"/>
          <w:u w:val="none" w:color="auto"/>
          <w:lang w:val="en-US" w:eastAsia="zh-CN"/>
        </w:rPr>
        <w:t>平均值第</w:t>
      </w:r>
      <w:r>
        <w:rPr>
          <w:rFonts w:hint="default" w:ascii="Times New Roman" w:hAnsi="Times New Roman" w:cs="Times New Roman"/>
          <w:color w:val="auto"/>
          <w:szCs w:val="28"/>
          <w:u w:val="none" w:color="auto"/>
          <w:lang w:val="en-US" w:eastAsia="zh-CN"/>
        </w:rPr>
        <w:t>90</w:t>
      </w:r>
      <w:r>
        <w:rPr>
          <w:rFonts w:hint="eastAsia" w:ascii="Times New Roman" w:hAnsi="Times New Roman" w:cs="Times New Roman"/>
          <w:color w:val="auto"/>
          <w:szCs w:val="28"/>
          <w:u w:val="none" w:color="auto"/>
          <w:lang w:val="en-US" w:eastAsia="zh-CN"/>
        </w:rPr>
        <w:t>百分位浓度占标率为</w:t>
      </w:r>
      <w:r>
        <w:rPr>
          <w:rFonts w:hint="default" w:ascii="Times New Roman" w:hAnsi="Times New Roman" w:cs="Times New Roman"/>
          <w:color w:val="auto"/>
          <w:szCs w:val="28"/>
          <w:u w:val="none" w:color="auto"/>
          <w:lang w:val="en-US" w:eastAsia="zh-CN"/>
        </w:rPr>
        <w:t>79.38%</w:t>
      </w:r>
      <w:r>
        <w:rPr>
          <w:rFonts w:hint="eastAsia" w:ascii="Times New Roman" w:hAnsi="Times New Roman" w:cs="Times New Roman"/>
          <w:color w:val="auto"/>
          <w:szCs w:val="28"/>
          <w:u w:val="none" w:color="auto"/>
          <w:lang w:val="en-US" w:eastAsia="zh-CN"/>
        </w:rPr>
        <w:t>，均满足《环境空气质量标准》（</w:t>
      </w:r>
      <w:r>
        <w:rPr>
          <w:rFonts w:hint="default" w:ascii="Times New Roman" w:hAnsi="Times New Roman" w:cs="Times New Roman"/>
          <w:color w:val="auto"/>
          <w:szCs w:val="28"/>
          <w:u w:val="none" w:color="auto"/>
          <w:lang w:val="en-US" w:eastAsia="zh-CN"/>
        </w:rPr>
        <w:t>GB3095-2012</w:t>
      </w:r>
      <w:r>
        <w:rPr>
          <w:rFonts w:hint="eastAsia" w:ascii="Times New Roman" w:hAnsi="Times New Roman" w:cs="Times New Roman"/>
          <w:color w:val="auto"/>
          <w:szCs w:val="28"/>
          <w:u w:val="none" w:color="auto"/>
          <w:lang w:val="en-US" w:eastAsia="zh-CN"/>
        </w:rPr>
        <w:t>）二级标准；</w:t>
      </w:r>
      <w:r>
        <w:rPr>
          <w:rFonts w:hint="default" w:ascii="Times New Roman" w:hAnsi="Times New Roman" w:cs="Times New Roman"/>
          <w:color w:val="auto"/>
          <w:szCs w:val="28"/>
          <w:u w:val="none" w:color="auto"/>
          <w:lang w:val="en-US" w:eastAsia="zh-CN"/>
        </w:rPr>
        <w:t>PM</w:t>
      </w:r>
      <w:r>
        <w:rPr>
          <w:rFonts w:hint="default" w:ascii="Times New Roman" w:hAnsi="Times New Roman" w:cs="Times New Roman"/>
          <w:color w:val="auto"/>
          <w:szCs w:val="28"/>
          <w:u w:val="none" w:color="auto"/>
          <w:vertAlign w:val="subscript"/>
          <w:lang w:val="en-US" w:eastAsia="zh-CN"/>
        </w:rPr>
        <w:t>2.5</w:t>
      </w:r>
      <w:r>
        <w:rPr>
          <w:rFonts w:hint="eastAsia" w:ascii="Times New Roman" w:hAnsi="Times New Roman" w:cs="Times New Roman"/>
          <w:color w:val="auto"/>
          <w:szCs w:val="28"/>
          <w:u w:val="none" w:color="auto"/>
          <w:lang w:val="en-US" w:eastAsia="zh-CN"/>
        </w:rPr>
        <w:t>质量浓度占标率为</w:t>
      </w:r>
      <w:r>
        <w:rPr>
          <w:rFonts w:hint="default" w:ascii="Times New Roman" w:hAnsi="Times New Roman" w:cs="Times New Roman"/>
          <w:color w:val="auto"/>
          <w:szCs w:val="28"/>
          <w:u w:val="none" w:color="auto"/>
          <w:lang w:val="en-US" w:eastAsia="zh-CN"/>
        </w:rPr>
        <w:t>102.86%</w:t>
      </w:r>
      <w:r>
        <w:rPr>
          <w:rFonts w:hint="eastAsia" w:ascii="Times New Roman" w:hAnsi="Times New Roman" w:cs="Times New Roman"/>
          <w:color w:val="auto"/>
          <w:szCs w:val="28"/>
          <w:u w:val="none" w:color="auto"/>
          <w:lang w:val="en-US" w:eastAsia="zh-CN"/>
        </w:rPr>
        <w:t>，不满足《环境空气质量标准》（</w:t>
      </w:r>
      <w:r>
        <w:rPr>
          <w:rFonts w:hint="default" w:ascii="Times New Roman" w:hAnsi="Times New Roman" w:cs="Times New Roman"/>
          <w:color w:val="auto"/>
          <w:szCs w:val="28"/>
          <w:u w:val="none" w:color="auto"/>
          <w:lang w:val="en-US" w:eastAsia="zh-CN"/>
        </w:rPr>
        <w:t>GB3095-2012</w:t>
      </w:r>
      <w:r>
        <w:rPr>
          <w:rFonts w:hint="eastAsia" w:ascii="Times New Roman" w:hAnsi="Times New Roman" w:cs="Times New Roman"/>
          <w:color w:val="auto"/>
          <w:szCs w:val="28"/>
          <w:u w:val="none" w:color="auto"/>
          <w:lang w:val="en-US" w:eastAsia="zh-CN"/>
        </w:rPr>
        <w:t>）二级标准，根据《环境影响评价技术导则</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大气环境》（</w:t>
      </w:r>
      <w:r>
        <w:rPr>
          <w:rFonts w:hint="default" w:ascii="Times New Roman" w:hAnsi="Times New Roman" w:cs="Times New Roman"/>
          <w:color w:val="auto"/>
          <w:szCs w:val="28"/>
          <w:u w:val="none" w:color="auto"/>
          <w:lang w:val="en-US" w:eastAsia="zh-CN"/>
        </w:rPr>
        <w:t>HJ2.2-2018</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2023</w:t>
      </w:r>
      <w:r>
        <w:rPr>
          <w:rFonts w:hint="eastAsia" w:ascii="Times New Roman" w:hAnsi="Times New Roman" w:cs="Times New Roman"/>
          <w:color w:val="auto"/>
          <w:szCs w:val="28"/>
          <w:u w:val="none" w:color="auto"/>
          <w:lang w:val="en-US" w:eastAsia="zh-CN"/>
        </w:rPr>
        <w:t>年零陵区为不达标区。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（2）特征因子监测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本项目运营期排放废气中的特征污染因子为</w:t>
      </w:r>
      <w:r>
        <w:rPr>
          <w:rFonts w:hint="default" w:ascii="Times New Roman" w:hAnsi="Times New Roman" w:cs="Times New Roman"/>
          <w:color w:val="auto"/>
          <w:szCs w:val="28"/>
          <w:u w:val="none" w:color="auto"/>
        </w:rPr>
        <w:t>VOCs</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为了解项目所在地</w:t>
      </w:r>
      <w:r>
        <w:rPr>
          <w:rFonts w:hint="eastAsia" w:ascii="Times New Roman" w:hAnsi="Times New Roman" w:eastAsia="宋体" w:cs="Times New Roman"/>
          <w:color w:val="auto"/>
          <w:szCs w:val="28"/>
          <w:u w:val="none" w:color="auto"/>
          <w:lang w:val="en-US" w:eastAsia="zh-CN"/>
        </w:rPr>
        <w:t>废气特征因子的环境质量</w:t>
      </w:r>
      <w:r>
        <w:rPr>
          <w:rFonts w:hint="default" w:ascii="Times New Roman" w:hAnsi="Times New Roman" w:cs="Times New Roman"/>
          <w:color w:val="auto"/>
          <w:szCs w:val="28"/>
          <w:u w:val="none" w:color="auto"/>
        </w:rPr>
        <w:t>现状，本环评引用</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零陵高新技术产业开发区调区扩区规划环境影响报告书</w:t>
      </w:r>
      <w:r>
        <w:rPr>
          <w:rFonts w:hint="eastAsia" w:ascii="Times New Roman" w:hAnsi="Times New Roman" w:cs="Times New Roman"/>
          <w:color w:val="auto"/>
          <w:szCs w:val="28"/>
          <w:u w:val="none" w:color="auto"/>
          <w:lang w:val="en-US" w:eastAsia="zh-CN"/>
        </w:rPr>
        <w:t>》中</w:t>
      </w:r>
      <w:r>
        <w:rPr>
          <w:rFonts w:hint="default" w:ascii="Times New Roman" w:hAnsi="Times New Roman" w:cs="Times New Roman"/>
          <w:color w:val="auto"/>
          <w:szCs w:val="28"/>
          <w:u w:val="none" w:color="auto"/>
        </w:rPr>
        <w:t>湖南乾诚检测有限公司于2023年</w:t>
      </w:r>
      <w:r>
        <w:rPr>
          <w:rFonts w:hint="eastAsia" w:ascii="Times New Roman" w:hAnsi="Times New Roman" w:cs="Times New Roman"/>
          <w:color w:val="auto"/>
          <w:szCs w:val="28"/>
          <w:u w:val="none" w:color="auto"/>
          <w:lang w:val="en-US" w:eastAsia="zh-CN"/>
        </w:rPr>
        <w:t>6</w:t>
      </w:r>
      <w:r>
        <w:rPr>
          <w:rFonts w:hint="default" w:ascii="Times New Roman" w:hAnsi="Times New Roman" w:cs="Times New Roman"/>
          <w:color w:val="auto"/>
          <w:szCs w:val="28"/>
          <w:u w:val="none" w:color="auto"/>
        </w:rPr>
        <w:t>月</w:t>
      </w:r>
      <w:r>
        <w:rPr>
          <w:rFonts w:hint="eastAsia" w:ascii="Times New Roman" w:hAnsi="Times New Roman" w:cs="Times New Roman"/>
          <w:color w:val="auto"/>
          <w:szCs w:val="28"/>
          <w:u w:val="none" w:color="auto"/>
          <w:lang w:val="en-US" w:eastAsia="zh-CN"/>
        </w:rPr>
        <w:t>1</w:t>
      </w:r>
      <w:r>
        <w:rPr>
          <w:rFonts w:hint="default" w:ascii="Times New Roman" w:hAnsi="Times New Roman" w:cs="Times New Roman"/>
          <w:color w:val="auto"/>
          <w:szCs w:val="28"/>
          <w:u w:val="none" w:color="auto"/>
        </w:rPr>
        <w:t>日至2023年</w:t>
      </w:r>
      <w:r>
        <w:rPr>
          <w:rFonts w:hint="eastAsia" w:ascii="Times New Roman" w:hAnsi="Times New Roman" w:cs="Times New Roman"/>
          <w:color w:val="auto"/>
          <w:szCs w:val="28"/>
          <w:u w:val="none" w:color="auto"/>
          <w:lang w:val="en-US" w:eastAsia="zh-CN"/>
        </w:rPr>
        <w:t>6</w:t>
      </w:r>
      <w:r>
        <w:rPr>
          <w:rFonts w:hint="default" w:ascii="Times New Roman" w:hAnsi="Times New Roman" w:cs="Times New Roman"/>
          <w:color w:val="auto"/>
          <w:szCs w:val="28"/>
          <w:u w:val="none" w:color="auto"/>
        </w:rPr>
        <w:t>月</w:t>
      </w:r>
      <w:r>
        <w:rPr>
          <w:rFonts w:hint="eastAsia" w:ascii="Times New Roman" w:hAnsi="Times New Roman" w:cs="Times New Roman"/>
          <w:color w:val="auto"/>
          <w:szCs w:val="28"/>
          <w:u w:val="none" w:color="auto"/>
          <w:lang w:val="en-US" w:eastAsia="zh-CN"/>
        </w:rPr>
        <w:t>8</w:t>
      </w:r>
      <w:r>
        <w:rPr>
          <w:rFonts w:hint="default" w:ascii="Times New Roman" w:hAnsi="Times New Roman" w:cs="Times New Roman"/>
          <w:color w:val="auto"/>
          <w:szCs w:val="28"/>
          <w:u w:val="none" w:color="auto"/>
        </w:rPr>
        <w:t>日对区域环境</w:t>
      </w:r>
      <w:r>
        <w:rPr>
          <w:rFonts w:hint="eastAsia" w:ascii="Times New Roman" w:hAnsi="Times New Roman" w:cs="Times New Roman"/>
          <w:color w:val="auto"/>
          <w:szCs w:val="28"/>
          <w:u w:val="none" w:color="auto"/>
          <w:lang w:val="en-US" w:eastAsia="zh-CN"/>
        </w:rPr>
        <w:t>空气质量</w:t>
      </w:r>
      <w:r>
        <w:rPr>
          <w:rFonts w:hint="default" w:ascii="Times New Roman" w:hAnsi="Times New Roman" w:cs="Times New Roman"/>
          <w:color w:val="auto"/>
          <w:szCs w:val="28"/>
          <w:u w:val="none" w:color="auto"/>
        </w:rPr>
        <w:t>进行监测</w:t>
      </w:r>
      <w:r>
        <w:rPr>
          <w:rFonts w:hint="eastAsia" w:ascii="Times New Roman" w:hAnsi="Times New Roman" w:cs="Times New Roman"/>
          <w:color w:val="auto"/>
          <w:szCs w:val="28"/>
          <w:u w:val="none" w:color="auto"/>
          <w:lang w:eastAsia="zh-CN"/>
        </w:rPr>
        <w:t>的</w:t>
      </w:r>
      <w:r>
        <w:rPr>
          <w:rFonts w:hint="eastAsia" w:ascii="Times New Roman" w:hAnsi="Times New Roman" w:cs="Times New Roman"/>
          <w:color w:val="auto"/>
          <w:szCs w:val="28"/>
          <w:u w:val="none" w:color="auto"/>
          <w:lang w:val="en-US" w:eastAsia="zh-CN"/>
        </w:rPr>
        <w:t>部分结果</w:t>
      </w:r>
      <w:r>
        <w:rPr>
          <w:rFonts w:hint="default" w:ascii="Times New Roman" w:hAnsi="Times New Roman" w:cs="Times New Roman"/>
          <w:color w:val="auto"/>
          <w:szCs w:val="28"/>
          <w:u w:val="none" w:color="auto"/>
        </w:rPr>
        <w:t>。监测至今项目区域现状无明显变化，监测数据有较好的代表性。监测点具体位置详见</w:t>
      </w: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.2-</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，监测统计结果详见表</w:t>
      </w: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.2-</w:t>
      </w:r>
      <w:r>
        <w:rPr>
          <w:rFonts w:hint="eastAsia" w:ascii="Times New Roman" w:hAnsi="Times New Roman" w:eastAsia="宋体" w:cs="Times New Roman"/>
          <w:color w:val="auto"/>
          <w:szCs w:val="28"/>
          <w:u w:val="none" w:color="auto"/>
          <w:lang w:val="en-US" w:eastAsia="zh-CN"/>
        </w:rPr>
        <w:t>3、附件8</w:t>
      </w:r>
      <w:r>
        <w:rPr>
          <w:rFonts w:hint="default" w:ascii="Times New Roman" w:hAnsi="Times New Roman" w:cs="Times New Roman"/>
          <w:color w:val="auto"/>
          <w:szCs w:val="28"/>
          <w:u w:val="none" w:color="auto"/>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eastAsia" w:ascii="Times New Roman" w:hAnsi="Times New Roman" w:eastAsia="宋体" w:cs="Times New Roman"/>
          <w:b/>
          <w:bCs/>
          <w:color w:val="auto"/>
          <w:spacing w:val="5"/>
          <w:sz w:val="24"/>
          <w:szCs w:val="24"/>
          <w:lang w:val="en-US" w:eastAsia="zh-CN"/>
        </w:rPr>
        <w:t>引用</w:t>
      </w:r>
      <w:r>
        <w:rPr>
          <w:rFonts w:hint="default" w:ascii="Times New Roman" w:hAnsi="Times New Roman" w:eastAsia="宋体" w:cs="Times New Roman"/>
          <w:b/>
          <w:bCs/>
          <w:color w:val="auto"/>
          <w:spacing w:val="5"/>
          <w:sz w:val="24"/>
          <w:szCs w:val="24"/>
        </w:rPr>
        <w:t>环境空气</w:t>
      </w:r>
      <w:r>
        <w:rPr>
          <w:rFonts w:hint="eastAsia" w:ascii="Times New Roman" w:hAnsi="Times New Roman" w:eastAsia="宋体" w:cs="Times New Roman"/>
          <w:b/>
          <w:bCs/>
          <w:color w:val="auto"/>
          <w:spacing w:val="5"/>
          <w:sz w:val="24"/>
          <w:szCs w:val="24"/>
          <w:lang w:val="en-US" w:eastAsia="zh-CN"/>
        </w:rPr>
        <w:t>监测点位</w:t>
      </w:r>
      <w:r>
        <w:rPr>
          <w:rFonts w:hint="default" w:ascii="Times New Roman" w:hAnsi="Times New Roman" w:eastAsia="宋体" w:cs="Times New Roman"/>
          <w:b/>
          <w:bCs/>
          <w:color w:val="auto"/>
          <w:spacing w:val="5"/>
          <w:sz w:val="24"/>
          <w:szCs w:val="24"/>
        </w:rPr>
        <w:t>一览表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78"/>
        <w:gridCol w:w="3143"/>
        <w:gridCol w:w="360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47" w:type="pct"/>
            <w:tcBorders>
              <w:tl2br w:val="nil"/>
              <w:tr2bl w:val="nil"/>
            </w:tcBorders>
            <w:vAlign w:val="center"/>
          </w:tcPr>
          <w:p>
            <w:pPr>
              <w:pStyle w:val="30"/>
              <w:keepNext w:val="0"/>
              <w:keepLines w:val="0"/>
              <w:pageBreakBefore w:val="0"/>
              <w:wordWrap/>
              <w:overflowPunct/>
              <w:topLinePunct w:val="0"/>
              <w:bidi w:val="0"/>
              <w:spacing w:line="240" w:lineRule="auto"/>
              <w:ind w:left="0"/>
              <w:jc w:val="center"/>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监测点编号</w:t>
            </w:r>
          </w:p>
        </w:tc>
        <w:tc>
          <w:tcPr>
            <w:tcW w:w="1887" w:type="pct"/>
            <w:tcBorders>
              <w:tl2br w:val="nil"/>
              <w:tr2bl w:val="nil"/>
            </w:tcBorders>
            <w:vAlign w:val="center"/>
          </w:tcPr>
          <w:p>
            <w:pPr>
              <w:pStyle w:val="30"/>
              <w:keepNext w:val="0"/>
              <w:keepLines w:val="0"/>
              <w:pageBreakBefore w:val="0"/>
              <w:wordWrap/>
              <w:overflowPunct/>
              <w:topLinePunct w:val="0"/>
              <w:bidi w:val="0"/>
              <w:spacing w:line="240" w:lineRule="auto"/>
              <w:ind w:left="0"/>
              <w:jc w:val="center"/>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监测点名称</w:t>
            </w:r>
          </w:p>
        </w:tc>
        <w:tc>
          <w:tcPr>
            <w:tcW w:w="2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bCs/>
                <w:color w:val="auto"/>
                <w:spacing w:val="-4"/>
                <w:sz w:val="21"/>
                <w:szCs w:val="21"/>
                <w:lang w:val="en-US" w:eastAsia="zh-CN"/>
              </w:rPr>
              <w:t>与本项目相对位置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47" w:type="pct"/>
            <w:tcBorders>
              <w:tl2br w:val="nil"/>
              <w:tr2bl w:val="nil"/>
            </w:tcBorders>
            <w:vAlign w:val="center"/>
          </w:tcPr>
          <w:p>
            <w:pPr>
              <w:keepNext w:val="0"/>
              <w:keepLines w:val="0"/>
              <w:pageBreakBefore w:val="0"/>
              <w:wordWrap/>
              <w:overflowPunct/>
              <w:topLinePunct w:val="0"/>
              <w:bidi w:val="0"/>
              <w:spacing w:line="240" w:lineRule="auto"/>
              <w:ind w:left="0"/>
              <w:jc w:val="center"/>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1#</w:t>
            </w:r>
          </w:p>
        </w:tc>
        <w:tc>
          <w:tcPr>
            <w:tcW w:w="1887"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pacing w:val="-4"/>
                <w:sz w:val="21"/>
                <w:szCs w:val="21"/>
              </w:rPr>
              <w:t>宗元学校</w:t>
            </w:r>
          </w:p>
        </w:tc>
        <w:tc>
          <w:tcPr>
            <w:tcW w:w="2165"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pacing w:val="-4"/>
                <w:sz w:val="21"/>
                <w:szCs w:val="21"/>
                <w:lang w:val="en-US" w:eastAsia="zh-CN"/>
              </w:rPr>
              <w:t>位于本项目东北侧约0.8km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47" w:type="pct"/>
            <w:tcBorders>
              <w:tl2br w:val="nil"/>
              <w:tr2bl w:val="nil"/>
            </w:tcBorders>
            <w:vAlign w:val="center"/>
          </w:tcPr>
          <w:p>
            <w:pPr>
              <w:keepNext w:val="0"/>
              <w:keepLines w:val="0"/>
              <w:pageBreakBefore w:val="0"/>
              <w:wordWrap/>
              <w:overflowPunct/>
              <w:topLinePunct w:val="0"/>
              <w:bidi w:val="0"/>
              <w:spacing w:line="240" w:lineRule="auto"/>
              <w:ind w:left="0"/>
              <w:jc w:val="center"/>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rPr>
              <w:t>2#</w:t>
            </w:r>
          </w:p>
        </w:tc>
        <w:tc>
          <w:tcPr>
            <w:tcW w:w="1887"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河西工业</w:t>
            </w:r>
            <w:r>
              <w:rPr>
                <w:rFonts w:hint="default" w:ascii="Times New Roman" w:hAnsi="Times New Roman" w:eastAsia="宋体" w:cs="Times New Roman"/>
                <w:color w:val="auto"/>
                <w:spacing w:val="-4"/>
                <w:sz w:val="21"/>
                <w:szCs w:val="21"/>
              </w:rPr>
              <w:t>园居民安置区</w:t>
            </w:r>
          </w:p>
        </w:tc>
        <w:tc>
          <w:tcPr>
            <w:tcW w:w="2165"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pacing w:val="-4"/>
                <w:sz w:val="21"/>
                <w:szCs w:val="21"/>
                <w:lang w:val="en-US" w:eastAsia="zh-CN"/>
              </w:rPr>
              <w:t>位于本项目东北侧约2.28km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47" w:type="pct"/>
            <w:tcBorders>
              <w:tl2br w:val="nil"/>
              <w:tr2bl w:val="nil"/>
            </w:tcBorders>
            <w:vAlign w:val="center"/>
          </w:tcPr>
          <w:p>
            <w:pPr>
              <w:keepNext w:val="0"/>
              <w:keepLines w:val="0"/>
              <w:pageBreakBefore w:val="0"/>
              <w:wordWrap/>
              <w:overflowPunct/>
              <w:topLinePunct w:val="0"/>
              <w:bidi w:val="0"/>
              <w:spacing w:line="240" w:lineRule="auto"/>
              <w:ind w:left="0"/>
              <w:jc w:val="center"/>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3#</w:t>
            </w:r>
          </w:p>
        </w:tc>
        <w:tc>
          <w:tcPr>
            <w:tcW w:w="18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7"/>
                <w:sz w:val="21"/>
                <w:szCs w:val="21"/>
              </w:rPr>
            </w:pPr>
            <w:r>
              <w:rPr>
                <w:rFonts w:hint="default" w:ascii="Times New Roman" w:hAnsi="Times New Roman" w:eastAsia="宋体" w:cs="Times New Roman"/>
                <w:color w:val="auto"/>
                <w:spacing w:val="-1"/>
                <w:sz w:val="21"/>
                <w:szCs w:val="21"/>
              </w:rPr>
              <w:t>石山脚街</w:t>
            </w:r>
            <w:r>
              <w:rPr>
                <w:rFonts w:hint="default" w:ascii="Times New Roman" w:hAnsi="Times New Roman" w:eastAsia="宋体" w:cs="Times New Roman"/>
                <w:color w:val="auto"/>
                <w:sz w:val="21"/>
                <w:szCs w:val="21"/>
              </w:rPr>
              <w:t>道</w:t>
            </w:r>
          </w:p>
        </w:tc>
        <w:tc>
          <w:tcPr>
            <w:tcW w:w="2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eastAsia="宋体" w:cs="Times New Roman"/>
                <w:color w:val="auto"/>
                <w:spacing w:val="-4"/>
                <w:sz w:val="21"/>
                <w:szCs w:val="21"/>
                <w:lang w:val="en-US" w:eastAsia="zh-CN"/>
              </w:rPr>
              <w:t>位于本项目西南侧约1.7km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47" w:type="pct"/>
            <w:tcBorders>
              <w:tl2br w:val="nil"/>
              <w:tr2bl w:val="nil"/>
            </w:tcBorders>
            <w:vAlign w:val="center"/>
          </w:tcPr>
          <w:p>
            <w:pPr>
              <w:keepNext w:val="0"/>
              <w:keepLines w:val="0"/>
              <w:pageBreakBefore w:val="0"/>
              <w:wordWrap/>
              <w:overflowPunct/>
              <w:topLinePunct w:val="0"/>
              <w:bidi w:val="0"/>
              <w:spacing w:line="240" w:lineRule="auto"/>
              <w:ind w:left="0"/>
              <w:jc w:val="center"/>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4#</w:t>
            </w:r>
          </w:p>
        </w:tc>
        <w:tc>
          <w:tcPr>
            <w:tcW w:w="18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pacing w:val="-1"/>
                <w:sz w:val="21"/>
                <w:szCs w:val="21"/>
              </w:rPr>
              <w:t>仁田里村</w:t>
            </w:r>
          </w:p>
        </w:tc>
        <w:tc>
          <w:tcPr>
            <w:tcW w:w="21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Calibri" w:cs="Times New Roman"/>
                <w:color w:val="auto"/>
                <w:sz w:val="21"/>
                <w:szCs w:val="21"/>
              </w:rPr>
            </w:pPr>
            <w:r>
              <w:rPr>
                <w:rFonts w:hint="default" w:ascii="Times New Roman" w:hAnsi="Times New Roman" w:eastAsia="宋体" w:cs="Times New Roman"/>
                <w:color w:val="auto"/>
                <w:spacing w:val="-4"/>
                <w:sz w:val="21"/>
                <w:szCs w:val="21"/>
                <w:lang w:val="en-US" w:eastAsia="zh-CN"/>
              </w:rPr>
              <w:t>位于本项目西北侧约1.4km</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rFonts w:hint="eastAsia" w:eastAsia="黑体"/>
          <w:color w:val="auto"/>
          <w:lang w:eastAsia="zh-CN"/>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eastAsia" w:ascii="Times New Roman" w:hAnsi="Times New Roman" w:eastAsia="宋体" w:cs="Times New Roman"/>
          <w:b/>
          <w:bCs/>
          <w:color w:val="auto"/>
          <w:spacing w:val="5"/>
          <w:sz w:val="24"/>
          <w:szCs w:val="24"/>
          <w:lang w:val="en-US" w:eastAsia="zh-CN"/>
        </w:rPr>
        <w:t>引用</w:t>
      </w:r>
      <w:r>
        <w:rPr>
          <w:rFonts w:hint="default" w:ascii="Times New Roman" w:hAnsi="Times New Roman" w:eastAsia="宋体" w:cs="Times New Roman"/>
          <w:b/>
          <w:bCs/>
          <w:color w:val="auto"/>
          <w:spacing w:val="5"/>
          <w:sz w:val="24"/>
          <w:szCs w:val="24"/>
        </w:rPr>
        <w:t>环境空气监测结果一览表</w:t>
      </w:r>
      <w:r>
        <w:rPr>
          <w:rFonts w:hint="eastAsia" w:ascii="宋体" w:hAnsi="宋体" w:eastAsia="宋体" w:cs="宋体"/>
          <w:b/>
          <w:bCs/>
          <w:color w:val="auto"/>
          <w:sz w:val="21"/>
          <w:szCs w:val="21"/>
          <w:lang w:eastAsia="zh-CN"/>
        </w:rPr>
        <w:t>（</w:t>
      </w:r>
      <w:r>
        <w:rPr>
          <w:rFonts w:hint="eastAsia" w:ascii="宋体" w:hAnsi="宋体" w:eastAsia="宋体" w:cs="宋体"/>
          <w:b/>
          <w:bCs/>
          <w:color w:val="auto"/>
          <w:sz w:val="21"/>
          <w:szCs w:val="21"/>
          <w:lang w:val="en-US" w:eastAsia="zh-CN"/>
        </w:rPr>
        <w:t>部分</w:t>
      </w:r>
      <w:r>
        <w:rPr>
          <w:rFonts w:hint="eastAsia" w:ascii="宋体" w:hAnsi="宋体" w:eastAsia="宋体" w:cs="宋体"/>
          <w:b/>
          <w:bCs/>
          <w:color w:val="auto"/>
          <w:sz w:val="21"/>
          <w:szCs w:val="21"/>
          <w:lang w:eastAsia="zh-CN"/>
        </w:rPr>
        <w:t>）</w:t>
      </w:r>
    </w:p>
    <w:tbl>
      <w:tblPr>
        <w:tblStyle w:val="29"/>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69"/>
        <w:gridCol w:w="984"/>
        <w:gridCol w:w="1154"/>
        <w:gridCol w:w="913"/>
        <w:gridCol w:w="1074"/>
        <w:gridCol w:w="1143"/>
        <w:gridCol w:w="850"/>
        <w:gridCol w:w="730"/>
        <w:gridCol w:w="6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8" w:hRule="atLeast"/>
        </w:trPr>
        <w:tc>
          <w:tcPr>
            <w:tcW w:w="52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4"/>
                <w:sz w:val="21"/>
                <w:szCs w:val="21"/>
              </w:rPr>
              <w:t>监测点位</w:t>
            </w:r>
          </w:p>
        </w:tc>
        <w:tc>
          <w:tcPr>
            <w:tcW w:w="59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4"/>
                <w:sz w:val="21"/>
                <w:szCs w:val="21"/>
              </w:rPr>
              <w:t>污染物</w:t>
            </w:r>
          </w:p>
        </w:tc>
        <w:tc>
          <w:tcPr>
            <w:tcW w:w="6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4"/>
                <w:sz w:val="21"/>
                <w:szCs w:val="21"/>
              </w:rPr>
              <w:t>监测时间</w:t>
            </w:r>
          </w:p>
        </w:tc>
        <w:tc>
          <w:tcPr>
            <w:tcW w:w="54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平均时间</w:t>
            </w:r>
          </w:p>
        </w:tc>
        <w:tc>
          <w:tcPr>
            <w:tcW w:w="645"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评价标准</w:t>
            </w:r>
            <w:r>
              <w:rPr>
                <w:rFonts w:hint="default" w:ascii="Times New Roman" w:hAnsi="Times New Roman" w:eastAsia="宋体" w:cs="Times New Roman"/>
                <w:b/>
                <w:bCs/>
                <w:color w:val="auto"/>
                <w:spacing w:val="-5"/>
                <w:sz w:val="21"/>
                <w:szCs w:val="21"/>
              </w:rPr>
              <w:t>（</w:t>
            </w:r>
            <w:r>
              <w:rPr>
                <w:rFonts w:hint="default" w:ascii="Times New Roman" w:hAnsi="Times New Roman" w:cs="Times New Roman"/>
                <w:b/>
                <w:bCs/>
                <w:color w:val="auto"/>
                <w:spacing w:val="-5"/>
                <w:sz w:val="21"/>
                <w:szCs w:val="21"/>
              </w:rPr>
              <w:t>mg/m</w:t>
            </w:r>
            <w:r>
              <w:rPr>
                <w:rFonts w:hint="eastAsia" w:eastAsia="宋体" w:cs="Times New Roman"/>
                <w:b/>
                <w:bCs/>
                <w:color w:val="auto"/>
                <w:spacing w:val="-5"/>
                <w:sz w:val="21"/>
                <w:szCs w:val="21"/>
                <w:vertAlign w:val="superscript"/>
                <w:lang w:val="en-US" w:eastAsia="zh-CN"/>
              </w:rPr>
              <w:t>3</w:t>
            </w:r>
            <w:r>
              <w:rPr>
                <w:rFonts w:hint="default" w:ascii="Times New Roman" w:hAnsi="Times New Roman" w:eastAsia="宋体" w:cs="Times New Roman"/>
                <w:b/>
                <w:bCs/>
                <w:color w:val="auto"/>
                <w:spacing w:val="-5"/>
                <w:sz w:val="21"/>
                <w:szCs w:val="21"/>
              </w:rPr>
              <w:t>）</w:t>
            </w:r>
          </w:p>
        </w:tc>
        <w:tc>
          <w:tcPr>
            <w:tcW w:w="686"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1"/>
                <w:sz w:val="21"/>
                <w:szCs w:val="21"/>
              </w:rPr>
              <w:t>浓度范围（</w:t>
            </w:r>
            <w:r>
              <w:rPr>
                <w:rFonts w:hint="default" w:ascii="Times New Roman" w:hAnsi="Times New Roman" w:cs="Times New Roman"/>
                <w:b/>
                <w:bCs/>
                <w:color w:val="auto"/>
                <w:spacing w:val="-1"/>
                <w:sz w:val="21"/>
                <w:szCs w:val="21"/>
              </w:rPr>
              <w:t>mg/m</w:t>
            </w:r>
            <w:r>
              <w:rPr>
                <w:rFonts w:hint="eastAsia" w:eastAsia="宋体" w:cs="Times New Roman"/>
                <w:b/>
                <w:bCs/>
                <w:color w:val="auto"/>
                <w:spacing w:val="-5"/>
                <w:sz w:val="21"/>
                <w:szCs w:val="21"/>
                <w:vertAlign w:val="superscript"/>
                <w:lang w:val="en-US" w:eastAsia="zh-CN"/>
              </w:rPr>
              <w:t>3</w:t>
            </w:r>
            <w:r>
              <w:rPr>
                <w:rFonts w:hint="default" w:ascii="Times New Roman" w:hAnsi="Times New Roman" w:eastAsia="宋体" w:cs="Times New Roman"/>
                <w:b/>
                <w:bCs/>
                <w:color w:val="auto"/>
                <w:spacing w:val="-1"/>
                <w:sz w:val="21"/>
                <w:szCs w:val="21"/>
              </w:rPr>
              <w:t>）</w:t>
            </w:r>
          </w:p>
        </w:tc>
        <w:tc>
          <w:tcPr>
            <w:tcW w:w="510"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4"/>
                <w:sz w:val="21"/>
                <w:szCs w:val="21"/>
              </w:rPr>
              <w:t>最大浓度占</w:t>
            </w:r>
            <w:r>
              <w:rPr>
                <w:rFonts w:hint="default" w:ascii="Times New Roman" w:hAnsi="Times New Roman" w:eastAsia="宋体" w:cs="Times New Roman"/>
                <w:b/>
                <w:bCs/>
                <w:color w:val="auto"/>
                <w:spacing w:val="-7"/>
                <w:sz w:val="21"/>
                <w:szCs w:val="21"/>
              </w:rPr>
              <w:t>标率（</w:t>
            </w:r>
            <w:r>
              <w:rPr>
                <w:rFonts w:hint="default" w:ascii="Times New Roman" w:hAnsi="Times New Roman" w:cs="Times New Roman"/>
                <w:b/>
                <w:bCs/>
                <w:color w:val="auto"/>
                <w:spacing w:val="-7"/>
                <w:sz w:val="21"/>
                <w:szCs w:val="21"/>
              </w:rPr>
              <w:t>%</w:t>
            </w:r>
            <w:r>
              <w:rPr>
                <w:rFonts w:hint="default" w:ascii="Times New Roman" w:hAnsi="Times New Roman" w:eastAsia="宋体" w:cs="Times New Roman"/>
                <w:b/>
                <w:bCs/>
                <w:color w:val="auto"/>
                <w:spacing w:val="-7"/>
                <w:sz w:val="21"/>
                <w:szCs w:val="21"/>
              </w:rPr>
              <w:t>）</w:t>
            </w:r>
          </w:p>
        </w:tc>
        <w:tc>
          <w:tcPr>
            <w:tcW w:w="438"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5"/>
                <w:sz w:val="21"/>
                <w:szCs w:val="21"/>
                <w:lang w:val="en-US" w:eastAsia="zh-CN"/>
              </w:rPr>
              <w:t>超标率</w:t>
            </w:r>
            <w:r>
              <w:rPr>
                <w:rFonts w:hint="default" w:ascii="Times New Roman" w:hAnsi="Times New Roman" w:eastAsia="宋体" w:cs="Times New Roman"/>
                <w:b/>
                <w:bCs/>
                <w:color w:val="auto"/>
                <w:spacing w:val="-10"/>
                <w:sz w:val="21"/>
                <w:szCs w:val="21"/>
              </w:rPr>
              <w:t>（</w:t>
            </w:r>
            <w:r>
              <w:rPr>
                <w:rFonts w:hint="default" w:ascii="Times New Roman" w:hAnsi="Times New Roman" w:cs="Times New Roman"/>
                <w:b/>
                <w:bCs/>
                <w:color w:val="auto"/>
                <w:spacing w:val="-10"/>
                <w:sz w:val="21"/>
                <w:szCs w:val="21"/>
              </w:rPr>
              <w:t>%</w:t>
            </w:r>
            <w:r>
              <w:rPr>
                <w:rFonts w:hint="default" w:ascii="Times New Roman" w:hAnsi="Times New Roman" w:eastAsia="宋体" w:cs="Times New Roman"/>
                <w:b/>
                <w:bCs/>
                <w:color w:val="auto"/>
                <w:spacing w:val="-10"/>
                <w:sz w:val="21"/>
                <w:szCs w:val="21"/>
              </w:rPr>
              <w:t>）</w:t>
            </w:r>
          </w:p>
        </w:tc>
        <w:tc>
          <w:tcPr>
            <w:tcW w:w="36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5"/>
                <w:sz w:val="21"/>
                <w:szCs w:val="21"/>
              </w:rPr>
              <w:t>达标</w:t>
            </w:r>
            <w:r>
              <w:rPr>
                <w:rFonts w:hint="default" w:ascii="Times New Roman" w:hAnsi="Times New Roman" w:eastAsia="宋体" w:cs="Times New Roman"/>
                <w:b/>
                <w:bCs/>
                <w:color w:val="auto"/>
                <w:spacing w:val="-6"/>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8" w:hRule="atLeast"/>
        </w:trPr>
        <w:tc>
          <w:tcPr>
            <w:tcW w:w="522"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pacing w:val="-4"/>
                <w:sz w:val="21"/>
                <w:szCs w:val="21"/>
              </w:rPr>
              <w:t>1#</w:t>
            </w:r>
            <w:r>
              <w:rPr>
                <w:rFonts w:hint="default" w:ascii="Times New Roman" w:hAnsi="Times New Roman" w:eastAsia="宋体" w:cs="Times New Roman"/>
                <w:color w:val="auto"/>
                <w:spacing w:val="-4"/>
                <w:sz w:val="21"/>
                <w:szCs w:val="21"/>
              </w:rPr>
              <w:t>宗元学校</w:t>
            </w:r>
          </w:p>
        </w:tc>
        <w:tc>
          <w:tcPr>
            <w:tcW w:w="59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总挥发性有机物</w:t>
            </w:r>
          </w:p>
        </w:tc>
        <w:tc>
          <w:tcPr>
            <w:tcW w:w="693"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2023.6.1-6.5</w:t>
            </w:r>
            <w:r>
              <w:rPr>
                <w:rFonts w:hint="default" w:ascii="Times New Roman" w:hAnsi="Times New Roman" w:eastAsia="宋体" w:cs="Times New Roman"/>
                <w:color w:val="auto"/>
                <w:spacing w:val="-3"/>
                <w:sz w:val="21"/>
                <w:szCs w:val="21"/>
              </w:rPr>
              <w:t>、</w:t>
            </w:r>
            <w:r>
              <w:rPr>
                <w:rFonts w:hint="default" w:ascii="Times New Roman" w:hAnsi="Times New Roman" w:cs="Times New Roman"/>
                <w:color w:val="auto"/>
                <w:spacing w:val="-1"/>
                <w:sz w:val="21"/>
                <w:szCs w:val="21"/>
              </w:rPr>
              <w:t>6.7-6.8</w:t>
            </w:r>
          </w:p>
        </w:tc>
        <w:tc>
          <w:tcPr>
            <w:tcW w:w="548"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pacing w:val="-4"/>
                <w:sz w:val="21"/>
                <w:szCs w:val="21"/>
              </w:rPr>
              <w:t>8</w:t>
            </w:r>
            <w:r>
              <w:rPr>
                <w:rFonts w:hint="default" w:ascii="Times New Roman" w:hAnsi="Times New Roman" w:eastAsia="宋体" w:cs="Times New Roman"/>
                <w:color w:val="auto"/>
                <w:spacing w:val="-4"/>
                <w:sz w:val="21"/>
                <w:szCs w:val="21"/>
              </w:rPr>
              <w:t>小时均值</w:t>
            </w:r>
          </w:p>
        </w:tc>
        <w:tc>
          <w:tcPr>
            <w:tcW w:w="645"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0.6</w:t>
            </w:r>
          </w:p>
        </w:tc>
        <w:tc>
          <w:tcPr>
            <w:tcW w:w="686"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0.002~0.014</w:t>
            </w:r>
          </w:p>
        </w:tc>
        <w:tc>
          <w:tcPr>
            <w:tcW w:w="510"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2.33</w:t>
            </w:r>
          </w:p>
        </w:tc>
        <w:tc>
          <w:tcPr>
            <w:tcW w:w="438"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6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8" w:hRule="atLeast"/>
        </w:trPr>
        <w:tc>
          <w:tcPr>
            <w:tcW w:w="522"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2#</w:t>
            </w:r>
            <w:r>
              <w:rPr>
                <w:rFonts w:hint="default" w:ascii="Times New Roman" w:hAnsi="Times New Roman" w:eastAsia="宋体" w:cs="Times New Roman"/>
                <w:color w:val="auto"/>
                <w:sz w:val="21"/>
                <w:szCs w:val="21"/>
              </w:rPr>
              <w:t>河西工业</w:t>
            </w:r>
            <w:r>
              <w:rPr>
                <w:rFonts w:hint="default" w:ascii="Times New Roman" w:hAnsi="Times New Roman" w:eastAsia="宋体" w:cs="Times New Roman"/>
                <w:color w:val="auto"/>
                <w:spacing w:val="-4"/>
                <w:sz w:val="21"/>
                <w:szCs w:val="21"/>
              </w:rPr>
              <w:t>园居民安置区</w:t>
            </w:r>
          </w:p>
        </w:tc>
        <w:tc>
          <w:tcPr>
            <w:tcW w:w="59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总挥发性有机物</w:t>
            </w:r>
          </w:p>
        </w:tc>
        <w:tc>
          <w:tcPr>
            <w:tcW w:w="6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2023.6.1-6.5</w:t>
            </w:r>
            <w:r>
              <w:rPr>
                <w:rFonts w:hint="default" w:ascii="Times New Roman" w:hAnsi="Times New Roman" w:eastAsia="宋体" w:cs="Times New Roman"/>
                <w:color w:val="auto"/>
                <w:spacing w:val="-3"/>
                <w:sz w:val="21"/>
                <w:szCs w:val="21"/>
              </w:rPr>
              <w:t>、</w:t>
            </w:r>
            <w:r>
              <w:rPr>
                <w:rFonts w:hint="default" w:ascii="Times New Roman" w:hAnsi="Times New Roman" w:cs="Times New Roman"/>
                <w:color w:val="auto"/>
                <w:spacing w:val="-1"/>
                <w:sz w:val="21"/>
                <w:szCs w:val="21"/>
              </w:rPr>
              <w:t>6.7-6.8</w:t>
            </w:r>
          </w:p>
        </w:tc>
        <w:tc>
          <w:tcPr>
            <w:tcW w:w="548"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pacing w:val="-4"/>
                <w:sz w:val="21"/>
                <w:szCs w:val="21"/>
              </w:rPr>
              <w:t>8</w:t>
            </w:r>
            <w:r>
              <w:rPr>
                <w:rFonts w:hint="default" w:ascii="Times New Roman" w:hAnsi="Times New Roman" w:eastAsia="宋体" w:cs="Times New Roman"/>
                <w:color w:val="auto"/>
                <w:spacing w:val="-4"/>
                <w:sz w:val="21"/>
                <w:szCs w:val="21"/>
              </w:rPr>
              <w:t>小时均值</w:t>
            </w:r>
          </w:p>
        </w:tc>
        <w:tc>
          <w:tcPr>
            <w:tcW w:w="645"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0.6</w:t>
            </w:r>
          </w:p>
        </w:tc>
        <w:tc>
          <w:tcPr>
            <w:tcW w:w="686"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0.005~0.030</w:t>
            </w:r>
          </w:p>
        </w:tc>
        <w:tc>
          <w:tcPr>
            <w:tcW w:w="510"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5.00</w:t>
            </w:r>
          </w:p>
        </w:tc>
        <w:tc>
          <w:tcPr>
            <w:tcW w:w="438" w:type="pc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6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8" w:hRule="atLeast"/>
        </w:trPr>
        <w:tc>
          <w:tcPr>
            <w:tcW w:w="52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3#</w:t>
            </w:r>
            <w:r>
              <w:rPr>
                <w:rFonts w:hint="default" w:ascii="Times New Roman" w:hAnsi="Times New Roman" w:eastAsia="宋体" w:cs="Times New Roman"/>
                <w:color w:val="auto"/>
                <w:spacing w:val="-1"/>
                <w:sz w:val="21"/>
                <w:szCs w:val="21"/>
              </w:rPr>
              <w:t>石山脚街</w:t>
            </w:r>
            <w:r>
              <w:rPr>
                <w:rFonts w:hint="default" w:ascii="Times New Roman" w:hAnsi="Times New Roman" w:eastAsia="宋体" w:cs="Times New Roman"/>
                <w:color w:val="auto"/>
                <w:sz w:val="21"/>
                <w:szCs w:val="21"/>
              </w:rPr>
              <w:t>道</w:t>
            </w:r>
          </w:p>
        </w:tc>
        <w:tc>
          <w:tcPr>
            <w:tcW w:w="5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总挥发性有机物</w:t>
            </w:r>
          </w:p>
        </w:tc>
        <w:tc>
          <w:tcPr>
            <w:tcW w:w="693"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2023.6.1-6.5</w:t>
            </w:r>
            <w:r>
              <w:rPr>
                <w:rFonts w:hint="default" w:ascii="Times New Roman" w:hAnsi="Times New Roman" w:eastAsia="宋体" w:cs="Times New Roman"/>
                <w:color w:val="auto"/>
                <w:spacing w:val="-3"/>
                <w:sz w:val="21"/>
                <w:szCs w:val="21"/>
              </w:rPr>
              <w:t>、</w:t>
            </w:r>
            <w:r>
              <w:rPr>
                <w:rFonts w:hint="default" w:ascii="Times New Roman" w:hAnsi="Times New Roman" w:cs="Times New Roman"/>
                <w:color w:val="auto"/>
                <w:spacing w:val="-1"/>
                <w:sz w:val="21"/>
                <w:szCs w:val="21"/>
              </w:rPr>
              <w:t>6.7-6.8</w:t>
            </w:r>
          </w:p>
        </w:tc>
        <w:tc>
          <w:tcPr>
            <w:tcW w:w="548"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4"/>
                <w:sz w:val="21"/>
                <w:szCs w:val="21"/>
              </w:rPr>
              <w:t>8</w:t>
            </w:r>
            <w:r>
              <w:rPr>
                <w:rFonts w:hint="default" w:ascii="Times New Roman" w:hAnsi="Times New Roman" w:eastAsia="宋体" w:cs="Times New Roman"/>
                <w:color w:val="auto"/>
                <w:spacing w:val="-4"/>
                <w:sz w:val="21"/>
                <w:szCs w:val="21"/>
              </w:rPr>
              <w:t>小时均值</w:t>
            </w:r>
          </w:p>
        </w:tc>
        <w:tc>
          <w:tcPr>
            <w:tcW w:w="645"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0.6</w:t>
            </w:r>
          </w:p>
        </w:tc>
        <w:tc>
          <w:tcPr>
            <w:tcW w:w="686"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0.005~0.027</w:t>
            </w:r>
          </w:p>
        </w:tc>
        <w:tc>
          <w:tcPr>
            <w:tcW w:w="510"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4.50</w:t>
            </w:r>
          </w:p>
        </w:tc>
        <w:tc>
          <w:tcPr>
            <w:tcW w:w="438"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363"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8" w:hRule="atLeast"/>
        </w:trPr>
        <w:tc>
          <w:tcPr>
            <w:tcW w:w="52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4#</w:t>
            </w:r>
            <w:r>
              <w:rPr>
                <w:rFonts w:hint="default" w:ascii="Times New Roman" w:hAnsi="Times New Roman" w:eastAsia="宋体" w:cs="Times New Roman"/>
                <w:color w:val="auto"/>
                <w:spacing w:val="-1"/>
                <w:sz w:val="21"/>
                <w:szCs w:val="21"/>
              </w:rPr>
              <w:t>仁田里村</w:t>
            </w:r>
          </w:p>
        </w:tc>
        <w:tc>
          <w:tcPr>
            <w:tcW w:w="5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总挥发性有机物</w:t>
            </w:r>
          </w:p>
        </w:tc>
        <w:tc>
          <w:tcPr>
            <w:tcW w:w="693"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2023.6.1-6.5</w:t>
            </w:r>
            <w:r>
              <w:rPr>
                <w:rFonts w:hint="default" w:ascii="Times New Roman" w:hAnsi="Times New Roman" w:eastAsia="宋体" w:cs="Times New Roman"/>
                <w:color w:val="auto"/>
                <w:spacing w:val="-3"/>
                <w:sz w:val="21"/>
                <w:szCs w:val="21"/>
              </w:rPr>
              <w:t>、</w:t>
            </w:r>
            <w:r>
              <w:rPr>
                <w:rFonts w:hint="default" w:ascii="Times New Roman" w:hAnsi="Times New Roman" w:cs="Times New Roman"/>
                <w:color w:val="auto"/>
                <w:spacing w:val="-1"/>
                <w:sz w:val="21"/>
                <w:szCs w:val="21"/>
              </w:rPr>
              <w:t>6.7-6.8</w:t>
            </w:r>
          </w:p>
        </w:tc>
        <w:tc>
          <w:tcPr>
            <w:tcW w:w="548"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4"/>
                <w:sz w:val="21"/>
                <w:szCs w:val="21"/>
              </w:rPr>
              <w:t>8</w:t>
            </w:r>
            <w:r>
              <w:rPr>
                <w:rFonts w:hint="default" w:ascii="Times New Roman" w:hAnsi="Times New Roman" w:eastAsia="宋体" w:cs="Times New Roman"/>
                <w:color w:val="auto"/>
                <w:spacing w:val="-4"/>
                <w:sz w:val="21"/>
                <w:szCs w:val="21"/>
              </w:rPr>
              <w:t>小时均值</w:t>
            </w:r>
          </w:p>
        </w:tc>
        <w:tc>
          <w:tcPr>
            <w:tcW w:w="645"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0.6</w:t>
            </w:r>
          </w:p>
        </w:tc>
        <w:tc>
          <w:tcPr>
            <w:tcW w:w="686"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0.010~0.027</w:t>
            </w:r>
          </w:p>
        </w:tc>
        <w:tc>
          <w:tcPr>
            <w:tcW w:w="510"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4.50</w:t>
            </w:r>
          </w:p>
        </w:tc>
        <w:tc>
          <w:tcPr>
            <w:tcW w:w="438" w:type="pct"/>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363"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达标</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由上述监测结果可知，项目所在区域TVOC能满足《环境影响评价技术导则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大气环境》（HJ2.2-2018）附录D标准要求。</w:t>
      </w:r>
    </w:p>
    <w:p>
      <w:pPr>
        <w:pStyle w:val="11"/>
        <w:bidi w:val="0"/>
        <w:spacing w:line="360" w:lineRule="auto"/>
        <w:ind w:left="851" w:hanging="851"/>
        <w:rPr>
          <w:color w:val="auto"/>
          <w:sz w:val="30"/>
          <w:szCs w:val="30"/>
        </w:rPr>
      </w:pPr>
      <w:r>
        <w:rPr>
          <w:color w:val="auto"/>
          <w:sz w:val="30"/>
          <w:szCs w:val="30"/>
        </w:rPr>
        <w:t>水环境质量状况</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本项目废水处理达标后，排入市政污水管网进入</w:t>
      </w:r>
      <w:r>
        <w:rPr>
          <w:rFonts w:hint="eastAsia" w:ascii="Times New Roman" w:hAnsi="Times New Roman" w:cs="Times New Roman"/>
          <w:color w:val="auto"/>
          <w:szCs w:val="28"/>
          <w:u w:val="none" w:color="auto"/>
        </w:rPr>
        <w:t>鹿坪污水处理厂</w:t>
      </w:r>
      <w:r>
        <w:rPr>
          <w:rFonts w:hint="default" w:ascii="Times New Roman" w:hAnsi="Times New Roman" w:cs="Times New Roman"/>
          <w:color w:val="auto"/>
          <w:szCs w:val="28"/>
          <w:u w:val="none" w:color="auto"/>
        </w:rPr>
        <w:t>进一步处理后排入</w:t>
      </w:r>
      <w:r>
        <w:rPr>
          <w:rFonts w:hint="eastAsia" w:ascii="Times New Roman" w:hAnsi="Times New Roman" w:cs="Times New Roman"/>
          <w:color w:val="auto"/>
          <w:szCs w:val="28"/>
          <w:u w:val="none" w:color="auto"/>
        </w:rPr>
        <w:t>湘江</w:t>
      </w:r>
      <w:r>
        <w:rPr>
          <w:rFonts w:hint="default" w:ascii="Times New Roman" w:hAnsi="Times New Roman" w:cs="Times New Roman"/>
          <w:color w:val="auto"/>
          <w:szCs w:val="28"/>
          <w:u w:val="none" w:color="auto"/>
        </w:rPr>
        <w:t>，</w:t>
      </w:r>
      <w:r>
        <w:rPr>
          <w:rFonts w:hint="eastAsia" w:ascii="Times New Roman" w:hAnsi="Times New Roman" w:cs="Times New Roman"/>
          <w:color w:val="auto"/>
          <w:szCs w:val="28"/>
          <w:u w:val="none" w:color="auto"/>
        </w:rPr>
        <w:t>鹿坪污水处理厂</w:t>
      </w:r>
      <w:r>
        <w:rPr>
          <w:rFonts w:hint="default" w:ascii="Times New Roman" w:hAnsi="Times New Roman" w:cs="Times New Roman"/>
          <w:color w:val="auto"/>
          <w:szCs w:val="28"/>
          <w:u w:val="none" w:color="auto"/>
        </w:rPr>
        <w:t>排污口位于</w:t>
      </w:r>
      <w:r>
        <w:rPr>
          <w:rFonts w:hint="eastAsia" w:ascii="Times New Roman" w:hAnsi="Times New Roman" w:cs="Times New Roman"/>
          <w:color w:val="auto"/>
          <w:szCs w:val="28"/>
          <w:u w:val="none" w:color="auto"/>
        </w:rPr>
        <w:t>湘江</w:t>
      </w:r>
      <w:r>
        <w:rPr>
          <w:rFonts w:hint="default" w:ascii="Times New Roman" w:hAnsi="Times New Roman" w:cs="Times New Roman"/>
          <w:color w:val="auto"/>
          <w:szCs w:val="28"/>
          <w:u w:val="none" w:color="auto"/>
        </w:rPr>
        <w:t>。本次环评期间收集了永州市环境质量简报（202</w:t>
      </w:r>
      <w:r>
        <w:rPr>
          <w:rFonts w:hint="eastAsia" w:ascii="Times New Roman" w:hAnsi="Times New Roman" w:cs="Times New Roman"/>
          <w:color w:val="auto"/>
          <w:szCs w:val="28"/>
          <w:u w:val="none" w:color="auto"/>
        </w:rPr>
        <w:t>3</w:t>
      </w:r>
      <w:r>
        <w:rPr>
          <w:rFonts w:hint="default" w:ascii="Times New Roman" w:hAnsi="Times New Roman" w:cs="Times New Roman"/>
          <w:color w:val="auto"/>
          <w:szCs w:val="28"/>
          <w:u w:val="none" w:color="auto"/>
        </w:rPr>
        <w:t>年12月），根据该环境质量简报，永州市境内52个地表水监控断面（含省控断面湘江老埠头），所有断面均达标，达标率为100%，湘江</w:t>
      </w:r>
      <w:r>
        <w:rPr>
          <w:rFonts w:hint="eastAsia" w:eastAsia="宋体"/>
          <w:color w:val="auto"/>
          <w:lang w:val="en-US" w:eastAsia="zh-CN"/>
        </w:rPr>
        <w:t>诸葛庙、</w:t>
      </w:r>
      <w:r>
        <w:rPr>
          <w:rFonts w:hint="default" w:ascii="Times New Roman" w:hAnsi="Times New Roman" w:cs="Times New Roman"/>
          <w:color w:val="auto"/>
          <w:szCs w:val="28"/>
          <w:u w:val="none" w:color="auto"/>
        </w:rPr>
        <w:t>老埠头断面水质监测结果</w:t>
      </w:r>
      <w:r>
        <w:rPr>
          <w:rFonts w:hint="eastAsia" w:ascii="Times New Roman" w:hAnsi="Times New Roman" w:eastAsia="宋体" w:cs="Times New Roman"/>
          <w:color w:val="auto"/>
          <w:szCs w:val="28"/>
          <w:u w:val="none" w:color="auto"/>
          <w:lang w:val="en-US" w:eastAsia="zh-CN"/>
        </w:rPr>
        <w:t>均</w:t>
      </w:r>
      <w:r>
        <w:rPr>
          <w:rFonts w:hint="default" w:ascii="Times New Roman" w:hAnsi="Times New Roman" w:cs="Times New Roman"/>
          <w:color w:val="auto"/>
          <w:szCs w:val="28"/>
          <w:u w:val="none" w:color="auto"/>
        </w:rPr>
        <w:t>满足Ⅱ类指标要求（</w:t>
      </w:r>
      <w:r>
        <w:rPr>
          <w:rFonts w:hint="eastAsia" w:eastAsia="宋体"/>
          <w:color w:val="auto"/>
          <w:lang w:val="en-US" w:eastAsia="zh-CN"/>
        </w:rPr>
        <w:t>诸葛庙</w:t>
      </w:r>
      <w:r>
        <w:rPr>
          <w:rFonts w:hint="eastAsia" w:ascii="Times New Roman" w:hAnsi="Times New Roman" w:eastAsia="宋体" w:cs="Times New Roman"/>
          <w:color w:val="auto"/>
          <w:szCs w:val="28"/>
          <w:u w:val="none" w:color="auto"/>
          <w:lang w:eastAsia="zh-CN"/>
        </w:rPr>
        <w:t>断面</w:t>
      </w:r>
      <w:r>
        <w:rPr>
          <w:rFonts w:hint="default" w:ascii="Times New Roman" w:hAnsi="Times New Roman" w:cs="Times New Roman"/>
          <w:color w:val="auto"/>
          <w:szCs w:val="28"/>
          <w:u w:val="none" w:color="auto"/>
        </w:rPr>
        <w:t>水环境功能区划为</w:t>
      </w:r>
      <w:r>
        <w:rPr>
          <w:rFonts w:hint="eastAsia" w:ascii="Times New Roman" w:hAnsi="Times New Roman" w:eastAsia="宋体" w:cs="Times New Roman"/>
          <w:color w:val="auto"/>
          <w:szCs w:val="28"/>
          <w:u w:val="none" w:color="auto"/>
          <w:lang w:val="en-US" w:eastAsia="zh-CN"/>
        </w:rPr>
        <w:t>生活</w:t>
      </w:r>
      <w:r>
        <w:rPr>
          <w:rFonts w:hint="default" w:ascii="Times New Roman" w:hAnsi="Times New Roman" w:cs="Times New Roman"/>
          <w:color w:val="auto"/>
          <w:szCs w:val="28"/>
          <w:u w:val="none" w:color="auto"/>
        </w:rPr>
        <w:t>用水区，执行Ⅱ类标准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湘江老埠头</w:t>
      </w:r>
      <w:r>
        <w:rPr>
          <w:rFonts w:hint="eastAsia" w:ascii="Times New Roman" w:hAnsi="Times New Roman" w:eastAsia="宋体" w:cs="Times New Roman"/>
          <w:color w:val="auto"/>
          <w:szCs w:val="28"/>
          <w:u w:val="none" w:color="auto"/>
          <w:lang w:eastAsia="zh-CN"/>
        </w:rPr>
        <w:t>断面</w:t>
      </w:r>
      <w:r>
        <w:rPr>
          <w:rFonts w:hint="default" w:ascii="Times New Roman" w:hAnsi="Times New Roman" w:cs="Times New Roman"/>
          <w:color w:val="auto"/>
          <w:szCs w:val="28"/>
          <w:u w:val="none" w:color="auto"/>
        </w:rPr>
        <w:t>水环境功能区划为工业用水区、景观娱乐用水区，执行Ⅲ类标准）。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 w:val="24"/>
          <w:szCs w:val="24"/>
        </w:rPr>
        <w:t>本次</w:t>
      </w:r>
      <w:r>
        <w:rPr>
          <w:rFonts w:hint="default" w:ascii="Times New Roman" w:hAnsi="Times New Roman" w:cs="Times New Roman"/>
          <w:color w:val="auto"/>
          <w:spacing w:val="-1"/>
          <w:sz w:val="24"/>
          <w:szCs w:val="24"/>
        </w:rPr>
        <w:t>规划环评</w:t>
      </w:r>
      <w:r>
        <w:rPr>
          <w:rFonts w:hint="eastAsia" w:eastAsia="宋体" w:cs="Times New Roman"/>
          <w:color w:val="auto"/>
          <w:spacing w:val="-1"/>
          <w:sz w:val="24"/>
          <w:szCs w:val="24"/>
          <w:lang w:val="en-US" w:eastAsia="zh-CN"/>
        </w:rPr>
        <w:t>引用《</w:t>
      </w:r>
      <w:r>
        <w:rPr>
          <w:rFonts w:hint="default" w:ascii="Times New Roman" w:hAnsi="Times New Roman" w:cs="Times New Roman"/>
          <w:color w:val="auto"/>
          <w:sz w:val="24"/>
          <w:szCs w:val="24"/>
          <w:lang w:val="en-US" w:eastAsia="zh-CN"/>
        </w:rPr>
        <w:t>零陵高新技术产业开发区调区扩区规划环境影响报告书</w:t>
      </w:r>
      <w:r>
        <w:rPr>
          <w:rFonts w:hint="eastAsia" w:eastAsia="宋体" w:cs="Times New Roman"/>
          <w:color w:val="auto"/>
          <w:spacing w:val="-1"/>
          <w:sz w:val="24"/>
          <w:szCs w:val="24"/>
          <w:lang w:val="en-US" w:eastAsia="zh-CN"/>
        </w:rPr>
        <w:t>》中</w:t>
      </w:r>
      <w:r>
        <w:rPr>
          <w:rFonts w:hint="default" w:ascii="Times New Roman" w:hAnsi="Times New Roman" w:cs="Times New Roman"/>
          <w:color w:val="auto"/>
          <w:spacing w:val="-1"/>
          <w:sz w:val="24"/>
          <w:szCs w:val="24"/>
        </w:rPr>
        <w:t>湖南乾诚检测有限</w:t>
      </w:r>
      <w:r>
        <w:rPr>
          <w:rFonts w:hint="default" w:ascii="Times New Roman" w:hAnsi="Times New Roman" w:cs="Times New Roman"/>
          <w:color w:val="auto"/>
          <w:spacing w:val="-8"/>
          <w:sz w:val="24"/>
          <w:szCs w:val="24"/>
        </w:rPr>
        <w:t>公司于</w:t>
      </w:r>
      <w:r>
        <w:rPr>
          <w:rFonts w:hint="default" w:ascii="Times New Roman" w:hAnsi="Times New Roman" w:eastAsia="Times New Roman" w:cs="Times New Roman"/>
          <w:color w:val="auto"/>
          <w:spacing w:val="-8"/>
          <w:sz w:val="24"/>
          <w:szCs w:val="24"/>
        </w:rPr>
        <w:t>2023</w:t>
      </w:r>
      <w:r>
        <w:rPr>
          <w:rFonts w:hint="default" w:ascii="Times New Roman" w:hAnsi="Times New Roman" w:cs="Times New Roman"/>
          <w:color w:val="auto"/>
          <w:spacing w:val="-8"/>
          <w:sz w:val="24"/>
          <w:szCs w:val="24"/>
        </w:rPr>
        <w:t>年</w:t>
      </w:r>
      <w:r>
        <w:rPr>
          <w:rFonts w:hint="default" w:ascii="Times New Roman" w:hAnsi="Times New Roman" w:eastAsia="Times New Roman" w:cs="Times New Roman"/>
          <w:color w:val="auto"/>
          <w:spacing w:val="-8"/>
          <w:sz w:val="24"/>
          <w:szCs w:val="24"/>
        </w:rPr>
        <w:t>5</w:t>
      </w:r>
      <w:r>
        <w:rPr>
          <w:rFonts w:hint="default" w:ascii="Times New Roman" w:hAnsi="Times New Roman" w:cs="Times New Roman"/>
          <w:color w:val="auto"/>
          <w:spacing w:val="-8"/>
          <w:sz w:val="24"/>
          <w:szCs w:val="24"/>
        </w:rPr>
        <w:t>月</w:t>
      </w:r>
      <w:r>
        <w:rPr>
          <w:rFonts w:hint="default" w:ascii="Times New Roman" w:hAnsi="Times New Roman" w:eastAsia="Times New Roman" w:cs="Times New Roman"/>
          <w:color w:val="auto"/>
          <w:spacing w:val="-8"/>
          <w:sz w:val="24"/>
          <w:szCs w:val="24"/>
        </w:rPr>
        <w:t>25</w:t>
      </w:r>
      <w:r>
        <w:rPr>
          <w:rFonts w:hint="default" w:ascii="Times New Roman" w:hAnsi="Times New Roman" w:cs="Times New Roman"/>
          <w:color w:val="auto"/>
          <w:spacing w:val="-8"/>
          <w:sz w:val="24"/>
          <w:szCs w:val="24"/>
        </w:rPr>
        <w:t>日至</w:t>
      </w:r>
      <w:r>
        <w:rPr>
          <w:rFonts w:hint="default" w:ascii="Times New Roman" w:hAnsi="Times New Roman" w:eastAsia="Times New Roman" w:cs="Times New Roman"/>
          <w:color w:val="auto"/>
          <w:spacing w:val="-8"/>
          <w:sz w:val="24"/>
          <w:szCs w:val="24"/>
        </w:rPr>
        <w:t>2023</w:t>
      </w:r>
      <w:r>
        <w:rPr>
          <w:rFonts w:hint="default" w:ascii="Times New Roman" w:hAnsi="Times New Roman" w:cs="Times New Roman"/>
          <w:color w:val="auto"/>
          <w:spacing w:val="-8"/>
          <w:sz w:val="24"/>
          <w:szCs w:val="24"/>
        </w:rPr>
        <w:t>年</w:t>
      </w:r>
      <w:r>
        <w:rPr>
          <w:rFonts w:hint="default" w:ascii="Times New Roman" w:hAnsi="Times New Roman" w:eastAsia="Times New Roman" w:cs="Times New Roman"/>
          <w:color w:val="auto"/>
          <w:spacing w:val="-8"/>
          <w:sz w:val="24"/>
          <w:szCs w:val="24"/>
        </w:rPr>
        <w:t>5</w:t>
      </w:r>
      <w:r>
        <w:rPr>
          <w:rFonts w:hint="default" w:ascii="Times New Roman" w:hAnsi="Times New Roman" w:cs="Times New Roman"/>
          <w:color w:val="auto"/>
          <w:spacing w:val="-8"/>
          <w:sz w:val="24"/>
          <w:szCs w:val="24"/>
        </w:rPr>
        <w:t>月</w:t>
      </w:r>
      <w:r>
        <w:rPr>
          <w:rFonts w:hint="default" w:ascii="Times New Roman" w:hAnsi="Times New Roman" w:eastAsia="Times New Roman" w:cs="Times New Roman"/>
          <w:color w:val="auto"/>
          <w:spacing w:val="-8"/>
          <w:sz w:val="24"/>
          <w:szCs w:val="24"/>
        </w:rPr>
        <w:t>30</w:t>
      </w:r>
      <w:r>
        <w:rPr>
          <w:rFonts w:hint="default" w:ascii="Times New Roman" w:hAnsi="Times New Roman" w:cs="Times New Roman"/>
          <w:color w:val="auto"/>
          <w:spacing w:val="-8"/>
          <w:sz w:val="24"/>
          <w:szCs w:val="24"/>
        </w:rPr>
        <w:t>日</w:t>
      </w:r>
      <w:r>
        <w:rPr>
          <w:rFonts w:hint="default" w:ascii="Times New Roman" w:hAnsi="Times New Roman" w:cs="Times New Roman"/>
          <w:color w:val="auto"/>
          <w:spacing w:val="-3"/>
          <w:sz w:val="24"/>
          <w:szCs w:val="24"/>
        </w:rPr>
        <w:t>对</w:t>
      </w:r>
      <w:r>
        <w:rPr>
          <w:rFonts w:hint="default" w:ascii="Times New Roman" w:hAnsi="Times New Roman" w:cs="Times New Roman"/>
          <w:color w:val="auto"/>
          <w:sz w:val="24"/>
          <w:szCs w:val="24"/>
        </w:rPr>
        <w:t>鹿坪污水处理厂排入湘江上游500m</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鹿坪污水处理厂排入湘江下游500m</w:t>
      </w:r>
      <w:r>
        <w:rPr>
          <w:rFonts w:hint="eastAsia" w:ascii="Times New Roman" w:hAnsi="Times New Roman" w:eastAsia="宋体" w:cs="Times New Roman"/>
          <w:color w:val="auto"/>
          <w:sz w:val="24"/>
          <w:szCs w:val="24"/>
          <w:lang w:val="en-US" w:eastAsia="zh-CN"/>
        </w:rPr>
        <w:t>处</w:t>
      </w:r>
      <w:r>
        <w:rPr>
          <w:rFonts w:hint="default" w:ascii="Times New Roman" w:hAnsi="Times New Roman" w:cs="Times New Roman"/>
          <w:color w:val="auto"/>
          <w:spacing w:val="-3"/>
          <w:sz w:val="24"/>
          <w:szCs w:val="24"/>
        </w:rPr>
        <w:t>地表水环境进行监测</w:t>
      </w:r>
      <w:r>
        <w:rPr>
          <w:rFonts w:hint="eastAsia" w:eastAsia="宋体" w:cs="Times New Roman"/>
          <w:color w:val="auto"/>
          <w:spacing w:val="-3"/>
          <w:sz w:val="24"/>
          <w:szCs w:val="24"/>
          <w:lang w:eastAsia="zh-CN"/>
        </w:rPr>
        <w:t>的</w:t>
      </w:r>
      <w:r>
        <w:rPr>
          <w:rFonts w:hint="eastAsia" w:eastAsia="宋体" w:cs="Times New Roman"/>
          <w:color w:val="auto"/>
          <w:spacing w:val="-3"/>
          <w:sz w:val="24"/>
          <w:szCs w:val="24"/>
          <w:lang w:val="en-US" w:eastAsia="zh-CN"/>
        </w:rPr>
        <w:t>结果</w:t>
      </w:r>
      <w:r>
        <w:rPr>
          <w:rFonts w:hint="default" w:ascii="Times New Roman" w:hAnsi="Times New Roman" w:cs="Times New Roman"/>
          <w:color w:val="auto"/>
          <w:spacing w:val="-3"/>
          <w:sz w:val="24"/>
          <w:szCs w:val="24"/>
        </w:rPr>
        <w:t>。</w:t>
      </w:r>
      <w:r>
        <w:rPr>
          <w:rFonts w:hint="eastAsia" w:ascii="Times New Roman" w:hAnsi="Times New Roman" w:eastAsia="宋体" w:cs="Times New Roman"/>
          <w:color w:val="auto"/>
          <w:sz w:val="24"/>
          <w:szCs w:val="24"/>
          <w:lang w:val="en-US" w:eastAsia="zh-CN"/>
        </w:rPr>
        <w:t>引用</w:t>
      </w:r>
      <w:r>
        <w:rPr>
          <w:rFonts w:hint="default" w:ascii="Times New Roman" w:hAnsi="Times New Roman" w:cs="Times New Roman"/>
          <w:color w:val="auto"/>
          <w:szCs w:val="28"/>
          <w:u w:val="none" w:color="auto"/>
        </w:rPr>
        <w:t>地表水监测结果见下表。</w:t>
      </w:r>
    </w:p>
    <w:p>
      <w:pPr>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br w:type="page"/>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sectPr>
          <w:pgSz w:w="11905" w:h="16839"/>
          <w:pgMar w:top="1440" w:right="1803" w:bottom="1440" w:left="1803" w:header="0" w:footer="1011"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eastAsia" w:ascii="Times New Roman" w:hAnsi="Times New Roman" w:eastAsia="宋体" w:cs="Times New Roman"/>
          <w:b/>
          <w:bCs/>
          <w:color w:val="auto"/>
          <w:spacing w:val="5"/>
          <w:sz w:val="24"/>
          <w:szCs w:val="24"/>
          <w:lang w:val="en-US" w:eastAsia="zh-CN"/>
        </w:rPr>
        <w:t>引用</w:t>
      </w:r>
      <w:r>
        <w:rPr>
          <w:rFonts w:hint="default" w:ascii="Times New Roman" w:hAnsi="Times New Roman" w:eastAsia="宋体" w:cs="Times New Roman"/>
          <w:b/>
          <w:bCs/>
          <w:color w:val="auto"/>
          <w:spacing w:val="5"/>
          <w:sz w:val="24"/>
          <w:szCs w:val="24"/>
        </w:rPr>
        <w:t>地表水监测结果统计</w:t>
      </w:r>
    </w:p>
    <w:tbl>
      <w:tblPr>
        <w:tblStyle w:val="29"/>
        <w:tblW w:w="14000" w:type="dxa"/>
        <w:tblInd w:w="2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088"/>
        <w:gridCol w:w="1714"/>
        <w:gridCol w:w="1263"/>
        <w:gridCol w:w="1327"/>
        <w:gridCol w:w="1327"/>
        <w:gridCol w:w="1329"/>
        <w:gridCol w:w="1150"/>
        <w:gridCol w:w="1150"/>
        <w:gridCol w:w="1034"/>
        <w:gridCol w:w="16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监测断面</w:t>
            </w:r>
          </w:p>
        </w:tc>
        <w:tc>
          <w:tcPr>
            <w:tcW w:w="171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监测项目</w:t>
            </w:r>
          </w:p>
        </w:tc>
        <w:tc>
          <w:tcPr>
            <w:tcW w:w="126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计量单位</w:t>
            </w:r>
          </w:p>
        </w:tc>
        <w:tc>
          <w:tcPr>
            <w:tcW w:w="3983"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监测时间</w:t>
            </w:r>
          </w:p>
        </w:tc>
        <w:tc>
          <w:tcPr>
            <w:tcW w:w="115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平均值</w:t>
            </w:r>
          </w:p>
        </w:tc>
        <w:tc>
          <w:tcPr>
            <w:tcW w:w="115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标准指数</w:t>
            </w:r>
          </w:p>
        </w:tc>
        <w:tc>
          <w:tcPr>
            <w:tcW w:w="103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4"/>
                <w:sz w:val="21"/>
                <w:szCs w:val="21"/>
              </w:rPr>
              <w:t>最大超标倍数</w:t>
            </w:r>
          </w:p>
        </w:tc>
        <w:tc>
          <w:tcPr>
            <w:tcW w:w="161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26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4"/>
                <w:sz w:val="21"/>
                <w:szCs w:val="21"/>
              </w:rPr>
              <w:t>第一次</w:t>
            </w:r>
          </w:p>
        </w:tc>
        <w:tc>
          <w:tcPr>
            <w:tcW w:w="13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第二次</w:t>
            </w:r>
          </w:p>
        </w:tc>
        <w:tc>
          <w:tcPr>
            <w:tcW w:w="13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第三次</w:t>
            </w:r>
          </w:p>
        </w:tc>
        <w:tc>
          <w:tcPr>
            <w:tcW w:w="115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15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0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61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restar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pacing w:val="-2"/>
                <w:sz w:val="21"/>
                <w:szCs w:val="21"/>
              </w:rPr>
              <w:t>1#</w:t>
            </w:r>
            <w:r>
              <w:rPr>
                <w:rFonts w:hint="default" w:ascii="Times New Roman" w:hAnsi="Times New Roman" w:eastAsia="宋体" w:cs="Times New Roman"/>
                <w:color w:val="auto"/>
                <w:spacing w:val="-2"/>
                <w:sz w:val="21"/>
                <w:szCs w:val="21"/>
              </w:rPr>
              <w:t>断面鹿坪污水处理</w:t>
            </w:r>
            <w:r>
              <w:rPr>
                <w:rFonts w:hint="default" w:ascii="Times New Roman" w:hAnsi="Times New Roman" w:eastAsia="宋体" w:cs="Times New Roman"/>
                <w:color w:val="auto"/>
                <w:spacing w:val="-1"/>
                <w:sz w:val="21"/>
                <w:szCs w:val="21"/>
              </w:rPr>
              <w:t>厂排入湘江上游</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500m</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（河宽：</w:t>
            </w:r>
            <w:r>
              <w:rPr>
                <w:rFonts w:hint="default" w:ascii="Times New Roman" w:hAnsi="Times New Roman" w:cs="Times New Roman"/>
                <w:color w:val="auto"/>
                <w:spacing w:val="-6"/>
                <w:sz w:val="21"/>
                <w:szCs w:val="21"/>
              </w:rPr>
              <w:t>205.2m</w:t>
            </w:r>
            <w:r>
              <w:rPr>
                <w:rFonts w:hint="default" w:ascii="Times New Roman" w:hAnsi="Times New Roman" w:eastAsia="宋体" w:cs="Times New Roman"/>
                <w:color w:val="auto"/>
                <w:spacing w:val="-6"/>
                <w:sz w:val="21"/>
                <w:szCs w:val="21"/>
              </w:rPr>
              <w:t>；</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河深：</w:t>
            </w:r>
            <w:r>
              <w:rPr>
                <w:rFonts w:hint="default" w:ascii="Times New Roman" w:hAnsi="Times New Roman" w:cs="Times New Roman"/>
                <w:color w:val="auto"/>
                <w:spacing w:val="-1"/>
                <w:sz w:val="21"/>
                <w:szCs w:val="21"/>
              </w:rPr>
              <w:t>11.8m</w:t>
            </w:r>
            <w:r>
              <w:rPr>
                <w:rFonts w:hint="default" w:ascii="Times New Roman" w:hAnsi="Times New Roman" w:eastAsia="宋体" w:cs="Times New Roman"/>
                <w:color w:val="auto"/>
                <w:spacing w:val="-1"/>
                <w:sz w:val="21"/>
                <w:szCs w:val="21"/>
              </w:rPr>
              <w:t>；</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
                <w:sz w:val="21"/>
                <w:szCs w:val="21"/>
              </w:rPr>
              <w:t>流速：</w:t>
            </w:r>
            <w:r>
              <w:rPr>
                <w:rFonts w:hint="default" w:ascii="Times New Roman" w:hAnsi="Times New Roman" w:cs="Times New Roman"/>
                <w:color w:val="auto"/>
                <w:spacing w:val="-1"/>
                <w:sz w:val="21"/>
                <w:szCs w:val="21"/>
              </w:rPr>
              <w:t>0.20m/s</w:t>
            </w:r>
            <w:r>
              <w:rPr>
                <w:rFonts w:hint="default" w:ascii="Times New Roman" w:hAnsi="Times New Roman" w:eastAsia="宋体" w:cs="Times New Roman"/>
                <w:color w:val="auto"/>
                <w:spacing w:val="-1"/>
                <w:sz w:val="21"/>
                <w:szCs w:val="21"/>
              </w:rPr>
              <w:t>；</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流量：</w:t>
            </w:r>
            <w:r>
              <w:rPr>
                <w:rFonts w:hint="default" w:ascii="Times New Roman" w:hAnsi="Times New Roman" w:cs="Times New Roman"/>
                <w:color w:val="auto"/>
                <w:sz w:val="21"/>
                <w:szCs w:val="21"/>
              </w:rPr>
              <w:t>484.27m</w:t>
            </w:r>
            <w:r>
              <w:rPr>
                <w:rFonts w:hint="eastAsia" w:ascii="Times New Roman" w:hAnsi="Times New Roman" w:cs="Times New Roman"/>
                <w:color w:val="auto"/>
                <w:sz w:val="21"/>
                <w:szCs w:val="21"/>
                <w:vertAlign w:val="superscript"/>
                <w:lang w:val="en-US" w:eastAsia="zh-CN"/>
              </w:rPr>
              <w:t>3</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s</w:t>
            </w:r>
            <w:r>
              <w:rPr>
                <w:rFonts w:hint="eastAsia" w:ascii="Times New Roman" w:hAnsi="Times New Roman" w:cs="Times New Roman"/>
                <w:color w:val="auto"/>
                <w:sz w:val="21"/>
                <w:szCs w:val="21"/>
                <w:lang w:eastAsia="zh-CN"/>
              </w:rPr>
              <w:t>）</w:t>
            </w:r>
          </w:p>
        </w:tc>
        <w:tc>
          <w:tcPr>
            <w:tcW w:w="171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pH</w:t>
            </w:r>
            <w:r>
              <w:rPr>
                <w:rFonts w:hint="default" w:ascii="Times New Roman" w:hAnsi="Times New Roman" w:cs="Times New Roman"/>
                <w:color w:val="auto"/>
                <w:spacing w:val="3"/>
                <w:sz w:val="21"/>
                <w:szCs w:val="21"/>
              </w:rPr>
              <w:t xml:space="preserve"> </w:t>
            </w:r>
            <w:r>
              <w:rPr>
                <w:rFonts w:hint="default" w:ascii="Times New Roman" w:hAnsi="Times New Roman" w:eastAsia="宋体" w:cs="Times New Roman"/>
                <w:color w:val="auto"/>
                <w:spacing w:val="3"/>
                <w:sz w:val="21"/>
                <w:szCs w:val="21"/>
              </w:rPr>
              <w:t>值</w:t>
            </w:r>
          </w:p>
        </w:tc>
        <w:tc>
          <w:tcPr>
            <w:tcW w:w="12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无量纲</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6.7</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7.4</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6.5</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6.87</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0.13</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水温</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14.7</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14.6</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14.8</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14.7</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pacing w:val="5"/>
                <w:positio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溶解氧</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7.63</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7.65</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7.61</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7.63</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0.49</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高锰酸盐指数</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1.1</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0.8</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1.0</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0.97</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0.16</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化学需氧量</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12</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13</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10</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11.67</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0.58</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五日生化需氧</w:t>
            </w:r>
            <w:r>
              <w:rPr>
                <w:rFonts w:hint="default" w:ascii="Times New Roman" w:hAnsi="Times New Roman" w:eastAsia="宋体" w:cs="Times New Roman"/>
                <w:color w:val="auto"/>
                <w:sz w:val="21"/>
                <w:szCs w:val="21"/>
              </w:rPr>
              <w:t>量</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3.1</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3.3</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2.6</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3.00</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0.75</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氨氮</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0.42</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0.39</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0.41</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0.41</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0.41</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总磷</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0.03</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0.02</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0.03</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0.03</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0.13</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总氮</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2.39</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1.45</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锌</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0.05L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0.05L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0.05L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0.05L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氟化物</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0.104</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0.102</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0.101</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0.102</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0.102</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硒</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0.0004L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0.0004L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0.00004L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0.00004L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0.0001L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0.0001L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0.0001L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0.0001L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六价铬</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0.001L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铊</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0.00003L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0.00003L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0.00003L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0.00003L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氰化物</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0.004L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挥发酚</w:t>
            </w:r>
          </w:p>
        </w:tc>
        <w:tc>
          <w:tcPr>
            <w:tcW w:w="1263"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327"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329"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0.0003L</w:t>
            </w:r>
          </w:p>
        </w:tc>
        <w:tc>
          <w:tcPr>
            <w:tcW w:w="1150"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34"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618" w:type="dxa"/>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石油类</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阴离子表面活</w:t>
            </w:r>
            <w:r>
              <w:rPr>
                <w:rFonts w:hint="default" w:ascii="Times New Roman" w:hAnsi="Times New Roman" w:eastAsia="宋体" w:cs="Times New Roman"/>
                <w:color w:val="auto"/>
                <w:spacing w:val="-2"/>
                <w:sz w:val="21"/>
                <w:szCs w:val="21"/>
              </w:rPr>
              <w:t>性剂</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硫化物</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氯化物</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3.25</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3.25</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3.23</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3.24</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硫酸盐</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44.1</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44.1</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44.0</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44.07</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0.18</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粪大肠菌群</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MPN/L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3.6×10</w:t>
            </w:r>
            <w:r>
              <w:rPr>
                <w:rFonts w:hint="eastAsia" w:ascii="Times New Roman" w:hAnsi="Times New Roman" w:cs="Times New Roman"/>
                <w:color w:val="auto"/>
                <w:sz w:val="21"/>
                <w:szCs w:val="21"/>
                <w:vertAlign w:val="superscript"/>
                <w:lang w:val="en-US" w:eastAsia="zh-CN"/>
              </w:rPr>
              <w:t>2</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3.2×10</w:t>
            </w:r>
            <w:r>
              <w:rPr>
                <w:rFonts w:hint="eastAsia" w:ascii="Times New Roman" w:hAnsi="Times New Roman" w:cs="Times New Roman"/>
                <w:color w:val="auto"/>
                <w:sz w:val="21"/>
                <w:szCs w:val="21"/>
                <w:vertAlign w:val="superscript"/>
                <w:lang w:val="en-US" w:eastAsia="zh-CN"/>
              </w:rPr>
              <w:t>2</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4.0×10</w:t>
            </w:r>
            <w:r>
              <w:rPr>
                <w:rFonts w:hint="eastAsia" w:ascii="Times New Roman" w:hAnsi="Times New Roman" w:cs="Times New Roman"/>
                <w:color w:val="auto"/>
                <w:sz w:val="21"/>
                <w:szCs w:val="21"/>
                <w:vertAlign w:val="superscript"/>
                <w:lang w:val="en-US" w:eastAsia="zh-CN"/>
              </w:rPr>
              <w:t>2</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360</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0.036</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≤10000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甲醛</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甲苯</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二甲苯</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restart"/>
            <w:tcBorders>
              <w:tl2br w:val="nil"/>
              <w:tr2bl w:val="nil"/>
            </w:tcBorders>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2#</w:t>
            </w:r>
            <w:r>
              <w:rPr>
                <w:rFonts w:hint="default" w:ascii="Times New Roman" w:hAnsi="Times New Roman" w:eastAsia="宋体" w:cs="Times New Roman"/>
                <w:color w:val="auto"/>
                <w:sz w:val="21"/>
                <w:szCs w:val="21"/>
              </w:rPr>
              <w:t>断面鹿坪污水处理</w:t>
            </w:r>
            <w:r>
              <w:rPr>
                <w:rFonts w:hint="default" w:ascii="Times New Roman" w:hAnsi="Times New Roman" w:eastAsia="宋体" w:cs="Times New Roman"/>
                <w:color w:val="auto"/>
                <w:spacing w:val="-1"/>
                <w:sz w:val="21"/>
                <w:szCs w:val="21"/>
              </w:rPr>
              <w:t>厂排入湘江下游</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500m</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（河宽：</w:t>
            </w:r>
            <w:r>
              <w:rPr>
                <w:rFonts w:hint="default" w:ascii="Times New Roman" w:hAnsi="Times New Roman" w:cs="Times New Roman"/>
                <w:color w:val="auto"/>
                <w:spacing w:val="-1"/>
                <w:sz w:val="21"/>
                <w:szCs w:val="21"/>
              </w:rPr>
              <w:t>201.1m</w:t>
            </w:r>
            <w:r>
              <w:rPr>
                <w:rFonts w:hint="default" w:ascii="Times New Roman" w:hAnsi="Times New Roman" w:eastAsia="宋体" w:cs="Times New Roman"/>
                <w:color w:val="auto"/>
                <w:spacing w:val="-1"/>
                <w:sz w:val="21"/>
                <w:szCs w:val="21"/>
              </w:rPr>
              <w:t>；</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河深：</w:t>
            </w:r>
            <w:r>
              <w:rPr>
                <w:rFonts w:hint="default" w:ascii="Times New Roman" w:hAnsi="Times New Roman" w:cs="Times New Roman"/>
                <w:color w:val="auto"/>
                <w:spacing w:val="-1"/>
                <w:sz w:val="21"/>
                <w:szCs w:val="21"/>
              </w:rPr>
              <w:t>11.9m</w:t>
            </w:r>
            <w:r>
              <w:rPr>
                <w:rFonts w:hint="default" w:ascii="Times New Roman" w:hAnsi="Times New Roman" w:eastAsia="宋体" w:cs="Times New Roman"/>
                <w:color w:val="auto"/>
                <w:spacing w:val="-1"/>
                <w:sz w:val="21"/>
                <w:szCs w:val="21"/>
              </w:rPr>
              <w:t>；</w:t>
            </w:r>
          </w:p>
          <w:p>
            <w:pPr>
              <w:pStyle w:val="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流速：</w:t>
            </w:r>
            <w:r>
              <w:rPr>
                <w:rFonts w:hint="default" w:ascii="Times New Roman" w:hAnsi="Times New Roman" w:cs="Times New Roman"/>
                <w:color w:val="auto"/>
                <w:spacing w:val="-1"/>
                <w:sz w:val="21"/>
                <w:szCs w:val="21"/>
              </w:rPr>
              <w:t>0.21m/s</w:t>
            </w:r>
            <w:r>
              <w:rPr>
                <w:rFonts w:hint="default" w:ascii="Times New Roman" w:hAnsi="Times New Roman" w:eastAsia="宋体" w:cs="Times New Roman"/>
                <w:color w:val="auto"/>
                <w:spacing w:val="-1"/>
                <w:sz w:val="21"/>
                <w:szCs w:val="21"/>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流量：</w:t>
            </w:r>
            <w:r>
              <w:rPr>
                <w:rFonts w:hint="default" w:ascii="Times New Roman" w:hAnsi="Times New Roman" w:cs="Times New Roman"/>
                <w:color w:val="auto"/>
                <w:sz w:val="21"/>
                <w:szCs w:val="21"/>
              </w:rPr>
              <w:t>502.55m</w:t>
            </w:r>
            <w:r>
              <w:rPr>
                <w:rFonts w:hint="eastAsia" w:ascii="Times New Roman" w:hAnsi="Times New Roman" w:cs="Times New Roman"/>
                <w:color w:val="auto"/>
                <w:sz w:val="21"/>
                <w:szCs w:val="21"/>
                <w:vertAlign w:val="superscript"/>
                <w:lang w:val="en-US" w:eastAsia="zh-CN"/>
              </w:rPr>
              <w:t>3</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s</w:t>
            </w:r>
            <w:r>
              <w:rPr>
                <w:rFonts w:hint="eastAsia" w:ascii="Times New Roman" w:hAnsi="Times New Roman" w:cs="Times New Roman"/>
                <w:color w:val="auto"/>
                <w:sz w:val="21"/>
                <w:szCs w:val="21"/>
                <w:lang w:eastAsia="zh-CN"/>
              </w:rPr>
              <w:t>）</w:t>
            </w:r>
          </w:p>
        </w:tc>
        <w:tc>
          <w:tcPr>
            <w:tcW w:w="171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pH</w:t>
            </w:r>
            <w:r>
              <w:rPr>
                <w:rFonts w:hint="default" w:ascii="Times New Roman" w:hAnsi="Times New Roman" w:cs="Times New Roman"/>
                <w:color w:val="auto"/>
                <w:spacing w:val="3"/>
                <w:sz w:val="21"/>
                <w:szCs w:val="21"/>
              </w:rPr>
              <w:t xml:space="preserve"> </w:t>
            </w:r>
            <w:r>
              <w:rPr>
                <w:rFonts w:hint="default" w:ascii="Times New Roman" w:hAnsi="Times New Roman" w:eastAsia="宋体" w:cs="Times New Roman"/>
                <w:color w:val="auto"/>
                <w:spacing w:val="3"/>
                <w:sz w:val="21"/>
                <w:szCs w:val="21"/>
              </w:rPr>
              <w:t>值</w:t>
            </w:r>
          </w:p>
        </w:tc>
        <w:tc>
          <w:tcPr>
            <w:tcW w:w="1263"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无量纲</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6.7</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7.1</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7.2</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7.00</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pacing w:val="-2"/>
                <w:sz w:val="21"/>
                <w:szCs w:val="21"/>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溶解氧</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7.93</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7.95</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7.96</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7.95</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pacing w:val="5"/>
                <w:positio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水温</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15.3</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15.2</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15.1</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4"/>
                <w:sz w:val="21"/>
                <w:szCs w:val="21"/>
              </w:rPr>
              <w:t>15.20</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0.49</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高锰酸盐指数</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7"/>
                <w:sz w:val="21"/>
                <w:szCs w:val="21"/>
              </w:rPr>
              <w:t>1.0</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0.9</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7"/>
                <w:sz w:val="21"/>
                <w:szCs w:val="21"/>
              </w:rPr>
              <w:t>1.0</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0.97</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0.16</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化学需氧量</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6"/>
                <w:sz w:val="21"/>
                <w:szCs w:val="21"/>
              </w:rPr>
              <w:t>11</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6"/>
                <w:sz w:val="21"/>
                <w:szCs w:val="21"/>
              </w:rPr>
              <w:t>15</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6"/>
                <w:sz w:val="21"/>
                <w:szCs w:val="21"/>
              </w:rPr>
              <w:t>11</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4"/>
                <w:sz w:val="21"/>
                <w:szCs w:val="21"/>
              </w:rPr>
              <w:t>12.33</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0.62</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五日生化需氧</w:t>
            </w:r>
            <w:r>
              <w:rPr>
                <w:rFonts w:hint="default" w:ascii="Times New Roman" w:hAnsi="Times New Roman" w:eastAsia="宋体" w:cs="Times New Roman"/>
                <w:color w:val="auto"/>
                <w:sz w:val="21"/>
                <w:szCs w:val="21"/>
              </w:rPr>
              <w:t>量</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2.8</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2"/>
                <w:sz w:val="21"/>
                <w:szCs w:val="21"/>
              </w:rPr>
              <w:t>3.8</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2.9</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3.17</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0.79</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氨氮</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0.34</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0.35</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0.34</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0.34</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0.34</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sz w:val="21"/>
                <w:szCs w:val="21"/>
              </w:rPr>
              <w:t>总磷</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0.02</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0.03</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0.03</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0.03</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0.13</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sz w:val="21"/>
                <w:szCs w:val="21"/>
              </w:rPr>
              <w:t>总氮</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1.81</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1.84</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1.86</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1.84</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5"/>
                <w:sz w:val="21"/>
                <w:szCs w:val="21"/>
              </w:rPr>
              <w:t>1.84</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0.86</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铜</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锌</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氟化物</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0.109</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0.107</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0.109</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0.108</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0.108</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硒</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0.0004L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0.0004L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砷</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汞</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0.00004L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0.00004L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镉</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六价铬</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铅</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0.002</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0.002</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0.002</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0.002</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0.04</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铊</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0.00003L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0.00003L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0.00003L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0.00003L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氰化物</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0.004L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挥发酚</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0.0003L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石油类</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阴离子表面活</w:t>
            </w:r>
            <w:r>
              <w:rPr>
                <w:rFonts w:hint="default" w:ascii="Times New Roman" w:hAnsi="Times New Roman" w:eastAsia="宋体" w:cs="Times New Roman"/>
                <w:color w:val="auto"/>
                <w:spacing w:val="-2"/>
                <w:sz w:val="21"/>
                <w:szCs w:val="21"/>
              </w:rPr>
              <w:t>性剂</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硫化物</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氯化物</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2.88</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2.87</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2.88</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2.88</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0.01</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硫酸盐</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43.9</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43.8</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43.6</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43.77</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0.18</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粪大肠菌群</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MPN/L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2.2×10</w:t>
            </w:r>
            <w:r>
              <w:rPr>
                <w:rFonts w:hint="eastAsia" w:ascii="Times New Roman" w:hAnsi="Times New Roman" w:cs="Times New Roman"/>
                <w:color w:val="auto"/>
                <w:sz w:val="21"/>
                <w:szCs w:val="21"/>
                <w:vertAlign w:val="superscript"/>
                <w:lang w:val="en-US" w:eastAsia="zh-CN"/>
              </w:rPr>
              <w:t>2</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2.6×10</w:t>
            </w:r>
            <w:r>
              <w:rPr>
                <w:rFonts w:hint="eastAsia" w:ascii="Times New Roman" w:hAnsi="Times New Roman" w:cs="Times New Roman"/>
                <w:color w:val="auto"/>
                <w:sz w:val="21"/>
                <w:szCs w:val="21"/>
                <w:vertAlign w:val="superscript"/>
                <w:lang w:val="en-US" w:eastAsia="zh-CN"/>
              </w:rPr>
              <w:t>2</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3.1×10</w:t>
            </w:r>
            <w:r>
              <w:rPr>
                <w:rFonts w:hint="eastAsia" w:ascii="Times New Roman" w:hAnsi="Times New Roman" w:cs="Times New Roman"/>
                <w:color w:val="auto"/>
                <w:sz w:val="21"/>
                <w:szCs w:val="21"/>
                <w:vertAlign w:val="superscript"/>
                <w:lang w:val="en-US" w:eastAsia="zh-CN"/>
              </w:rPr>
              <w:t>2</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263.33</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0.03</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≤10000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甲醛</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0.05L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甲苯</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0.001L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1714"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二甲苯</w:t>
            </w:r>
          </w:p>
        </w:tc>
        <w:tc>
          <w:tcPr>
            <w:tcW w:w="1263"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mg</w:t>
            </w:r>
            <w:r>
              <w:rPr>
                <w:rFonts w:hint="default" w:ascii="Times New Roman" w:hAnsi="Times New Roman" w:cs="Times New Roman"/>
                <w:color w:val="auto"/>
                <w:spacing w:val="1"/>
                <w:sz w:val="21"/>
                <w:szCs w:val="21"/>
              </w:rPr>
              <w:t>/L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7"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329"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1"/>
                <w:sz w:val="21"/>
                <w:szCs w:val="21"/>
              </w:rPr>
              <w:t>0.0008L</w:t>
            </w:r>
          </w:p>
        </w:tc>
        <w:tc>
          <w:tcPr>
            <w:tcW w:w="1150"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034"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z w:val="21"/>
                <w:szCs w:val="21"/>
              </w:rPr>
              <w:t>/</w:t>
            </w:r>
          </w:p>
        </w:tc>
        <w:tc>
          <w:tcPr>
            <w:tcW w:w="1618" w:type="dxa"/>
            <w:tcBorders>
              <w:tl2br w:val="nil"/>
              <w:tr2bl w:val="nil"/>
            </w:tcBorders>
            <w:shd w:val="clear" w:color="auto" w:fill="auto"/>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b/>
                <w:bCs/>
                <w:color w:val="auto"/>
                <w:sz w:val="21"/>
                <w:szCs w:val="21"/>
              </w:rPr>
              <w:t>≤0.5</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从监测统计结果可知，</w:t>
      </w:r>
      <w:r>
        <w:rPr>
          <w:rFonts w:hint="eastAsia" w:ascii="Times New Roman" w:hAnsi="Times New Roman" w:eastAsia="宋体" w:cs="Times New Roman"/>
          <w:color w:val="auto"/>
          <w:szCs w:val="28"/>
          <w:u w:val="none" w:color="auto"/>
          <w:lang w:val="en-US" w:eastAsia="zh-CN"/>
        </w:rPr>
        <w:t>监测期间</w:t>
      </w:r>
      <w:r>
        <w:rPr>
          <w:rFonts w:hint="default" w:ascii="Times New Roman" w:hAnsi="Times New Roman" w:cs="Times New Roman"/>
          <w:color w:val="auto"/>
          <w:sz w:val="24"/>
          <w:szCs w:val="24"/>
        </w:rPr>
        <w:t>鹿坪污水处理厂排入湘江上游500m</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鹿坪污水处理厂排入湘江下游500m</w:t>
      </w:r>
      <w:r>
        <w:rPr>
          <w:rFonts w:hint="eastAsia" w:ascii="Times New Roman" w:hAnsi="Times New Roman" w:eastAsia="宋体" w:cs="Times New Roman"/>
          <w:color w:val="auto"/>
          <w:sz w:val="24"/>
          <w:szCs w:val="24"/>
          <w:lang w:val="en-US" w:eastAsia="zh-CN"/>
        </w:rPr>
        <w:t>处</w:t>
      </w:r>
      <w:r>
        <w:rPr>
          <w:rFonts w:hint="default" w:ascii="Times New Roman" w:hAnsi="Times New Roman" w:cs="Times New Roman"/>
          <w:color w:val="auto"/>
          <w:szCs w:val="28"/>
          <w:u w:val="none" w:color="auto"/>
        </w:rPr>
        <w:t>水质</w:t>
      </w:r>
      <w:r>
        <w:rPr>
          <w:rFonts w:hint="eastAsia" w:ascii="Times New Roman" w:hAnsi="Times New Roman" w:eastAsia="宋体" w:cs="Times New Roman"/>
          <w:color w:val="auto"/>
          <w:szCs w:val="28"/>
          <w:u w:val="none" w:color="auto"/>
          <w:lang w:val="en-US" w:eastAsia="zh-CN"/>
        </w:rPr>
        <w:t>中除总氮外，其余</w:t>
      </w:r>
      <w:r>
        <w:rPr>
          <w:rFonts w:hint="default" w:ascii="Times New Roman" w:hAnsi="Times New Roman" w:cs="Times New Roman"/>
          <w:color w:val="auto"/>
          <w:szCs w:val="28"/>
          <w:u w:val="none" w:color="auto"/>
        </w:rPr>
        <w:t>监测因子均达到《地表水环境质量标准》（GB3838-2002）Ⅲ类标准要求，项目区域水环境质量现状良好。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left="0" w:leftChars="0" w:firstLine="0" w:firstLineChars="0"/>
        <w:jc w:val="both"/>
        <w:textAlignment w:val="baseline"/>
        <w:rPr>
          <w:rFonts w:hint="default" w:ascii="Times New Roman" w:hAnsi="Times New Roman" w:cs="Times New Roman"/>
          <w:color w:val="auto"/>
          <w:szCs w:val="28"/>
          <w:u w:val="none" w:color="auto"/>
        </w:rPr>
        <w:sectPr>
          <w:pgSz w:w="16839" w:h="11905" w:orient="landscape"/>
          <w:pgMar w:top="1803" w:right="1440" w:bottom="1803" w:left="1440" w:header="0" w:footer="1009" w:gutter="0"/>
          <w:pgBorders>
            <w:top w:val="none" w:sz="0" w:space="0"/>
            <w:left w:val="none" w:sz="0" w:space="0"/>
            <w:bottom w:val="none" w:sz="0" w:space="0"/>
            <w:right w:val="none" w:sz="0" w:space="0"/>
          </w:pgBorders>
          <w:pgNumType w:fmt="numberInDash"/>
          <w:cols w:space="0" w:num="1"/>
          <w:rtlGutter w:val="0"/>
          <w:docGrid w:linePitch="0" w:charSpace="0"/>
        </w:sectPr>
      </w:pPr>
    </w:p>
    <w:p>
      <w:pPr>
        <w:pStyle w:val="11"/>
        <w:bidi w:val="0"/>
        <w:spacing w:line="360" w:lineRule="auto"/>
        <w:ind w:left="851" w:hanging="851"/>
        <w:rPr>
          <w:color w:val="auto"/>
          <w:sz w:val="30"/>
          <w:szCs w:val="30"/>
        </w:rPr>
      </w:pPr>
      <w:r>
        <w:rPr>
          <w:color w:val="auto"/>
          <w:sz w:val="30"/>
          <w:szCs w:val="30"/>
        </w:rPr>
        <w:t>声环境质量状况</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为了解项目选址区域声环境质量现状，本次环评委托</w:t>
      </w:r>
      <w:r>
        <w:rPr>
          <w:rFonts w:hint="eastAsia" w:ascii="Times New Roman" w:hAnsi="Times New Roman" w:eastAsia="宋体" w:cs="Times New Roman"/>
          <w:color w:val="auto"/>
          <w:szCs w:val="28"/>
          <w:highlight w:val="none"/>
          <w:u w:val="none" w:color="auto"/>
          <w:lang w:eastAsia="zh-CN"/>
        </w:rPr>
        <w:t>湖南新晨曦环保有限公司</w:t>
      </w:r>
      <w:r>
        <w:rPr>
          <w:rFonts w:hint="default" w:ascii="Times New Roman" w:hAnsi="Times New Roman" w:cs="Times New Roman"/>
          <w:color w:val="auto"/>
          <w:szCs w:val="28"/>
          <w:u w:val="none" w:color="auto"/>
        </w:rPr>
        <w:t>于202</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年11月6日至11月7日对</w:t>
      </w:r>
      <w:r>
        <w:rPr>
          <w:rFonts w:hint="eastAsia" w:ascii="Times New Roman" w:hAnsi="Times New Roman" w:eastAsia="宋体" w:cs="Times New Roman"/>
          <w:color w:val="auto"/>
          <w:szCs w:val="28"/>
          <w:u w:val="none" w:color="auto"/>
          <w:lang w:eastAsia="zh-CN"/>
        </w:rPr>
        <w:t>永州大道包装有限公司</w:t>
      </w:r>
      <w:r>
        <w:rPr>
          <w:rFonts w:hint="default" w:ascii="Times New Roman" w:hAnsi="Times New Roman" w:cs="Times New Roman"/>
          <w:color w:val="auto"/>
          <w:szCs w:val="28"/>
          <w:u w:val="none" w:color="auto"/>
        </w:rPr>
        <w:t>东面、南面、西面、北面厂界处进行现场监测，监测结果见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环境噪声监测结果统计表</w:t>
      </w:r>
    </w:p>
    <w:tbl>
      <w:tblPr>
        <w:tblStyle w:val="29"/>
        <w:tblW w:w="501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86"/>
        <w:gridCol w:w="1474"/>
        <w:gridCol w:w="1451"/>
        <w:gridCol w:w="1394"/>
        <w:gridCol w:w="1396"/>
        <w:gridCol w:w="1308"/>
        <w:gridCol w:w="113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序号</w:t>
            </w:r>
          </w:p>
        </w:tc>
        <w:tc>
          <w:tcPr>
            <w:tcW w:w="83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7"/>
                <w:sz w:val="21"/>
                <w:szCs w:val="21"/>
                <w:lang w:eastAsia="zh-CN"/>
              </w:rPr>
              <w:t>监测点位</w:t>
            </w:r>
          </w:p>
        </w:tc>
        <w:tc>
          <w:tcPr>
            <w:tcW w:w="820"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监测时间</w:t>
            </w:r>
          </w:p>
        </w:tc>
        <w:tc>
          <w:tcPr>
            <w:tcW w:w="1577"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pacing w:val="5"/>
                <w:sz w:val="21"/>
                <w:szCs w:val="21"/>
              </w:rPr>
              <w:t>监测结果</w:t>
            </w:r>
            <w:r>
              <w:rPr>
                <w:rFonts w:hint="default" w:ascii="Times New Roman" w:hAnsi="Times New Roman" w:eastAsia="Calibri" w:cs="Times New Roman"/>
                <w:color w:val="auto"/>
                <w:sz w:val="21"/>
                <w:szCs w:val="21"/>
              </w:rPr>
              <w:t>dB</w:t>
            </w:r>
            <w:r>
              <w:rPr>
                <w:rFonts w:hint="default" w:ascii="Times New Roman" w:hAnsi="Times New Roman" w:cs="Times New Roman"/>
                <w:color w:val="auto"/>
                <w:spacing w:val="5"/>
                <w:sz w:val="21"/>
                <w:szCs w:val="21"/>
                <w:lang w:eastAsia="zh-CN"/>
              </w:rPr>
              <w:t>（</w:t>
            </w:r>
            <w:r>
              <w:rPr>
                <w:rFonts w:hint="default" w:ascii="Times New Roman" w:hAnsi="Times New Roman" w:eastAsia="Calibri" w:cs="Times New Roman"/>
                <w:color w:val="auto"/>
                <w:spacing w:val="5"/>
                <w:sz w:val="21"/>
                <w:szCs w:val="21"/>
              </w:rPr>
              <w:t>A</w:t>
            </w:r>
            <w:r>
              <w:rPr>
                <w:rFonts w:hint="default" w:ascii="Times New Roman" w:hAnsi="Times New Roman" w:cs="Times New Roman"/>
                <w:color w:val="auto"/>
                <w:spacing w:val="5"/>
                <w:sz w:val="21"/>
                <w:szCs w:val="21"/>
                <w:lang w:eastAsia="zh-CN"/>
              </w:rPr>
              <w:t>）</w:t>
            </w:r>
          </w:p>
        </w:tc>
        <w:tc>
          <w:tcPr>
            <w:tcW w:w="1380"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pacing w:val="5"/>
                <w:sz w:val="21"/>
                <w:szCs w:val="21"/>
              </w:rPr>
              <w:t>评价标准</w:t>
            </w:r>
            <w:r>
              <w:rPr>
                <w:rFonts w:hint="default" w:ascii="Times New Roman" w:hAnsi="Times New Roman" w:eastAsia="Calibri" w:cs="Times New Roman"/>
                <w:color w:val="auto"/>
                <w:sz w:val="21"/>
                <w:szCs w:val="21"/>
              </w:rPr>
              <w:t>dB</w:t>
            </w:r>
            <w:r>
              <w:rPr>
                <w:rFonts w:hint="default" w:ascii="Times New Roman" w:hAnsi="Times New Roman" w:cs="Times New Roman"/>
                <w:color w:val="auto"/>
                <w:spacing w:val="5"/>
                <w:sz w:val="21"/>
                <w:szCs w:val="21"/>
                <w:lang w:eastAsia="zh-CN"/>
              </w:rPr>
              <w:t>（</w:t>
            </w:r>
            <w:r>
              <w:rPr>
                <w:rFonts w:hint="default" w:ascii="Times New Roman" w:hAnsi="Times New Roman" w:eastAsia="Calibri" w:cs="Times New Roman"/>
                <w:color w:val="auto"/>
                <w:spacing w:val="5"/>
                <w:sz w:val="21"/>
                <w:szCs w:val="21"/>
              </w:rPr>
              <w:t>A</w:t>
            </w:r>
            <w:r>
              <w:rPr>
                <w:rFonts w:hint="default" w:ascii="Times New Roman" w:hAnsi="Times New Roman" w:cs="Times New Roman"/>
                <w:color w:val="auto"/>
                <w:spacing w:val="5"/>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83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82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78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昼间</w:t>
            </w:r>
          </w:p>
        </w:tc>
        <w:tc>
          <w:tcPr>
            <w:tcW w:w="78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夜间</w:t>
            </w:r>
          </w:p>
        </w:tc>
        <w:tc>
          <w:tcPr>
            <w:tcW w:w="73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昼间</w:t>
            </w:r>
          </w:p>
        </w:tc>
        <w:tc>
          <w:tcPr>
            <w:tcW w:w="64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83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eastAsia="Calibri" w:cs="Times New Roman"/>
                <w:color w:val="auto"/>
                <w:spacing w:val="0"/>
                <w:sz w:val="21"/>
                <w:szCs w:val="21"/>
                <w:lang w:val="en-US" w:eastAsia="zh-CN"/>
              </w:rPr>
              <w:t>N1项目东侧厂界外1m处</w:t>
            </w: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6</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64</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w:t>
            </w:r>
          </w:p>
        </w:tc>
        <w:tc>
          <w:tcPr>
            <w:tcW w:w="739"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65</w:t>
            </w:r>
          </w:p>
        </w:tc>
        <w:tc>
          <w:tcPr>
            <w:tcW w:w="641"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833"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pacing w:val="0"/>
                <w:sz w:val="21"/>
                <w:szCs w:val="21"/>
              </w:rPr>
            </w:pP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7</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w:t>
            </w:r>
          </w:p>
        </w:tc>
        <w:tc>
          <w:tcPr>
            <w:tcW w:w="73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6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83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eastAsia="Calibri" w:cs="Times New Roman"/>
                <w:color w:val="auto"/>
                <w:spacing w:val="0"/>
                <w:sz w:val="21"/>
                <w:szCs w:val="21"/>
                <w:lang w:val="en-US" w:eastAsia="zh-CN"/>
              </w:rPr>
              <w:t>N</w:t>
            </w:r>
            <w:r>
              <w:rPr>
                <w:rFonts w:hint="eastAsia" w:ascii="Times New Roman" w:hAnsi="Times New Roman" w:eastAsia="Calibri" w:cs="Times New Roman"/>
                <w:color w:val="auto"/>
                <w:spacing w:val="0"/>
                <w:sz w:val="21"/>
                <w:szCs w:val="21"/>
                <w:lang w:val="en-US" w:eastAsia="zh-CN"/>
              </w:rPr>
              <w:t>2</w:t>
            </w:r>
            <w:r>
              <w:rPr>
                <w:rFonts w:hint="default" w:ascii="Times New Roman" w:hAnsi="Times New Roman" w:eastAsia="Calibri" w:cs="Times New Roman"/>
                <w:color w:val="auto"/>
                <w:spacing w:val="0"/>
                <w:sz w:val="21"/>
                <w:szCs w:val="21"/>
                <w:lang w:val="en-US" w:eastAsia="zh-CN"/>
              </w:rPr>
              <w:t>项目</w:t>
            </w:r>
            <w:r>
              <w:rPr>
                <w:rFonts w:hint="eastAsia" w:ascii="Times New Roman" w:hAnsi="Times New Roman" w:eastAsia="Calibri" w:cs="Times New Roman"/>
                <w:color w:val="auto"/>
                <w:spacing w:val="0"/>
                <w:sz w:val="21"/>
                <w:szCs w:val="21"/>
                <w:lang w:val="en-US" w:eastAsia="zh-CN"/>
              </w:rPr>
              <w:t>南</w:t>
            </w:r>
            <w:r>
              <w:rPr>
                <w:rFonts w:hint="default" w:ascii="Times New Roman" w:hAnsi="Times New Roman" w:eastAsia="Calibri" w:cs="Times New Roman"/>
                <w:color w:val="auto"/>
                <w:spacing w:val="0"/>
                <w:sz w:val="21"/>
                <w:szCs w:val="21"/>
                <w:lang w:val="en-US" w:eastAsia="zh-CN"/>
              </w:rPr>
              <w:t>侧厂界外1m处</w:t>
            </w: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6</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w:t>
            </w:r>
          </w:p>
        </w:tc>
        <w:tc>
          <w:tcPr>
            <w:tcW w:w="73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6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833"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pacing w:val="0"/>
                <w:sz w:val="21"/>
                <w:szCs w:val="21"/>
              </w:rPr>
            </w:pP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7</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53</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w:t>
            </w:r>
          </w:p>
        </w:tc>
        <w:tc>
          <w:tcPr>
            <w:tcW w:w="73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6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83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eastAsia="Calibri" w:cs="Times New Roman"/>
                <w:color w:val="auto"/>
                <w:spacing w:val="0"/>
                <w:sz w:val="21"/>
                <w:szCs w:val="21"/>
                <w:lang w:val="en-US" w:eastAsia="zh-CN"/>
              </w:rPr>
              <w:t>N</w:t>
            </w:r>
            <w:r>
              <w:rPr>
                <w:rFonts w:hint="eastAsia" w:ascii="Times New Roman" w:hAnsi="Times New Roman" w:eastAsia="Calibri" w:cs="Times New Roman"/>
                <w:color w:val="auto"/>
                <w:spacing w:val="0"/>
                <w:sz w:val="21"/>
                <w:szCs w:val="21"/>
                <w:lang w:val="en-US" w:eastAsia="zh-CN"/>
              </w:rPr>
              <w:t>3</w:t>
            </w:r>
            <w:r>
              <w:rPr>
                <w:rFonts w:hint="default" w:ascii="Times New Roman" w:hAnsi="Times New Roman" w:eastAsia="Calibri" w:cs="Times New Roman"/>
                <w:color w:val="auto"/>
                <w:spacing w:val="0"/>
                <w:sz w:val="21"/>
                <w:szCs w:val="21"/>
                <w:lang w:val="en-US" w:eastAsia="zh-CN"/>
              </w:rPr>
              <w:t>项目</w:t>
            </w:r>
            <w:r>
              <w:rPr>
                <w:rFonts w:hint="eastAsia" w:ascii="Times New Roman" w:hAnsi="Times New Roman" w:eastAsia="Calibri" w:cs="Times New Roman"/>
                <w:color w:val="auto"/>
                <w:spacing w:val="0"/>
                <w:sz w:val="21"/>
                <w:szCs w:val="21"/>
                <w:lang w:val="en-US" w:eastAsia="zh-CN"/>
              </w:rPr>
              <w:t>西</w:t>
            </w:r>
            <w:r>
              <w:rPr>
                <w:rFonts w:hint="default" w:ascii="Times New Roman" w:hAnsi="Times New Roman" w:eastAsia="Calibri" w:cs="Times New Roman"/>
                <w:color w:val="auto"/>
                <w:spacing w:val="0"/>
                <w:sz w:val="21"/>
                <w:szCs w:val="21"/>
                <w:lang w:val="en-US" w:eastAsia="zh-CN"/>
              </w:rPr>
              <w:t>侧厂界外1m处</w:t>
            </w: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6</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73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6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833"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pacing w:val="0"/>
                <w:sz w:val="21"/>
                <w:szCs w:val="21"/>
              </w:rPr>
            </w:pP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7</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73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6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83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eastAsia="Calibri" w:cs="Times New Roman"/>
                <w:color w:val="auto"/>
                <w:spacing w:val="0"/>
                <w:sz w:val="21"/>
                <w:szCs w:val="21"/>
                <w:lang w:val="en-US" w:eastAsia="zh-CN"/>
              </w:rPr>
              <w:t>N</w:t>
            </w:r>
            <w:r>
              <w:rPr>
                <w:rFonts w:hint="eastAsia" w:ascii="Times New Roman" w:hAnsi="Times New Roman" w:eastAsia="Calibri" w:cs="Times New Roman"/>
                <w:color w:val="auto"/>
                <w:spacing w:val="0"/>
                <w:sz w:val="21"/>
                <w:szCs w:val="21"/>
                <w:lang w:val="en-US" w:eastAsia="zh-CN"/>
              </w:rPr>
              <w:t>4</w:t>
            </w:r>
            <w:r>
              <w:rPr>
                <w:rFonts w:hint="default" w:ascii="Times New Roman" w:hAnsi="Times New Roman" w:eastAsia="Calibri" w:cs="Times New Roman"/>
                <w:color w:val="auto"/>
                <w:spacing w:val="0"/>
                <w:sz w:val="21"/>
                <w:szCs w:val="21"/>
                <w:lang w:val="en-US" w:eastAsia="zh-CN"/>
              </w:rPr>
              <w:t>项目</w:t>
            </w:r>
            <w:r>
              <w:rPr>
                <w:rFonts w:hint="eastAsia" w:ascii="Times New Roman" w:hAnsi="Times New Roman" w:eastAsia="Calibri" w:cs="Times New Roman"/>
                <w:color w:val="auto"/>
                <w:spacing w:val="0"/>
                <w:sz w:val="21"/>
                <w:szCs w:val="21"/>
                <w:lang w:val="en-US" w:eastAsia="zh-CN"/>
              </w:rPr>
              <w:t>北</w:t>
            </w:r>
            <w:r>
              <w:rPr>
                <w:rFonts w:hint="default" w:ascii="Times New Roman" w:hAnsi="Times New Roman" w:eastAsia="Calibri" w:cs="Times New Roman"/>
                <w:color w:val="auto"/>
                <w:spacing w:val="0"/>
                <w:sz w:val="21"/>
                <w:szCs w:val="21"/>
                <w:lang w:val="en-US" w:eastAsia="zh-CN"/>
              </w:rPr>
              <w:t>侧厂界外1m处</w:t>
            </w: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6</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73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6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83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82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cs="Times New Roman"/>
                <w:color w:val="auto"/>
                <w:spacing w:val="0"/>
                <w:sz w:val="21"/>
                <w:szCs w:val="21"/>
              </w:rPr>
            </w:pPr>
            <w:r>
              <w:rPr>
                <w:rFonts w:hint="default" w:ascii="Times New Roman" w:hAnsi="Times New Roman" w:eastAsia="Calibri" w:cs="Times New Roman"/>
                <w:color w:val="auto"/>
                <w:spacing w:val="0"/>
                <w:sz w:val="21"/>
                <w:szCs w:val="21"/>
              </w:rPr>
              <w:t>11</w:t>
            </w:r>
            <w:r>
              <w:rPr>
                <w:rFonts w:hint="default" w:ascii="Times New Roman" w:hAnsi="Times New Roman" w:cs="Times New Roman"/>
                <w:color w:val="auto"/>
                <w:spacing w:val="0"/>
                <w:sz w:val="21"/>
                <w:szCs w:val="21"/>
              </w:rPr>
              <w:t>月</w:t>
            </w:r>
            <w:r>
              <w:rPr>
                <w:rFonts w:hint="default" w:ascii="Times New Roman" w:hAnsi="Times New Roman" w:eastAsia="Calibri" w:cs="Times New Roman"/>
                <w:color w:val="auto"/>
                <w:spacing w:val="0"/>
                <w:sz w:val="21"/>
                <w:szCs w:val="21"/>
              </w:rPr>
              <w:t>7</w:t>
            </w:r>
            <w:r>
              <w:rPr>
                <w:rFonts w:hint="default" w:ascii="Times New Roman" w:hAnsi="Times New Roman" w:cs="Times New Roman"/>
                <w:color w:val="auto"/>
                <w:spacing w:val="0"/>
                <w:sz w:val="21"/>
                <w:szCs w:val="21"/>
              </w:rPr>
              <w:t>日</w:t>
            </w:r>
          </w:p>
        </w:tc>
        <w:tc>
          <w:tcPr>
            <w:tcW w:w="78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7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73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6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r>
    </w:tbl>
    <w:p>
      <w:pPr>
        <w:pStyle w:val="31"/>
        <w:keepNext w:val="0"/>
        <w:keepLines w:val="0"/>
        <w:pageBreakBefore w:val="0"/>
        <w:widowControl/>
        <w:kinsoku/>
        <w:wordWrap w:val="0"/>
        <w:overflowPunct/>
        <w:topLinePunct w:val="0"/>
        <w:autoSpaceDE w:val="0"/>
        <w:autoSpaceDN w:val="0"/>
        <w:bidi w:val="0"/>
        <w:adjustRightInd w:val="0"/>
        <w:snapToGrid w:val="0"/>
        <w:spacing w:before="157"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监测结果表明，项目</w:t>
      </w:r>
      <w:r>
        <w:rPr>
          <w:rFonts w:hint="eastAsia" w:ascii="Times New Roman" w:hAnsi="Times New Roman" w:cs="Times New Roman"/>
          <w:color w:val="auto"/>
          <w:szCs w:val="28"/>
          <w:u w:val="none" w:color="auto"/>
          <w:lang w:val="en-US" w:eastAsia="zh-CN"/>
        </w:rPr>
        <w:t>厂界四周</w:t>
      </w:r>
      <w:r>
        <w:rPr>
          <w:rFonts w:hint="default" w:ascii="Times New Roman" w:hAnsi="Times New Roman" w:cs="Times New Roman"/>
          <w:color w:val="auto"/>
          <w:szCs w:val="28"/>
          <w:u w:val="none" w:color="auto"/>
        </w:rPr>
        <w:t>昼</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夜</w:t>
      </w:r>
      <w:r>
        <w:rPr>
          <w:rFonts w:hint="eastAsia" w:ascii="Times New Roman" w:hAnsi="Times New Roman" w:cs="Times New Roman"/>
          <w:color w:val="auto"/>
          <w:szCs w:val="28"/>
          <w:u w:val="none" w:color="auto"/>
          <w:lang w:val="en-US" w:eastAsia="zh-CN"/>
        </w:rPr>
        <w:t>间</w:t>
      </w:r>
      <w:r>
        <w:rPr>
          <w:rFonts w:hint="default" w:ascii="Times New Roman" w:hAnsi="Times New Roman" w:cs="Times New Roman"/>
          <w:color w:val="auto"/>
          <w:szCs w:val="28"/>
          <w:u w:val="none" w:color="auto"/>
        </w:rPr>
        <w:t>环境噪声监测值均符合《声环境质量标准》（GB3096-2008）3类标准。</w:t>
      </w:r>
    </w:p>
    <w:p>
      <w:pPr>
        <w:pStyle w:val="11"/>
        <w:bidi w:val="0"/>
        <w:spacing w:line="360" w:lineRule="auto"/>
        <w:ind w:left="851" w:hanging="851"/>
        <w:rPr>
          <w:color w:val="auto"/>
          <w:sz w:val="30"/>
          <w:szCs w:val="30"/>
        </w:rPr>
      </w:pPr>
      <w:r>
        <w:rPr>
          <w:color w:val="auto"/>
          <w:sz w:val="30"/>
          <w:szCs w:val="30"/>
        </w:rPr>
        <w:t>生态环境现状调查</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color w:val="auto"/>
        </w:rPr>
        <w:t>项目所在地为</w:t>
      </w:r>
      <w:r>
        <w:rPr>
          <w:rFonts w:hint="eastAsia" w:eastAsia="宋体"/>
          <w:color w:val="auto"/>
          <w:lang w:eastAsia="zh-CN"/>
        </w:rPr>
        <w:t>零陵高新技术产业开发区</w:t>
      </w:r>
      <w:r>
        <w:rPr>
          <w:color w:val="auto"/>
          <w:kern w:val="24"/>
          <w:szCs w:val="20"/>
          <w:lang w:val="zh-CN"/>
        </w:rPr>
        <w:t>河西片区</w:t>
      </w:r>
      <w:r>
        <w:rPr>
          <w:color w:val="auto"/>
        </w:rPr>
        <w:t>，区域生态环境已改变，</w:t>
      </w:r>
      <w:r>
        <w:rPr>
          <w:rFonts w:hint="eastAsia"/>
          <w:color w:val="auto"/>
        </w:rPr>
        <w:t>本项目在</w:t>
      </w:r>
      <w:r>
        <w:rPr>
          <w:rFonts w:hint="eastAsia" w:eastAsia="宋体"/>
          <w:color w:val="auto"/>
          <w:lang w:val="en-US" w:eastAsia="zh-CN"/>
        </w:rPr>
        <w:t>租赁已建成</w:t>
      </w:r>
      <w:r>
        <w:rPr>
          <w:rFonts w:hint="eastAsia"/>
          <w:color w:val="auto"/>
        </w:rPr>
        <w:t>厂区内建设</w:t>
      </w:r>
      <w:r>
        <w:rPr>
          <w:rFonts w:hint="eastAsia" w:eastAsia="宋体"/>
          <w:color w:val="auto"/>
          <w:lang w:eastAsia="zh-CN"/>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根据调查了解，本次评价区范围内无风景名胜及文物保护单位</w:t>
      </w:r>
      <w:r>
        <w:rPr>
          <w:rFonts w:hint="eastAsia" w:ascii="Times New Roman" w:hAnsi="Times New Roman" w:eastAsia="宋体" w:cs="Times New Roman"/>
          <w:color w:val="auto"/>
          <w:szCs w:val="28"/>
          <w:u w:val="none" w:color="auto"/>
          <w:lang w:eastAsia="zh-CN"/>
        </w:rPr>
        <w:t>，</w:t>
      </w:r>
      <w:r>
        <w:rPr>
          <w:color w:val="auto"/>
        </w:rPr>
        <w:t>无野生动物</w:t>
      </w:r>
      <w:r>
        <w:rPr>
          <w:rFonts w:hint="eastAsia"/>
          <w:color w:val="auto"/>
        </w:rPr>
        <w:t>活动</w:t>
      </w:r>
      <w:r>
        <w:rPr>
          <w:color w:val="auto"/>
        </w:rPr>
        <w:t>。</w:t>
      </w:r>
    </w:p>
    <w:p>
      <w:pPr>
        <w:pStyle w:val="10"/>
        <w:bidi w:val="0"/>
        <w:spacing w:line="360" w:lineRule="auto"/>
        <w:rPr>
          <w:rFonts w:hint="default" w:ascii="Times New Roman" w:hAnsi="Times New Roman" w:cs="Times New Roman"/>
          <w:color w:val="auto"/>
          <w:szCs w:val="28"/>
          <w:u w:val="none" w:color="auto"/>
        </w:rPr>
      </w:pPr>
      <w:bookmarkStart w:id="60" w:name="bookmark60"/>
      <w:bookmarkEnd w:id="60"/>
      <w:bookmarkStart w:id="61" w:name="_Toc10950"/>
      <w:r>
        <w:rPr>
          <w:rFonts w:hint="eastAsia" w:ascii="Times New Roman" w:hAnsi="Times New Roman" w:cs="Times New Roman"/>
          <w:color w:val="auto"/>
          <w:szCs w:val="28"/>
          <w:u w:val="none" w:color="auto"/>
        </w:rPr>
        <w:t>零陵高新技术产业开发区</w:t>
      </w:r>
      <w:bookmarkEnd w:id="61"/>
    </w:p>
    <w:p>
      <w:pPr>
        <w:pStyle w:val="11"/>
        <w:bidi w:val="0"/>
        <w:spacing w:line="360" w:lineRule="auto"/>
        <w:ind w:left="851" w:hanging="851"/>
        <w:rPr>
          <w:rFonts w:hint="eastAsia"/>
          <w:color w:val="auto"/>
          <w:sz w:val="30"/>
          <w:szCs w:val="30"/>
          <w:lang w:eastAsia="zh-CN"/>
        </w:rPr>
      </w:pPr>
      <w:bookmarkStart w:id="62" w:name="_Toc19145"/>
      <w:bookmarkStart w:id="63" w:name="_Toc127838661"/>
      <w:r>
        <w:rPr>
          <w:rFonts w:hint="eastAsia"/>
          <w:color w:val="auto"/>
          <w:sz w:val="30"/>
          <w:szCs w:val="30"/>
          <w:lang w:eastAsia="zh-CN"/>
        </w:rPr>
        <w:t>园区规划情况</w:t>
      </w:r>
      <w:bookmarkEnd w:id="62"/>
      <w:bookmarkEnd w:id="63"/>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零陵高新技术产业开发区原名</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湖南</w:t>
      </w:r>
      <w:r>
        <w:rPr>
          <w:rFonts w:hint="eastAsia" w:ascii="Times New Roman" w:hAnsi="Times New Roman" w:cs="Times New Roman"/>
          <w:color w:val="auto"/>
          <w:szCs w:val="28"/>
          <w:u w:val="none" w:color="auto"/>
          <w:lang w:val="en-US" w:eastAsia="zh-CN"/>
        </w:rPr>
        <w:t>零陵高新技术产业开发区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湖南</w:t>
      </w:r>
      <w:r>
        <w:rPr>
          <w:rFonts w:hint="eastAsia" w:ascii="Times New Roman" w:hAnsi="Times New Roman" w:cs="Times New Roman"/>
          <w:color w:val="auto"/>
          <w:szCs w:val="28"/>
          <w:u w:val="none" w:color="auto"/>
          <w:lang w:val="en-US" w:eastAsia="zh-CN"/>
        </w:rPr>
        <w:t>零陵高新技术产业开发区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原名为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永州芝山萍洲工业小区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，创建于1997年8月27日。2021年，</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湖南</w:t>
      </w:r>
      <w:r>
        <w:rPr>
          <w:rFonts w:hint="eastAsia" w:ascii="Times New Roman" w:hAnsi="Times New Roman" w:cs="Times New Roman"/>
          <w:color w:val="auto"/>
          <w:szCs w:val="28"/>
          <w:u w:val="none" w:color="auto"/>
          <w:lang w:val="en-US" w:eastAsia="zh-CN"/>
        </w:rPr>
        <w:t>零陵高新技术产业开发区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正式更名为</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零陵高新技术产业开发区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。2023年3月，湖南省人民政府审批</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零陵高新技术产业开发区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正式更名为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零陵高新技术产业开发区</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2006年，</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（即原</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河东区）在原芝山萍州工业小区基础上进行开发建设，并于同年6月委托湖南省环科院进行环境影响评价并取得原湖南省环保局批复（湘环评〔2006〕109号），2006年</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在</w:t>
      </w:r>
      <w:r>
        <w:rPr>
          <w:rFonts w:hint="eastAsia" w:ascii="Times New Roman" w:hAnsi="Times New Roman" w:cs="Times New Roman"/>
          <w:color w:val="auto"/>
          <w:szCs w:val="28"/>
          <w:u w:val="none" w:color="auto"/>
          <w:lang w:val="en-US" w:eastAsia="zh-CN"/>
        </w:rPr>
        <w:t>国家发展改革委</w:t>
      </w:r>
      <w:r>
        <w:rPr>
          <w:rFonts w:hint="default" w:ascii="Times New Roman" w:hAnsi="Times New Roman" w:cs="Times New Roman"/>
          <w:color w:val="auto"/>
          <w:szCs w:val="28"/>
          <w:u w:val="none" w:color="auto"/>
          <w:lang w:val="en-US" w:eastAsia="zh-CN"/>
        </w:rPr>
        <w:t>第41号文中被确认为第七批省级工业园。随着发展，原</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河东区逐步成为零陵区的中心地段，2011年永州市人民政府对《永州市城市总体规划（2001-2020）》进行了修订并通过省政府批复（湘政函〔2011〕177号），将原萍洲工业园调整为永州高等教育基地，配套建设部分居住用地和公共设施用地，原有萍洲工业园不再作为工业用地，工业园调整至城区西侧的河西片区（调区）。</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2013年，永州市、零陵区政府和</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管委会对工业园进行调扩区，调整为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一园两区</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，同年7月，</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管理委员会委托湖南省环境保护科学研究院编制了《</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调区扩区环境影响报告书》并取得了湖南省环境保护厅批复（湘环评〔2013〕192号），调扩区之后园区总用地面积为11.37km</w:t>
      </w:r>
      <w:r>
        <w:rPr>
          <w:rFonts w:hint="default" w:ascii="Times New Roman" w:hAnsi="Times New Roman" w:cs="Times New Roman"/>
          <w:color w:val="auto"/>
          <w:szCs w:val="28"/>
          <w:u w:val="none" w:color="auto"/>
          <w:vertAlign w:val="superscript"/>
          <w:lang w:val="en-US" w:eastAsia="zh-CN"/>
        </w:rPr>
        <w:t>2</w:t>
      </w:r>
      <w:r>
        <w:rPr>
          <w:rFonts w:hint="default" w:ascii="Times New Roman" w:hAnsi="Times New Roman" w:cs="Times New Roman"/>
          <w:color w:val="auto"/>
          <w:szCs w:val="28"/>
          <w:u w:val="none" w:color="auto"/>
          <w:lang w:val="en-US" w:eastAsia="zh-CN"/>
        </w:rPr>
        <w:t>（其中河西片区8.06km</w:t>
      </w:r>
      <w:r>
        <w:rPr>
          <w:rFonts w:hint="default" w:ascii="Times New Roman" w:hAnsi="Times New Roman" w:cs="Times New Roman"/>
          <w:color w:val="auto"/>
          <w:szCs w:val="28"/>
          <w:u w:val="none" w:color="auto"/>
          <w:vertAlign w:val="superscript"/>
          <w:lang w:val="en-US" w:eastAsia="zh-CN"/>
        </w:rPr>
        <w:t>2</w:t>
      </w:r>
      <w:r>
        <w:rPr>
          <w:rFonts w:hint="default" w:ascii="Times New Roman" w:hAnsi="Times New Roman" w:cs="Times New Roman"/>
          <w:color w:val="auto"/>
          <w:szCs w:val="28"/>
          <w:u w:val="none" w:color="auto"/>
          <w:lang w:val="en-US" w:eastAsia="zh-CN"/>
        </w:rPr>
        <w:t>，珠山片区3.31km</w:t>
      </w:r>
      <w:r>
        <w:rPr>
          <w:rFonts w:hint="default" w:ascii="Times New Roman" w:hAnsi="Times New Roman" w:cs="Times New Roman"/>
          <w:color w:val="auto"/>
          <w:szCs w:val="28"/>
          <w:u w:val="none" w:color="auto"/>
          <w:vertAlign w:val="superscript"/>
          <w:lang w:val="en-US" w:eastAsia="zh-CN"/>
        </w:rPr>
        <w:t>2</w:t>
      </w:r>
      <w:r>
        <w:rPr>
          <w:rFonts w:hint="default" w:ascii="Times New Roman" w:hAnsi="Times New Roman" w:cs="Times New Roman"/>
          <w:color w:val="auto"/>
          <w:szCs w:val="28"/>
          <w:u w:val="none" w:color="auto"/>
          <w:lang w:val="en-US"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2015年2月，永州市人民政府根据园区的建设情况提出了</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调区扩区的方案，经省人民政府同意获得湖南省发展和改革委员会批准（湘发改函〔2015〕60号），规划面积为483.65公顷（4.8365km</w:t>
      </w:r>
      <w:r>
        <w:rPr>
          <w:rFonts w:hint="default" w:ascii="Times New Roman" w:hAnsi="Times New Roman" w:cs="Times New Roman"/>
          <w:color w:val="auto"/>
          <w:szCs w:val="28"/>
          <w:u w:val="none" w:color="auto"/>
          <w:vertAlign w:val="superscript"/>
          <w:lang w:val="en-US" w:eastAsia="zh-CN"/>
        </w:rPr>
        <w:t>2</w:t>
      </w:r>
      <w:r>
        <w:rPr>
          <w:rFonts w:hint="default" w:ascii="Times New Roman" w:hAnsi="Times New Roman" w:cs="Times New Roman"/>
          <w:color w:val="auto"/>
          <w:szCs w:val="28"/>
          <w:u w:val="none" w:color="auto"/>
          <w:lang w:val="en-US" w:eastAsia="zh-CN"/>
        </w:rPr>
        <w:t>）（其中河西片区252.71公顷，珠山片区230.94公顷）。2018年国家发展改革委、科技部、国土资源部、住房城乡建设部、商务部、海关总署以联合公告〔2018〕4号文核准原湖南</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面积为469.38公顷，其中河西核准面积为核准用地面积252.71公顷，珠山片区核准用地面积216.67公顷。主导产业为生物医学、电子、锰冶炼加工。</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2020 年原湖南</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管理委员会委托湖南省环科院科技咨询有限责任公司开展了湖南</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跟踪环境影响评价。同年7月16日，湖南省生态环境厅对该跟踪环境影响报告书出具《关于湖南</w:t>
      </w:r>
      <w:r>
        <w:rPr>
          <w:rFonts w:hint="eastAsia" w:ascii="Times New Roman" w:hAnsi="Times New Roman" w:cs="Times New Roman"/>
          <w:color w:val="auto"/>
          <w:szCs w:val="28"/>
          <w:u w:val="none" w:color="auto"/>
          <w:lang w:val="en-US" w:eastAsia="zh-CN"/>
        </w:rPr>
        <w:t>零陵高新技术产业开发区</w:t>
      </w:r>
      <w:r>
        <w:rPr>
          <w:rFonts w:hint="default" w:ascii="Times New Roman" w:hAnsi="Times New Roman" w:cs="Times New Roman"/>
          <w:color w:val="auto"/>
          <w:szCs w:val="28"/>
          <w:u w:val="none" w:color="auto"/>
          <w:lang w:val="en-US" w:eastAsia="zh-CN"/>
        </w:rPr>
        <w:t>规划环境影响跟踪评价工作意见的函》（湘环评函〔2020〕26号）。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2022年8月2日，湖南省发展和改革委员会、湖南省自然资源厅联合发布了《关于发布湖南省省级及以上产业园区边界面积及四至范围目录的通知》（湘发改园区〔2022〕601号），零陵高新技术产业开发区规划范围总占地466.94公顷（4.6694km</w:t>
      </w:r>
      <w:r>
        <w:rPr>
          <w:rFonts w:hint="default" w:ascii="Times New Roman" w:hAnsi="Times New Roman" w:cs="Times New Roman"/>
          <w:color w:val="auto"/>
          <w:szCs w:val="28"/>
          <w:u w:val="none" w:color="auto"/>
          <w:vertAlign w:val="superscript"/>
          <w:lang w:val="en-US" w:eastAsia="zh-CN"/>
        </w:rPr>
        <w:t>2</w:t>
      </w:r>
      <w:r>
        <w:rPr>
          <w:rFonts w:hint="default" w:ascii="Times New Roman" w:hAnsi="Times New Roman" w:cs="Times New Roman"/>
          <w:color w:val="auto"/>
          <w:szCs w:val="28"/>
          <w:u w:val="none" w:color="auto"/>
          <w:lang w:val="en-US" w:eastAsia="zh-CN"/>
        </w:rPr>
        <w:t>）。高新区范围总占地面积相比原调区扩区规划环评批复范围大幅减少，比2015年核准范围略微减少。</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2023年10月26日，湖南省发展和改革委员会发布了《关于同意零陵高新技术产业开发区开展扩区前期工作的函》（湘发改函〔2023〕74号），同意零陵高新技术产业开发区开展扩区前期工作。</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2024年园区</w:t>
      </w:r>
      <w:r>
        <w:rPr>
          <w:rFonts w:hint="default" w:ascii="Times New Roman" w:hAnsi="Times New Roman" w:cs="Times New Roman"/>
          <w:color w:val="auto"/>
          <w:szCs w:val="28"/>
          <w:u w:val="none" w:color="auto"/>
          <w:lang w:val="en-US" w:eastAsia="zh-CN"/>
        </w:rPr>
        <w:t>调扩区以《湖南省发展和改革委员会、湖南省自然资源厅关于发布湖南省省级及以上产业园区边界面积及四至范围目录的通知》（湘发改园区〔2022〕601号）核定范围为基数，面积为466.94公顷，区块一（珠山锰系新材料产业园区）拟调出面积67.43公顷、区块二（河西工业园）拟调出面积33.50公顷，共计拟调出面积为100.94公顷，零陵高新技术产业开发区拟调区后面积为366.00公顷，调区后仍为两个区块，没有因调区原因新增区块；零陵高新技术产业开发区拟调区后面积366.00公顷，在此基础上拟扩入199.72公顷，拟扩区后总面积565.72公顷。其中，河西工业园在拟调区基础上拟扩入131.51公顷，拟扩区后面积为415.45公顷，拟扩入范围基本位于园区已建成产业用地外围，紧靠现有工业用地，是园区向外发展的自然顺延，</w:t>
      </w:r>
      <w:r>
        <w:rPr>
          <w:rFonts w:hint="eastAsia" w:ascii="Times New Roman" w:hAnsi="Times New Roman" w:cs="Times New Roman"/>
          <w:color w:val="auto"/>
          <w:szCs w:val="28"/>
          <w:u w:val="none" w:color="auto"/>
          <w:lang w:val="en-US" w:eastAsia="zh-CN"/>
        </w:rPr>
        <w:t>有效地实现了</w:t>
      </w:r>
      <w:r>
        <w:rPr>
          <w:rFonts w:hint="default" w:ascii="Times New Roman" w:hAnsi="Times New Roman" w:cs="Times New Roman"/>
          <w:color w:val="auto"/>
          <w:szCs w:val="28"/>
          <w:u w:val="none" w:color="auto"/>
          <w:lang w:val="en-US" w:eastAsia="zh-CN"/>
        </w:rPr>
        <w:t>实际建成区与扩区位置的深度结合；拟将湖南稀土新材料产业园项目用地拟扩入园区，拟扩入面积为68.21公顷，现状用地主要为农业用地和工业用地，为新增区块。扩区后零陵高新技术产业开发区共三个区块，新增区块为湖南稀土新材料产业园项目区。</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零陵高新技术产业开发区采取</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一区三园</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模式，总规划用地面积565.72公顷，包括河西产业园、珠山锰系新材料产业园、湖南稀土新材料产业园。河西产业园：西区范围为东至永州南站，南至G207国道以南750米处，西至五里堆社区，北至德榜西路；东区为湖南中烟零陵卷烟厂项目用地，四至范围为东至萍阳北路，南至红豆路与工农路交汇处，西至桃江路东侧35米处，北至老渡口社区，规划用地面积415.45公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珠山锰系新材料产业园：东至矿整办，南至翻身洞村北，西至长吉头村东，北至长吉头村民委员会以南100米处，规划用地面积82.06公顷。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湖南稀土新材料产业园：东至黄田铺社区东，南至潇湘源学校以北630米处，西至G207国道以东750米处，北至泉南高速以南80米处，规划用地面积68.21公顷。</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园区发展历程见</w:t>
      </w:r>
      <w:r>
        <w:rPr>
          <w:rFonts w:hint="eastAsia" w:ascii="Times New Roman" w:hAnsi="Times New Roman" w:eastAsia="宋体" w:cs="Times New Roman"/>
          <w:color w:val="auto"/>
          <w:szCs w:val="28"/>
          <w:u w:val="none" w:color="auto"/>
          <w:lang w:val="en-US" w:eastAsia="zh-CN"/>
        </w:rPr>
        <w:t>下</w:t>
      </w:r>
      <w:r>
        <w:rPr>
          <w:rFonts w:hint="eastAsia" w:ascii="Times New Roman" w:hAnsi="Times New Roman" w:cs="Times New Roman"/>
          <w:color w:val="auto"/>
          <w:szCs w:val="28"/>
          <w:u w:val="none" w:color="auto"/>
        </w:rPr>
        <w:t>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sectPr>
          <w:pgSz w:w="11907" w:h="16840"/>
          <w:pgMar w:top="1418" w:right="1418" w:bottom="1418" w:left="1701" w:header="851" w:footer="1021" w:gutter="0"/>
          <w:pgBorders>
            <w:top w:val="none" w:sz="0" w:space="0"/>
            <w:left w:val="none" w:sz="0" w:space="0"/>
            <w:bottom w:val="none" w:sz="0" w:space="0"/>
            <w:right w:val="none" w:sz="0" w:space="0"/>
          </w:pgBorders>
          <w:pgNumType w:fmt="numberInDash"/>
          <w:cols w:space="720" w:num="1"/>
          <w:docGrid w:linePitch="312" w:charSpace="0"/>
        </w:sectPr>
      </w:pP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eastAsia" w:ascii="Times New Roman" w:hAnsi="Times New Roman" w:eastAsia="宋体" w:cs="Times New Roman"/>
          <w:b/>
          <w:bCs/>
          <w:color w:val="auto"/>
          <w:spacing w:val="5"/>
          <w:sz w:val="24"/>
          <w:szCs w:val="24"/>
          <w:lang w:val="en-US"/>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eastAsia" w:ascii="Times New Roman" w:hAnsi="Times New Roman" w:eastAsia="宋体" w:cs="Times New Roman"/>
          <w:b/>
          <w:bCs/>
          <w:color w:val="auto"/>
          <w:spacing w:val="5"/>
          <w:sz w:val="24"/>
          <w:szCs w:val="24"/>
          <w:lang w:val="en-US"/>
        </w:rPr>
        <w:t>零陵高新技术产业开发区发展情况一览表</w:t>
      </w:r>
    </w:p>
    <w:tbl>
      <w:tblPr>
        <w:tblStyle w:val="29"/>
        <w:tblW w:w="13980" w:type="dxa"/>
        <w:tblInd w:w="4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84"/>
        <w:gridCol w:w="1450"/>
        <w:gridCol w:w="3405"/>
        <w:gridCol w:w="2310"/>
        <w:gridCol w:w="1770"/>
        <w:gridCol w:w="2270"/>
        <w:gridCol w:w="21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31" w:hRule="atLeast"/>
        </w:trPr>
        <w:tc>
          <w:tcPr>
            <w:tcW w:w="584"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3"/>
                <w:sz w:val="21"/>
                <w:szCs w:val="21"/>
              </w:rPr>
              <w:t>园区</w:t>
            </w:r>
            <w:r>
              <w:rPr>
                <w:rFonts w:hint="default" w:ascii="Times New Roman" w:hAnsi="Times New Roman" w:cs="Times New Roman"/>
                <w:b/>
                <w:bCs/>
                <w:color w:val="auto"/>
                <w:spacing w:val="-6"/>
                <w:sz w:val="21"/>
                <w:szCs w:val="21"/>
              </w:rPr>
              <w:t>名称</w:t>
            </w:r>
          </w:p>
        </w:tc>
        <w:tc>
          <w:tcPr>
            <w:tcW w:w="145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规划用地</w:t>
            </w:r>
          </w:p>
        </w:tc>
        <w:tc>
          <w:tcPr>
            <w:tcW w:w="3405"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四至范围</w:t>
            </w:r>
          </w:p>
        </w:tc>
        <w:tc>
          <w:tcPr>
            <w:tcW w:w="231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产业定位</w:t>
            </w:r>
          </w:p>
        </w:tc>
        <w:tc>
          <w:tcPr>
            <w:tcW w:w="17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环评规划</w:t>
            </w:r>
          </w:p>
        </w:tc>
        <w:tc>
          <w:tcPr>
            <w:tcW w:w="22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批复文件</w:t>
            </w:r>
          </w:p>
        </w:tc>
        <w:tc>
          <w:tcPr>
            <w:tcW w:w="2191"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97" w:hRule="atLeast"/>
        </w:trPr>
        <w:tc>
          <w:tcPr>
            <w:tcW w:w="584"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永州芝山萍洲工业小区</w:t>
            </w:r>
          </w:p>
        </w:tc>
        <w:tc>
          <w:tcPr>
            <w:tcW w:w="14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c>
          <w:tcPr>
            <w:tcW w:w="3405"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东至南津北路以西</w:t>
            </w:r>
            <w:r>
              <w:rPr>
                <w:rFonts w:hint="default" w:ascii="Times New Roman" w:hAnsi="Times New Roman" w:eastAsia="Times New Roman" w:cs="Times New Roman"/>
                <w:color w:val="auto"/>
                <w:spacing w:val="-1"/>
                <w:sz w:val="21"/>
                <w:szCs w:val="21"/>
              </w:rPr>
              <w:t>200</w:t>
            </w:r>
            <w:r>
              <w:rPr>
                <w:rFonts w:hint="default" w:ascii="Times New Roman" w:hAnsi="Times New Roman" w:cs="Times New Roman"/>
                <w:color w:val="auto"/>
                <w:spacing w:val="-1"/>
                <w:sz w:val="21"/>
                <w:szCs w:val="21"/>
              </w:rPr>
              <w:t>米，南至萍洲西路以南</w:t>
            </w:r>
            <w:r>
              <w:rPr>
                <w:rFonts w:hint="default" w:ascii="Times New Roman" w:hAnsi="Times New Roman" w:eastAsia="Times New Roman" w:cs="Times New Roman"/>
                <w:color w:val="auto"/>
                <w:spacing w:val="-1"/>
                <w:sz w:val="21"/>
                <w:szCs w:val="21"/>
              </w:rPr>
              <w:t>200</w:t>
            </w:r>
            <w:r>
              <w:rPr>
                <w:rFonts w:hint="default" w:ascii="Times New Roman" w:hAnsi="Times New Roman" w:cs="Times New Roman"/>
                <w:color w:val="auto"/>
                <w:spacing w:val="-1"/>
                <w:sz w:val="21"/>
                <w:szCs w:val="21"/>
              </w:rPr>
              <w:t>米，西至潇水河边，北至虎啸西路以北</w:t>
            </w:r>
            <w:r>
              <w:rPr>
                <w:rFonts w:hint="default" w:ascii="Times New Roman" w:hAnsi="Times New Roman" w:eastAsia="Times New Roman" w:cs="Times New Roman"/>
                <w:color w:val="auto"/>
                <w:spacing w:val="-1"/>
                <w:sz w:val="21"/>
                <w:szCs w:val="21"/>
              </w:rPr>
              <w:t>200</w:t>
            </w:r>
            <w:r>
              <w:rPr>
                <w:rFonts w:hint="default" w:ascii="Times New Roman" w:hAnsi="Times New Roman" w:cs="Times New Roman"/>
                <w:color w:val="auto"/>
                <w:spacing w:val="-9"/>
                <w:sz w:val="21"/>
                <w:szCs w:val="21"/>
              </w:rPr>
              <w:t>米。</w:t>
            </w:r>
          </w:p>
        </w:tc>
        <w:tc>
          <w:tcPr>
            <w:tcW w:w="231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c>
          <w:tcPr>
            <w:tcW w:w="177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c>
          <w:tcPr>
            <w:tcW w:w="22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《永州市人民政府关于设立芝山蘋洲工业小区、永州市工业小区的批复》（永政函</w:t>
            </w:r>
            <w:r>
              <w:rPr>
                <w:rFonts w:hint="default" w:ascii="Times New Roman" w:hAnsi="Times New Roman" w:cs="Times New Roman"/>
                <w:color w:val="auto"/>
                <w:spacing w:val="-3"/>
                <w:sz w:val="21"/>
                <w:szCs w:val="21"/>
              </w:rPr>
              <w:t>〔</w:t>
            </w:r>
            <w:r>
              <w:rPr>
                <w:rFonts w:hint="default" w:ascii="Times New Roman" w:hAnsi="Times New Roman" w:eastAsia="Times New Roman" w:cs="Times New Roman"/>
                <w:color w:val="auto"/>
                <w:spacing w:val="-3"/>
                <w:sz w:val="21"/>
                <w:szCs w:val="21"/>
              </w:rPr>
              <w:t>1997</w:t>
            </w:r>
            <w:r>
              <w:rPr>
                <w:rFonts w:hint="default" w:ascii="Times New Roman" w:hAnsi="Times New Roman" w:cs="Times New Roman"/>
                <w:color w:val="auto"/>
                <w:spacing w:val="-3"/>
                <w:sz w:val="21"/>
                <w:szCs w:val="21"/>
              </w:rPr>
              <w:t>〕</w:t>
            </w:r>
            <w:r>
              <w:rPr>
                <w:rFonts w:hint="default" w:ascii="Times New Roman" w:hAnsi="Times New Roman" w:eastAsia="Times New Roman" w:cs="Times New Roman"/>
                <w:color w:val="auto"/>
                <w:spacing w:val="-3"/>
                <w:sz w:val="21"/>
                <w:szCs w:val="21"/>
              </w:rPr>
              <w:t>31</w:t>
            </w:r>
            <w:r>
              <w:rPr>
                <w:rFonts w:hint="default" w:ascii="Times New Roman" w:hAnsi="Times New Roman" w:cs="Times New Roman"/>
                <w:color w:val="auto"/>
                <w:spacing w:val="-3"/>
                <w:sz w:val="21"/>
                <w:szCs w:val="21"/>
              </w:rPr>
              <w:t>号）</w:t>
            </w:r>
          </w:p>
        </w:tc>
        <w:tc>
          <w:tcPr>
            <w:tcW w:w="2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97" w:hRule="atLeast"/>
        </w:trPr>
        <w:tc>
          <w:tcPr>
            <w:tcW w:w="584"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永州工业</w:t>
            </w:r>
            <w:r>
              <w:rPr>
                <w:rFonts w:hint="default" w:ascii="Times New Roman" w:hAnsi="Times New Roman" w:cs="Times New Roman"/>
                <w:color w:val="auto"/>
                <w:sz w:val="21"/>
                <w:szCs w:val="21"/>
              </w:rPr>
              <w:t>园</w:t>
            </w:r>
          </w:p>
        </w:tc>
        <w:tc>
          <w:tcPr>
            <w:tcW w:w="14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5.1597km</w:t>
            </w:r>
            <w:r>
              <w:rPr>
                <w:rFonts w:hint="eastAsia" w:ascii="Times New Roman" w:hAnsi="Times New Roman" w:eastAsia="宋体" w:cs="Times New Roman"/>
                <w:color w:val="auto"/>
                <w:spacing w:val="-2"/>
                <w:sz w:val="21"/>
                <w:szCs w:val="21"/>
                <w:vertAlign w:val="superscript"/>
                <w:lang w:val="en-US" w:eastAsia="zh-CN"/>
              </w:rPr>
              <w:t>2</w:t>
            </w:r>
          </w:p>
        </w:tc>
        <w:tc>
          <w:tcPr>
            <w:tcW w:w="3405"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东起永州大道零陵城区段，南至黄谷山路、北抵日升路。</w:t>
            </w:r>
          </w:p>
        </w:tc>
        <w:tc>
          <w:tcPr>
            <w:tcW w:w="231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环保型工业和高新技术产业为龙头，以生物制药、药业机械制造、电子、新材料为主的低污染型工业为主体</w:t>
            </w:r>
          </w:p>
        </w:tc>
        <w:tc>
          <w:tcPr>
            <w:tcW w:w="17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湖南永州工业园环境影响报告书（湖南省环境保护科学</w:t>
            </w:r>
            <w:r>
              <w:rPr>
                <w:rFonts w:hint="default" w:ascii="Times New Roman" w:hAnsi="Times New Roman" w:cs="Times New Roman"/>
                <w:color w:val="auto"/>
                <w:spacing w:val="3"/>
                <w:sz w:val="21"/>
                <w:szCs w:val="21"/>
              </w:rPr>
              <w:t>研究院</w:t>
            </w:r>
            <w:r>
              <w:rPr>
                <w:rFonts w:hint="default" w:ascii="Times New Roman" w:hAnsi="Times New Roman" w:eastAsia="Times New Roman" w:cs="Times New Roman"/>
                <w:color w:val="auto"/>
                <w:spacing w:val="3"/>
                <w:sz w:val="21"/>
                <w:szCs w:val="21"/>
              </w:rPr>
              <w:t>2006</w:t>
            </w:r>
            <w:r>
              <w:rPr>
                <w:rFonts w:hint="default" w:ascii="Times New Roman" w:hAnsi="Times New Roman" w:cs="Times New Roman"/>
                <w:color w:val="auto"/>
                <w:spacing w:val="3"/>
                <w:sz w:val="21"/>
                <w:szCs w:val="21"/>
              </w:rPr>
              <w:t>年</w:t>
            </w:r>
            <w:r>
              <w:rPr>
                <w:rFonts w:hint="default" w:ascii="Times New Roman" w:hAnsi="Times New Roman" w:eastAsia="Times New Roman" w:cs="Times New Roman"/>
                <w:color w:val="auto"/>
                <w:spacing w:val="3"/>
                <w:sz w:val="21"/>
                <w:szCs w:val="21"/>
              </w:rPr>
              <w:t>6</w:t>
            </w:r>
            <w:r>
              <w:rPr>
                <w:rFonts w:hint="default" w:ascii="Times New Roman" w:hAnsi="Times New Roman" w:cs="Times New Roman"/>
                <w:color w:val="auto"/>
                <w:spacing w:val="-6"/>
                <w:sz w:val="21"/>
                <w:szCs w:val="21"/>
              </w:rPr>
              <w:t>月）</w:t>
            </w:r>
          </w:p>
        </w:tc>
        <w:tc>
          <w:tcPr>
            <w:tcW w:w="22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《关于湖南永州工业园环境影响报告书的批复》（湘环评</w:t>
            </w:r>
            <w:r>
              <w:rPr>
                <w:rFonts w:hint="eastAsia" w:ascii="Times New Roman" w:hAnsi="Times New Roman" w:eastAsia="宋体" w:cs="Times New Roman"/>
                <w:color w:val="auto"/>
                <w:spacing w:val="-1"/>
                <w:sz w:val="21"/>
                <w:szCs w:val="21"/>
                <w:lang w:eastAsia="zh-CN"/>
              </w:rPr>
              <w:t>〔</w:t>
            </w:r>
            <w:r>
              <w:rPr>
                <w:rFonts w:hint="default" w:ascii="Times New Roman" w:hAnsi="Times New Roman" w:eastAsia="Times New Roman" w:cs="Times New Roman"/>
                <w:color w:val="auto"/>
                <w:spacing w:val="-1"/>
                <w:sz w:val="21"/>
                <w:szCs w:val="21"/>
              </w:rPr>
              <w:t>2006</w:t>
            </w:r>
            <w:r>
              <w:rPr>
                <w:rFonts w:hint="eastAsia" w:ascii="Times New Roman" w:hAnsi="Times New Roman" w:eastAsia="宋体" w:cs="Times New Roman"/>
                <w:color w:val="auto"/>
                <w:spacing w:val="-1"/>
                <w:sz w:val="21"/>
                <w:szCs w:val="21"/>
                <w:lang w:eastAsia="zh-CN"/>
              </w:rPr>
              <w:t>〕</w:t>
            </w:r>
            <w:r>
              <w:rPr>
                <w:rFonts w:hint="default" w:ascii="Times New Roman" w:hAnsi="Times New Roman" w:eastAsia="Times New Roman" w:cs="Times New Roman"/>
                <w:color w:val="auto"/>
                <w:spacing w:val="-1"/>
                <w:sz w:val="21"/>
                <w:szCs w:val="21"/>
              </w:rPr>
              <w:t>109</w:t>
            </w:r>
            <w:r>
              <w:rPr>
                <w:rFonts w:hint="default" w:ascii="Times New Roman" w:hAnsi="Times New Roman" w:cs="Times New Roman"/>
                <w:color w:val="auto"/>
                <w:spacing w:val="-1"/>
                <w:sz w:val="21"/>
                <w:szCs w:val="21"/>
              </w:rPr>
              <w:t>号）</w:t>
            </w:r>
          </w:p>
        </w:tc>
        <w:tc>
          <w:tcPr>
            <w:tcW w:w="2191"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在原芝山萍州工业小区基础上进行开发建设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36" w:hRule="atLeast"/>
        </w:trPr>
        <w:tc>
          <w:tcPr>
            <w:tcW w:w="584" w:type="dxa"/>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2"/>
                <w:sz w:val="21"/>
                <w:szCs w:val="21"/>
                <w:lang w:eastAsia="zh-CN"/>
              </w:rPr>
              <w:t>零陵高新技术产业开发区</w:t>
            </w:r>
          </w:p>
        </w:tc>
        <w:tc>
          <w:tcPr>
            <w:tcW w:w="145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2"/>
                <w:position w:val="6"/>
                <w:sz w:val="21"/>
                <w:szCs w:val="21"/>
              </w:rPr>
            </w:pPr>
            <w:r>
              <w:rPr>
                <w:rFonts w:hint="default" w:ascii="Times New Roman" w:hAnsi="Times New Roman" w:cs="Times New Roman"/>
                <w:color w:val="auto"/>
                <w:spacing w:val="-11"/>
                <w:sz w:val="21"/>
                <w:szCs w:val="21"/>
              </w:rPr>
              <w:t>总面积：</w:t>
            </w:r>
            <w:r>
              <w:rPr>
                <w:rFonts w:hint="default" w:ascii="Times New Roman" w:hAnsi="Times New Roman" w:eastAsia="Times New Roman" w:cs="Times New Roman"/>
                <w:color w:val="auto"/>
                <w:spacing w:val="-2"/>
                <w:sz w:val="21"/>
                <w:szCs w:val="21"/>
              </w:rPr>
              <w:t>11.37km</w:t>
            </w:r>
            <w:r>
              <w:rPr>
                <w:rFonts w:hint="eastAsia" w:ascii="Times New Roman" w:hAnsi="Times New Roman" w:eastAsia="宋体" w:cs="Times New Roman"/>
                <w:color w:val="auto"/>
                <w:spacing w:val="-2"/>
                <w:sz w:val="21"/>
                <w:szCs w:val="21"/>
                <w:vertAlign w:val="superscript"/>
                <w:lang w:val="en-US" w:eastAsia="zh-CN"/>
              </w:rPr>
              <w:t>2</w:t>
            </w:r>
          </w:p>
          <w:p>
            <w:pPr>
              <w:pStyle w:val="30"/>
              <w:keepNext w:val="0"/>
              <w:keepLines w:val="0"/>
              <w:pageBreakBefore w:val="0"/>
              <w:widowControl/>
              <w:tabs>
                <w:tab w:val="left" w:pos="315"/>
              </w:tabs>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1"/>
                <w:position w:val="6"/>
                <w:sz w:val="21"/>
                <w:szCs w:val="21"/>
              </w:rPr>
            </w:pPr>
            <w:r>
              <w:rPr>
                <w:rFonts w:hint="default" w:ascii="Times New Roman" w:hAnsi="Times New Roman" w:cs="Times New Roman"/>
                <w:color w:val="auto"/>
                <w:spacing w:val="-11"/>
                <w:sz w:val="21"/>
                <w:szCs w:val="21"/>
              </w:rPr>
              <w:t>河西片区：</w:t>
            </w:r>
            <w:r>
              <w:rPr>
                <w:rFonts w:hint="default" w:ascii="Times New Roman" w:hAnsi="Times New Roman" w:eastAsia="Times New Roman" w:cs="Times New Roman"/>
                <w:color w:val="auto"/>
                <w:spacing w:val="-1"/>
                <w:sz w:val="21"/>
                <w:szCs w:val="21"/>
              </w:rPr>
              <w:t>8.06km</w:t>
            </w:r>
            <w:r>
              <w:rPr>
                <w:rFonts w:hint="eastAsia" w:ascii="Times New Roman" w:hAnsi="Times New Roman" w:eastAsia="宋体" w:cs="Times New Roman"/>
                <w:color w:val="auto"/>
                <w:spacing w:val="-2"/>
                <w:sz w:val="21"/>
                <w:szCs w:val="21"/>
                <w:vertAlign w:val="superscript"/>
                <w:lang w:val="en-US" w:eastAsia="zh-CN"/>
              </w:rPr>
              <w:t>2</w:t>
            </w:r>
          </w:p>
          <w:p>
            <w:pPr>
              <w:pStyle w:val="30"/>
              <w:keepNext w:val="0"/>
              <w:keepLines w:val="0"/>
              <w:pageBreakBefore w:val="0"/>
              <w:widowControl/>
              <w:tabs>
                <w:tab w:val="left" w:pos="315"/>
              </w:tabs>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color w:val="auto"/>
                <w:spacing w:val="-11"/>
                <w:sz w:val="21"/>
                <w:szCs w:val="21"/>
              </w:rPr>
              <w:t>珠山片区：</w:t>
            </w:r>
            <w:r>
              <w:rPr>
                <w:rFonts w:hint="default" w:ascii="Times New Roman" w:hAnsi="Times New Roman" w:eastAsia="Times New Roman" w:cs="Times New Roman"/>
                <w:color w:val="auto"/>
                <w:sz w:val="21"/>
                <w:szCs w:val="21"/>
              </w:rPr>
              <w:t>3.31km</w:t>
            </w:r>
            <w:r>
              <w:rPr>
                <w:rFonts w:hint="eastAsia" w:ascii="Times New Roman" w:hAnsi="Times New Roman" w:eastAsia="宋体" w:cs="Times New Roman"/>
                <w:color w:val="auto"/>
                <w:spacing w:val="-2"/>
                <w:sz w:val="21"/>
                <w:szCs w:val="21"/>
                <w:vertAlign w:val="superscript"/>
                <w:lang w:val="en-US" w:eastAsia="zh-CN"/>
              </w:rPr>
              <w:t>2</w:t>
            </w:r>
          </w:p>
        </w:tc>
        <w:tc>
          <w:tcPr>
            <w:tcW w:w="3405"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河西片区：</w:t>
            </w:r>
            <w:r>
              <w:rPr>
                <w:rFonts w:hint="default" w:ascii="Times New Roman" w:hAnsi="Times New Roman" w:cs="Times New Roman"/>
                <w:color w:val="auto"/>
                <w:spacing w:val="-1"/>
                <w:sz w:val="21"/>
                <w:szCs w:val="21"/>
              </w:rPr>
              <w:t>东起永洛路，南止滨</w:t>
            </w:r>
            <w:r>
              <w:rPr>
                <w:rFonts w:hint="default" w:ascii="Times New Roman" w:hAnsi="Times New Roman" w:cs="Times New Roman"/>
                <w:color w:val="auto"/>
                <w:sz w:val="21"/>
                <w:szCs w:val="21"/>
              </w:rPr>
              <w:t>河路、愚溪河，西接长发路，北</w:t>
            </w:r>
            <w:r>
              <w:rPr>
                <w:rFonts w:hint="default" w:ascii="Times New Roman" w:hAnsi="Times New Roman" w:cs="Times New Roman"/>
                <w:color w:val="auto"/>
                <w:spacing w:val="-1"/>
                <w:sz w:val="21"/>
                <w:szCs w:val="21"/>
              </w:rPr>
              <w:t>抵岭河路</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珠山片区：</w:t>
            </w:r>
            <w:r>
              <w:rPr>
                <w:rFonts w:hint="default" w:ascii="Times New Roman" w:hAnsi="Times New Roman" w:cs="Times New Roman"/>
                <w:color w:val="auto"/>
                <w:spacing w:val="-1"/>
                <w:sz w:val="21"/>
                <w:szCs w:val="21"/>
              </w:rPr>
              <w:t>东起</w:t>
            </w:r>
            <w:r>
              <w:rPr>
                <w:rFonts w:hint="default" w:ascii="Times New Roman" w:hAnsi="Times New Roman" w:eastAsia="Times New Roman" w:cs="Times New Roman"/>
                <w:color w:val="auto"/>
                <w:spacing w:val="-1"/>
                <w:sz w:val="21"/>
                <w:szCs w:val="21"/>
              </w:rPr>
              <w:t>030</w:t>
            </w:r>
            <w:r>
              <w:rPr>
                <w:rFonts w:hint="default" w:ascii="Times New Roman" w:hAnsi="Times New Roman" w:cs="Times New Roman"/>
                <w:color w:val="auto"/>
                <w:spacing w:val="-1"/>
                <w:sz w:val="21"/>
                <w:szCs w:val="21"/>
              </w:rPr>
              <w:t>县道，西至衡枣高速，南抵翻身洞路，北至</w:t>
            </w:r>
            <w:r>
              <w:rPr>
                <w:rFonts w:hint="default" w:ascii="Times New Roman" w:hAnsi="Times New Roman" w:eastAsia="Times New Roman" w:cs="Times New Roman"/>
                <w:color w:val="auto"/>
                <w:spacing w:val="-4"/>
                <w:sz w:val="21"/>
                <w:szCs w:val="21"/>
              </w:rPr>
              <w:t>322</w:t>
            </w:r>
            <w:r>
              <w:rPr>
                <w:rFonts w:hint="default" w:ascii="Times New Roman" w:hAnsi="Times New Roman" w:cs="Times New Roman"/>
                <w:color w:val="auto"/>
                <w:spacing w:val="-4"/>
                <w:sz w:val="21"/>
                <w:szCs w:val="21"/>
              </w:rPr>
              <w:t>国道</w:t>
            </w:r>
          </w:p>
        </w:tc>
        <w:tc>
          <w:tcPr>
            <w:tcW w:w="231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河西片区：</w:t>
            </w:r>
            <w:r>
              <w:rPr>
                <w:rFonts w:hint="default" w:ascii="Times New Roman" w:hAnsi="Times New Roman" w:cs="Times New Roman"/>
                <w:color w:val="auto"/>
                <w:spacing w:val="-1"/>
                <w:sz w:val="21"/>
                <w:szCs w:val="21"/>
              </w:rPr>
              <w:t>重点发展高新技术产业（锰产业高新技术研发、新材料等）、食品加工、生物制药、机械制造行业</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珠山片区：</w:t>
            </w:r>
            <w:r>
              <w:rPr>
                <w:rFonts w:hint="default" w:ascii="Times New Roman" w:hAnsi="Times New Roman" w:cs="Times New Roman"/>
                <w:color w:val="auto"/>
                <w:spacing w:val="-1"/>
                <w:sz w:val="21"/>
                <w:szCs w:val="21"/>
              </w:rPr>
              <w:t>重点发展锰常规产品加工、锰系新能源新材料加工等锰产</w:t>
            </w:r>
            <w:r>
              <w:rPr>
                <w:rFonts w:hint="default" w:ascii="Times New Roman" w:hAnsi="Times New Roman" w:cs="Times New Roman"/>
                <w:color w:val="auto"/>
                <w:sz w:val="21"/>
                <w:szCs w:val="21"/>
              </w:rPr>
              <w:t>业</w:t>
            </w:r>
          </w:p>
        </w:tc>
        <w:tc>
          <w:tcPr>
            <w:tcW w:w="17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w:t>
            </w:r>
            <w:r>
              <w:rPr>
                <w:rFonts w:hint="eastAsia" w:ascii="Times New Roman" w:hAnsi="Times New Roman" w:cs="Times New Roman"/>
                <w:color w:val="auto"/>
                <w:spacing w:val="-1"/>
                <w:sz w:val="21"/>
                <w:szCs w:val="21"/>
                <w:lang w:eastAsia="zh-CN"/>
              </w:rPr>
              <w:t>零陵高新技术产业开发区</w:t>
            </w:r>
            <w:r>
              <w:rPr>
                <w:rFonts w:hint="default" w:ascii="Times New Roman" w:hAnsi="Times New Roman" w:cs="Times New Roman"/>
                <w:color w:val="auto"/>
                <w:spacing w:val="-1"/>
                <w:sz w:val="21"/>
                <w:szCs w:val="21"/>
              </w:rPr>
              <w:t>调扩</w:t>
            </w:r>
            <w:r>
              <w:rPr>
                <w:rFonts w:hint="default" w:ascii="Times New Roman" w:hAnsi="Times New Roman" w:cs="Times New Roman"/>
                <w:color w:val="auto"/>
                <w:spacing w:val="-3"/>
                <w:sz w:val="21"/>
                <w:szCs w:val="21"/>
              </w:rPr>
              <w:t>区环境影响报告</w:t>
            </w:r>
            <w:r>
              <w:rPr>
                <w:rFonts w:hint="default" w:ascii="Times New Roman" w:hAnsi="Times New Roman" w:cs="Times New Roman"/>
                <w:color w:val="auto"/>
                <w:spacing w:val="-1"/>
                <w:sz w:val="21"/>
                <w:szCs w:val="21"/>
              </w:rPr>
              <w:t>书》（湖南省环境保护科学研究院</w:t>
            </w:r>
            <w:r>
              <w:rPr>
                <w:rFonts w:hint="default" w:ascii="Times New Roman" w:hAnsi="Times New Roman" w:eastAsia="Times New Roman" w:cs="Times New Roman"/>
                <w:color w:val="auto"/>
                <w:spacing w:val="-3"/>
                <w:sz w:val="21"/>
                <w:szCs w:val="21"/>
              </w:rPr>
              <w:t>2013</w:t>
            </w:r>
            <w:r>
              <w:rPr>
                <w:rFonts w:hint="default" w:ascii="Times New Roman" w:hAnsi="Times New Roman" w:cs="Times New Roman"/>
                <w:color w:val="auto"/>
                <w:spacing w:val="-3"/>
                <w:sz w:val="21"/>
                <w:szCs w:val="21"/>
              </w:rPr>
              <w:t>年</w:t>
            </w:r>
            <w:r>
              <w:rPr>
                <w:rFonts w:hint="default" w:ascii="Times New Roman" w:hAnsi="Times New Roman" w:eastAsia="Times New Roman" w:cs="Times New Roman"/>
                <w:color w:val="auto"/>
                <w:spacing w:val="-3"/>
                <w:sz w:val="21"/>
                <w:szCs w:val="21"/>
              </w:rPr>
              <w:t>7</w:t>
            </w:r>
            <w:r>
              <w:rPr>
                <w:rFonts w:hint="default" w:ascii="Times New Roman" w:hAnsi="Times New Roman" w:cs="Times New Roman"/>
                <w:color w:val="auto"/>
                <w:spacing w:val="-3"/>
                <w:sz w:val="21"/>
                <w:szCs w:val="21"/>
              </w:rPr>
              <w:t>月）</w:t>
            </w:r>
          </w:p>
        </w:tc>
        <w:tc>
          <w:tcPr>
            <w:tcW w:w="22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《关于</w:t>
            </w:r>
            <w:r>
              <w:rPr>
                <w:rFonts w:hint="eastAsia" w:ascii="Times New Roman" w:hAnsi="Times New Roman" w:cs="Times New Roman"/>
                <w:color w:val="auto"/>
                <w:spacing w:val="-1"/>
                <w:sz w:val="21"/>
                <w:szCs w:val="21"/>
                <w:lang w:eastAsia="zh-CN"/>
              </w:rPr>
              <w:t>零陵高新技术产业开发区</w:t>
            </w:r>
            <w:r>
              <w:rPr>
                <w:rFonts w:hint="default" w:ascii="Times New Roman" w:hAnsi="Times New Roman" w:cs="Times New Roman"/>
                <w:color w:val="auto"/>
                <w:spacing w:val="-1"/>
                <w:sz w:val="21"/>
                <w:szCs w:val="21"/>
              </w:rPr>
              <w:t>调扩区环</w:t>
            </w:r>
            <w:r>
              <w:rPr>
                <w:rFonts w:hint="default" w:ascii="Times New Roman" w:hAnsi="Times New Roman" w:cs="Times New Roman"/>
                <w:color w:val="auto"/>
                <w:spacing w:val="-2"/>
                <w:sz w:val="21"/>
                <w:szCs w:val="21"/>
              </w:rPr>
              <w:t>境影响报告书的批复》（湘</w:t>
            </w:r>
            <w:r>
              <w:rPr>
                <w:rFonts w:hint="default" w:ascii="Times New Roman" w:hAnsi="Times New Roman" w:cs="Times New Roman"/>
                <w:color w:val="auto"/>
                <w:spacing w:val="-1"/>
                <w:sz w:val="21"/>
                <w:szCs w:val="21"/>
              </w:rPr>
              <w:t>环评</w:t>
            </w:r>
            <w:r>
              <w:rPr>
                <w:rFonts w:hint="eastAsia" w:ascii="Times New Roman" w:hAnsi="Times New Roman" w:eastAsia="宋体" w:cs="Times New Roman"/>
                <w:color w:val="auto"/>
                <w:spacing w:val="-1"/>
                <w:sz w:val="21"/>
                <w:szCs w:val="21"/>
                <w:lang w:eastAsia="zh-CN"/>
              </w:rPr>
              <w:t>〔</w:t>
            </w:r>
            <w:r>
              <w:rPr>
                <w:rFonts w:hint="default" w:ascii="Times New Roman" w:hAnsi="Times New Roman" w:eastAsia="Times New Roman" w:cs="Times New Roman"/>
                <w:color w:val="auto"/>
                <w:spacing w:val="-1"/>
                <w:sz w:val="21"/>
                <w:szCs w:val="21"/>
              </w:rPr>
              <w:t>2013</w:t>
            </w:r>
            <w:r>
              <w:rPr>
                <w:rFonts w:hint="eastAsia" w:ascii="Times New Roman" w:hAnsi="Times New Roman" w:eastAsia="宋体" w:cs="Times New Roman"/>
                <w:color w:val="auto"/>
                <w:spacing w:val="-1"/>
                <w:sz w:val="21"/>
                <w:szCs w:val="21"/>
                <w:lang w:eastAsia="zh-CN"/>
              </w:rPr>
              <w:t>〕</w:t>
            </w:r>
            <w:r>
              <w:rPr>
                <w:rFonts w:hint="default" w:ascii="Times New Roman" w:hAnsi="Times New Roman" w:eastAsia="Times New Roman" w:cs="Times New Roman"/>
                <w:color w:val="auto"/>
                <w:spacing w:val="-1"/>
                <w:sz w:val="21"/>
                <w:szCs w:val="21"/>
              </w:rPr>
              <w:t>192</w:t>
            </w:r>
            <w:r>
              <w:rPr>
                <w:rFonts w:hint="default" w:ascii="Times New Roman" w:hAnsi="Times New Roman" w:cs="Times New Roman"/>
                <w:color w:val="auto"/>
                <w:spacing w:val="-1"/>
                <w:sz w:val="21"/>
                <w:szCs w:val="21"/>
              </w:rPr>
              <w:t>号）</w:t>
            </w:r>
          </w:p>
        </w:tc>
        <w:tc>
          <w:tcPr>
            <w:tcW w:w="2191"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萍洲工业园调整为永州高等教育基地，不再作为工业用地，工业园调整至城区西侧的河西片</w:t>
            </w:r>
            <w:r>
              <w:rPr>
                <w:rFonts w:hint="default" w:ascii="Times New Roman" w:hAnsi="Times New Roman" w:cs="Times New Roman"/>
                <w:color w:val="auto"/>
                <w:spacing w:val="-6"/>
                <w:sz w:val="21"/>
                <w:szCs w:val="21"/>
              </w:rPr>
              <w:t>区（调区）。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32" w:hRule="atLeast"/>
        </w:trPr>
        <w:tc>
          <w:tcPr>
            <w:tcW w:w="58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45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11"/>
                <w:sz w:val="21"/>
                <w:szCs w:val="21"/>
              </w:rPr>
              <w:t>总面积：</w:t>
            </w:r>
            <w:r>
              <w:rPr>
                <w:rFonts w:hint="default" w:ascii="Times New Roman" w:hAnsi="Times New Roman" w:eastAsia="Times New Roman" w:cs="Times New Roman"/>
                <w:color w:val="auto"/>
                <w:spacing w:val="-2"/>
                <w:sz w:val="21"/>
                <w:szCs w:val="21"/>
              </w:rPr>
              <w:t>483.65</w:t>
            </w:r>
            <w:r>
              <w:rPr>
                <w:rFonts w:hint="default" w:ascii="Times New Roman" w:hAnsi="Times New Roman" w:cs="Times New Roman"/>
                <w:color w:val="auto"/>
                <w:spacing w:val="-2"/>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1"/>
                <w:sz w:val="21"/>
                <w:szCs w:val="21"/>
              </w:rPr>
              <w:t>河西片区：</w:t>
            </w:r>
            <w:r>
              <w:rPr>
                <w:rFonts w:hint="default" w:ascii="Times New Roman" w:hAnsi="Times New Roman" w:eastAsia="Times New Roman" w:cs="Times New Roman"/>
                <w:color w:val="auto"/>
                <w:spacing w:val="-2"/>
                <w:sz w:val="21"/>
                <w:szCs w:val="21"/>
              </w:rPr>
              <w:t>252.71</w:t>
            </w:r>
            <w:r>
              <w:rPr>
                <w:rFonts w:hint="default" w:ascii="Times New Roman" w:hAnsi="Times New Roman" w:cs="Times New Roman"/>
                <w:color w:val="auto"/>
                <w:spacing w:val="-2"/>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珠山片区：</w:t>
            </w:r>
            <w:r>
              <w:rPr>
                <w:rFonts w:hint="default" w:ascii="Times New Roman" w:hAnsi="Times New Roman" w:eastAsia="Times New Roman" w:cs="Times New Roman"/>
                <w:color w:val="auto"/>
                <w:spacing w:val="-2"/>
                <w:sz w:val="21"/>
                <w:szCs w:val="21"/>
              </w:rPr>
              <w:t>230.94</w:t>
            </w:r>
            <w:r>
              <w:rPr>
                <w:rFonts w:hint="default" w:ascii="Times New Roman" w:hAnsi="Times New Roman" w:cs="Times New Roman"/>
                <w:color w:val="auto"/>
                <w:spacing w:val="-2"/>
                <w:sz w:val="21"/>
                <w:szCs w:val="21"/>
              </w:rPr>
              <w:t>公顷</w:t>
            </w:r>
          </w:p>
        </w:tc>
        <w:tc>
          <w:tcPr>
            <w:tcW w:w="3405"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河西片区：</w:t>
            </w:r>
            <w:r>
              <w:rPr>
                <w:rFonts w:hint="default" w:ascii="Times New Roman" w:hAnsi="Times New Roman" w:cs="Times New Roman"/>
                <w:color w:val="auto"/>
                <w:spacing w:val="-1"/>
                <w:sz w:val="21"/>
                <w:szCs w:val="21"/>
              </w:rPr>
              <w:t>东到永州南站，南至五里堆路，西至工业大道，北至德榜西路</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珠山片区：</w:t>
            </w:r>
            <w:r>
              <w:rPr>
                <w:rFonts w:hint="default" w:ascii="Times New Roman" w:hAnsi="Times New Roman" w:cs="Times New Roman"/>
                <w:color w:val="auto"/>
                <w:spacing w:val="-1"/>
                <w:sz w:val="21"/>
                <w:szCs w:val="21"/>
              </w:rPr>
              <w:t>东到矿整办，南至翻</w:t>
            </w:r>
            <w:r>
              <w:rPr>
                <w:rFonts w:hint="default" w:ascii="Times New Roman" w:hAnsi="Times New Roman" w:cs="Times New Roman"/>
                <w:color w:val="auto"/>
                <w:spacing w:val="-4"/>
                <w:sz w:val="21"/>
                <w:szCs w:val="21"/>
              </w:rPr>
              <w:t>身洞村北，北至</w:t>
            </w:r>
            <w:r>
              <w:rPr>
                <w:rFonts w:hint="default" w:ascii="Times New Roman" w:hAnsi="Times New Roman" w:eastAsia="Times New Roman" w:cs="Times New Roman"/>
                <w:color w:val="auto"/>
                <w:spacing w:val="-4"/>
                <w:sz w:val="21"/>
                <w:szCs w:val="21"/>
              </w:rPr>
              <w:t>322</w:t>
            </w:r>
            <w:r>
              <w:rPr>
                <w:rFonts w:hint="default" w:ascii="Times New Roman" w:hAnsi="Times New Roman" w:cs="Times New Roman"/>
                <w:color w:val="auto"/>
                <w:spacing w:val="-4"/>
                <w:sz w:val="21"/>
                <w:szCs w:val="21"/>
              </w:rPr>
              <w:t>国道以南</w:t>
            </w:r>
            <w:r>
              <w:rPr>
                <w:rFonts w:hint="default" w:ascii="Times New Roman" w:hAnsi="Times New Roman" w:eastAsia="Times New Roman" w:cs="Times New Roman"/>
                <w:color w:val="auto"/>
                <w:spacing w:val="-2"/>
                <w:sz w:val="21"/>
                <w:szCs w:val="21"/>
              </w:rPr>
              <w:t>100</w:t>
            </w:r>
            <w:r>
              <w:rPr>
                <w:rFonts w:hint="default" w:ascii="Times New Roman" w:hAnsi="Times New Roman" w:cs="Times New Roman"/>
                <w:color w:val="auto"/>
                <w:spacing w:val="-2"/>
                <w:sz w:val="21"/>
                <w:szCs w:val="21"/>
              </w:rPr>
              <w:t>米，西至长吉头村西</w:t>
            </w:r>
          </w:p>
        </w:tc>
        <w:tc>
          <w:tcPr>
            <w:tcW w:w="231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河西片区：</w:t>
            </w:r>
            <w:r>
              <w:rPr>
                <w:rFonts w:hint="default" w:ascii="Times New Roman" w:hAnsi="Times New Roman" w:cs="Times New Roman"/>
                <w:color w:val="auto"/>
                <w:spacing w:val="-1"/>
                <w:sz w:val="21"/>
                <w:szCs w:val="21"/>
              </w:rPr>
              <w:t>重点发展高新技术产业（锰产业高新技术研发、新材料等）、食品加工、生物制药、机械制造行业</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珠山片区：</w:t>
            </w:r>
            <w:r>
              <w:rPr>
                <w:rFonts w:hint="default" w:ascii="Times New Roman" w:hAnsi="Times New Roman" w:cs="Times New Roman"/>
                <w:color w:val="auto"/>
                <w:spacing w:val="-1"/>
                <w:sz w:val="21"/>
                <w:szCs w:val="21"/>
              </w:rPr>
              <w:t>重点发展锰常规产品加工、锰系新能源新材料加工等锰产</w:t>
            </w:r>
            <w:r>
              <w:rPr>
                <w:rFonts w:hint="default" w:ascii="Times New Roman" w:hAnsi="Times New Roman" w:cs="Times New Roman"/>
                <w:color w:val="auto"/>
                <w:sz w:val="21"/>
                <w:szCs w:val="21"/>
              </w:rPr>
              <w:t>业</w:t>
            </w:r>
          </w:p>
        </w:tc>
        <w:tc>
          <w:tcPr>
            <w:tcW w:w="177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c>
          <w:tcPr>
            <w:tcW w:w="22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湖南省发展和改革委员会批准（湘发改函〔</w:t>
            </w:r>
            <w:r>
              <w:rPr>
                <w:rFonts w:hint="default" w:ascii="Times New Roman" w:hAnsi="Times New Roman" w:eastAsia="Times New Roman" w:cs="Times New Roman"/>
                <w:color w:val="auto"/>
                <w:spacing w:val="-1"/>
                <w:sz w:val="21"/>
                <w:szCs w:val="21"/>
              </w:rPr>
              <w:t>2015</w:t>
            </w:r>
            <w:r>
              <w:rPr>
                <w:rFonts w:hint="default" w:ascii="Times New Roman" w:hAnsi="Times New Roman" w:cs="Times New Roman"/>
                <w:color w:val="auto"/>
                <w:spacing w:val="-1"/>
                <w:sz w:val="21"/>
                <w:szCs w:val="21"/>
              </w:rPr>
              <w:t>〕</w:t>
            </w:r>
            <w:r>
              <w:rPr>
                <w:rFonts w:hint="default" w:ascii="Times New Roman" w:hAnsi="Times New Roman" w:eastAsia="Times New Roman" w:cs="Times New Roman"/>
                <w:color w:val="auto"/>
                <w:spacing w:val="-1"/>
                <w:sz w:val="21"/>
                <w:szCs w:val="21"/>
              </w:rPr>
              <w:t>60</w:t>
            </w:r>
            <w:r>
              <w:rPr>
                <w:rFonts w:hint="default" w:ascii="Times New Roman" w:hAnsi="Times New Roman" w:cs="Times New Roman"/>
                <w:color w:val="auto"/>
                <w:spacing w:val="-6"/>
                <w:sz w:val="21"/>
                <w:szCs w:val="21"/>
              </w:rPr>
              <w:t>号）</w:t>
            </w:r>
          </w:p>
        </w:tc>
        <w:tc>
          <w:tcPr>
            <w:tcW w:w="219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04" w:hRule="atLeast"/>
        </w:trPr>
        <w:tc>
          <w:tcPr>
            <w:tcW w:w="58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45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11"/>
                <w:sz w:val="21"/>
                <w:szCs w:val="21"/>
              </w:rPr>
              <w:t>总面积：</w:t>
            </w:r>
            <w:r>
              <w:rPr>
                <w:rFonts w:hint="default" w:ascii="Times New Roman" w:hAnsi="Times New Roman" w:eastAsia="Times New Roman" w:cs="Times New Roman"/>
                <w:color w:val="auto"/>
                <w:spacing w:val="-2"/>
                <w:sz w:val="21"/>
                <w:szCs w:val="21"/>
              </w:rPr>
              <w:t>469.38</w:t>
            </w:r>
            <w:r>
              <w:rPr>
                <w:rFonts w:hint="default" w:ascii="Times New Roman" w:hAnsi="Times New Roman" w:cs="Times New Roman"/>
                <w:color w:val="auto"/>
                <w:spacing w:val="-2"/>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11"/>
                <w:sz w:val="21"/>
                <w:szCs w:val="21"/>
              </w:rPr>
              <w:t>河西片区：</w:t>
            </w:r>
            <w:r>
              <w:rPr>
                <w:rFonts w:hint="default" w:ascii="Times New Roman" w:hAnsi="Times New Roman" w:eastAsia="Times New Roman" w:cs="Times New Roman"/>
                <w:color w:val="auto"/>
                <w:spacing w:val="-2"/>
                <w:sz w:val="21"/>
                <w:szCs w:val="21"/>
              </w:rPr>
              <w:t>252.71</w:t>
            </w:r>
            <w:r>
              <w:rPr>
                <w:rFonts w:hint="default" w:ascii="Times New Roman" w:hAnsi="Times New Roman" w:cs="Times New Roman"/>
                <w:color w:val="auto"/>
                <w:spacing w:val="-2"/>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珠山片区：</w:t>
            </w:r>
            <w:r>
              <w:rPr>
                <w:rFonts w:hint="default" w:ascii="Times New Roman" w:hAnsi="Times New Roman" w:eastAsia="Times New Roman" w:cs="Times New Roman"/>
                <w:color w:val="auto"/>
                <w:spacing w:val="-2"/>
                <w:sz w:val="21"/>
                <w:szCs w:val="21"/>
              </w:rPr>
              <w:t>216.67</w:t>
            </w:r>
            <w:r>
              <w:rPr>
                <w:rFonts w:hint="default" w:ascii="Times New Roman" w:hAnsi="Times New Roman" w:cs="Times New Roman"/>
                <w:color w:val="auto"/>
                <w:spacing w:val="-2"/>
                <w:sz w:val="21"/>
                <w:szCs w:val="21"/>
              </w:rPr>
              <w:t>公顷</w:t>
            </w:r>
          </w:p>
        </w:tc>
        <w:tc>
          <w:tcPr>
            <w:tcW w:w="3405"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1"/>
                <w:sz w:val="21"/>
                <w:szCs w:val="21"/>
              </w:rPr>
            </w:pPr>
            <w:r>
              <w:rPr>
                <w:rFonts w:hint="default" w:ascii="Times New Roman" w:hAnsi="Times New Roman" w:cs="Times New Roman"/>
                <w:b/>
                <w:bCs/>
                <w:color w:val="auto"/>
                <w:spacing w:val="-1"/>
                <w:sz w:val="21"/>
                <w:szCs w:val="21"/>
              </w:rPr>
              <w:t>河西片区：</w:t>
            </w:r>
            <w:r>
              <w:rPr>
                <w:rFonts w:hint="default" w:ascii="Times New Roman" w:hAnsi="Times New Roman" w:cs="Times New Roman"/>
                <w:color w:val="auto"/>
                <w:spacing w:val="-1"/>
                <w:sz w:val="21"/>
                <w:szCs w:val="21"/>
              </w:rPr>
              <w:t>东到永州南站，南至五里堆路，西至工业大道，北至德榜西路</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珠山片区：</w:t>
            </w:r>
            <w:r>
              <w:rPr>
                <w:rFonts w:hint="default" w:ascii="Times New Roman" w:hAnsi="Times New Roman" w:cs="Times New Roman"/>
                <w:color w:val="auto"/>
                <w:spacing w:val="-1"/>
                <w:sz w:val="21"/>
                <w:szCs w:val="21"/>
              </w:rPr>
              <w:t>东到矿整办，南至翻</w:t>
            </w:r>
            <w:r>
              <w:rPr>
                <w:rFonts w:hint="default" w:ascii="Times New Roman" w:hAnsi="Times New Roman" w:cs="Times New Roman"/>
                <w:color w:val="auto"/>
                <w:spacing w:val="-4"/>
                <w:sz w:val="21"/>
                <w:szCs w:val="21"/>
              </w:rPr>
              <w:t>身洞村北，北至</w:t>
            </w:r>
            <w:r>
              <w:rPr>
                <w:rFonts w:hint="default" w:ascii="Times New Roman" w:hAnsi="Times New Roman" w:eastAsia="Times New Roman" w:cs="Times New Roman"/>
                <w:color w:val="auto"/>
                <w:spacing w:val="-4"/>
                <w:sz w:val="21"/>
                <w:szCs w:val="21"/>
              </w:rPr>
              <w:t>322</w:t>
            </w:r>
            <w:r>
              <w:rPr>
                <w:rFonts w:hint="default" w:ascii="Times New Roman" w:hAnsi="Times New Roman" w:cs="Times New Roman"/>
                <w:color w:val="auto"/>
                <w:spacing w:val="-4"/>
                <w:sz w:val="21"/>
                <w:szCs w:val="21"/>
              </w:rPr>
              <w:t>国道以南</w:t>
            </w:r>
            <w:r>
              <w:rPr>
                <w:rFonts w:hint="default" w:ascii="Times New Roman" w:hAnsi="Times New Roman" w:eastAsia="Times New Roman" w:cs="Times New Roman"/>
                <w:color w:val="auto"/>
                <w:spacing w:val="-2"/>
                <w:sz w:val="21"/>
                <w:szCs w:val="21"/>
              </w:rPr>
              <w:t xml:space="preserve">100 </w:t>
            </w:r>
            <w:r>
              <w:rPr>
                <w:rFonts w:hint="default" w:ascii="Times New Roman" w:hAnsi="Times New Roman" w:cs="Times New Roman"/>
                <w:color w:val="auto"/>
                <w:spacing w:val="-2"/>
                <w:sz w:val="21"/>
                <w:szCs w:val="21"/>
              </w:rPr>
              <w:t>米，西至长吉头村西</w:t>
            </w:r>
          </w:p>
        </w:tc>
        <w:tc>
          <w:tcPr>
            <w:tcW w:w="231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主导产业为生物医学、</w:t>
            </w:r>
            <w:r>
              <w:rPr>
                <w:rFonts w:hint="default" w:ascii="Times New Roman" w:hAnsi="Times New Roman" w:cs="Times New Roman"/>
                <w:color w:val="auto"/>
                <w:spacing w:val="-5"/>
                <w:sz w:val="21"/>
                <w:szCs w:val="21"/>
              </w:rPr>
              <w:t>电子、锰冶炼加工。</w:t>
            </w:r>
          </w:p>
        </w:tc>
        <w:tc>
          <w:tcPr>
            <w:tcW w:w="17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《湖南</w:t>
            </w:r>
            <w:r>
              <w:rPr>
                <w:rFonts w:hint="eastAsia" w:ascii="Times New Roman" w:hAnsi="Times New Roman" w:cs="Times New Roman"/>
                <w:color w:val="auto"/>
                <w:spacing w:val="-1"/>
                <w:sz w:val="21"/>
                <w:szCs w:val="21"/>
                <w:lang w:eastAsia="zh-CN"/>
              </w:rPr>
              <w:t>零陵高新技术产业开发区</w:t>
            </w:r>
            <w:r>
              <w:rPr>
                <w:rFonts w:hint="default" w:ascii="Times New Roman" w:hAnsi="Times New Roman" w:cs="Times New Roman"/>
                <w:color w:val="auto"/>
                <w:spacing w:val="-1"/>
                <w:sz w:val="21"/>
                <w:szCs w:val="21"/>
              </w:rPr>
              <w:t>环境影响跟踪评价报告书》（湖南省环科院科技咨询有</w:t>
            </w:r>
            <w:r>
              <w:rPr>
                <w:rFonts w:hint="default" w:ascii="Times New Roman" w:hAnsi="Times New Roman" w:cs="Times New Roman"/>
                <w:color w:val="auto"/>
                <w:spacing w:val="-2"/>
                <w:sz w:val="21"/>
                <w:szCs w:val="21"/>
              </w:rPr>
              <w:t>限责任公司</w:t>
            </w:r>
            <w:r>
              <w:rPr>
                <w:rFonts w:hint="default" w:ascii="Times New Roman" w:hAnsi="Times New Roman" w:eastAsia="Times New Roman" w:cs="Times New Roman"/>
                <w:color w:val="auto"/>
                <w:spacing w:val="-2"/>
                <w:sz w:val="21"/>
                <w:szCs w:val="21"/>
              </w:rPr>
              <w:t>2020</w:t>
            </w:r>
            <w:r>
              <w:rPr>
                <w:rFonts w:hint="default" w:ascii="Times New Roman" w:hAnsi="Times New Roman" w:cs="Times New Roman"/>
                <w:color w:val="auto"/>
                <w:spacing w:val="-7"/>
                <w:sz w:val="21"/>
                <w:szCs w:val="21"/>
              </w:rPr>
              <w:t>年</w:t>
            </w:r>
            <w:r>
              <w:rPr>
                <w:rFonts w:hint="default" w:ascii="Times New Roman" w:hAnsi="Times New Roman" w:cs="Times New Roman"/>
                <w:color w:val="auto"/>
                <w:spacing w:val="-44"/>
                <w:sz w:val="21"/>
                <w:szCs w:val="21"/>
              </w:rPr>
              <w:t xml:space="preserve"> </w:t>
            </w:r>
            <w:r>
              <w:rPr>
                <w:rFonts w:hint="default" w:ascii="Times New Roman" w:hAnsi="Times New Roman" w:eastAsia="Times New Roman" w:cs="Times New Roman"/>
                <w:color w:val="auto"/>
                <w:spacing w:val="-7"/>
                <w:sz w:val="21"/>
                <w:szCs w:val="21"/>
              </w:rPr>
              <w:t>6</w:t>
            </w:r>
            <w:r>
              <w:rPr>
                <w:rFonts w:hint="default" w:ascii="Times New Roman" w:hAnsi="Times New Roman" w:cs="Times New Roman"/>
                <w:color w:val="auto"/>
                <w:spacing w:val="-7"/>
                <w:sz w:val="21"/>
                <w:szCs w:val="21"/>
              </w:rPr>
              <w:t>月）</w:t>
            </w:r>
          </w:p>
        </w:tc>
        <w:tc>
          <w:tcPr>
            <w:tcW w:w="2270"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Times New Roman" w:cs="Times New Roman"/>
                <w:color w:val="auto"/>
                <w:spacing w:val="-2"/>
                <w:sz w:val="21"/>
                <w:szCs w:val="21"/>
              </w:rPr>
              <w:t>2018</w:t>
            </w:r>
            <w:r>
              <w:rPr>
                <w:rFonts w:hint="default" w:ascii="Times New Roman" w:hAnsi="Times New Roman" w:cs="Times New Roman"/>
                <w:color w:val="auto"/>
                <w:spacing w:val="-2"/>
                <w:sz w:val="21"/>
                <w:szCs w:val="21"/>
              </w:rPr>
              <w:t>年国家发展改革委、</w:t>
            </w:r>
            <w:r>
              <w:rPr>
                <w:rFonts w:hint="default" w:ascii="Times New Roman" w:hAnsi="Times New Roman" w:cs="Times New Roman"/>
                <w:color w:val="auto"/>
                <w:spacing w:val="-1"/>
                <w:sz w:val="21"/>
                <w:szCs w:val="21"/>
              </w:rPr>
              <w:t>科技部、国土资源部、住房城乡建设部、商务部、海关总署（联合公告</w:t>
            </w:r>
            <w:r>
              <w:rPr>
                <w:rFonts w:hint="eastAsia" w:ascii="Times New Roman" w:hAnsi="Times New Roman" w:eastAsia="宋体" w:cs="Times New Roman"/>
                <w:color w:val="auto"/>
                <w:spacing w:val="-1"/>
                <w:sz w:val="21"/>
                <w:szCs w:val="21"/>
                <w:lang w:eastAsia="zh-CN"/>
              </w:rPr>
              <w:t>〔</w:t>
            </w:r>
            <w:r>
              <w:rPr>
                <w:rFonts w:hint="default" w:ascii="Times New Roman" w:hAnsi="Times New Roman" w:eastAsia="Times New Roman" w:cs="Times New Roman"/>
                <w:color w:val="auto"/>
                <w:spacing w:val="-1"/>
                <w:sz w:val="21"/>
                <w:szCs w:val="21"/>
              </w:rPr>
              <w:t>2018</w:t>
            </w:r>
            <w:r>
              <w:rPr>
                <w:rFonts w:hint="eastAsia" w:ascii="Times New Roman" w:hAnsi="Times New Roman" w:eastAsia="宋体" w:cs="Times New Roman"/>
                <w:color w:val="auto"/>
                <w:spacing w:val="-1"/>
                <w:sz w:val="21"/>
                <w:szCs w:val="21"/>
                <w:lang w:eastAsia="zh-CN"/>
              </w:rPr>
              <w:t>〕</w:t>
            </w:r>
            <w:r>
              <w:rPr>
                <w:rFonts w:hint="default" w:ascii="Times New Roman" w:hAnsi="Times New Roman" w:eastAsia="Times New Roman" w:cs="Times New Roman"/>
                <w:color w:val="auto"/>
                <w:spacing w:val="-1"/>
                <w:sz w:val="21"/>
                <w:szCs w:val="21"/>
              </w:rPr>
              <w:t>4</w:t>
            </w:r>
            <w:r>
              <w:rPr>
                <w:rFonts w:hint="default" w:ascii="Times New Roman" w:hAnsi="Times New Roman" w:cs="Times New Roman"/>
                <w:color w:val="auto"/>
                <w:spacing w:val="-6"/>
                <w:sz w:val="21"/>
                <w:szCs w:val="21"/>
              </w:rPr>
              <w:t>号）</w:t>
            </w:r>
          </w:p>
        </w:tc>
        <w:tc>
          <w:tcPr>
            <w:tcW w:w="2191"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比</w:t>
            </w:r>
            <w:r>
              <w:rPr>
                <w:rFonts w:hint="default" w:ascii="Times New Roman" w:hAnsi="Times New Roman" w:eastAsia="Times New Roman" w:cs="Times New Roman"/>
                <w:color w:val="auto"/>
                <w:spacing w:val="-3"/>
                <w:sz w:val="21"/>
                <w:szCs w:val="21"/>
              </w:rPr>
              <w:t>2015</w:t>
            </w:r>
            <w:r>
              <w:rPr>
                <w:rFonts w:hint="default" w:ascii="Times New Roman" w:hAnsi="Times New Roman" w:cs="Times New Roman"/>
                <w:color w:val="auto"/>
                <w:spacing w:val="-3"/>
                <w:sz w:val="21"/>
                <w:szCs w:val="21"/>
              </w:rPr>
              <w:t>年湖南省发展</w:t>
            </w:r>
            <w:r>
              <w:rPr>
                <w:rFonts w:hint="default" w:ascii="Times New Roman" w:hAnsi="Times New Roman" w:cs="Times New Roman"/>
                <w:color w:val="auto"/>
                <w:spacing w:val="-1"/>
                <w:sz w:val="21"/>
                <w:szCs w:val="21"/>
              </w:rPr>
              <w:t>和改革委员会批准面积</w:t>
            </w:r>
            <w:r>
              <w:rPr>
                <w:rFonts w:hint="default" w:ascii="Times New Roman" w:hAnsi="Times New Roman" w:cs="Times New Roman"/>
                <w:color w:val="auto"/>
                <w:sz w:val="21"/>
                <w:szCs w:val="21"/>
              </w:rPr>
              <w:t>少了</w:t>
            </w:r>
            <w:r>
              <w:rPr>
                <w:rFonts w:hint="default" w:ascii="Times New Roman" w:hAnsi="Times New Roman" w:eastAsia="Times New Roman" w:cs="Times New Roman"/>
                <w:color w:val="auto"/>
                <w:sz w:val="21"/>
                <w:szCs w:val="21"/>
              </w:rPr>
              <w:t>14.27</w:t>
            </w:r>
            <w:r>
              <w:rPr>
                <w:rFonts w:hint="default" w:ascii="Times New Roman" w:hAnsi="Times New Roman" w:cs="Times New Roman"/>
                <w:color w:val="auto"/>
                <w:sz w:val="21"/>
                <w:szCs w:val="21"/>
              </w:rPr>
              <w:t>公顷，主要</w:t>
            </w:r>
            <w:r>
              <w:rPr>
                <w:rFonts w:hint="default" w:ascii="Times New Roman" w:hAnsi="Times New Roman" w:cs="Times New Roman"/>
                <w:color w:val="auto"/>
                <w:spacing w:val="-1"/>
                <w:sz w:val="21"/>
                <w:szCs w:val="21"/>
              </w:rPr>
              <w:t>原因为珠山片区少了</w:t>
            </w:r>
            <w:r>
              <w:rPr>
                <w:rFonts w:hint="default" w:ascii="Times New Roman" w:hAnsi="Times New Roman" w:eastAsia="Times New Roman" w:cs="Times New Roman"/>
                <w:color w:val="auto"/>
                <w:spacing w:val="-4"/>
                <w:sz w:val="21"/>
                <w:szCs w:val="21"/>
              </w:rPr>
              <w:t>14.27</w:t>
            </w:r>
            <w:r>
              <w:rPr>
                <w:rFonts w:hint="default" w:ascii="Times New Roman" w:hAnsi="Times New Roman" w:cs="Times New Roman"/>
                <w:color w:val="auto"/>
                <w:spacing w:val="-4"/>
                <w:sz w:val="21"/>
                <w:szCs w:val="21"/>
              </w:rPr>
              <w:t>公顷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04" w:hRule="atLeast"/>
        </w:trPr>
        <w:tc>
          <w:tcPr>
            <w:tcW w:w="58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450" w:type="dxa"/>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1"/>
                <w:sz w:val="21"/>
                <w:szCs w:val="21"/>
              </w:rPr>
              <w:t>总面积：</w:t>
            </w:r>
            <w:r>
              <w:rPr>
                <w:rFonts w:hint="default" w:ascii="Times New Roman" w:hAnsi="Times New Roman" w:eastAsia="Times New Roman" w:cs="Times New Roman"/>
                <w:color w:val="auto"/>
                <w:spacing w:val="-1"/>
                <w:sz w:val="21"/>
                <w:szCs w:val="21"/>
              </w:rPr>
              <w:t>466.94</w:t>
            </w:r>
            <w:r>
              <w:rPr>
                <w:rFonts w:hint="default" w:ascii="Times New Roman" w:hAnsi="Times New Roman" w:cs="Times New Roman"/>
                <w:color w:val="auto"/>
                <w:spacing w:val="-1"/>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cs="Times New Roman"/>
                <w:color w:val="auto"/>
                <w:spacing w:val="-3"/>
                <w:sz w:val="21"/>
                <w:szCs w:val="21"/>
              </w:rPr>
            </w:pPr>
            <w:r>
              <w:rPr>
                <w:rFonts w:hint="default" w:ascii="Times New Roman" w:hAnsi="Times New Roman" w:cs="Times New Roman"/>
                <w:color w:val="auto"/>
                <w:spacing w:val="-1"/>
                <w:sz w:val="21"/>
                <w:szCs w:val="21"/>
              </w:rPr>
              <w:t>河西片区：</w:t>
            </w:r>
            <w:r>
              <w:rPr>
                <w:rFonts w:hint="default" w:ascii="Times New Roman" w:hAnsi="Times New Roman" w:eastAsia="Times New Roman" w:cs="Times New Roman"/>
                <w:color w:val="auto"/>
                <w:spacing w:val="-3"/>
                <w:sz w:val="21"/>
                <w:szCs w:val="21"/>
              </w:rPr>
              <w:t>317.45</w:t>
            </w:r>
            <w:r>
              <w:rPr>
                <w:rFonts w:hint="default" w:ascii="Times New Roman" w:hAnsi="Times New Roman" w:cs="Times New Roman"/>
                <w:color w:val="auto"/>
                <w:spacing w:val="-3"/>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1"/>
                <w:sz w:val="21"/>
                <w:szCs w:val="21"/>
              </w:rPr>
              <w:t>珠山片区：</w:t>
            </w:r>
            <w:r>
              <w:rPr>
                <w:rFonts w:hint="default" w:ascii="Times New Roman" w:hAnsi="Times New Roman" w:eastAsia="Times New Roman" w:cs="Times New Roman"/>
                <w:color w:val="auto"/>
                <w:spacing w:val="-4"/>
                <w:sz w:val="21"/>
                <w:szCs w:val="21"/>
              </w:rPr>
              <w:t>149.49</w:t>
            </w:r>
            <w:r>
              <w:rPr>
                <w:rFonts w:hint="default" w:ascii="Times New Roman" w:hAnsi="Times New Roman" w:cs="Times New Roman"/>
                <w:color w:val="auto"/>
                <w:spacing w:val="-4"/>
                <w:sz w:val="21"/>
                <w:szCs w:val="21"/>
              </w:rPr>
              <w:t>公顷</w:t>
            </w:r>
          </w:p>
        </w:tc>
        <w:tc>
          <w:tcPr>
            <w:tcW w:w="3405" w:type="dxa"/>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河西片区</w:t>
            </w:r>
            <w:r>
              <w:rPr>
                <w:rFonts w:hint="default" w:ascii="Times New Roman" w:hAnsi="Times New Roman" w:cs="Times New Roman"/>
                <w:color w:val="auto"/>
                <w:spacing w:val="-1"/>
                <w:sz w:val="21"/>
                <w:szCs w:val="21"/>
              </w:rPr>
              <w:t>：东至永州南站，南至</w:t>
            </w:r>
            <w:r>
              <w:rPr>
                <w:rFonts w:hint="default" w:ascii="Times New Roman" w:hAnsi="Times New Roman" w:eastAsia="Times New Roman" w:cs="Times New Roman"/>
                <w:color w:val="auto"/>
                <w:spacing w:val="-2"/>
                <w:sz w:val="21"/>
                <w:szCs w:val="21"/>
              </w:rPr>
              <w:t>G207</w:t>
            </w:r>
            <w:r>
              <w:rPr>
                <w:rFonts w:hint="default" w:ascii="Times New Roman" w:hAnsi="Times New Roman" w:cs="Times New Roman"/>
                <w:color w:val="auto"/>
                <w:spacing w:val="-2"/>
                <w:sz w:val="21"/>
                <w:szCs w:val="21"/>
              </w:rPr>
              <w:t>国道以南</w:t>
            </w:r>
            <w:r>
              <w:rPr>
                <w:rFonts w:hint="default" w:ascii="Times New Roman" w:hAnsi="Times New Roman" w:eastAsia="Times New Roman" w:cs="Times New Roman"/>
                <w:color w:val="auto"/>
                <w:spacing w:val="-2"/>
                <w:sz w:val="21"/>
                <w:szCs w:val="21"/>
              </w:rPr>
              <w:t>320</w:t>
            </w:r>
            <w:r>
              <w:rPr>
                <w:rFonts w:hint="default" w:ascii="Times New Roman" w:hAnsi="Times New Roman" w:cs="Times New Roman"/>
                <w:color w:val="auto"/>
                <w:spacing w:val="-2"/>
                <w:sz w:val="21"/>
                <w:szCs w:val="21"/>
              </w:rPr>
              <w:t>米处，西至</w:t>
            </w:r>
            <w:r>
              <w:rPr>
                <w:rFonts w:hint="default" w:ascii="Times New Roman" w:hAnsi="Times New Roman" w:eastAsia="Times New Roman" w:cs="Times New Roman"/>
                <w:color w:val="auto"/>
                <w:spacing w:val="-3"/>
                <w:sz w:val="21"/>
                <w:szCs w:val="21"/>
              </w:rPr>
              <w:t>G207</w:t>
            </w:r>
            <w:r>
              <w:rPr>
                <w:rFonts w:hint="default" w:ascii="Times New Roman" w:hAnsi="Times New Roman" w:cs="Times New Roman"/>
                <w:color w:val="auto"/>
                <w:spacing w:val="-3"/>
                <w:sz w:val="21"/>
                <w:szCs w:val="21"/>
              </w:rPr>
              <w:t>国道，北至德榜西略</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b/>
                <w:bCs/>
                <w:color w:val="auto"/>
                <w:spacing w:val="-2"/>
                <w:sz w:val="21"/>
                <w:szCs w:val="21"/>
              </w:rPr>
              <w:t>珠山片区</w:t>
            </w:r>
            <w:r>
              <w:rPr>
                <w:rFonts w:hint="default" w:ascii="Times New Roman" w:hAnsi="Times New Roman" w:cs="Times New Roman"/>
                <w:color w:val="auto"/>
                <w:spacing w:val="-2"/>
                <w:sz w:val="21"/>
                <w:szCs w:val="21"/>
              </w:rPr>
              <w:t>：东至矿整办，南至翻</w:t>
            </w:r>
            <w:r>
              <w:rPr>
                <w:rFonts w:hint="default" w:ascii="Times New Roman" w:hAnsi="Times New Roman" w:cs="Times New Roman"/>
                <w:color w:val="auto"/>
                <w:spacing w:val="-1"/>
                <w:sz w:val="21"/>
                <w:szCs w:val="21"/>
              </w:rPr>
              <w:t>身洞村北，西至长吉头村东，北</w:t>
            </w:r>
            <w:r>
              <w:rPr>
                <w:rFonts w:hint="default" w:ascii="Times New Roman" w:hAnsi="Times New Roman" w:cs="Times New Roman"/>
                <w:color w:val="auto"/>
                <w:spacing w:val="-4"/>
                <w:sz w:val="21"/>
                <w:szCs w:val="21"/>
              </w:rPr>
              <w:t>至</w:t>
            </w:r>
            <w:r>
              <w:rPr>
                <w:rFonts w:hint="default" w:ascii="Times New Roman" w:hAnsi="Times New Roman" w:eastAsia="Times New Roman" w:cs="Times New Roman"/>
                <w:color w:val="auto"/>
                <w:spacing w:val="-4"/>
                <w:sz w:val="21"/>
                <w:szCs w:val="21"/>
              </w:rPr>
              <w:t>G322</w:t>
            </w:r>
            <w:r>
              <w:rPr>
                <w:rFonts w:hint="default" w:ascii="Times New Roman" w:hAnsi="Times New Roman" w:cs="Times New Roman"/>
                <w:color w:val="auto"/>
                <w:spacing w:val="-4"/>
                <w:sz w:val="21"/>
                <w:szCs w:val="21"/>
              </w:rPr>
              <w:t>国道以南</w:t>
            </w:r>
            <w:r>
              <w:rPr>
                <w:rFonts w:hint="default" w:ascii="Times New Roman" w:hAnsi="Times New Roman" w:eastAsia="Times New Roman" w:cs="Times New Roman"/>
                <w:color w:val="auto"/>
                <w:spacing w:val="-4"/>
                <w:sz w:val="21"/>
                <w:szCs w:val="21"/>
              </w:rPr>
              <w:t>100</w:t>
            </w:r>
            <w:r>
              <w:rPr>
                <w:rFonts w:hint="default" w:ascii="Times New Roman" w:hAnsi="Times New Roman" w:cs="Times New Roman"/>
                <w:color w:val="auto"/>
                <w:spacing w:val="-4"/>
                <w:sz w:val="21"/>
                <w:szCs w:val="21"/>
              </w:rPr>
              <w:t>米处</w:t>
            </w:r>
          </w:p>
        </w:tc>
        <w:tc>
          <w:tcPr>
            <w:tcW w:w="2310"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Arial" w:cs="Times New Roman"/>
                <w:snapToGrid w:val="0"/>
                <w:color w:val="auto"/>
                <w:kern w:val="0"/>
                <w:sz w:val="21"/>
                <w:szCs w:val="21"/>
                <w:lang w:val="en-US" w:eastAsia="en-US" w:bidi="ar-SA"/>
              </w:rPr>
            </w:pPr>
          </w:p>
        </w:tc>
        <w:tc>
          <w:tcPr>
            <w:tcW w:w="1770"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Arial" w:cs="Times New Roman"/>
                <w:snapToGrid w:val="0"/>
                <w:color w:val="auto"/>
                <w:kern w:val="0"/>
                <w:sz w:val="21"/>
                <w:szCs w:val="21"/>
                <w:lang w:val="en-US" w:eastAsia="en-US" w:bidi="ar-SA"/>
              </w:rPr>
            </w:pPr>
          </w:p>
        </w:tc>
        <w:tc>
          <w:tcPr>
            <w:tcW w:w="2270"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pacing w:val="-2"/>
                <w:sz w:val="21"/>
                <w:szCs w:val="21"/>
              </w:rPr>
              <w:t>《关于发布湖南省省级及以</w:t>
            </w:r>
            <w:r>
              <w:rPr>
                <w:rFonts w:hint="default" w:ascii="Times New Roman" w:hAnsi="Times New Roman" w:cs="Times New Roman"/>
                <w:color w:val="auto"/>
                <w:spacing w:val="-1"/>
                <w:sz w:val="21"/>
                <w:szCs w:val="21"/>
              </w:rPr>
              <w:t>上产业园区边界面积及四至范围目录的通知》（湘发改</w:t>
            </w:r>
            <w:r>
              <w:rPr>
                <w:rFonts w:hint="default" w:ascii="Times New Roman" w:hAnsi="Times New Roman" w:cs="Times New Roman"/>
                <w:color w:val="auto"/>
                <w:spacing w:val="-2"/>
                <w:sz w:val="21"/>
                <w:szCs w:val="21"/>
              </w:rPr>
              <w:t>园区〔</w:t>
            </w:r>
            <w:r>
              <w:rPr>
                <w:rFonts w:hint="default" w:ascii="Times New Roman" w:hAnsi="Times New Roman" w:eastAsia="Times New Roman" w:cs="Times New Roman"/>
                <w:color w:val="auto"/>
                <w:spacing w:val="-2"/>
                <w:sz w:val="21"/>
                <w:szCs w:val="21"/>
              </w:rPr>
              <w:t>2022</w:t>
            </w:r>
            <w:r>
              <w:rPr>
                <w:rFonts w:hint="default" w:ascii="Times New Roman" w:hAnsi="Times New Roman" w:cs="Times New Roman"/>
                <w:color w:val="auto"/>
                <w:spacing w:val="-2"/>
                <w:sz w:val="21"/>
                <w:szCs w:val="21"/>
              </w:rPr>
              <w:t>〕</w:t>
            </w:r>
            <w:r>
              <w:rPr>
                <w:rFonts w:hint="default" w:ascii="Times New Roman" w:hAnsi="Times New Roman" w:eastAsia="Times New Roman" w:cs="Times New Roman"/>
                <w:color w:val="auto"/>
                <w:spacing w:val="-2"/>
                <w:sz w:val="21"/>
                <w:szCs w:val="21"/>
              </w:rPr>
              <w:t>601</w:t>
            </w:r>
            <w:r>
              <w:rPr>
                <w:rFonts w:hint="default" w:ascii="Times New Roman" w:hAnsi="Times New Roman" w:cs="Times New Roman"/>
                <w:color w:val="auto"/>
                <w:spacing w:val="-2"/>
                <w:sz w:val="21"/>
                <w:szCs w:val="21"/>
              </w:rPr>
              <w:t>号）</w:t>
            </w:r>
          </w:p>
        </w:tc>
        <w:tc>
          <w:tcPr>
            <w:tcW w:w="2191"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Arial" w:cs="Times New Roman"/>
                <w:snapToGrid w:val="0"/>
                <w:color w:val="auto"/>
                <w:kern w:val="0"/>
                <w:sz w:val="21"/>
                <w:szCs w:val="21"/>
                <w:lang w:val="en-US" w:eastAsia="en-US"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04" w:hRule="atLeast"/>
        </w:trPr>
        <w:tc>
          <w:tcPr>
            <w:tcW w:w="584"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零陵</w:t>
            </w:r>
            <w:r>
              <w:rPr>
                <w:rFonts w:hint="default" w:ascii="Times New Roman" w:hAnsi="Times New Roman" w:cs="Times New Roman"/>
                <w:color w:val="auto"/>
                <w:spacing w:val="-3"/>
                <w:sz w:val="21"/>
                <w:szCs w:val="21"/>
              </w:rPr>
              <w:t>高新</w:t>
            </w:r>
            <w:r>
              <w:rPr>
                <w:rFonts w:hint="default" w:ascii="Times New Roman" w:hAnsi="Times New Roman" w:cs="Times New Roman"/>
                <w:color w:val="auto"/>
                <w:spacing w:val="-2"/>
                <w:sz w:val="21"/>
                <w:szCs w:val="21"/>
              </w:rPr>
              <w:t>技术产业开发</w:t>
            </w:r>
            <w:r>
              <w:rPr>
                <w:rFonts w:hint="default" w:ascii="Times New Roman" w:hAnsi="Times New Roman" w:cs="Times New Roman"/>
                <w:color w:val="auto"/>
                <w:sz w:val="21"/>
                <w:szCs w:val="21"/>
              </w:rPr>
              <w:t>区</w:t>
            </w:r>
          </w:p>
        </w:tc>
        <w:tc>
          <w:tcPr>
            <w:tcW w:w="1450" w:type="dxa"/>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总面积为</w:t>
            </w:r>
            <w:r>
              <w:rPr>
                <w:rFonts w:hint="default" w:ascii="Times New Roman" w:hAnsi="Times New Roman" w:eastAsia="Times New Roman" w:cs="Times New Roman"/>
                <w:color w:val="auto"/>
                <w:spacing w:val="-2"/>
                <w:sz w:val="21"/>
                <w:szCs w:val="21"/>
              </w:rPr>
              <w:t>565.72</w:t>
            </w:r>
            <w:r>
              <w:rPr>
                <w:rFonts w:hint="default" w:ascii="Times New Roman" w:hAnsi="Times New Roman" w:cs="Times New Roman"/>
                <w:color w:val="auto"/>
                <w:spacing w:val="-2"/>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河西工业</w:t>
            </w:r>
            <w:r>
              <w:rPr>
                <w:rFonts w:hint="default" w:ascii="Times New Roman" w:hAnsi="Times New Roman" w:cs="Times New Roman"/>
                <w:color w:val="auto"/>
                <w:spacing w:val="-3"/>
                <w:sz w:val="21"/>
                <w:szCs w:val="21"/>
              </w:rPr>
              <w:t>园：</w:t>
            </w:r>
            <w:r>
              <w:rPr>
                <w:rFonts w:hint="default" w:ascii="Times New Roman" w:hAnsi="Times New Roman" w:eastAsia="Times New Roman" w:cs="Times New Roman"/>
                <w:color w:val="auto"/>
                <w:spacing w:val="-3"/>
                <w:sz w:val="21"/>
                <w:szCs w:val="21"/>
              </w:rPr>
              <w:t>415.45</w:t>
            </w:r>
            <w:r>
              <w:rPr>
                <w:rFonts w:hint="default" w:ascii="Times New Roman" w:hAnsi="Times New Roman" w:cs="Times New Roman"/>
                <w:color w:val="auto"/>
                <w:spacing w:val="-3"/>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珠山锰系新材料产业</w:t>
            </w:r>
            <w:r>
              <w:rPr>
                <w:rFonts w:hint="default" w:ascii="Times New Roman" w:hAnsi="Times New Roman" w:cs="Times New Roman"/>
                <w:color w:val="auto"/>
                <w:spacing w:val="-3"/>
                <w:sz w:val="21"/>
                <w:szCs w:val="21"/>
              </w:rPr>
              <w:t>园：</w:t>
            </w:r>
            <w:r>
              <w:rPr>
                <w:rFonts w:hint="default" w:ascii="Times New Roman" w:hAnsi="Times New Roman" w:eastAsia="Times New Roman" w:cs="Times New Roman"/>
                <w:color w:val="auto"/>
                <w:spacing w:val="-3"/>
                <w:sz w:val="21"/>
                <w:szCs w:val="21"/>
              </w:rPr>
              <w:t>82.06</w:t>
            </w:r>
            <w:r>
              <w:rPr>
                <w:rFonts w:hint="default" w:ascii="Times New Roman" w:hAnsi="Times New Roman" w:cs="Times New Roman"/>
                <w:color w:val="auto"/>
                <w:spacing w:val="-3"/>
                <w:sz w:val="21"/>
                <w:szCs w:val="21"/>
              </w:rPr>
              <w:t>公顷</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1"/>
                <w:sz w:val="21"/>
                <w:szCs w:val="21"/>
              </w:rPr>
              <w:t>湖南稀土新材料产业</w:t>
            </w:r>
            <w:r>
              <w:rPr>
                <w:rFonts w:hint="default" w:ascii="Times New Roman" w:hAnsi="Times New Roman" w:cs="Times New Roman"/>
                <w:color w:val="auto"/>
                <w:spacing w:val="-3"/>
                <w:sz w:val="21"/>
                <w:szCs w:val="21"/>
              </w:rPr>
              <w:t>园：</w:t>
            </w:r>
            <w:r>
              <w:rPr>
                <w:rFonts w:hint="default" w:ascii="Times New Roman" w:hAnsi="Times New Roman" w:eastAsia="Times New Roman" w:cs="Times New Roman"/>
                <w:color w:val="auto"/>
                <w:spacing w:val="-3"/>
                <w:sz w:val="21"/>
                <w:szCs w:val="21"/>
              </w:rPr>
              <w:t>68.21</w:t>
            </w:r>
            <w:r>
              <w:rPr>
                <w:rFonts w:hint="default" w:ascii="Times New Roman" w:hAnsi="Times New Roman" w:cs="Times New Roman"/>
                <w:color w:val="auto"/>
                <w:spacing w:val="-3"/>
                <w:sz w:val="21"/>
                <w:szCs w:val="21"/>
              </w:rPr>
              <w:t>公顷</w:t>
            </w:r>
          </w:p>
        </w:tc>
        <w:tc>
          <w:tcPr>
            <w:tcW w:w="3405" w:type="dxa"/>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河西工业园：</w:t>
            </w:r>
            <w:r>
              <w:rPr>
                <w:rFonts w:hint="default" w:ascii="Times New Roman" w:hAnsi="Times New Roman" w:cs="Times New Roman"/>
                <w:color w:val="auto"/>
                <w:spacing w:val="-1"/>
                <w:sz w:val="21"/>
                <w:szCs w:val="21"/>
              </w:rPr>
              <w:t>东至永州南站，南至</w:t>
            </w:r>
            <w:r>
              <w:rPr>
                <w:rFonts w:hint="default" w:ascii="Times New Roman" w:hAnsi="Times New Roman" w:eastAsia="Times New Roman" w:cs="Times New Roman"/>
                <w:color w:val="auto"/>
                <w:spacing w:val="-1"/>
                <w:sz w:val="21"/>
                <w:szCs w:val="21"/>
              </w:rPr>
              <w:t>G207</w:t>
            </w:r>
            <w:r>
              <w:rPr>
                <w:rFonts w:hint="default" w:ascii="Times New Roman" w:hAnsi="Times New Roman" w:cs="Times New Roman"/>
                <w:color w:val="auto"/>
                <w:spacing w:val="-1"/>
                <w:sz w:val="21"/>
                <w:szCs w:val="21"/>
              </w:rPr>
              <w:t>国道以南</w:t>
            </w:r>
            <w:r>
              <w:rPr>
                <w:rFonts w:hint="default" w:ascii="Times New Roman" w:hAnsi="Times New Roman" w:eastAsia="Times New Roman" w:cs="Times New Roman"/>
                <w:color w:val="auto"/>
                <w:spacing w:val="-1"/>
                <w:sz w:val="21"/>
                <w:szCs w:val="21"/>
              </w:rPr>
              <w:t>750</w:t>
            </w:r>
            <w:r>
              <w:rPr>
                <w:rFonts w:hint="default" w:ascii="Times New Roman" w:hAnsi="Times New Roman" w:cs="Times New Roman"/>
                <w:color w:val="auto"/>
                <w:spacing w:val="-1"/>
                <w:sz w:val="21"/>
                <w:szCs w:val="21"/>
              </w:rPr>
              <w:t>米处，西至五里堆社区，北至德榜西路；</w:t>
            </w:r>
            <w:r>
              <w:rPr>
                <w:rFonts w:hint="default" w:ascii="Times New Roman" w:hAnsi="Times New Roman" w:cs="Times New Roman"/>
                <w:color w:val="auto"/>
                <w:spacing w:val="5"/>
                <w:sz w:val="21"/>
                <w:szCs w:val="21"/>
              </w:rPr>
              <w:t>及中烟公司零陵卷烟厂范围。</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珠山锰系新材料产业园</w:t>
            </w:r>
            <w:r>
              <w:rPr>
                <w:rFonts w:hint="default" w:ascii="Times New Roman" w:hAnsi="Times New Roman" w:cs="Times New Roman"/>
                <w:color w:val="auto"/>
                <w:spacing w:val="-2"/>
                <w:sz w:val="21"/>
                <w:szCs w:val="21"/>
              </w:rPr>
              <w:t>：东至矿</w:t>
            </w:r>
            <w:r>
              <w:rPr>
                <w:rFonts w:hint="default" w:ascii="Times New Roman" w:hAnsi="Times New Roman" w:cs="Times New Roman"/>
                <w:color w:val="auto"/>
                <w:spacing w:val="-1"/>
                <w:sz w:val="21"/>
                <w:szCs w:val="21"/>
              </w:rPr>
              <w:t>整办，南至翻身洞村北，西至长吉头村东，北至长吉头村民委员</w:t>
            </w:r>
            <w:r>
              <w:rPr>
                <w:rFonts w:hint="default" w:ascii="Times New Roman" w:hAnsi="Times New Roman" w:cs="Times New Roman"/>
                <w:color w:val="auto"/>
                <w:spacing w:val="-3"/>
                <w:sz w:val="21"/>
                <w:szCs w:val="21"/>
              </w:rPr>
              <w:t>会以南</w:t>
            </w:r>
            <w:r>
              <w:rPr>
                <w:rFonts w:hint="default" w:ascii="Times New Roman" w:hAnsi="Times New Roman" w:eastAsia="Times New Roman" w:cs="Times New Roman"/>
                <w:color w:val="auto"/>
                <w:spacing w:val="-3"/>
                <w:sz w:val="21"/>
                <w:szCs w:val="21"/>
              </w:rPr>
              <w:t>100</w:t>
            </w:r>
            <w:r>
              <w:rPr>
                <w:rFonts w:hint="default" w:ascii="Times New Roman" w:hAnsi="Times New Roman" w:cs="Times New Roman"/>
                <w:color w:val="auto"/>
                <w:spacing w:val="-3"/>
                <w:sz w:val="21"/>
                <w:szCs w:val="21"/>
              </w:rPr>
              <w:t>米处。</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b/>
                <w:bCs/>
                <w:color w:val="auto"/>
                <w:spacing w:val="-2"/>
                <w:sz w:val="21"/>
                <w:szCs w:val="21"/>
              </w:rPr>
              <w:t>湖南稀土新材料产业园：</w:t>
            </w:r>
            <w:r>
              <w:rPr>
                <w:rFonts w:hint="default" w:ascii="Times New Roman" w:hAnsi="Times New Roman" w:cs="Times New Roman"/>
                <w:color w:val="auto"/>
                <w:spacing w:val="-2"/>
                <w:sz w:val="21"/>
                <w:szCs w:val="21"/>
              </w:rPr>
              <w:t>东至黄</w:t>
            </w:r>
            <w:r>
              <w:rPr>
                <w:rFonts w:hint="default" w:ascii="Times New Roman" w:hAnsi="Times New Roman" w:cs="Times New Roman"/>
                <w:color w:val="auto"/>
                <w:spacing w:val="-1"/>
                <w:sz w:val="21"/>
                <w:szCs w:val="21"/>
              </w:rPr>
              <w:t>田铺社区东，南至潇湘源学校以</w:t>
            </w:r>
            <w:r>
              <w:rPr>
                <w:rFonts w:hint="default" w:ascii="Times New Roman" w:hAnsi="Times New Roman" w:cs="Times New Roman"/>
                <w:color w:val="auto"/>
                <w:spacing w:val="-2"/>
                <w:sz w:val="21"/>
                <w:szCs w:val="21"/>
              </w:rPr>
              <w:t>北</w:t>
            </w:r>
            <w:r>
              <w:rPr>
                <w:rFonts w:hint="default" w:ascii="Times New Roman" w:hAnsi="Times New Roman" w:eastAsia="Times New Roman" w:cs="Times New Roman"/>
                <w:color w:val="auto"/>
                <w:spacing w:val="-2"/>
                <w:sz w:val="21"/>
                <w:szCs w:val="21"/>
              </w:rPr>
              <w:t>630</w:t>
            </w:r>
            <w:r>
              <w:rPr>
                <w:rFonts w:hint="default" w:ascii="Times New Roman" w:hAnsi="Times New Roman" w:cs="Times New Roman"/>
                <w:color w:val="auto"/>
                <w:spacing w:val="-2"/>
                <w:sz w:val="21"/>
                <w:szCs w:val="21"/>
              </w:rPr>
              <w:t>米处，西至</w:t>
            </w:r>
            <w:r>
              <w:rPr>
                <w:rFonts w:hint="default" w:ascii="Times New Roman" w:hAnsi="Times New Roman" w:cs="Times New Roman"/>
                <w:color w:val="auto"/>
                <w:spacing w:val="-45"/>
                <w:sz w:val="21"/>
                <w:szCs w:val="21"/>
              </w:rPr>
              <w:t xml:space="preserve"> </w:t>
            </w:r>
            <w:r>
              <w:rPr>
                <w:rFonts w:hint="default" w:ascii="Times New Roman" w:hAnsi="Times New Roman" w:eastAsia="Times New Roman" w:cs="Times New Roman"/>
                <w:color w:val="auto"/>
                <w:spacing w:val="-2"/>
                <w:sz w:val="21"/>
                <w:szCs w:val="21"/>
              </w:rPr>
              <w:t>G207</w:t>
            </w:r>
            <w:r>
              <w:rPr>
                <w:rFonts w:hint="default" w:ascii="Times New Roman" w:hAnsi="Times New Roman" w:cs="Times New Roman"/>
                <w:color w:val="auto"/>
                <w:spacing w:val="-2"/>
                <w:sz w:val="21"/>
                <w:szCs w:val="21"/>
              </w:rPr>
              <w:t>国道以</w:t>
            </w:r>
            <w:r>
              <w:rPr>
                <w:rFonts w:hint="default" w:ascii="Times New Roman" w:hAnsi="Times New Roman" w:cs="Times New Roman"/>
                <w:color w:val="auto"/>
                <w:spacing w:val="-1"/>
                <w:sz w:val="21"/>
                <w:szCs w:val="21"/>
              </w:rPr>
              <w:t>东</w:t>
            </w:r>
            <w:r>
              <w:rPr>
                <w:rFonts w:hint="default" w:ascii="Times New Roman" w:hAnsi="Times New Roman" w:eastAsia="Times New Roman" w:cs="Times New Roman"/>
                <w:color w:val="auto"/>
                <w:spacing w:val="-1"/>
                <w:sz w:val="21"/>
                <w:szCs w:val="21"/>
              </w:rPr>
              <w:t>750</w:t>
            </w:r>
            <w:r>
              <w:rPr>
                <w:rFonts w:hint="default" w:ascii="Times New Roman" w:hAnsi="Times New Roman" w:cs="Times New Roman"/>
                <w:color w:val="auto"/>
                <w:spacing w:val="-1"/>
                <w:sz w:val="21"/>
                <w:szCs w:val="21"/>
              </w:rPr>
              <w:t>米处，北至泉南高速以南</w:t>
            </w:r>
            <w:r>
              <w:rPr>
                <w:rFonts w:hint="default" w:ascii="Times New Roman" w:hAnsi="Times New Roman" w:eastAsia="Times New Roman" w:cs="Times New Roman"/>
                <w:color w:val="auto"/>
                <w:spacing w:val="-7"/>
                <w:sz w:val="21"/>
                <w:szCs w:val="21"/>
              </w:rPr>
              <w:t>80</w:t>
            </w:r>
            <w:r>
              <w:rPr>
                <w:rFonts w:hint="default" w:ascii="Times New Roman" w:hAnsi="Times New Roman" w:cs="Times New Roman"/>
                <w:color w:val="auto"/>
                <w:spacing w:val="-7"/>
                <w:sz w:val="21"/>
                <w:szCs w:val="21"/>
              </w:rPr>
              <w:t>米处。</w:t>
            </w:r>
          </w:p>
        </w:tc>
        <w:tc>
          <w:tcPr>
            <w:tcW w:w="2310" w:type="dxa"/>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河西工业园</w:t>
            </w:r>
            <w:r>
              <w:rPr>
                <w:rFonts w:hint="default" w:ascii="Times New Roman" w:hAnsi="Times New Roman" w:cs="Times New Roman"/>
                <w:color w:val="auto"/>
                <w:spacing w:val="-2"/>
                <w:sz w:val="21"/>
                <w:szCs w:val="21"/>
              </w:rPr>
              <w:t>发展以</w:t>
            </w:r>
            <w:r>
              <w:rPr>
                <w:rFonts w:hint="default" w:ascii="Times New Roman" w:hAnsi="Times New Roman" w:cs="Times New Roman"/>
                <w:color w:val="auto"/>
                <w:spacing w:val="-4"/>
                <w:sz w:val="21"/>
                <w:szCs w:val="21"/>
              </w:rPr>
              <w:t>生物医药、电子信息、</w:t>
            </w:r>
            <w:r>
              <w:rPr>
                <w:rFonts w:hint="default" w:ascii="Times New Roman" w:hAnsi="Times New Roman" w:cs="Times New Roman"/>
                <w:color w:val="auto"/>
                <w:spacing w:val="-3"/>
                <w:sz w:val="21"/>
                <w:szCs w:val="21"/>
              </w:rPr>
              <w:t>新材料三大主导产业。</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珠山锰系新材料产</w:t>
            </w:r>
            <w:r>
              <w:rPr>
                <w:rFonts w:hint="default" w:ascii="Times New Roman" w:hAnsi="Times New Roman" w:cs="Times New Roman"/>
                <w:b/>
                <w:bCs/>
                <w:color w:val="auto"/>
                <w:spacing w:val="-1"/>
                <w:sz w:val="21"/>
                <w:szCs w:val="21"/>
              </w:rPr>
              <w:t>业园</w:t>
            </w:r>
            <w:r>
              <w:rPr>
                <w:rFonts w:hint="default" w:ascii="Times New Roman" w:hAnsi="Times New Roman" w:cs="Times New Roman"/>
                <w:color w:val="auto"/>
                <w:spacing w:val="-1"/>
                <w:sz w:val="21"/>
                <w:szCs w:val="21"/>
              </w:rPr>
              <w:t>主导产业为锰系新材料，打造绿色锰产业示范基地。</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b/>
                <w:bCs/>
                <w:color w:val="auto"/>
                <w:spacing w:val="-2"/>
                <w:sz w:val="21"/>
                <w:szCs w:val="21"/>
              </w:rPr>
              <w:t>湖南稀土新材料产</w:t>
            </w:r>
            <w:r>
              <w:rPr>
                <w:rFonts w:hint="default" w:ascii="Times New Roman" w:hAnsi="Times New Roman" w:cs="Times New Roman"/>
                <w:b/>
                <w:bCs/>
                <w:color w:val="auto"/>
                <w:spacing w:val="-1"/>
                <w:sz w:val="21"/>
                <w:szCs w:val="21"/>
              </w:rPr>
              <w:t>业园</w:t>
            </w:r>
            <w:r>
              <w:rPr>
                <w:rFonts w:hint="default" w:ascii="Times New Roman" w:hAnsi="Times New Roman" w:cs="Times New Roman"/>
                <w:color w:val="auto"/>
                <w:spacing w:val="-1"/>
                <w:sz w:val="21"/>
                <w:szCs w:val="21"/>
              </w:rPr>
              <w:t>主导产业为稀土新</w:t>
            </w:r>
            <w:r>
              <w:rPr>
                <w:rFonts w:hint="default" w:ascii="Times New Roman" w:hAnsi="Times New Roman" w:cs="Times New Roman"/>
                <w:color w:val="auto"/>
                <w:spacing w:val="-8"/>
                <w:sz w:val="21"/>
                <w:szCs w:val="21"/>
              </w:rPr>
              <w:t>材料。</w:t>
            </w:r>
          </w:p>
        </w:tc>
        <w:tc>
          <w:tcPr>
            <w:tcW w:w="1770"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hint="default" w:ascii="Times New Roman" w:hAnsi="Times New Roman" w:eastAsia="Times New Roman" w:cs="Times New Roman"/>
                <w:color w:val="auto"/>
                <w:sz w:val="21"/>
                <w:szCs w:val="21"/>
              </w:rPr>
              <w:t>/</w:t>
            </w:r>
          </w:p>
        </w:tc>
        <w:tc>
          <w:tcPr>
            <w:tcW w:w="2270" w:type="dxa"/>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Times New Roman" w:cs="Times New Roman"/>
                <w:color w:val="auto"/>
                <w:spacing w:val="-5"/>
                <w:sz w:val="21"/>
                <w:szCs w:val="21"/>
              </w:rPr>
              <w:t>2023</w:t>
            </w:r>
            <w:r>
              <w:rPr>
                <w:rFonts w:hint="default" w:ascii="Times New Roman" w:hAnsi="Times New Roman" w:cs="Times New Roman"/>
                <w:color w:val="auto"/>
                <w:spacing w:val="-5"/>
                <w:sz w:val="21"/>
                <w:szCs w:val="21"/>
              </w:rPr>
              <w:t>年</w:t>
            </w:r>
            <w:r>
              <w:rPr>
                <w:rFonts w:hint="default" w:ascii="Times New Roman" w:hAnsi="Times New Roman" w:eastAsia="Times New Roman" w:cs="Times New Roman"/>
                <w:color w:val="auto"/>
                <w:spacing w:val="-5"/>
                <w:sz w:val="21"/>
                <w:szCs w:val="21"/>
              </w:rPr>
              <w:t>10</w:t>
            </w:r>
            <w:r>
              <w:rPr>
                <w:rFonts w:hint="default" w:ascii="Times New Roman" w:hAnsi="Times New Roman" w:cs="Times New Roman"/>
                <w:color w:val="auto"/>
                <w:spacing w:val="-5"/>
                <w:sz w:val="21"/>
                <w:szCs w:val="21"/>
              </w:rPr>
              <w:t>月</w:t>
            </w:r>
            <w:r>
              <w:rPr>
                <w:rFonts w:hint="default" w:ascii="Times New Roman" w:hAnsi="Times New Roman" w:eastAsia="Times New Roman" w:cs="Times New Roman"/>
                <w:color w:val="auto"/>
                <w:spacing w:val="-5"/>
                <w:sz w:val="21"/>
                <w:szCs w:val="21"/>
              </w:rPr>
              <w:t>26</w:t>
            </w:r>
            <w:r>
              <w:rPr>
                <w:rFonts w:hint="default" w:ascii="Times New Roman" w:hAnsi="Times New Roman" w:cs="Times New Roman"/>
                <w:color w:val="auto"/>
                <w:spacing w:val="-5"/>
                <w:sz w:val="21"/>
                <w:szCs w:val="21"/>
              </w:rPr>
              <w:t>日，湖南</w:t>
            </w:r>
            <w:r>
              <w:rPr>
                <w:rFonts w:hint="default" w:ascii="Times New Roman" w:hAnsi="Times New Roman" w:cs="Times New Roman"/>
                <w:color w:val="auto"/>
                <w:spacing w:val="-1"/>
                <w:sz w:val="21"/>
                <w:szCs w:val="21"/>
              </w:rPr>
              <w:t>省发展和改革委员会发布了《关于同意零陵高新技术产业开发区开展扩区前期工作的函》（湘发改函〔</w:t>
            </w:r>
            <w:r>
              <w:rPr>
                <w:rFonts w:hint="default" w:ascii="Times New Roman" w:hAnsi="Times New Roman" w:eastAsia="Times New Roman" w:cs="Times New Roman"/>
                <w:color w:val="auto"/>
                <w:spacing w:val="-1"/>
                <w:sz w:val="21"/>
                <w:szCs w:val="21"/>
              </w:rPr>
              <w:t>2023</w:t>
            </w:r>
            <w:r>
              <w:rPr>
                <w:rFonts w:hint="default" w:ascii="Times New Roman" w:hAnsi="Times New Roman" w:cs="Times New Roman"/>
                <w:color w:val="auto"/>
                <w:spacing w:val="-1"/>
                <w:sz w:val="21"/>
                <w:szCs w:val="21"/>
              </w:rPr>
              <w:t>〕</w:t>
            </w:r>
            <w:r>
              <w:rPr>
                <w:rFonts w:hint="default" w:ascii="Times New Roman" w:hAnsi="Times New Roman" w:eastAsia="Times New Roman" w:cs="Times New Roman"/>
                <w:color w:val="auto"/>
                <w:spacing w:val="6"/>
                <w:sz w:val="21"/>
                <w:szCs w:val="21"/>
              </w:rPr>
              <w:t>74</w:t>
            </w:r>
            <w:r>
              <w:rPr>
                <w:rFonts w:hint="default" w:ascii="Times New Roman" w:hAnsi="Times New Roman" w:cs="Times New Roman"/>
                <w:color w:val="auto"/>
                <w:spacing w:val="6"/>
                <w:sz w:val="21"/>
                <w:szCs w:val="21"/>
              </w:rPr>
              <w:t>号</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6"/>
                <w:sz w:val="21"/>
                <w:szCs w:val="21"/>
              </w:rPr>
              <w:t>同意零陵高新技</w:t>
            </w:r>
            <w:r>
              <w:rPr>
                <w:rFonts w:hint="default" w:ascii="Times New Roman" w:hAnsi="Times New Roman" w:cs="Times New Roman"/>
                <w:color w:val="auto"/>
                <w:spacing w:val="-1"/>
                <w:sz w:val="21"/>
                <w:szCs w:val="21"/>
              </w:rPr>
              <w:t>术产业开发区开展扩区前期</w:t>
            </w:r>
            <w:r>
              <w:rPr>
                <w:rFonts w:hint="default" w:ascii="Times New Roman" w:hAnsi="Times New Roman" w:cs="Times New Roman"/>
                <w:color w:val="auto"/>
                <w:spacing w:val="-8"/>
                <w:sz w:val="21"/>
                <w:szCs w:val="21"/>
              </w:rPr>
              <w:t>工作。</w:t>
            </w:r>
          </w:p>
        </w:tc>
        <w:tc>
          <w:tcPr>
            <w:tcW w:w="2191" w:type="dxa"/>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1"/>
                <w:sz w:val="21"/>
                <w:szCs w:val="21"/>
              </w:rPr>
              <w:t>相较于（湘发改园区</w:t>
            </w:r>
            <w:r>
              <w:rPr>
                <w:rFonts w:hint="default" w:ascii="Times New Roman" w:hAnsi="Times New Roman" w:cs="Times New Roman"/>
                <w:color w:val="auto"/>
                <w:spacing w:val="2"/>
                <w:sz w:val="21"/>
                <w:szCs w:val="21"/>
              </w:rPr>
              <w:t>〔</w:t>
            </w:r>
            <w:r>
              <w:rPr>
                <w:rFonts w:hint="default" w:ascii="Times New Roman" w:hAnsi="Times New Roman" w:eastAsia="Times New Roman" w:cs="Times New Roman"/>
                <w:color w:val="auto"/>
                <w:spacing w:val="2"/>
                <w:sz w:val="21"/>
                <w:szCs w:val="21"/>
              </w:rPr>
              <w:t>2022</w:t>
            </w:r>
            <w:r>
              <w:rPr>
                <w:rFonts w:hint="default" w:ascii="Times New Roman" w:hAnsi="Times New Roman" w:cs="Times New Roman"/>
                <w:color w:val="auto"/>
                <w:spacing w:val="2"/>
                <w:sz w:val="21"/>
                <w:szCs w:val="21"/>
              </w:rPr>
              <w:t>〕</w:t>
            </w:r>
            <w:r>
              <w:rPr>
                <w:rFonts w:hint="default" w:ascii="Times New Roman" w:hAnsi="Times New Roman" w:eastAsia="Times New Roman" w:cs="Times New Roman"/>
                <w:color w:val="auto"/>
                <w:spacing w:val="2"/>
                <w:sz w:val="21"/>
                <w:szCs w:val="21"/>
              </w:rPr>
              <w:t>601</w:t>
            </w:r>
            <w:r>
              <w:rPr>
                <w:rFonts w:hint="default" w:ascii="Times New Roman" w:hAnsi="Times New Roman" w:cs="Times New Roman"/>
                <w:color w:val="auto"/>
                <w:spacing w:val="2"/>
                <w:sz w:val="21"/>
                <w:szCs w:val="21"/>
              </w:rPr>
              <w:t>号</w:t>
            </w:r>
            <w:r>
              <w:rPr>
                <w:rFonts w:hint="default" w:ascii="Times New Roman" w:hAnsi="Times New Roman" w:cs="Times New Roman"/>
                <w:color w:val="auto"/>
                <w:spacing w:val="3"/>
                <w:sz w:val="21"/>
                <w:szCs w:val="21"/>
              </w:rPr>
              <w:t>），</w:t>
            </w:r>
            <w:r>
              <w:rPr>
                <w:rFonts w:hint="default" w:ascii="Times New Roman" w:hAnsi="Times New Roman" w:cs="Times New Roman"/>
                <w:color w:val="auto"/>
                <w:spacing w:val="2"/>
                <w:sz w:val="21"/>
                <w:szCs w:val="21"/>
              </w:rPr>
              <w:t>调</w:t>
            </w:r>
            <w:r>
              <w:rPr>
                <w:rFonts w:hint="default" w:ascii="Times New Roman" w:hAnsi="Times New Roman" w:cs="Times New Roman"/>
                <w:color w:val="auto"/>
                <w:spacing w:val="-8"/>
                <w:sz w:val="21"/>
                <w:szCs w:val="21"/>
              </w:rPr>
              <w:t>出面积为</w:t>
            </w:r>
            <w:r>
              <w:rPr>
                <w:rFonts w:hint="default" w:ascii="Times New Roman" w:hAnsi="Times New Roman" w:eastAsia="Times New Roman" w:cs="Times New Roman"/>
                <w:color w:val="auto"/>
                <w:spacing w:val="-8"/>
                <w:sz w:val="21"/>
                <w:szCs w:val="21"/>
              </w:rPr>
              <w:t>100.94</w:t>
            </w:r>
            <w:r>
              <w:rPr>
                <w:rFonts w:hint="default" w:ascii="Times New Roman" w:hAnsi="Times New Roman" w:cs="Times New Roman"/>
                <w:color w:val="auto"/>
                <w:spacing w:val="-8"/>
                <w:sz w:val="21"/>
                <w:szCs w:val="21"/>
              </w:rPr>
              <w:t>公顷，</w:t>
            </w:r>
            <w:r>
              <w:rPr>
                <w:rFonts w:hint="default" w:ascii="Times New Roman" w:hAnsi="Times New Roman" w:cs="Times New Roman"/>
                <w:color w:val="auto"/>
                <w:spacing w:val="-3"/>
                <w:sz w:val="21"/>
                <w:szCs w:val="21"/>
              </w:rPr>
              <w:t>扩入面积为</w:t>
            </w:r>
            <w:r>
              <w:rPr>
                <w:rFonts w:hint="default" w:ascii="Times New Roman" w:hAnsi="Times New Roman" w:eastAsia="Times New Roman" w:cs="Times New Roman"/>
                <w:color w:val="auto"/>
                <w:spacing w:val="-3"/>
                <w:sz w:val="21"/>
                <w:szCs w:val="21"/>
              </w:rPr>
              <w:t>199.72</w:t>
            </w:r>
            <w:r>
              <w:rPr>
                <w:rFonts w:hint="default" w:ascii="Times New Roman" w:hAnsi="Times New Roman" w:cs="Times New Roman"/>
                <w:color w:val="auto"/>
                <w:spacing w:val="-3"/>
                <w:sz w:val="21"/>
                <w:szCs w:val="21"/>
              </w:rPr>
              <w:t>公</w:t>
            </w:r>
            <w:r>
              <w:rPr>
                <w:rFonts w:hint="default" w:ascii="Times New Roman" w:hAnsi="Times New Roman" w:cs="Times New Roman"/>
                <w:color w:val="auto"/>
                <w:spacing w:val="-4"/>
                <w:sz w:val="21"/>
                <w:szCs w:val="21"/>
              </w:rPr>
              <w:t>顷，其中</w:t>
            </w:r>
            <w:r>
              <w:rPr>
                <w:rFonts w:hint="default" w:ascii="Times New Roman" w:hAnsi="Times New Roman" w:cs="Times New Roman"/>
                <w:color w:val="auto"/>
                <w:spacing w:val="-1"/>
                <w:sz w:val="21"/>
                <w:szCs w:val="21"/>
              </w:rPr>
              <w:t>增加湖南稀土新材料产</w:t>
            </w:r>
            <w:r>
              <w:rPr>
                <w:rFonts w:hint="default" w:ascii="Times New Roman" w:hAnsi="Times New Roman" w:cs="Times New Roman"/>
                <w:color w:val="auto"/>
                <w:spacing w:val="-2"/>
                <w:sz w:val="21"/>
                <w:szCs w:val="21"/>
              </w:rPr>
              <w:t>业园</w:t>
            </w:r>
            <w:r>
              <w:rPr>
                <w:rFonts w:hint="default" w:ascii="Times New Roman" w:hAnsi="Times New Roman" w:eastAsia="Times New Roman" w:cs="Times New Roman"/>
                <w:color w:val="auto"/>
                <w:spacing w:val="-2"/>
                <w:sz w:val="21"/>
                <w:szCs w:val="21"/>
              </w:rPr>
              <w:t>68.21</w:t>
            </w:r>
            <w:r>
              <w:rPr>
                <w:rFonts w:hint="default" w:ascii="Times New Roman" w:hAnsi="Times New Roman" w:cs="Times New Roman"/>
                <w:color w:val="auto"/>
                <w:spacing w:val="-2"/>
                <w:sz w:val="21"/>
                <w:szCs w:val="21"/>
              </w:rPr>
              <w:t>公顷，与河</w:t>
            </w:r>
            <w:r>
              <w:rPr>
                <w:rFonts w:hint="default" w:ascii="Times New Roman" w:hAnsi="Times New Roman" w:cs="Times New Roman"/>
                <w:color w:val="auto"/>
                <w:spacing w:val="-1"/>
                <w:sz w:val="21"/>
                <w:szCs w:val="21"/>
              </w:rPr>
              <w:t>西工业园、珠山锰系新</w:t>
            </w:r>
            <w:r>
              <w:rPr>
                <w:rFonts w:hint="default" w:ascii="Times New Roman" w:hAnsi="Times New Roman" w:cs="Times New Roman"/>
                <w:color w:val="auto"/>
                <w:sz w:val="21"/>
                <w:szCs w:val="21"/>
              </w:rPr>
              <w:t>材料产业园形成了</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一</w:t>
            </w:r>
            <w:r>
              <w:rPr>
                <w:rFonts w:hint="default" w:ascii="Times New Roman" w:hAnsi="Times New Roman" w:cs="Times New Roman"/>
                <w:color w:val="auto"/>
                <w:spacing w:val="-3"/>
                <w:sz w:val="21"/>
                <w:szCs w:val="21"/>
              </w:rPr>
              <w:t>区三园多点联动</w:t>
            </w:r>
            <w:r>
              <w:rPr>
                <w:rFonts w:hint="eastAsia"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的功</w:t>
            </w:r>
            <w:r>
              <w:rPr>
                <w:rFonts w:hint="default" w:ascii="Times New Roman" w:hAnsi="Times New Roman" w:cs="Times New Roman"/>
                <w:color w:val="auto"/>
                <w:spacing w:val="-1"/>
                <w:sz w:val="21"/>
                <w:szCs w:val="21"/>
              </w:rPr>
              <w:t>能结构；河西工业园增加了卷烟厂范围</w:t>
            </w:r>
          </w:p>
        </w:tc>
      </w:tr>
    </w:tbl>
    <w:p>
      <w:pPr>
        <w:rPr>
          <w:rFonts w:hint="eastAsia"/>
          <w:b/>
          <w:snapToGrid/>
          <w:color w:val="auto"/>
          <w:sz w:val="21"/>
          <w:lang w:val="en-US"/>
        </w:rPr>
      </w:pPr>
    </w:p>
    <w:p>
      <w:pPr>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br w:type="page"/>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sectPr>
          <w:pgSz w:w="16840" w:h="11907" w:orient="landscape"/>
          <w:pgMar w:top="1418" w:right="1418" w:bottom="1701" w:left="1418" w:header="851" w:footer="1021" w:gutter="0"/>
          <w:pgBorders>
            <w:top w:val="none" w:sz="0" w:space="0"/>
            <w:left w:val="none" w:sz="0" w:space="0"/>
            <w:bottom w:val="none" w:sz="0" w:space="0"/>
            <w:right w:val="none" w:sz="0" w:space="0"/>
          </w:pgBorders>
          <w:pgNumType w:fmt="numberInDash"/>
          <w:cols w:space="720" w:num="1"/>
          <w:docGrid w:linePitch="312" w:charSpace="0"/>
        </w:sectPr>
      </w:pPr>
    </w:p>
    <w:p>
      <w:pPr>
        <w:pStyle w:val="11"/>
        <w:bidi w:val="0"/>
        <w:spacing w:line="360" w:lineRule="auto"/>
        <w:ind w:left="851" w:hanging="851"/>
        <w:rPr>
          <w:rFonts w:hint="default"/>
          <w:color w:val="auto"/>
          <w:sz w:val="30"/>
          <w:szCs w:val="30"/>
          <w:lang w:eastAsia="zh-CN"/>
        </w:rPr>
      </w:pPr>
      <w:r>
        <w:rPr>
          <w:rFonts w:hint="eastAsia"/>
          <w:color w:val="auto"/>
          <w:sz w:val="30"/>
          <w:szCs w:val="30"/>
          <w:lang w:val="en-US" w:eastAsia="zh-CN"/>
        </w:rPr>
        <w:t>园区</w:t>
      </w:r>
      <w:r>
        <w:rPr>
          <w:rFonts w:hint="default"/>
          <w:color w:val="auto"/>
          <w:sz w:val="30"/>
          <w:szCs w:val="30"/>
          <w:lang w:eastAsia="zh-CN"/>
        </w:rPr>
        <w:t>环境保护规划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eastAsia" w:ascii="Times New Roman" w:hAnsi="Times New Roman" w:cs="Times New Roman"/>
          <w:color w:val="auto"/>
          <w:szCs w:val="28"/>
          <w:u w:val="none" w:color="auto"/>
        </w:rPr>
        <w:t>1</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rPr>
        <w:t>排水规划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规划排水体制采用雨污分流制。</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（1）污水工程规划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1）污水处理设施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根据产业园</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三废</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排放要求及当地环保部门对产业园工业废水排放标准，产业园内各企业生产废水需自行处理达到三级排放标准后排至污水处理厂，园区污水处理厂出水中COD、氨氮，总磷，总氮执行</w:t>
      </w:r>
      <w:r>
        <w:rPr>
          <w:rFonts w:hint="default" w:ascii="Times New Roman" w:hAnsi="Times New Roman" w:cs="Times New Roman"/>
          <w:color w:val="auto"/>
          <w:szCs w:val="28"/>
          <w:u w:val="none" w:color="auto"/>
        </w:rPr>
        <w:t>《湖南省城镇污水处理厂主要水污染物排放标准》（DB42/T1546-2018）中二级标准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其余指标执行《城镇污水处理厂污染物排放标准》（</w:t>
      </w:r>
      <w:r>
        <w:rPr>
          <w:rFonts w:hint="default" w:ascii="Times New Roman" w:hAnsi="Times New Roman" w:cs="Times New Roman"/>
          <w:color w:val="auto"/>
          <w:szCs w:val="28"/>
          <w:u w:val="none" w:color="auto"/>
          <w:lang w:val="en-US" w:eastAsia="zh-CN"/>
        </w:rPr>
        <w:t>GB18918-2002</w:t>
      </w:r>
      <w:r>
        <w:rPr>
          <w:rFonts w:hint="eastAsia" w:ascii="Times New Roman" w:hAnsi="Times New Roman" w:cs="Times New Roman"/>
          <w:color w:val="auto"/>
          <w:szCs w:val="28"/>
          <w:u w:val="none" w:color="auto"/>
          <w:lang w:val="en-US" w:eastAsia="zh-CN"/>
        </w:rPr>
        <w:t>）一级</w:t>
      </w:r>
      <w:r>
        <w:rPr>
          <w:rFonts w:hint="default" w:ascii="Times New Roman" w:hAnsi="Times New Roman" w:cs="Times New Roman"/>
          <w:color w:val="auto"/>
          <w:szCs w:val="28"/>
          <w:u w:val="none" w:color="auto"/>
          <w:lang w:val="en-US" w:eastAsia="zh-CN"/>
        </w:rPr>
        <w:t>A</w:t>
      </w:r>
      <w:r>
        <w:rPr>
          <w:rFonts w:hint="eastAsia" w:ascii="Times New Roman" w:hAnsi="Times New Roman" w:cs="Times New Roman"/>
          <w:color w:val="auto"/>
          <w:szCs w:val="28"/>
          <w:u w:val="none" w:color="auto"/>
          <w:lang w:val="en-US" w:eastAsia="zh-CN"/>
        </w:rPr>
        <w:t>排放标准，处理后排放至湘江。</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规划污水统一排放至河西污水处理厂（鹿坪污水处理厂）统一，污水处理厂占地规模</w:t>
      </w:r>
      <w:r>
        <w:rPr>
          <w:rFonts w:hint="default" w:ascii="Times New Roman" w:hAnsi="Times New Roman" w:cs="Times New Roman"/>
          <w:color w:val="auto"/>
          <w:szCs w:val="28"/>
          <w:u w:val="none" w:color="auto"/>
          <w:lang w:val="en-US" w:eastAsia="zh-CN"/>
        </w:rPr>
        <w:t>100</w:t>
      </w:r>
      <w:r>
        <w:rPr>
          <w:rFonts w:hint="eastAsia" w:ascii="Times New Roman" w:hAnsi="Times New Roman" w:cs="Times New Roman"/>
          <w:color w:val="auto"/>
          <w:szCs w:val="28"/>
          <w:u w:val="none" w:color="auto"/>
          <w:lang w:val="en-US" w:eastAsia="zh-CN"/>
        </w:rPr>
        <w:t>亩，处理规模约</w:t>
      </w:r>
      <w:r>
        <w:rPr>
          <w:rFonts w:hint="default" w:ascii="Times New Roman" w:hAnsi="Times New Roman" w:cs="Times New Roman"/>
          <w:color w:val="auto"/>
          <w:szCs w:val="28"/>
          <w:u w:val="none" w:color="auto"/>
          <w:lang w:val="en-US" w:eastAsia="zh-CN"/>
        </w:rPr>
        <w:t>8</w:t>
      </w:r>
      <w:r>
        <w:rPr>
          <w:rFonts w:hint="eastAsia" w:ascii="Times New Roman" w:hAnsi="Times New Roman" w:cs="Times New Roman"/>
          <w:color w:val="auto"/>
          <w:szCs w:val="28"/>
          <w:u w:val="none" w:color="auto"/>
          <w:lang w:val="en-US" w:eastAsia="zh-CN"/>
        </w:rPr>
        <w:t>万</w:t>
      </w:r>
      <w:r>
        <w:rPr>
          <w:rFonts w:hint="default" w:ascii="Times New Roman" w:hAnsi="Times New Roman" w:cs="Times New Roman"/>
          <w:color w:val="auto"/>
          <w:szCs w:val="28"/>
          <w:u w:val="none" w:color="auto"/>
          <w:lang w:val="en-US" w:eastAsia="zh-CN"/>
        </w:rPr>
        <w:t>m³/d</w:t>
      </w:r>
      <w:r>
        <w:rPr>
          <w:rFonts w:hint="eastAsia" w:ascii="Times New Roman" w:hAnsi="Times New Roman" w:cs="Times New Roman"/>
          <w:color w:val="auto"/>
          <w:szCs w:val="28"/>
          <w:u w:val="none" w:color="auto"/>
          <w:lang w:val="en-US" w:eastAsia="zh-CN"/>
        </w:rPr>
        <w:t>，其中一期设计采用</w:t>
      </w:r>
      <w:r>
        <w:rPr>
          <w:rFonts w:hint="default" w:ascii="Times New Roman" w:hAnsi="Times New Roman" w:cs="Times New Roman"/>
          <w:color w:val="auto"/>
          <w:szCs w:val="28"/>
          <w:u w:val="none" w:color="auto"/>
          <w:lang w:val="en-US" w:eastAsia="zh-CN"/>
        </w:rPr>
        <w:t>AAO</w:t>
      </w:r>
      <w:r>
        <w:rPr>
          <w:rFonts w:hint="eastAsia" w:ascii="Times New Roman" w:hAnsi="Times New Roman" w:cs="Times New Roman"/>
          <w:color w:val="auto"/>
          <w:szCs w:val="28"/>
          <w:u w:val="none" w:color="auto"/>
          <w:lang w:val="en-US" w:eastAsia="zh-CN"/>
        </w:rPr>
        <w:t>处理工艺，</w:t>
      </w:r>
      <w:r>
        <w:rPr>
          <w:rFonts w:hint="default" w:ascii="Times New Roman" w:hAnsi="Times New Roman" w:cs="Times New Roman"/>
          <w:color w:val="auto"/>
          <w:szCs w:val="28"/>
          <w:u w:val="none" w:color="auto"/>
          <w:lang w:val="en-US" w:eastAsia="zh-CN"/>
        </w:rPr>
        <w:t>2</w:t>
      </w:r>
      <w:r>
        <w:rPr>
          <w:rFonts w:hint="eastAsia" w:ascii="Times New Roman" w:hAnsi="Times New Roman" w:cs="Times New Roman"/>
          <w:color w:val="auto"/>
          <w:szCs w:val="28"/>
          <w:u w:val="none" w:color="auto"/>
          <w:lang w:val="en-US" w:eastAsia="zh-CN"/>
        </w:rPr>
        <w:t>万</w:t>
      </w:r>
      <w:r>
        <w:rPr>
          <w:rFonts w:hint="default" w:ascii="Times New Roman" w:hAnsi="Times New Roman" w:cs="Times New Roman"/>
          <w:color w:val="auto"/>
          <w:szCs w:val="28"/>
          <w:u w:val="none" w:color="auto"/>
          <w:lang w:val="en-US" w:eastAsia="zh-CN"/>
        </w:rPr>
        <w:t>m³/d</w:t>
      </w:r>
      <w:r>
        <w:rPr>
          <w:rFonts w:hint="eastAsia" w:ascii="Times New Roman" w:hAnsi="Times New Roman" w:cs="Times New Roman"/>
          <w:color w:val="auto"/>
          <w:szCs w:val="28"/>
          <w:u w:val="none" w:color="auto"/>
          <w:lang w:val="en-US" w:eastAsia="zh-CN"/>
        </w:rPr>
        <w:t>处理规模，主要服务于零陵高新技术产业开发区调扩区中的河西工业园。</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2）管网规划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管网布置根据地形特点，考虑到规划用地布置情况，规划区内的污水由支管收集进入干管，再汇入规划区东侧石期河下游河西污水处理厂（鹿坪污水处理厂）进行统一处理，排水方式以自流为主，对于局部地形较低无法靠重力自流的污水采用泵站提升的形式排出。规划工业污水管管径为</w:t>
      </w:r>
      <w:r>
        <w:rPr>
          <w:rFonts w:hint="default" w:ascii="Times New Roman" w:hAnsi="Times New Roman" w:cs="Times New Roman"/>
          <w:color w:val="auto"/>
          <w:szCs w:val="28"/>
          <w:u w:val="none" w:color="auto"/>
          <w:lang w:val="en-US" w:eastAsia="zh-CN"/>
        </w:rPr>
        <w:t>Dw600</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Dw1200mm</w:t>
      </w:r>
      <w:r>
        <w:rPr>
          <w:rFonts w:hint="eastAsia" w:ascii="Times New Roman" w:hAnsi="Times New Roman" w:cs="Times New Roman"/>
          <w:color w:val="auto"/>
          <w:szCs w:val="28"/>
          <w:u w:val="none" w:color="auto"/>
          <w:lang w:val="en-US" w:eastAsia="zh-CN"/>
        </w:rPr>
        <w:t>，污水管道一般铺设在道路的北、西侧人行道或者绿化带下，管道最小覆土厚度</w:t>
      </w:r>
      <w:r>
        <w:rPr>
          <w:rFonts w:hint="default" w:ascii="Times New Roman" w:hAnsi="Times New Roman" w:cs="Times New Roman"/>
          <w:color w:val="auto"/>
          <w:szCs w:val="28"/>
          <w:u w:val="none" w:color="auto"/>
          <w:lang w:val="en-US" w:eastAsia="zh-CN"/>
        </w:rPr>
        <w:t>0.7</w:t>
      </w:r>
      <w:r>
        <w:rPr>
          <w:rFonts w:hint="eastAsia" w:ascii="Times New Roman" w:hAnsi="Times New Roman" w:cs="Times New Roman"/>
          <w:color w:val="auto"/>
          <w:szCs w:val="28"/>
          <w:u w:val="none" w:color="auto"/>
          <w:lang w:val="en-US" w:eastAsia="zh-CN"/>
        </w:rPr>
        <w:t>米。</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（2）雨水工程规划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顺应规划区地形地势，规划雨水管沿路网布置，采用高水高排，低水低排原则，以便于分片管理，用最短管线、较小管径就近排入水体。产业园有由南向北穿越园区的白水沟渠流过，根据地形坡度，园区内的雨水能靠重力流得以排放。园区各工业用地区域的初期雨水含污染物质，需设置场地初期雨水收集池，截留初期雨水排至污水处理站，后期雨水排入规划的雨水管道，最终排入园区东部白水沟渠。</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雨水管管径为</w:t>
      </w:r>
      <w:r>
        <w:rPr>
          <w:rFonts w:hint="default" w:ascii="Times New Roman" w:hAnsi="Times New Roman" w:cs="Times New Roman"/>
          <w:color w:val="auto"/>
          <w:szCs w:val="28"/>
          <w:u w:val="none" w:color="auto"/>
          <w:lang w:val="en-US" w:eastAsia="zh-CN"/>
        </w:rPr>
        <w:t>DN600</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DN1200</w:t>
      </w:r>
      <w:r>
        <w:rPr>
          <w:rFonts w:hint="eastAsia" w:ascii="Times New Roman" w:hAnsi="Times New Roman" w:cs="Times New Roman"/>
          <w:color w:val="auto"/>
          <w:szCs w:val="28"/>
          <w:u w:val="none" w:color="auto"/>
          <w:lang w:val="en-US" w:eastAsia="zh-CN"/>
        </w:rPr>
        <w:t>，采用</w:t>
      </w:r>
      <w:r>
        <w:rPr>
          <w:rFonts w:hint="default" w:ascii="Times New Roman" w:hAnsi="Times New Roman" w:cs="Times New Roman"/>
          <w:color w:val="auto"/>
          <w:szCs w:val="28"/>
          <w:u w:val="none" w:color="auto"/>
          <w:lang w:val="en-US" w:eastAsia="zh-CN"/>
        </w:rPr>
        <w:t>HDPE</w:t>
      </w:r>
      <w:r>
        <w:rPr>
          <w:rFonts w:hint="eastAsia" w:ascii="Times New Roman" w:hAnsi="Times New Roman" w:cs="Times New Roman"/>
          <w:color w:val="auto"/>
          <w:szCs w:val="28"/>
          <w:u w:val="none" w:color="auto"/>
          <w:lang w:val="en-US" w:eastAsia="zh-CN"/>
        </w:rPr>
        <w:t>排水管，覆土深度约</w:t>
      </w:r>
      <w:r>
        <w:rPr>
          <w:rFonts w:hint="default" w:ascii="Times New Roman" w:hAnsi="Times New Roman" w:cs="Times New Roman"/>
          <w:color w:val="auto"/>
          <w:szCs w:val="28"/>
          <w:u w:val="none" w:color="auto"/>
          <w:lang w:val="en-US" w:eastAsia="zh-CN"/>
        </w:rPr>
        <w:t>1.0m</w:t>
      </w:r>
      <w:r>
        <w:rPr>
          <w:rFonts w:hint="eastAsia" w:ascii="Times New Roman" w:hAnsi="Times New Roman" w:cs="Times New Roman"/>
          <w:color w:val="auto"/>
          <w:szCs w:val="28"/>
          <w:u w:val="none" w:color="auto"/>
          <w:lang w:val="en-US" w:eastAsia="zh-CN"/>
        </w:rPr>
        <w:t>。雨水管线沿道路布置，依照道路坡向尽可能顺坡敷设，沿道路每隔一定间距设置雨水口，交叉、转弯及一定距离设置检查井。</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大气</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噪声环境保护规划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环境空气执行《大气污染物综合排放标准》（GB16297-96）表2中二级标准，工业</w:t>
      </w:r>
      <w:r>
        <w:rPr>
          <w:rFonts w:hint="eastAsia" w:ascii="Times New Roman" w:hAnsi="Times New Roman" w:eastAsia="宋体" w:cs="Times New Roman"/>
          <w:color w:val="auto"/>
          <w:szCs w:val="28"/>
          <w:u w:val="none" w:color="auto"/>
          <w:lang w:eastAsia="zh-CN"/>
        </w:rPr>
        <w:t>园区</w:t>
      </w:r>
      <w:r>
        <w:rPr>
          <w:rFonts w:hint="default" w:ascii="Times New Roman" w:hAnsi="Times New Roman" w:cs="Times New Roman"/>
          <w:color w:val="auto"/>
          <w:szCs w:val="28"/>
          <w:u w:val="none" w:color="auto"/>
        </w:rPr>
        <w:t>噪声按《城市区域环境噪声标准》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GB3096-1996</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中不同功能分区执行不同的标准，居住、工业混杂区执行2类标准，工业园区执行3类标准，道路交通干线两侧区域执行4类标准。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固体废物环境保护规划</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河西片区：目前片区未建设垃圾转运站，但建有垃圾收集站一处，片区内企业及居民产生的生活垃圾由环卫部门收集后运送至城市垃圾填埋场填埋；片区内产生的一般工业固体废物可回收或外售部分由各企业自行进行处理，无法回收部分一并交由环卫部门处理。园区在主要道路两侧及路口设置了垃圾箱。</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珠山片区：珠山片区正在进行初步建设，片区内企业及居民产生的生活垃圾由环卫部门收集后运送至城市垃圾填埋场填埋。</w:t>
      </w:r>
    </w:p>
    <w:p>
      <w:pPr>
        <w:pStyle w:val="11"/>
        <w:bidi w:val="0"/>
        <w:spacing w:line="360" w:lineRule="auto"/>
        <w:ind w:left="851" w:hanging="851"/>
        <w:rPr>
          <w:rFonts w:hint="eastAsia"/>
          <w:color w:val="auto"/>
          <w:sz w:val="30"/>
          <w:szCs w:val="30"/>
          <w:lang w:eastAsia="zh-CN"/>
        </w:rPr>
      </w:pPr>
      <w:bookmarkStart w:id="64" w:name="_Toc24290"/>
      <w:r>
        <w:rPr>
          <w:rFonts w:hint="eastAsia"/>
          <w:color w:val="auto"/>
          <w:sz w:val="30"/>
          <w:szCs w:val="30"/>
          <w:lang w:eastAsia="zh-CN"/>
        </w:rPr>
        <w:t>园区污染物排放及入驻企业调查</w:t>
      </w:r>
      <w:bookmarkEnd w:id="64"/>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园区入驻企业运行及排污情况见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表，根据调查评价范围内没有在建、已批未建的排放同类特征污染物的工业企业。</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sectPr>
          <w:pgSz w:w="11907" w:h="16840"/>
          <w:pgMar w:top="1417" w:right="1701" w:bottom="1417" w:left="1418" w:header="851" w:footer="1020" w:gutter="0"/>
          <w:pgBorders>
            <w:top w:val="none" w:sz="0" w:space="0"/>
            <w:left w:val="none" w:sz="0" w:space="0"/>
            <w:bottom w:val="none" w:sz="0" w:space="0"/>
            <w:right w:val="none" w:sz="0" w:space="0"/>
          </w:pgBorders>
          <w:pgNumType w:fmt="numberInDash"/>
          <w:cols w:space="0" w:num="1"/>
          <w:rtlGutter w:val="0"/>
          <w:docGrid w:linePitch="312" w:charSpace="0"/>
        </w:sectPr>
      </w:pP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河西片区入园企业污染源调查表</w:t>
      </w:r>
    </w:p>
    <w:tbl>
      <w:tblPr>
        <w:tblStyle w:val="23"/>
        <w:tblW w:w="140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375"/>
        <w:gridCol w:w="1451"/>
        <w:gridCol w:w="1475"/>
        <w:gridCol w:w="945"/>
        <w:gridCol w:w="1486"/>
        <w:gridCol w:w="791"/>
        <w:gridCol w:w="1248"/>
        <w:gridCol w:w="1549"/>
        <w:gridCol w:w="986"/>
        <w:gridCol w:w="879"/>
        <w:gridCol w:w="1086"/>
        <w:gridCol w:w="1125"/>
        <w:gridCol w:w="6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75"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1451"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企业名称</w:t>
            </w:r>
          </w:p>
        </w:tc>
        <w:tc>
          <w:tcPr>
            <w:tcW w:w="1475"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建设内容及规模</w:t>
            </w:r>
          </w:p>
        </w:tc>
        <w:tc>
          <w:tcPr>
            <w:tcW w:w="945"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占地面积（m</w:t>
            </w:r>
            <w:r>
              <w:rPr>
                <w:rFonts w:hint="default" w:ascii="Times New Roman" w:hAnsi="Times New Roman" w:cs="Times New Roman"/>
                <w:b/>
                <w:bCs/>
                <w:color w:val="auto"/>
                <w:sz w:val="21"/>
                <w:szCs w:val="21"/>
                <w:vertAlign w:val="superscript"/>
              </w:rPr>
              <w:t>2</w:t>
            </w:r>
            <w:r>
              <w:rPr>
                <w:rFonts w:hint="default" w:ascii="Times New Roman" w:hAnsi="Times New Roman" w:cs="Times New Roman"/>
                <w:b/>
                <w:bCs/>
                <w:color w:val="auto"/>
                <w:sz w:val="21"/>
                <w:szCs w:val="21"/>
              </w:rPr>
              <w:t>）</w:t>
            </w:r>
          </w:p>
        </w:tc>
        <w:tc>
          <w:tcPr>
            <w:tcW w:w="1486"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能源消耗</w:t>
            </w:r>
          </w:p>
        </w:tc>
        <w:tc>
          <w:tcPr>
            <w:tcW w:w="2039" w:type="dxa"/>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废水</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废气</w:t>
            </w:r>
          </w:p>
        </w:tc>
        <w:tc>
          <w:tcPr>
            <w:tcW w:w="986"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一般固废产生量</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（t/a）</w:t>
            </w:r>
          </w:p>
        </w:tc>
        <w:tc>
          <w:tcPr>
            <w:tcW w:w="879"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危险废物产生量</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（t/a）</w:t>
            </w:r>
          </w:p>
        </w:tc>
        <w:tc>
          <w:tcPr>
            <w:tcW w:w="1086"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用水量</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（t/a）</w:t>
            </w:r>
          </w:p>
        </w:tc>
        <w:tc>
          <w:tcPr>
            <w:tcW w:w="1125"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行业</w:t>
            </w:r>
          </w:p>
        </w:tc>
        <w:tc>
          <w:tcPr>
            <w:tcW w:w="628" w:type="dxa"/>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运行情况</w:t>
            </w:r>
          </w:p>
        </w:tc>
      </w:tr>
      <w:tr>
        <w:tblPrEx>
          <w:tblCellMar>
            <w:top w:w="0" w:type="dxa"/>
            <w:left w:w="0" w:type="dxa"/>
            <w:bottom w:w="0" w:type="dxa"/>
            <w:right w:w="0" w:type="dxa"/>
          </w:tblCellMar>
        </w:tblPrEx>
        <w:trPr>
          <w:trHeight w:val="397" w:hRule="atLeast"/>
          <w:tblHeader/>
          <w:jc w:val="center"/>
        </w:trPr>
        <w:tc>
          <w:tcPr>
            <w:tcW w:w="375"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1451"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1475"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945"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1486"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废水量</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（t/a）</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污染物排放量（t/a）</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污染物排放量</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（t/a）</w:t>
            </w:r>
          </w:p>
        </w:tc>
        <w:tc>
          <w:tcPr>
            <w:tcW w:w="986"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879"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1086"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1125"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c>
          <w:tcPr>
            <w:tcW w:w="628" w:type="dxa"/>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b/>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永州雅大科技有限公司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发酵剂1500吨、蒸馏设备1000套</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10005</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电：3.5万kwh/a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969</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氨氮：0.02</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粉尘：0.5</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1140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设备制造、酿酒</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永州市巴佛莱特汽车饰品有限公司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EPP车用工具盒9万件、EPP地毯搁脚垫块20万件</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1250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电：50万kwh/a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306</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氨氮：0.21</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：0.66</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烟尘：1.0</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氮氧化物：2.0</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11.13</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2186</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轻纺</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永州市美源达玩具有限公司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年产600万只毛绒玩具</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15198.19</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电：8万kwh/a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5600</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COD：0.84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氨氮：0.13</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119</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7000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轻纺</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永州市永和门业有限公司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年产1.5万樘金属门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2054.6</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电：120万kwh/a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1345.4</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氨氮：0.02</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VOCs：4.79</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18.65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2.49</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1581</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家具</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永州茂森玻璃有限公司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年产钢化玻璃4000t、中空瓶2t、夹胶玻璃2t</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14222</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电：70万kwh/a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1542.68</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COD：0.66</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氨氮：0.24</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VOCs：0.001</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7.45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1784</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玻璃加工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唐人神集团湘大骆驼饲料公司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猪禽饲料30万吨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33000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电：700万kwh</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2884.05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COD：0.84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氨氮：0.13</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：5.95</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烟尘：1.74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氮氧化物：3.54</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6084</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饲料加工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永州盛业有机科技有限公司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甲醛及二氯乙腈6万吨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22844</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电：147万kwh</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汽：18063.68m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（自产）</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6730</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COD：0.768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SS：0.192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甲醛：0.006</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甲醇：8.115</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甲醛：0.14</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2.06</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66912</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精细化工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永州市远鸿农林实业有限公司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年加工桌子200套、柜子300套、沙发20套、床40套、茶桌20套</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30775.4</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电：30kwh</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1329.825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氨氮：0.18</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木材粉尘：0.2</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8.1</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3256.08</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竹木加工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永州温氏养猪有限公司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年产饲料12万吨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33333</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电：100万kwh</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生物质颗粒：7700t/a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1153.62</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氨氮：0.06</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：9.16</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烟尘：2.70</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氮氧化物：5.50</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100.36</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2433.6</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饲料加工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永州市三利报废汽车回收拆解有限公司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汽车回收3000台</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25433</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电：3.6万kwh</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382.8</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石油类：0.114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COD：2.17</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氨氮：0.12</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金属粉尘：0.39</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VOCs：0.615</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1221.75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302.25</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168</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再利用</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永州市漓源饲料有限公司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年产24万吨饲料；粮食仓储2.6万吨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40000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电：365万kwh/a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8647.5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氨氮：0.49</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：5.95</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烟尘：1.74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氮氧化物：3.54</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490.5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14600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饲料加工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永州市沐林冷链有限公司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年储存销售果蔬产品4万吨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13138.5</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电：82万kwh/a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5717</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COD：0.57</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氨氮：0.11</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SS：0.36</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2109.75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6770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电商</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湖南德福隆科技有限责任公司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OGS触摸屏及LCO显示器600万对</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67281.71</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电：300万kwh/a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18178.15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COD：13.0</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氨氮：1.98</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VOCs：0.76</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21386</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永州浙南竹木有限公司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年生产竹制高档地板、菜板30万平方及竹制家具</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580</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COD：0.66</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氨氮：0.24</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：5.95</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烟尘：1.74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氮氧化物：3.54</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17.625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725</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竹木加工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湖南金翼堂药业有限公司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中药饮片5000吨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13300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电：142万kwh/a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221.06</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COD：0.48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BOD：0.08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SS：0.21</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氨氮：0.04</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中药粉尘：0.15</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682.06</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生物医药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永州市永靛中药饮片有限公司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厚朴、薄荷、杜仲、金银花四种中药饮片5000吨</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13300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电：142万kwh/a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1200</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COD：0.48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BOD：0.08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SS：0.21</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氨氮：0.04</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粉尘：0.15</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生物医药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湖南崧顺科技有限公司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年产电源开关120万件</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7200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电：24万kwh/a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1620</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SS：0.109</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COD：0.058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BOD：0.005</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氨氮：0.017</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焊废气：1.10</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VOCs：1.22</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28.1</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480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永州市零陵区正源肉食品有限公司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年屠宰生猪9万头、肉牛5000头</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16219.37</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电：14万kwh/a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49626</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COD：0.19</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BOD：0.07</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总磷：0.008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总氮：0.05</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：0.82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烟尘：14.89</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氮氧化物：63.56</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799.52</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62605</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食品加工</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永州市海硕电子有限公司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电子部件数据线加工</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标准厂房</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电：28万kwh/a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3442.5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氨氮：0.12</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r>
              <w:rPr>
                <w:rFonts w:hint="eastAsia"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rPr>
              <w:t>0.01</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126.72</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4050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永州精信源弹簧五金制造有限公司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车弹簧、冲压件等五金1.5亿个</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13500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电：38万kwh/a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108</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COD：0.27</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石油类：0.63</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烟尘：0.12</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机械</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永州市鸿泰塑料制品公司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1500吨农地膜</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9300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电：6000万kwh/a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109.3</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COD：0.00547</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氨氮：0.000547</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VOCs：0.525</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2.52</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122.4（无生产用水，5人生活用水204天）</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塑料制品</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永州市长鑫汽车配件有限公司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汽车座椅配件</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标准厂房</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电：2.4万kwh/a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124.8</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氨氮：0.08</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VOCs：0.048</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5.22</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156</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汽车配件</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永州市文彩印务有限公司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包装品印刷</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标准厂房</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电：1.2万kwh/a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氨氮：0.08</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VOCs：0.05</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印刷</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永州市湘特燃气有限公司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年充装20万瓶液化气</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6655.2</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4950</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SS：0.07</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VOCs：0.012</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1.62</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492</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城市燃气</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永州市益生药品零售连锁有限公司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药品储存1400平</w:t>
            </w:r>
            <w:r>
              <w:rPr>
                <w:rFonts w:hint="eastAsia" w:ascii="Times New Roman" w:hAnsi="Times New Roman" w:eastAsia="宋体" w:cs="Times New Roman"/>
                <w:color w:val="auto"/>
                <w:sz w:val="21"/>
                <w:szCs w:val="21"/>
                <w:lang w:eastAsia="zh-CN"/>
              </w:rPr>
              <w:t>方米</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电：100万kwh/a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576</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氨氮：0.14</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48</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药品储存</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湖南核芯新能源科技有限公司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18650动力型锂离子电芯、锂离子电池</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电：28万kwh/a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3442.5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氨氮：0.004</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VOCs：0.72</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2.04</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168</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永州元硕电子有限公司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传输不限系统相关配件</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标准厂房</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电：28万kwh/a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3442.5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COD：0.172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氨氮：0.017</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VOCs：0.664</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1.08</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4050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湖南巨云智能科技有限公司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手机组装、包装</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标准厂房</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电：28万kwh/a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3442.5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COD：0.12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氨氮：0.14</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VOCs：0.048</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48</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492</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湖南盛迩威电子科技有限公司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超大屏幕电子黑板生产线</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67281.71</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电：300万kwh/a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18178.15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COD：13.0</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氨氮：1.98</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VOCs：0.76</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21386</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湖南赛菱体育用品有限公司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年生产100万顶头盔</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20000</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电：25万kwh/a；生物质1661.5t/a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2657</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COD：1.06</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氨氮：0.08</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烟尘：62.5；</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：1.41</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X</w:t>
            </w:r>
            <w:r>
              <w:rPr>
                <w:rFonts w:hint="default" w:ascii="Times New Roman" w:hAnsi="Times New Roman" w:cs="Times New Roman"/>
                <w:color w:val="auto"/>
                <w:sz w:val="21"/>
                <w:szCs w:val="21"/>
              </w:rPr>
              <w:t>：1.69</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非甲烷总烃：0.08693；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VOCs：0.131；</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二甲苯：0.0072</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9.2</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8.82</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2430</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体育用品</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试运行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湖南德诺贝莱健康产业有限公司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迷迭香、罗汉果植物提取物生产</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62963.86</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电：300万kwh/a；生物质2880t/a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11547.5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COD：4.267</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氨氮：0.431</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：1.47</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粉尘：32.4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氮氧化物：2.94</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乙醇：8.44</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390.36</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20407.8</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生物科技</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试运行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湖南保银科技有限公司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年产无线麦克风20万件，蓝牙音箱30万件，智能类产品5万件，围栏护栏10万m</w:t>
            </w:r>
            <w:r>
              <w:rPr>
                <w:rFonts w:hint="default" w:ascii="Times New Roman" w:hAnsi="Times New Roman" w:cs="Times New Roman"/>
                <w:color w:val="auto"/>
                <w:kern w:val="0"/>
                <w:sz w:val="21"/>
                <w:szCs w:val="21"/>
                <w:vertAlign w:val="superscript"/>
              </w:rPr>
              <w:t>2</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26442.5</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9435</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COD：2.831</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氨氮：0.283</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颗粒物：0.26；</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VOCs：1.13；</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甲苯：0.08</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二甲苯：0.168</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45.65</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33.885</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13987.51</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试运行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3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145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永州市杰宝电子有限公司</w:t>
            </w:r>
          </w:p>
        </w:tc>
        <w:tc>
          <w:tcPr>
            <w:tcW w:w="147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年产3000万PCS  LED光电器件</w:t>
            </w:r>
          </w:p>
        </w:tc>
        <w:tc>
          <w:tcPr>
            <w:tcW w:w="94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19909.32</w:t>
            </w:r>
          </w:p>
        </w:tc>
        <w:tc>
          <w:tcPr>
            <w:tcW w:w="14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38万kW.h/a</w:t>
            </w:r>
          </w:p>
        </w:tc>
        <w:tc>
          <w:tcPr>
            <w:tcW w:w="791"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3007.6</w:t>
            </w:r>
          </w:p>
        </w:tc>
        <w:tc>
          <w:tcPr>
            <w:tcW w:w="124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COD：0.902</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氨氮：0.060</w:t>
            </w:r>
          </w:p>
        </w:tc>
        <w:tc>
          <w:tcPr>
            <w:tcW w:w="154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烟尘：0.2</w:t>
            </w:r>
          </w:p>
        </w:tc>
        <w:tc>
          <w:tcPr>
            <w:tcW w:w="9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300.1782</w:t>
            </w:r>
          </w:p>
        </w:tc>
        <w:tc>
          <w:tcPr>
            <w:tcW w:w="879"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86"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3759.5</w:t>
            </w:r>
          </w:p>
        </w:tc>
        <w:tc>
          <w:tcPr>
            <w:tcW w:w="1125"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电子信息</w:t>
            </w:r>
          </w:p>
        </w:tc>
        <w:tc>
          <w:tcPr>
            <w:tcW w:w="628" w:type="dxa"/>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运行</w:t>
            </w:r>
          </w:p>
        </w:tc>
      </w:tr>
    </w:tbl>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left="0" w:leftChars="0" w:firstLine="0" w:firstLineChars="0"/>
        <w:jc w:val="both"/>
        <w:textAlignment w:val="baseline"/>
        <w:rPr>
          <w:rFonts w:hint="eastAsia" w:ascii="Times New Roman" w:hAnsi="Times New Roman" w:cs="Times New Roman"/>
          <w:color w:val="auto"/>
          <w:szCs w:val="28"/>
          <w:u w:val="none" w:color="auto"/>
        </w:rPr>
        <w:sectPr>
          <w:pgSz w:w="16840" w:h="11907" w:orient="landscape"/>
          <w:pgMar w:top="1418" w:right="1418" w:bottom="1701" w:left="1418" w:header="851" w:footer="1021" w:gutter="0"/>
          <w:pgBorders>
            <w:top w:val="none" w:sz="0" w:space="0"/>
            <w:left w:val="none" w:sz="0" w:space="0"/>
            <w:bottom w:val="none" w:sz="0" w:space="0"/>
            <w:right w:val="none" w:sz="0" w:space="0"/>
          </w:pgBorders>
          <w:pgNumType w:fmt="numberInDash"/>
          <w:cols w:space="720" w:num="1"/>
          <w:docGrid w:linePitch="312" w:charSpace="0"/>
        </w:sectPr>
      </w:pPr>
    </w:p>
    <w:p>
      <w:pPr>
        <w:pStyle w:val="5"/>
        <w:bidi w:val="0"/>
        <w:rPr>
          <w:rFonts w:hint="default" w:ascii="Times New Roman" w:hAnsi="Times New Roman" w:cs="Times New Roman" w:eastAsiaTheme="majorEastAsia"/>
          <w:color w:val="auto"/>
          <w:sz w:val="36"/>
          <w:szCs w:val="36"/>
        </w:rPr>
      </w:pPr>
      <w:bookmarkStart w:id="65" w:name="bookmark66"/>
      <w:bookmarkEnd w:id="65"/>
      <w:bookmarkStart w:id="66" w:name="bookmark64"/>
      <w:bookmarkEnd w:id="66"/>
      <w:bookmarkStart w:id="67" w:name="bookmark62"/>
      <w:bookmarkEnd w:id="67"/>
      <w:bookmarkStart w:id="68" w:name="_Toc22424"/>
      <w:r>
        <w:rPr>
          <w:rFonts w:hint="default" w:ascii="Times New Roman" w:hAnsi="Times New Roman" w:cs="Times New Roman" w:eastAsiaTheme="majorEastAsia"/>
          <w:color w:val="auto"/>
          <w:sz w:val="36"/>
          <w:szCs w:val="36"/>
        </w:rPr>
        <w:t>环境影响</w:t>
      </w:r>
      <w:r>
        <w:rPr>
          <w:rFonts w:hint="eastAsia" w:ascii="Times New Roman" w:hAnsi="Times New Roman" w:cs="Times New Roman" w:eastAsiaTheme="majorEastAsia"/>
          <w:color w:val="auto"/>
          <w:sz w:val="36"/>
          <w:szCs w:val="36"/>
          <w:lang w:val="en-US" w:eastAsia="zh-CN"/>
        </w:rPr>
        <w:t>预测与</w:t>
      </w:r>
      <w:r>
        <w:rPr>
          <w:rFonts w:hint="default" w:ascii="Times New Roman" w:hAnsi="Times New Roman" w:cs="Times New Roman" w:eastAsiaTheme="majorEastAsia"/>
          <w:color w:val="auto"/>
          <w:sz w:val="36"/>
          <w:szCs w:val="36"/>
        </w:rPr>
        <w:t>评价</w:t>
      </w:r>
      <w:bookmarkEnd w:id="68"/>
    </w:p>
    <w:p>
      <w:pPr>
        <w:pStyle w:val="10"/>
        <w:bidi w:val="0"/>
        <w:spacing w:line="360" w:lineRule="auto"/>
        <w:rPr>
          <w:rFonts w:hint="default" w:ascii="Times New Roman" w:hAnsi="Times New Roman" w:cs="Times New Roman"/>
          <w:color w:val="auto"/>
          <w:sz w:val="32"/>
          <w:szCs w:val="32"/>
          <w:lang w:val="en-US" w:eastAsia="zh-CN"/>
        </w:rPr>
      </w:pPr>
      <w:bookmarkStart w:id="69" w:name="_Toc11724"/>
      <w:r>
        <w:rPr>
          <w:rFonts w:hint="eastAsia" w:ascii="Times New Roman" w:hAnsi="Times New Roman" w:cs="Times New Roman"/>
          <w:color w:val="auto"/>
          <w:sz w:val="32"/>
          <w:szCs w:val="32"/>
          <w:lang w:val="en-US" w:eastAsia="zh-CN"/>
        </w:rPr>
        <w:t>施工期环境影响评价</w:t>
      </w:r>
      <w:bookmarkEnd w:id="69"/>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零陵高新技术产业开发区</w:t>
      </w:r>
      <w:r>
        <w:rPr>
          <w:rFonts w:hint="eastAsia" w:ascii="Times New Roman" w:hAnsi="Times New Roman" w:cs="Times New Roman"/>
          <w:color w:val="auto"/>
          <w:szCs w:val="28"/>
          <w:u w:val="none" w:color="auto"/>
        </w:rPr>
        <w:t>河西片区，建设单位</w:t>
      </w:r>
      <w:r>
        <w:rPr>
          <w:rFonts w:hint="eastAsia" w:ascii="Times New Roman" w:hAnsi="Times New Roman" w:eastAsia="宋体" w:cs="Times New Roman"/>
          <w:color w:val="auto"/>
          <w:szCs w:val="28"/>
          <w:u w:val="none" w:color="auto"/>
          <w:lang w:eastAsia="zh-CN"/>
        </w:rPr>
        <w:t>租用永州市三利报废汽车回收拆解有限公司厂区</w:t>
      </w:r>
      <w:r>
        <w:rPr>
          <w:rFonts w:hint="eastAsia" w:ascii="Times New Roman" w:hAnsi="Times New Roman" w:cs="Times New Roman"/>
          <w:color w:val="auto"/>
          <w:szCs w:val="28"/>
          <w:u w:val="none" w:color="auto"/>
        </w:rPr>
        <w:t>（包括生产用地、厂房、办公楼、</w:t>
      </w:r>
      <w:r>
        <w:rPr>
          <w:rFonts w:hint="eastAsia" w:ascii="Times New Roman" w:hAnsi="Times New Roman" w:eastAsia="宋体" w:cs="Times New Roman"/>
          <w:color w:val="auto"/>
          <w:szCs w:val="28"/>
          <w:u w:val="none" w:color="auto"/>
          <w:lang w:val="en-US" w:eastAsia="zh-CN"/>
        </w:rPr>
        <w:t>门卫室、食堂</w:t>
      </w:r>
      <w:r>
        <w:rPr>
          <w:rFonts w:hint="eastAsia" w:ascii="Times New Roman" w:hAnsi="Times New Roman" w:cs="Times New Roman"/>
          <w:color w:val="auto"/>
          <w:szCs w:val="28"/>
          <w:u w:val="none" w:color="auto"/>
        </w:rPr>
        <w:t>等）进行本项目的建设。本项目施工期间主要为设备安装、调试、环保设施的建设等。项目建设施工期较短，施工量较小。项目施工对自然环境和生态环境的不利影响，是暂时的、阶段性的和局部的；所造成的各种不利影响持续时间较短，影响程度较轻；所造成环境功能的改变，随工程施工的结束，各种不利影响亦将随之终止或逐步得到改善和恢复。</w:t>
      </w:r>
    </w:p>
    <w:p>
      <w:pPr>
        <w:pStyle w:val="10"/>
        <w:bidi w:val="0"/>
        <w:spacing w:line="360" w:lineRule="auto"/>
        <w:rPr>
          <w:rFonts w:hint="default" w:ascii="Times New Roman" w:hAnsi="Times New Roman" w:cs="Times New Roman"/>
          <w:color w:val="auto"/>
          <w:sz w:val="32"/>
          <w:szCs w:val="32"/>
        </w:rPr>
      </w:pPr>
      <w:bookmarkStart w:id="70" w:name="_Toc18984"/>
      <w:r>
        <w:rPr>
          <w:rFonts w:hint="default" w:ascii="Times New Roman" w:hAnsi="Times New Roman" w:cs="Times New Roman"/>
          <w:color w:val="auto"/>
          <w:sz w:val="32"/>
          <w:szCs w:val="32"/>
        </w:rPr>
        <w:t>运营期</w:t>
      </w:r>
      <w:r>
        <w:rPr>
          <w:rFonts w:hint="eastAsia" w:ascii="Times New Roman" w:hAnsi="Times New Roman" w:cs="Times New Roman"/>
          <w:color w:val="auto"/>
          <w:sz w:val="32"/>
          <w:szCs w:val="32"/>
          <w:lang w:val="en-US" w:eastAsia="zh-CN"/>
        </w:rPr>
        <w:t>环境影响评价</w:t>
      </w:r>
      <w:bookmarkEnd w:id="70"/>
    </w:p>
    <w:p>
      <w:pPr>
        <w:pStyle w:val="11"/>
        <w:bidi w:val="0"/>
        <w:spacing w:line="360" w:lineRule="auto"/>
        <w:ind w:left="851" w:hanging="851"/>
        <w:rPr>
          <w:rFonts w:hint="default" w:ascii="Times New Roman" w:hAnsi="Times New Roman" w:eastAsia="宋体"/>
          <w:color w:val="auto"/>
          <w:sz w:val="30"/>
          <w:szCs w:val="30"/>
          <w:lang w:eastAsia="zh-CN"/>
        </w:rPr>
      </w:pPr>
      <w:r>
        <w:rPr>
          <w:rFonts w:hint="default" w:ascii="Times New Roman" w:hAnsi="Times New Roman" w:eastAsia="宋体"/>
          <w:color w:val="auto"/>
          <w:sz w:val="30"/>
          <w:szCs w:val="30"/>
          <w:lang w:eastAsia="zh-CN"/>
        </w:rPr>
        <w:t>运营期大气环境影响评价</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1</w:t>
      </w:r>
      <w:r>
        <w:rPr>
          <w:rFonts w:hint="eastAsia" w:ascii="Times New Roman" w:hAnsi="Times New Roman" w:cs="Times New Roman"/>
          <w:b/>
          <w:bCs/>
          <w:color w:val="auto"/>
          <w:szCs w:val="28"/>
          <w:u w:val="none" w:color="auto"/>
          <w:lang w:eastAsia="zh-CN"/>
        </w:rPr>
        <w:t>）预测模式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本次</w:t>
      </w:r>
      <w:r>
        <w:rPr>
          <w:rFonts w:hint="eastAsia" w:ascii="Times New Roman" w:hAnsi="Times New Roman" w:cs="Times New Roman"/>
          <w:color w:val="auto"/>
          <w:szCs w:val="28"/>
          <w:u w:val="none" w:color="auto"/>
          <w:lang w:val="en-US" w:eastAsia="zh-CN"/>
        </w:rPr>
        <w:t>环评</w:t>
      </w:r>
      <w:r>
        <w:rPr>
          <w:rFonts w:hint="default" w:ascii="Times New Roman" w:hAnsi="Times New Roman" w:cs="Times New Roman"/>
          <w:color w:val="auto"/>
          <w:szCs w:val="28"/>
          <w:u w:val="none" w:color="auto"/>
          <w:lang w:val="en-US" w:eastAsia="zh-CN"/>
        </w:rPr>
        <w:t>选择AERMOD模型进行预测</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预测各污染源坐标采用平面直角坐标系，以RTO处理装置废气排口作为坐标原点（0，0），正东方向为X轴，正北方向为Y轴。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2</w:t>
      </w:r>
      <w:r>
        <w:rPr>
          <w:rFonts w:hint="eastAsia" w:ascii="Times New Roman" w:hAnsi="Times New Roman" w:cs="Times New Roman"/>
          <w:b/>
          <w:bCs/>
          <w:color w:val="auto"/>
          <w:szCs w:val="28"/>
          <w:u w:val="none" w:color="auto"/>
          <w:lang w:eastAsia="zh-CN"/>
        </w:rPr>
        <w:t>）预测条件</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left="0" w:leftChars="0" w:firstLine="0" w:firstLineChars="0"/>
        <w:jc w:val="both"/>
        <w:textAlignment w:val="baseline"/>
        <w:rPr>
          <w:rFonts w:hint="default"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①大气污染物排放参数</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项目点源参数表</w:t>
      </w:r>
    </w:p>
    <w:tbl>
      <w:tblPr>
        <w:tblStyle w:val="29"/>
        <w:tblW w:w="503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74"/>
        <w:gridCol w:w="875"/>
        <w:gridCol w:w="699"/>
        <w:gridCol w:w="670"/>
        <w:gridCol w:w="706"/>
        <w:gridCol w:w="509"/>
        <w:gridCol w:w="532"/>
        <w:gridCol w:w="588"/>
        <w:gridCol w:w="498"/>
        <w:gridCol w:w="588"/>
        <w:gridCol w:w="455"/>
        <w:gridCol w:w="311"/>
        <w:gridCol w:w="562"/>
        <w:gridCol w:w="71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5" w:hRule="atLeast"/>
        </w:trPr>
        <w:tc>
          <w:tcPr>
            <w:tcW w:w="40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编号</w:t>
            </w:r>
          </w:p>
        </w:tc>
        <w:tc>
          <w:tcPr>
            <w:tcW w:w="521"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名称</w:t>
            </w:r>
          </w:p>
        </w:tc>
        <w:tc>
          <w:tcPr>
            <w:tcW w:w="81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排气筒底部中</w:t>
            </w:r>
            <w:r>
              <w:rPr>
                <w:rFonts w:hint="default" w:ascii="Times New Roman" w:hAnsi="Times New Roman" w:cs="Times New Roman"/>
                <w:b/>
                <w:bCs/>
                <w:color w:val="auto"/>
                <w:spacing w:val="3"/>
                <w:sz w:val="21"/>
                <w:szCs w:val="21"/>
              </w:rPr>
              <w:t>心坐标</w:t>
            </w:r>
          </w:p>
        </w:tc>
        <w:tc>
          <w:tcPr>
            <w:tcW w:w="421"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b/>
                <w:bCs/>
                <w:color w:val="auto"/>
                <w:spacing w:val="6"/>
                <w:sz w:val="21"/>
                <w:szCs w:val="21"/>
              </w:rPr>
              <w:t>排气筒底</w:t>
            </w:r>
            <w:r>
              <w:rPr>
                <w:rFonts w:hint="default" w:ascii="Times New Roman" w:hAnsi="Times New Roman" w:cs="Times New Roman"/>
                <w:b/>
                <w:bCs/>
                <w:color w:val="auto"/>
                <w:spacing w:val="5"/>
                <w:sz w:val="21"/>
                <w:szCs w:val="21"/>
              </w:rPr>
              <w:t>部海拔高</w:t>
            </w:r>
            <w:r>
              <w:rPr>
                <w:rFonts w:hint="default" w:ascii="Times New Roman" w:hAnsi="Times New Roman" w:cs="Times New Roman"/>
                <w:b/>
                <w:bCs/>
                <w:color w:val="auto"/>
                <w:spacing w:val="2"/>
                <w:sz w:val="21"/>
                <w:szCs w:val="21"/>
              </w:rPr>
              <w:t>度</w:t>
            </w:r>
            <w:r>
              <w:rPr>
                <w:rFonts w:hint="default" w:ascii="Times New Roman" w:hAnsi="Times New Roman" w:eastAsia="Times New Roman" w:cs="Times New Roman"/>
                <w:b/>
                <w:bCs/>
                <w:color w:val="auto"/>
                <w:spacing w:val="2"/>
                <w:sz w:val="21"/>
                <w:szCs w:val="21"/>
              </w:rPr>
              <w:t>/m</w:t>
            </w:r>
          </w:p>
        </w:tc>
        <w:tc>
          <w:tcPr>
            <w:tcW w:w="30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b/>
                <w:bCs/>
                <w:color w:val="auto"/>
                <w:spacing w:val="5"/>
                <w:sz w:val="21"/>
                <w:szCs w:val="21"/>
              </w:rPr>
              <w:t>排气筒</w:t>
            </w:r>
            <w:r>
              <w:rPr>
                <w:rFonts w:hint="default" w:ascii="Times New Roman" w:hAnsi="Times New Roman" w:cs="Times New Roman"/>
                <w:b/>
                <w:bCs/>
                <w:color w:val="auto"/>
                <w:spacing w:val="3"/>
                <w:sz w:val="21"/>
                <w:szCs w:val="21"/>
              </w:rPr>
              <w:t>高度</w:t>
            </w:r>
            <w:r>
              <w:rPr>
                <w:rFonts w:hint="default" w:ascii="Times New Roman" w:hAnsi="Times New Roman" w:eastAsia="Times New Roman" w:cs="Times New Roman"/>
                <w:b/>
                <w:bCs/>
                <w:color w:val="auto"/>
                <w:spacing w:val="3"/>
                <w:sz w:val="21"/>
                <w:szCs w:val="21"/>
              </w:rPr>
              <w:t>/m</w:t>
            </w:r>
          </w:p>
        </w:tc>
        <w:tc>
          <w:tcPr>
            <w:tcW w:w="317"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b/>
                <w:bCs/>
                <w:color w:val="auto"/>
                <w:spacing w:val="6"/>
                <w:sz w:val="21"/>
                <w:szCs w:val="21"/>
              </w:rPr>
              <w:t>排气筒出</w:t>
            </w:r>
            <w:r>
              <w:rPr>
                <w:rFonts w:hint="default" w:ascii="Times New Roman" w:hAnsi="Times New Roman" w:cs="Times New Roman"/>
                <w:b/>
                <w:bCs/>
                <w:color w:val="auto"/>
                <w:spacing w:val="-2"/>
                <w:sz w:val="21"/>
                <w:szCs w:val="21"/>
              </w:rPr>
              <w:t>口内径</w:t>
            </w:r>
            <w:r>
              <w:rPr>
                <w:rFonts w:hint="default" w:ascii="Times New Roman" w:hAnsi="Times New Roman" w:eastAsia="Times New Roman" w:cs="Times New Roman"/>
                <w:b/>
                <w:bCs/>
                <w:color w:val="auto"/>
                <w:spacing w:val="-2"/>
                <w:sz w:val="21"/>
                <w:szCs w:val="21"/>
              </w:rPr>
              <w:t>/m</w:t>
            </w:r>
          </w:p>
        </w:tc>
        <w:tc>
          <w:tcPr>
            <w:tcW w:w="350"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烟气流速</w:t>
            </w:r>
            <w:r>
              <w:rPr>
                <w:rFonts w:hint="default" w:ascii="Times New Roman" w:hAnsi="Times New Roman" w:eastAsia="Times New Roman" w:cs="Times New Roman"/>
                <w:b/>
                <w:bCs/>
                <w:color w:val="auto"/>
                <w:spacing w:val="5"/>
                <w:sz w:val="21"/>
                <w:szCs w:val="21"/>
              </w:rPr>
              <w:t>/</w:t>
            </w:r>
            <w:r>
              <w:rPr>
                <w:rFonts w:hint="default" w:ascii="Times New Roman" w:hAnsi="Times New Roman" w:eastAsia="Times New Roman" w:cs="Times New Roman"/>
                <w:b/>
                <w:bCs/>
                <w:color w:val="auto"/>
                <w:sz w:val="21"/>
                <w:szCs w:val="21"/>
              </w:rPr>
              <w:t>m/s</w:t>
            </w:r>
          </w:p>
        </w:tc>
        <w:tc>
          <w:tcPr>
            <w:tcW w:w="296"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烟气温</w:t>
            </w:r>
            <w:r>
              <w:rPr>
                <w:rFonts w:hint="default" w:ascii="Times New Roman" w:hAnsi="Times New Roman" w:cs="Times New Roman"/>
                <w:b/>
                <w:bCs/>
                <w:color w:val="auto"/>
                <w:spacing w:val="3"/>
                <w:sz w:val="21"/>
                <w:szCs w:val="21"/>
              </w:rPr>
              <w:t>度</w:t>
            </w:r>
            <w:r>
              <w:rPr>
                <w:rFonts w:hint="default" w:ascii="Times New Roman" w:hAnsi="Times New Roman" w:eastAsia="Times New Roman" w:cs="Times New Roman"/>
                <w:b/>
                <w:bCs/>
                <w:color w:val="auto"/>
                <w:spacing w:val="3"/>
                <w:sz w:val="21"/>
                <w:szCs w:val="21"/>
              </w:rPr>
              <w:t>/</w:t>
            </w:r>
            <w:r>
              <w:rPr>
                <w:rFonts w:hint="default" w:ascii="Times New Roman" w:hAnsi="Times New Roman" w:cs="Times New Roman"/>
                <w:b/>
                <w:bCs/>
                <w:color w:val="auto"/>
                <w:spacing w:val="3"/>
                <w:sz w:val="21"/>
                <w:szCs w:val="21"/>
              </w:rPr>
              <w:t>℃</w:t>
            </w:r>
          </w:p>
        </w:tc>
        <w:tc>
          <w:tcPr>
            <w:tcW w:w="350"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3"/>
                <w:sz w:val="21"/>
                <w:szCs w:val="21"/>
              </w:rPr>
            </w:pPr>
            <w:r>
              <w:rPr>
                <w:rFonts w:hint="default" w:ascii="Times New Roman" w:hAnsi="Times New Roman" w:cs="Times New Roman"/>
                <w:b/>
                <w:bCs/>
                <w:color w:val="auto"/>
                <w:spacing w:val="3"/>
                <w:sz w:val="21"/>
                <w:szCs w:val="21"/>
              </w:rPr>
              <w:t>风量</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b/>
                <w:bCs/>
                <w:color w:val="auto"/>
                <w:spacing w:val="-1"/>
                <w:sz w:val="21"/>
                <w:szCs w:val="21"/>
                <w:lang w:val="en-US" w:eastAsia="zh-CN"/>
              </w:rPr>
              <w:t>/</w:t>
            </w:r>
            <w:r>
              <w:rPr>
                <w:rFonts w:hint="default" w:ascii="Times New Roman" w:hAnsi="Times New Roman" w:eastAsia="Times New Roman" w:cs="Times New Roman"/>
                <w:b/>
                <w:bCs/>
                <w:color w:val="auto"/>
                <w:spacing w:val="-1"/>
                <w:sz w:val="21"/>
                <w:szCs w:val="21"/>
              </w:rPr>
              <w:t>m</w:t>
            </w:r>
            <w:r>
              <w:rPr>
                <w:rFonts w:hint="eastAsia" w:ascii="Times New Roman" w:hAnsi="Times New Roman" w:eastAsia="宋体" w:cs="Times New Roman"/>
                <w:b/>
                <w:bCs/>
                <w:color w:val="auto"/>
                <w:spacing w:val="-1"/>
                <w:sz w:val="21"/>
                <w:szCs w:val="21"/>
                <w:vertAlign w:val="superscript"/>
                <w:lang w:val="en-US" w:eastAsia="zh-CN"/>
              </w:rPr>
              <w:t>3</w:t>
            </w:r>
            <w:r>
              <w:rPr>
                <w:rFonts w:hint="default" w:ascii="Times New Roman" w:hAnsi="Times New Roman" w:eastAsia="Times New Roman" w:cs="Times New Roman"/>
                <w:b/>
                <w:bCs/>
                <w:color w:val="auto"/>
                <w:spacing w:val="-1"/>
                <w:sz w:val="21"/>
                <w:szCs w:val="21"/>
              </w:rPr>
              <w:t>/h</w:t>
            </w:r>
          </w:p>
        </w:tc>
        <w:tc>
          <w:tcPr>
            <w:tcW w:w="271"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b/>
                <w:bCs/>
                <w:color w:val="auto"/>
                <w:spacing w:val="6"/>
                <w:sz w:val="21"/>
                <w:szCs w:val="21"/>
              </w:rPr>
              <w:t>年排放小</w:t>
            </w:r>
            <w:r>
              <w:rPr>
                <w:rFonts w:hint="default" w:ascii="Times New Roman" w:hAnsi="Times New Roman" w:cs="Times New Roman"/>
                <w:b/>
                <w:bCs/>
                <w:color w:val="auto"/>
                <w:spacing w:val="1"/>
                <w:sz w:val="21"/>
                <w:szCs w:val="21"/>
              </w:rPr>
              <w:t>时数</w:t>
            </w:r>
            <w:r>
              <w:rPr>
                <w:rFonts w:hint="default" w:ascii="Times New Roman" w:hAnsi="Times New Roman" w:eastAsia="Times New Roman" w:cs="Times New Roman"/>
                <w:b/>
                <w:bCs/>
                <w:color w:val="auto"/>
                <w:spacing w:val="1"/>
                <w:sz w:val="21"/>
                <w:szCs w:val="21"/>
              </w:rPr>
              <w:t>/h</w:t>
            </w:r>
          </w:p>
        </w:tc>
        <w:tc>
          <w:tcPr>
            <w:tcW w:w="185"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排放</w:t>
            </w:r>
            <w:r>
              <w:rPr>
                <w:rFonts w:hint="default" w:ascii="Times New Roman" w:hAnsi="Times New Roman" w:cs="Times New Roman"/>
                <w:b/>
                <w:bCs/>
                <w:color w:val="auto"/>
                <w:spacing w:val="2"/>
                <w:sz w:val="21"/>
                <w:szCs w:val="21"/>
              </w:rPr>
              <w:t>工况</w:t>
            </w:r>
          </w:p>
        </w:tc>
        <w:tc>
          <w:tcPr>
            <w:tcW w:w="762" w:type="pct"/>
            <w:gridSpan w:val="2"/>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污染物排放速率</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b/>
                <w:bCs/>
                <w:color w:val="auto"/>
                <w:spacing w:val="6"/>
                <w:sz w:val="21"/>
                <w:szCs w:val="21"/>
                <w:lang w:eastAsia="zh-CN"/>
              </w:rPr>
              <w:t>（</w:t>
            </w:r>
            <w:r>
              <w:rPr>
                <w:rFonts w:hint="default" w:ascii="Times New Roman" w:hAnsi="Times New Roman" w:eastAsia="Times New Roman" w:cs="Times New Roman"/>
                <w:b/>
                <w:bCs/>
                <w:color w:val="auto"/>
                <w:sz w:val="21"/>
                <w:szCs w:val="21"/>
              </w:rPr>
              <w:t>kg</w:t>
            </w:r>
            <w:r>
              <w:rPr>
                <w:rFonts w:hint="default" w:ascii="Times New Roman" w:hAnsi="Times New Roman" w:eastAsia="Times New Roman" w:cs="Times New Roman"/>
                <w:b/>
                <w:bCs/>
                <w:color w:val="auto"/>
                <w:spacing w:val="6"/>
                <w:sz w:val="21"/>
                <w:szCs w:val="21"/>
              </w:rPr>
              <w:t>/h</w:t>
            </w:r>
            <w:r>
              <w:rPr>
                <w:rFonts w:hint="default" w:ascii="Times New Roman" w:hAnsi="Times New Roman" w:cs="Times New Roman"/>
                <w:b/>
                <w:bCs/>
                <w:color w:val="auto"/>
                <w:spacing w:val="6"/>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5" w:hRule="atLeast"/>
        </w:trPr>
        <w:tc>
          <w:tcPr>
            <w:tcW w:w="4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52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1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1"/>
                <w:sz w:val="21"/>
                <w:szCs w:val="21"/>
              </w:rPr>
              <w:t>X</w:t>
            </w:r>
          </w:p>
        </w:tc>
        <w:tc>
          <w:tcPr>
            <w:tcW w:w="39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2"/>
                <w:sz w:val="21"/>
                <w:szCs w:val="21"/>
              </w:rPr>
              <w:t>Y</w:t>
            </w:r>
          </w:p>
        </w:tc>
        <w:tc>
          <w:tcPr>
            <w:tcW w:w="42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0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1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7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8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62" w:type="pct"/>
            <w:gridSpan w:val="2"/>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402"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DA</w:t>
            </w:r>
            <w:r>
              <w:rPr>
                <w:rFonts w:hint="default" w:ascii="Times New Roman" w:hAnsi="Times New Roman" w:eastAsia="Times New Roman" w:cs="Times New Roman"/>
                <w:color w:val="auto"/>
                <w:spacing w:val="8"/>
                <w:sz w:val="21"/>
                <w:szCs w:val="21"/>
              </w:rPr>
              <w:t>001</w:t>
            </w:r>
          </w:p>
        </w:tc>
        <w:tc>
          <w:tcPr>
            <w:tcW w:w="521"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Times New Roman" w:cs="Times New Roman"/>
                <w:color w:val="auto"/>
                <w:sz w:val="21"/>
                <w:szCs w:val="21"/>
              </w:rPr>
              <w:t>RTO</w:t>
            </w:r>
            <w:r>
              <w:rPr>
                <w:rFonts w:hint="default" w:ascii="Times New Roman" w:hAnsi="Times New Roman" w:cs="Times New Roman"/>
                <w:color w:val="auto"/>
                <w:spacing w:val="17"/>
                <w:sz w:val="21"/>
                <w:szCs w:val="21"/>
              </w:rPr>
              <w:t>处理</w:t>
            </w:r>
            <w:r>
              <w:rPr>
                <w:rFonts w:hint="default" w:ascii="Times New Roman" w:hAnsi="Times New Roman" w:cs="Times New Roman"/>
                <w:color w:val="auto"/>
                <w:spacing w:val="7"/>
                <w:sz w:val="21"/>
                <w:szCs w:val="21"/>
              </w:rPr>
              <w:t>装置废气</w:t>
            </w:r>
            <w:r>
              <w:rPr>
                <w:rFonts w:hint="default" w:ascii="Times New Roman" w:hAnsi="Times New Roman" w:cs="Times New Roman"/>
                <w:color w:val="auto"/>
                <w:spacing w:val="4"/>
                <w:sz w:val="21"/>
                <w:szCs w:val="21"/>
              </w:rPr>
              <w:t>排口</w:t>
            </w:r>
          </w:p>
        </w:tc>
        <w:tc>
          <w:tcPr>
            <w:tcW w:w="417"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111.575793</w:t>
            </w:r>
          </w:p>
        </w:tc>
        <w:tc>
          <w:tcPr>
            <w:tcW w:w="399"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26.208868</w:t>
            </w:r>
          </w:p>
        </w:tc>
        <w:tc>
          <w:tcPr>
            <w:tcW w:w="421"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126</w:t>
            </w:r>
          </w:p>
        </w:tc>
        <w:tc>
          <w:tcPr>
            <w:tcW w:w="303"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8"/>
                <w:sz w:val="21"/>
                <w:szCs w:val="21"/>
              </w:rPr>
              <w:t>15</w:t>
            </w:r>
          </w:p>
        </w:tc>
        <w:tc>
          <w:tcPr>
            <w:tcW w:w="317"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1.2</w:t>
            </w:r>
          </w:p>
        </w:tc>
        <w:tc>
          <w:tcPr>
            <w:tcW w:w="350"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12.28</w:t>
            </w:r>
          </w:p>
        </w:tc>
        <w:tc>
          <w:tcPr>
            <w:tcW w:w="296"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常温</w:t>
            </w:r>
          </w:p>
        </w:tc>
        <w:tc>
          <w:tcPr>
            <w:tcW w:w="350"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pacing w:val="2"/>
                <w:sz w:val="21"/>
                <w:szCs w:val="21"/>
                <w:lang w:val="en-US" w:eastAsia="zh-CN"/>
              </w:rPr>
              <w:t>48</w:t>
            </w:r>
            <w:r>
              <w:rPr>
                <w:rFonts w:hint="default" w:ascii="Times New Roman" w:hAnsi="Times New Roman" w:eastAsia="Times New Roman" w:cs="Times New Roman"/>
                <w:color w:val="auto"/>
                <w:spacing w:val="2"/>
                <w:sz w:val="21"/>
                <w:szCs w:val="21"/>
              </w:rPr>
              <w:t>000</w:t>
            </w:r>
          </w:p>
        </w:tc>
        <w:tc>
          <w:tcPr>
            <w:tcW w:w="271"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pacing w:val="2"/>
                <w:sz w:val="21"/>
                <w:szCs w:val="21"/>
                <w:lang w:val="en-US" w:eastAsia="zh-CN"/>
              </w:rPr>
              <w:t>72</w:t>
            </w:r>
            <w:r>
              <w:rPr>
                <w:rFonts w:hint="default" w:ascii="Times New Roman" w:hAnsi="Times New Roman" w:eastAsia="Times New Roman" w:cs="Times New Roman"/>
                <w:color w:val="auto"/>
                <w:spacing w:val="2"/>
                <w:sz w:val="21"/>
                <w:szCs w:val="21"/>
              </w:rPr>
              <w:t>00</w:t>
            </w:r>
          </w:p>
        </w:tc>
        <w:tc>
          <w:tcPr>
            <w:tcW w:w="185"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连续</w:t>
            </w:r>
          </w:p>
        </w:tc>
        <w:tc>
          <w:tcPr>
            <w:tcW w:w="3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4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4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52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1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9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2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0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1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p>
        </w:tc>
        <w:tc>
          <w:tcPr>
            <w:tcW w:w="2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p>
        </w:tc>
        <w:tc>
          <w:tcPr>
            <w:tcW w:w="27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8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7"/>
                <w:position w:val="-1"/>
                <w:sz w:val="21"/>
                <w:szCs w:val="21"/>
                <w:vertAlign w:val="subscript"/>
              </w:rPr>
              <w:t>2</w:t>
            </w:r>
          </w:p>
        </w:tc>
        <w:tc>
          <w:tcPr>
            <w:tcW w:w="4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pacing w:val="2"/>
                <w:sz w:val="21"/>
                <w:szCs w:val="21"/>
              </w:rPr>
              <w:t>0.00</w:t>
            </w:r>
            <w:r>
              <w:rPr>
                <w:rFonts w:hint="eastAsia" w:ascii="Times New Roman" w:hAnsi="Times New Roman" w:eastAsia="宋体" w:cs="Times New Roman"/>
                <w:color w:val="auto"/>
                <w:spacing w:val="2"/>
                <w:sz w:val="21"/>
                <w:szCs w:val="21"/>
                <w:lang w:val="en-US" w:eastAsia="zh-CN"/>
              </w:rPr>
              <w:t>125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4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52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1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9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2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0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1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9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5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7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8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NOx</w:t>
            </w:r>
          </w:p>
        </w:tc>
        <w:tc>
          <w:tcPr>
            <w:tcW w:w="4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0.0</w:t>
            </w:r>
            <w:r>
              <w:rPr>
                <w:rFonts w:hint="eastAsia" w:ascii="Times New Roman" w:hAnsi="Times New Roman" w:eastAsia="宋体" w:cs="Times New Roman"/>
                <w:color w:val="auto"/>
                <w:spacing w:val="2"/>
                <w:sz w:val="21"/>
                <w:szCs w:val="21"/>
                <w:lang w:val="en-US" w:eastAsia="zh-CN"/>
              </w:rPr>
              <w:t>0788</w:t>
            </w:r>
            <w:r>
              <w:rPr>
                <w:rFonts w:hint="default" w:ascii="Times New Roman" w:hAnsi="Times New Roman" w:eastAsia="Calibri" w:cs="Times New Roman"/>
                <w:color w:val="auto"/>
                <w:spacing w:val="2"/>
                <w:sz w:val="21"/>
                <w:szCs w:val="21"/>
              </w:rPr>
              <w:t>3</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项目面源参数表</w:t>
      </w:r>
    </w:p>
    <w:tbl>
      <w:tblPr>
        <w:tblStyle w:val="29"/>
        <w:tblW w:w="500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52"/>
        <w:gridCol w:w="817"/>
        <w:gridCol w:w="703"/>
        <w:gridCol w:w="997"/>
        <w:gridCol w:w="863"/>
        <w:gridCol w:w="724"/>
        <w:gridCol w:w="560"/>
        <w:gridCol w:w="770"/>
        <w:gridCol w:w="729"/>
        <w:gridCol w:w="448"/>
        <w:gridCol w:w="550"/>
        <w:gridCol w:w="63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330" w:type="pct"/>
            <w:vMerge w:val="restart"/>
            <w:tcBorders>
              <w:top w:val="single" w:color="000000" w:sz="12" w:space="0"/>
              <w:left w:val="single" w:color="000000" w:sz="12"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面源</w:t>
            </w:r>
          </w:p>
        </w:tc>
        <w:tc>
          <w:tcPr>
            <w:tcW w:w="910" w:type="pct"/>
            <w:gridSpan w:val="2"/>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面源起点坐标</w:t>
            </w:r>
          </w:p>
        </w:tc>
        <w:tc>
          <w:tcPr>
            <w:tcW w:w="597" w:type="pct"/>
            <w:vMerge w:val="restart"/>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6"/>
                <w:sz w:val="21"/>
                <w:szCs w:val="21"/>
              </w:rPr>
              <w:t>面源海拔高度</w:t>
            </w:r>
            <w:r>
              <w:rPr>
                <w:rFonts w:hint="default" w:ascii="Times New Roman" w:hAnsi="Times New Roman" w:eastAsia="Calibri" w:cs="Times New Roman"/>
                <w:b/>
                <w:bCs/>
                <w:color w:val="auto"/>
                <w:spacing w:val="4"/>
                <w:sz w:val="21"/>
                <w:szCs w:val="21"/>
              </w:rPr>
              <w:t>/m</w:t>
            </w:r>
          </w:p>
        </w:tc>
        <w:tc>
          <w:tcPr>
            <w:tcW w:w="517" w:type="pct"/>
            <w:vMerge w:val="restart"/>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sz w:val="21"/>
                <w:szCs w:val="21"/>
              </w:rPr>
              <w:t>面源</w:t>
            </w:r>
            <w:r>
              <w:rPr>
                <w:rFonts w:hint="default" w:ascii="Times New Roman" w:hAnsi="Times New Roman" w:cs="Times New Roman"/>
                <w:b/>
                <w:bCs/>
                <w:color w:val="auto"/>
                <w:spacing w:val="4"/>
                <w:sz w:val="21"/>
                <w:szCs w:val="21"/>
              </w:rPr>
              <w:t>长度</w:t>
            </w:r>
            <w:r>
              <w:rPr>
                <w:rFonts w:hint="default" w:ascii="Times New Roman" w:hAnsi="Times New Roman" w:eastAsia="Calibri" w:cs="Times New Roman"/>
                <w:b/>
                <w:bCs/>
                <w:color w:val="auto"/>
                <w:spacing w:val="4"/>
                <w:sz w:val="21"/>
                <w:szCs w:val="21"/>
              </w:rPr>
              <w:t>/m</w:t>
            </w:r>
          </w:p>
        </w:tc>
        <w:tc>
          <w:tcPr>
            <w:tcW w:w="433" w:type="pct"/>
            <w:vMerge w:val="restart"/>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sz w:val="21"/>
                <w:szCs w:val="21"/>
              </w:rPr>
              <w:t>面源</w:t>
            </w:r>
            <w:r>
              <w:rPr>
                <w:rFonts w:hint="default" w:ascii="Times New Roman" w:hAnsi="Times New Roman" w:cs="Times New Roman"/>
                <w:b/>
                <w:bCs/>
                <w:color w:val="auto"/>
                <w:spacing w:val="1"/>
                <w:sz w:val="21"/>
                <w:szCs w:val="21"/>
              </w:rPr>
              <w:t>宽度</w:t>
            </w:r>
            <w:r>
              <w:rPr>
                <w:rFonts w:hint="default" w:ascii="Times New Roman" w:hAnsi="Times New Roman" w:eastAsia="Calibri" w:cs="Times New Roman"/>
                <w:b/>
                <w:bCs/>
                <w:color w:val="auto"/>
                <w:spacing w:val="1"/>
                <w:sz w:val="21"/>
                <w:szCs w:val="21"/>
              </w:rPr>
              <w:t>/m</w:t>
            </w:r>
          </w:p>
        </w:tc>
        <w:tc>
          <w:tcPr>
            <w:tcW w:w="335" w:type="pct"/>
            <w:vMerge w:val="restart"/>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5"/>
                <w:sz w:val="21"/>
                <w:szCs w:val="21"/>
              </w:rPr>
              <w:t>与正北夹</w:t>
            </w:r>
            <w:r>
              <w:rPr>
                <w:rFonts w:hint="default" w:ascii="Times New Roman" w:hAnsi="Times New Roman" w:cs="Times New Roman"/>
                <w:b/>
                <w:bCs/>
                <w:color w:val="auto"/>
                <w:sz w:val="21"/>
                <w:szCs w:val="21"/>
              </w:rPr>
              <w:t>角</w:t>
            </w:r>
            <w:r>
              <w:rPr>
                <w:rFonts w:hint="default" w:ascii="Times New Roman" w:hAnsi="Times New Roman" w:eastAsia="Calibri" w:cs="Times New Roman"/>
                <w:b/>
                <w:bCs/>
                <w:color w:val="auto"/>
                <w:sz w:val="21"/>
                <w:szCs w:val="21"/>
              </w:rPr>
              <w:t>/o</w:t>
            </w:r>
          </w:p>
        </w:tc>
        <w:tc>
          <w:tcPr>
            <w:tcW w:w="461" w:type="pct"/>
            <w:vMerge w:val="restart"/>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6"/>
                <w:sz w:val="21"/>
                <w:szCs w:val="21"/>
              </w:rPr>
              <w:t>面源有效排</w:t>
            </w:r>
            <w:r>
              <w:rPr>
                <w:rFonts w:hint="default" w:ascii="Times New Roman" w:hAnsi="Times New Roman" w:cs="Times New Roman"/>
                <w:b/>
                <w:bCs/>
                <w:color w:val="auto"/>
                <w:spacing w:val="5"/>
                <w:sz w:val="21"/>
                <w:szCs w:val="21"/>
              </w:rPr>
              <w:t>放高度</w:t>
            </w:r>
            <w:r>
              <w:rPr>
                <w:rFonts w:hint="default" w:ascii="Times New Roman" w:hAnsi="Times New Roman" w:eastAsia="Calibri" w:cs="Times New Roman"/>
                <w:b/>
                <w:bCs/>
                <w:color w:val="auto"/>
                <w:spacing w:val="5"/>
                <w:sz w:val="21"/>
                <w:szCs w:val="21"/>
              </w:rPr>
              <w:t>/m</w:t>
            </w:r>
          </w:p>
        </w:tc>
        <w:tc>
          <w:tcPr>
            <w:tcW w:w="436" w:type="pct"/>
            <w:vMerge w:val="restart"/>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6"/>
                <w:sz w:val="21"/>
                <w:szCs w:val="21"/>
              </w:rPr>
              <w:t>年排放小</w:t>
            </w:r>
            <w:r>
              <w:rPr>
                <w:rFonts w:hint="default" w:ascii="Times New Roman" w:hAnsi="Times New Roman" w:cs="Times New Roman"/>
                <w:b/>
                <w:bCs/>
                <w:color w:val="auto"/>
                <w:spacing w:val="1"/>
                <w:sz w:val="21"/>
                <w:szCs w:val="21"/>
              </w:rPr>
              <w:t>时数</w:t>
            </w:r>
            <w:r>
              <w:rPr>
                <w:rFonts w:hint="default" w:ascii="Times New Roman" w:hAnsi="Times New Roman" w:eastAsia="Calibri" w:cs="Times New Roman"/>
                <w:b/>
                <w:bCs/>
                <w:color w:val="auto"/>
                <w:spacing w:val="1"/>
                <w:sz w:val="21"/>
                <w:szCs w:val="21"/>
              </w:rPr>
              <w:t>/h</w:t>
            </w:r>
          </w:p>
        </w:tc>
        <w:tc>
          <w:tcPr>
            <w:tcW w:w="268" w:type="pct"/>
            <w:vMerge w:val="restart"/>
            <w:tcBorders>
              <w:top w:val="single" w:color="000000" w:sz="12" w:space="0"/>
              <w:left w:val="single" w:color="000000" w:sz="4" w:space="0"/>
              <w:bottom w:val="single" w:color="000000" w:sz="4"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排放</w:t>
            </w:r>
            <w:r>
              <w:rPr>
                <w:rFonts w:hint="default" w:ascii="Times New Roman" w:hAnsi="Times New Roman" w:cs="Times New Roman"/>
                <w:b/>
                <w:bCs/>
                <w:color w:val="auto"/>
                <w:spacing w:val="2"/>
                <w:sz w:val="21"/>
                <w:szCs w:val="21"/>
              </w:rPr>
              <w:t>工况</w:t>
            </w:r>
          </w:p>
        </w:tc>
        <w:tc>
          <w:tcPr>
            <w:tcW w:w="709" w:type="pct"/>
            <w:gridSpan w:val="2"/>
            <w:vMerge w:val="restart"/>
            <w:tcBorders>
              <w:top w:val="single" w:color="000000" w:sz="12" w:space="0"/>
              <w:left w:val="single" w:color="000000" w:sz="4" w:space="0"/>
              <w:bottom w:val="single" w:color="000000" w:sz="4" w:space="0"/>
              <w:right w:val="single" w:color="000000" w:sz="12"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position w:val="2"/>
                <w:sz w:val="21"/>
                <w:szCs w:val="21"/>
              </w:rPr>
            </w:pPr>
            <w:r>
              <w:rPr>
                <w:rFonts w:hint="default" w:ascii="Times New Roman" w:hAnsi="Times New Roman" w:cs="Times New Roman"/>
                <w:b/>
                <w:bCs/>
                <w:color w:val="auto"/>
                <w:position w:val="2"/>
                <w:sz w:val="21"/>
                <w:szCs w:val="21"/>
              </w:rPr>
              <w:t>污染物排放速率</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position w:val="2"/>
                <w:sz w:val="21"/>
                <w:szCs w:val="21"/>
              </w:rPr>
              <w:t>（</w:t>
            </w:r>
            <w:r>
              <w:rPr>
                <w:rFonts w:hint="default" w:ascii="Times New Roman" w:hAnsi="Times New Roman" w:eastAsia="Calibri" w:cs="Times New Roman"/>
                <w:b/>
                <w:bCs/>
                <w:color w:val="auto"/>
                <w:position w:val="2"/>
                <w:sz w:val="21"/>
                <w:szCs w:val="21"/>
              </w:rPr>
              <w:t>kg/h</w:t>
            </w:r>
            <w:r>
              <w:rPr>
                <w:rFonts w:hint="default" w:ascii="Times New Roman" w:hAnsi="Times New Roman" w:cs="Times New Roman"/>
                <w:b/>
                <w:bCs/>
                <w:color w:val="auto"/>
                <w:position w:val="2"/>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0" w:hRule="atLeast"/>
        </w:trPr>
        <w:tc>
          <w:tcPr>
            <w:tcW w:w="330" w:type="pct"/>
            <w:vMerge w:val="continue"/>
            <w:tcBorders>
              <w:top w:val="single" w:color="000000" w:sz="4" w:space="0"/>
              <w:left w:val="single" w:color="000000" w:sz="12"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89"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1"/>
                <w:sz w:val="21"/>
                <w:szCs w:val="21"/>
              </w:rPr>
              <w:t>X</w:t>
            </w:r>
          </w:p>
        </w:tc>
        <w:tc>
          <w:tcPr>
            <w:tcW w:w="420"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2"/>
                <w:sz w:val="21"/>
                <w:szCs w:val="21"/>
              </w:rPr>
              <w:t>Y</w:t>
            </w:r>
          </w:p>
        </w:tc>
        <w:tc>
          <w:tcPr>
            <w:tcW w:w="597"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517"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3"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35"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61"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6"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68"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09" w:type="pct"/>
            <w:gridSpan w:val="2"/>
            <w:vMerge w:val="continue"/>
            <w:tcBorders>
              <w:top w:val="single" w:color="000000" w:sz="4" w:space="0"/>
              <w:left w:val="single" w:color="000000" w:sz="4" w:space="0"/>
              <w:bottom w:val="single" w:color="000000" w:sz="4" w:space="0"/>
              <w:right w:val="single" w:color="000000" w:sz="1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trPr>
        <w:tc>
          <w:tcPr>
            <w:tcW w:w="330" w:type="pct"/>
            <w:tcBorders>
              <w:top w:val="single" w:color="000000" w:sz="4" w:space="0"/>
              <w:left w:val="single" w:color="000000" w:sz="12" w:space="0"/>
              <w:bottom w:val="single" w:color="000000" w:sz="12"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生产厂房</w:t>
            </w:r>
          </w:p>
        </w:tc>
        <w:tc>
          <w:tcPr>
            <w:tcW w:w="489"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111.575568305</w:t>
            </w:r>
          </w:p>
        </w:tc>
        <w:tc>
          <w:tcPr>
            <w:tcW w:w="420"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26.208994425</w:t>
            </w:r>
          </w:p>
        </w:tc>
        <w:tc>
          <w:tcPr>
            <w:tcW w:w="597"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125</w:t>
            </w:r>
          </w:p>
        </w:tc>
        <w:tc>
          <w:tcPr>
            <w:tcW w:w="517"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98</w:t>
            </w:r>
          </w:p>
        </w:tc>
        <w:tc>
          <w:tcPr>
            <w:tcW w:w="433"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c>
          <w:tcPr>
            <w:tcW w:w="335"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Times New Roman" w:cs="Times New Roman"/>
                <w:color w:val="auto"/>
                <w:sz w:val="21"/>
                <w:szCs w:val="21"/>
              </w:rPr>
              <w:t>0</w:t>
            </w:r>
          </w:p>
        </w:tc>
        <w:tc>
          <w:tcPr>
            <w:tcW w:w="461"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8"/>
                <w:sz w:val="21"/>
                <w:szCs w:val="21"/>
              </w:rPr>
              <w:t>15</w:t>
            </w:r>
          </w:p>
        </w:tc>
        <w:tc>
          <w:tcPr>
            <w:tcW w:w="436"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pacing w:val="2"/>
                <w:sz w:val="21"/>
                <w:szCs w:val="21"/>
                <w:lang w:val="en-US" w:eastAsia="zh-CN"/>
              </w:rPr>
              <w:t>72</w:t>
            </w:r>
            <w:r>
              <w:rPr>
                <w:rFonts w:hint="default" w:ascii="Times New Roman" w:hAnsi="Times New Roman" w:eastAsia="Times New Roman" w:cs="Times New Roman"/>
                <w:color w:val="auto"/>
                <w:spacing w:val="2"/>
                <w:sz w:val="21"/>
                <w:szCs w:val="21"/>
              </w:rPr>
              <w:t>00</w:t>
            </w:r>
          </w:p>
        </w:tc>
        <w:tc>
          <w:tcPr>
            <w:tcW w:w="268" w:type="pct"/>
            <w:tcBorders>
              <w:top w:val="single" w:color="000000" w:sz="4" w:space="0"/>
              <w:left w:val="single" w:color="000000" w:sz="4" w:space="0"/>
              <w:bottom w:val="single" w:color="000000" w:sz="12" w:space="0"/>
              <w:right w:val="single" w:color="000000" w:sz="4" w:space="0"/>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连续</w:t>
            </w:r>
          </w:p>
        </w:tc>
        <w:tc>
          <w:tcPr>
            <w:tcW w:w="329" w:type="pct"/>
            <w:tcBorders>
              <w:top w:val="single" w:color="000000" w:sz="4" w:space="0"/>
              <w:left w:val="single" w:color="000000" w:sz="4" w:space="0"/>
              <w:bottom w:val="single" w:color="000000" w:sz="12" w:space="0"/>
              <w:right w:val="single" w:color="000000"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379" w:type="pct"/>
            <w:tcBorders>
              <w:top w:val="single" w:color="000000" w:sz="4" w:space="0"/>
              <w:left w:val="single" w:color="000000" w:sz="4" w:space="0"/>
              <w:bottom w:val="single" w:color="000000" w:sz="12" w:space="0"/>
              <w:right w:val="single" w:color="000000" w:sz="1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pacing w:val="2"/>
                <w:sz w:val="21"/>
                <w:szCs w:val="21"/>
              </w:rPr>
              <w:t>0.1</w:t>
            </w:r>
            <w:r>
              <w:rPr>
                <w:rFonts w:hint="eastAsia" w:ascii="Times New Roman" w:hAnsi="Times New Roman" w:eastAsia="宋体" w:cs="Times New Roman"/>
                <w:color w:val="auto"/>
                <w:spacing w:val="2"/>
                <w:sz w:val="21"/>
                <w:szCs w:val="21"/>
                <w:lang w:val="en-US" w:eastAsia="zh-CN"/>
              </w:rPr>
              <w:t>58</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firstLine="120" w:firstLineChars="50"/>
        <w:textAlignment w:val="baseline"/>
        <w:rPr>
          <w:rFonts w:hint="default" w:ascii="Times New Roman" w:hAnsi="Times New Roman" w:cs="Times New Roman" w:eastAsiaTheme="minorEastAsia"/>
          <w:color w:val="auto"/>
          <w:sz w:val="24"/>
          <w:u w:color="FFFFFF"/>
        </w:rPr>
      </w:pPr>
      <w:r>
        <w:rPr>
          <w:rFonts w:hint="default" w:ascii="Times New Roman" w:hAnsi="Times New Roman" w:cs="Times New Roman" w:eastAsiaTheme="minorEastAsia"/>
          <w:color w:val="auto"/>
          <w:sz w:val="24"/>
          <w:u w:color="FFFFFF"/>
        </w:rPr>
        <w:t>②地面气象数据</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本项目采用</w:t>
      </w: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2023年全年每天24小时的地面气象数据，气象因子包括风向、风速、总云量、低云量和干球温度。</w:t>
      </w: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气象站位于项目</w:t>
      </w:r>
      <w:r>
        <w:rPr>
          <w:rFonts w:hint="eastAsia" w:ascii="Times New Roman" w:hAnsi="Times New Roman" w:cs="Times New Roman" w:eastAsiaTheme="minorEastAsia"/>
          <w:color w:val="auto"/>
          <w:sz w:val="24"/>
          <w:lang w:eastAsia="zh-CN"/>
        </w:rPr>
        <w:t>东</w:t>
      </w:r>
      <w:r>
        <w:rPr>
          <w:rFonts w:hint="eastAsia" w:ascii="Times New Roman" w:hAnsi="Times New Roman" w:cs="Times New Roman" w:eastAsiaTheme="minorEastAsia"/>
          <w:color w:val="auto"/>
          <w:sz w:val="24"/>
          <w:lang w:val="en-US" w:eastAsia="zh-CN"/>
        </w:rPr>
        <w:t>北</w:t>
      </w:r>
      <w:r>
        <w:rPr>
          <w:rFonts w:hint="eastAsia" w:ascii="Times New Roman" w:hAnsi="Times New Roman" w:cs="Times New Roman" w:eastAsiaTheme="minorEastAsia"/>
          <w:color w:val="auto"/>
          <w:sz w:val="24"/>
          <w:lang w:eastAsia="zh-CN"/>
        </w:rPr>
        <w:t>侧</w:t>
      </w:r>
      <w:r>
        <w:rPr>
          <w:rFonts w:hint="eastAsia" w:ascii="Times New Roman" w:hAnsi="Times New Roman" w:cs="Times New Roman" w:eastAsiaTheme="minorEastAsia"/>
          <w:color w:val="auto"/>
          <w:sz w:val="24"/>
          <w:lang w:val="en-US" w:eastAsia="zh-CN"/>
        </w:rPr>
        <w:t>4.75</w:t>
      </w:r>
      <w:r>
        <w:rPr>
          <w:rFonts w:hint="eastAsia" w:ascii="Times New Roman" w:hAnsi="Times New Roman" w:cs="Times New Roman" w:eastAsiaTheme="minorEastAsia"/>
          <w:color w:val="auto"/>
          <w:sz w:val="24"/>
          <w:lang w:eastAsia="zh-CN"/>
        </w:rPr>
        <w:t>km</w:t>
      </w:r>
      <w:r>
        <w:rPr>
          <w:rFonts w:hint="default" w:ascii="Times New Roman" w:hAnsi="Times New Roman" w:cs="Times New Roman" w:eastAsiaTheme="minorEastAsia"/>
          <w:color w:val="auto"/>
          <w:sz w:val="24"/>
        </w:rPr>
        <w:t>，站台编号为</w:t>
      </w:r>
      <w:r>
        <w:rPr>
          <w:rFonts w:hint="eastAsia" w:ascii="Times New Roman" w:hAnsi="Times New Roman" w:cs="Times New Roman" w:eastAsiaTheme="minorEastAsia"/>
          <w:color w:val="auto"/>
          <w:sz w:val="24"/>
          <w:lang w:eastAsia="zh-CN"/>
        </w:rPr>
        <w:t>5</w:t>
      </w:r>
      <w:r>
        <w:rPr>
          <w:rFonts w:hint="eastAsia" w:ascii="Times New Roman" w:hAnsi="Times New Roman" w:cs="Times New Roman" w:eastAsiaTheme="minorEastAsia"/>
          <w:color w:val="auto"/>
          <w:sz w:val="24"/>
          <w:lang w:val="en-US" w:eastAsia="zh-CN"/>
        </w:rPr>
        <w:t>7866</w:t>
      </w:r>
      <w:r>
        <w:rPr>
          <w:rFonts w:hint="default" w:ascii="Times New Roman" w:hAnsi="Times New Roman" w:cs="Times New Roman" w:eastAsiaTheme="minorEastAsia"/>
          <w:color w:val="auto"/>
          <w:sz w:val="24"/>
        </w:rPr>
        <w:t>，站点经纬度为</w:t>
      </w:r>
      <w:r>
        <w:rPr>
          <w:rFonts w:hint="eastAsia" w:ascii="Times New Roman" w:hAnsi="Times New Roman" w:cs="Times New Roman" w:eastAsiaTheme="minorEastAsia"/>
          <w:color w:val="auto"/>
          <w:sz w:val="24"/>
          <w:lang w:eastAsia="zh-CN"/>
        </w:rPr>
        <w:t>北纬</w:t>
      </w:r>
      <w:r>
        <w:rPr>
          <w:rFonts w:hint="eastAsia" w:ascii="Times New Roman" w:hAnsi="Times New Roman" w:cs="Times New Roman" w:eastAsiaTheme="minorEastAsia"/>
          <w:color w:val="auto"/>
          <w:sz w:val="24"/>
        </w:rPr>
        <w:t>26.2258°、东经111.6167°</w:t>
      </w:r>
      <w:r>
        <w:rPr>
          <w:rFonts w:hint="default" w:ascii="Times New Roman" w:hAnsi="Times New Roman" w:cs="Times New Roman" w:eastAsiaTheme="minorEastAsia"/>
          <w:color w:val="auto"/>
          <w:sz w:val="24"/>
        </w:rPr>
        <w:t>。</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项目观测气象数据信息见表</w:t>
      </w:r>
      <w:r>
        <w:rPr>
          <w:rFonts w:hint="eastAsia" w:ascii="Times New Roman" w:hAnsi="Times New Roman" w:cs="Times New Roman" w:eastAsiaTheme="minorEastAsia"/>
          <w:color w:val="auto"/>
          <w:sz w:val="24"/>
          <w:lang w:val="en-US" w:eastAsia="zh-CN"/>
        </w:rPr>
        <w:t>6</w:t>
      </w:r>
      <w:r>
        <w:rPr>
          <w:rFonts w:hint="default" w:ascii="Times New Roman" w:hAnsi="Times New Roman" w:cs="Times New Roman" w:eastAsiaTheme="minorEastAsia"/>
          <w:color w:val="auto"/>
          <w:sz w:val="24"/>
        </w:rPr>
        <w:t>.2</w:t>
      </w:r>
      <w:r>
        <w:rPr>
          <w:rFonts w:hint="eastAsia" w:ascii="Times New Roman" w:hAnsi="Times New Roman" w:cs="Times New Roman" w:eastAsiaTheme="minorEastAsia"/>
          <w:color w:val="auto"/>
          <w:sz w:val="24"/>
          <w:lang w:val="en-US" w:eastAsia="zh-CN"/>
        </w:rPr>
        <w:t>-3</w:t>
      </w:r>
      <w:r>
        <w:rPr>
          <w:rFonts w:hint="default" w:ascii="Times New Roman" w:hAnsi="Times New Roman" w:cs="Times New Roman" w:eastAsiaTheme="minorEastAsia"/>
          <w:color w:val="auto"/>
          <w:sz w:val="24"/>
        </w:rPr>
        <w:t>。</w:t>
      </w:r>
    </w:p>
    <w:p>
      <w:pPr>
        <w:pStyle w:val="16"/>
        <w:spacing w:line="240" w:lineRule="auto"/>
        <w:jc w:val="center"/>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表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表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3</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w:t>
      </w:r>
      <w:r>
        <w:rPr>
          <w:rFonts w:hint="default" w:ascii="Times New Roman" w:hAnsi="Times New Roman" w:cs="Times New Roman" w:eastAsiaTheme="minorEastAsia"/>
          <w:b/>
          <w:color w:val="auto"/>
          <w:sz w:val="24"/>
        </w:rPr>
        <w:t>观测气象数据信息表</w:t>
      </w:r>
    </w:p>
    <w:tbl>
      <w:tblPr>
        <w:tblStyle w:val="23"/>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89"/>
        <w:gridCol w:w="771"/>
        <w:gridCol w:w="683"/>
        <w:gridCol w:w="895"/>
        <w:gridCol w:w="872"/>
        <w:gridCol w:w="712"/>
        <w:gridCol w:w="752"/>
        <w:gridCol w:w="740"/>
        <w:gridCol w:w="21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4"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rPr>
              <w:t>气象站名称</w:t>
            </w:r>
          </w:p>
        </w:tc>
        <w:tc>
          <w:tcPr>
            <w:tcW w:w="463"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气象站编号</w:t>
            </w:r>
          </w:p>
        </w:tc>
        <w:tc>
          <w:tcPr>
            <w:tcW w:w="410"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气象站等级</w:t>
            </w:r>
          </w:p>
        </w:tc>
        <w:tc>
          <w:tcPr>
            <w:tcW w:w="1060"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气象站坐标</w:t>
            </w:r>
          </w:p>
        </w:tc>
        <w:tc>
          <w:tcPr>
            <w:tcW w:w="427"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相对距离/m</w:t>
            </w:r>
          </w:p>
        </w:tc>
        <w:tc>
          <w:tcPr>
            <w:tcW w:w="451"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海拔高度/m</w:t>
            </w:r>
          </w:p>
        </w:tc>
        <w:tc>
          <w:tcPr>
            <w:tcW w:w="444"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数据年份</w:t>
            </w:r>
          </w:p>
        </w:tc>
        <w:tc>
          <w:tcPr>
            <w:tcW w:w="1266"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气象要素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rPr>
            </w:pPr>
          </w:p>
        </w:tc>
        <w:tc>
          <w:tcPr>
            <w:tcW w:w="46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p>
        </w:tc>
        <w:tc>
          <w:tcPr>
            <w:tcW w:w="41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p>
        </w:tc>
        <w:tc>
          <w:tcPr>
            <w:tcW w:w="53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经度</w:t>
            </w:r>
          </w:p>
        </w:tc>
        <w:tc>
          <w:tcPr>
            <w:tcW w:w="52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纬度</w:t>
            </w:r>
          </w:p>
        </w:tc>
        <w:tc>
          <w:tcPr>
            <w:tcW w:w="42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p>
        </w:tc>
        <w:tc>
          <w:tcPr>
            <w:tcW w:w="45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p>
        </w:tc>
        <w:tc>
          <w:tcPr>
            <w:tcW w:w="44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p>
        </w:tc>
        <w:tc>
          <w:tcPr>
            <w:tcW w:w="126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lang w:eastAsia="zh-CN"/>
              </w:rPr>
            </w:pPr>
            <w:r>
              <w:rPr>
                <w:rFonts w:hint="default" w:ascii="Times New Roman" w:hAnsi="Times New Roman" w:cs="Times New Roman" w:eastAsiaTheme="minorEastAsia"/>
                <w:color w:val="auto"/>
                <w:sz w:val="21"/>
                <w:szCs w:val="21"/>
                <w:u w:color="FFFFFF"/>
                <w:lang w:eastAsia="zh-CN"/>
              </w:rPr>
              <w:t>永州</w:t>
            </w:r>
          </w:p>
        </w:tc>
        <w:tc>
          <w:tcPr>
            <w:tcW w:w="46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rPr>
            </w:pPr>
            <w:r>
              <w:rPr>
                <w:rFonts w:hint="default" w:ascii="Times New Roman" w:hAnsi="Times New Roman" w:cs="Times New Roman" w:eastAsiaTheme="minorEastAsia"/>
                <w:color w:val="auto"/>
                <w:sz w:val="21"/>
                <w:szCs w:val="21"/>
                <w:u w:color="FFFFFF"/>
                <w:lang w:eastAsia="zh-CN"/>
              </w:rPr>
              <w:t>5</w:t>
            </w:r>
            <w:r>
              <w:rPr>
                <w:rFonts w:hint="default" w:ascii="Times New Roman" w:hAnsi="Times New Roman" w:cs="Times New Roman" w:eastAsiaTheme="minorEastAsia"/>
                <w:color w:val="auto"/>
                <w:sz w:val="21"/>
                <w:szCs w:val="21"/>
                <w:u w:color="FFFFFF"/>
                <w:lang w:val="en-US" w:eastAsia="zh-CN"/>
              </w:rPr>
              <w:t>7866</w:t>
            </w:r>
          </w:p>
        </w:tc>
        <w:tc>
          <w:tcPr>
            <w:tcW w:w="41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rPr>
            </w:pPr>
            <w:r>
              <w:rPr>
                <w:rFonts w:hint="default" w:ascii="Times New Roman" w:hAnsi="Times New Roman" w:cs="Times New Roman" w:eastAsiaTheme="minorEastAsia"/>
                <w:color w:val="auto"/>
                <w:sz w:val="21"/>
                <w:szCs w:val="21"/>
                <w:u w:color="FFFFFF"/>
                <w:lang w:val="en-US" w:eastAsia="zh-CN"/>
              </w:rPr>
              <w:t>一般</w:t>
            </w:r>
            <w:r>
              <w:rPr>
                <w:rFonts w:hint="default" w:ascii="Times New Roman" w:hAnsi="Times New Roman" w:cs="Times New Roman" w:eastAsiaTheme="minorEastAsia"/>
                <w:color w:val="auto"/>
                <w:sz w:val="21"/>
                <w:szCs w:val="21"/>
                <w:u w:color="FFFFFF"/>
              </w:rPr>
              <w:t>站</w:t>
            </w:r>
          </w:p>
        </w:tc>
        <w:tc>
          <w:tcPr>
            <w:tcW w:w="53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rPr>
            </w:pPr>
            <w:r>
              <w:rPr>
                <w:rFonts w:hint="default" w:ascii="Times New Roman" w:hAnsi="Times New Roman" w:cs="Times New Roman" w:eastAsiaTheme="minorEastAsia"/>
                <w:color w:val="auto"/>
                <w:sz w:val="21"/>
                <w:szCs w:val="21"/>
                <w:u w:color="FFFFFF"/>
              </w:rPr>
              <w:t>111.6167°</w:t>
            </w:r>
          </w:p>
        </w:tc>
        <w:tc>
          <w:tcPr>
            <w:tcW w:w="52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rPr>
            </w:pPr>
            <w:r>
              <w:rPr>
                <w:rFonts w:hint="default" w:ascii="Times New Roman" w:hAnsi="Times New Roman" w:cs="Times New Roman" w:eastAsiaTheme="minorEastAsia"/>
                <w:color w:val="auto"/>
                <w:sz w:val="21"/>
                <w:szCs w:val="21"/>
                <w:u w:color="FFFFFF"/>
              </w:rPr>
              <w:t>26.2258°</w:t>
            </w:r>
          </w:p>
        </w:tc>
        <w:tc>
          <w:tcPr>
            <w:tcW w:w="4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rPr>
            </w:pPr>
            <w:r>
              <w:rPr>
                <w:rFonts w:hint="default" w:ascii="Times New Roman" w:hAnsi="Times New Roman" w:cs="Times New Roman" w:eastAsiaTheme="minorEastAsia"/>
                <w:color w:val="auto"/>
                <w:sz w:val="21"/>
                <w:szCs w:val="21"/>
                <w:u w:color="FFFFFF"/>
                <w:lang w:val="en-US" w:eastAsia="zh-CN"/>
              </w:rPr>
              <w:t>475</w:t>
            </w:r>
            <w:r>
              <w:rPr>
                <w:rFonts w:hint="default" w:ascii="Times New Roman" w:hAnsi="Times New Roman" w:cs="Times New Roman" w:eastAsiaTheme="minorEastAsia"/>
                <w:color w:val="auto"/>
                <w:sz w:val="21"/>
                <w:szCs w:val="21"/>
                <w:u w:color="FFFFFF"/>
              </w:rPr>
              <w:t>0</w:t>
            </w:r>
          </w:p>
        </w:tc>
        <w:tc>
          <w:tcPr>
            <w:tcW w:w="45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lang w:val="en-US" w:eastAsia="zh-CN"/>
              </w:rPr>
            </w:pPr>
            <w:r>
              <w:rPr>
                <w:rFonts w:hint="default" w:ascii="Times New Roman" w:hAnsi="Times New Roman" w:cs="Times New Roman" w:eastAsiaTheme="minorEastAsia"/>
                <w:color w:val="auto"/>
                <w:sz w:val="21"/>
                <w:szCs w:val="21"/>
                <w:u w:color="FFFFFF"/>
                <w:lang w:val="en-US" w:eastAsia="zh-CN"/>
              </w:rPr>
              <w:t>172.62</w:t>
            </w:r>
          </w:p>
        </w:tc>
        <w:tc>
          <w:tcPr>
            <w:tcW w:w="44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rPr>
            </w:pPr>
            <w:r>
              <w:rPr>
                <w:rFonts w:hint="default" w:ascii="Times New Roman" w:hAnsi="Times New Roman" w:cs="Times New Roman" w:eastAsiaTheme="minorEastAsia"/>
                <w:color w:val="auto"/>
                <w:sz w:val="21"/>
                <w:szCs w:val="21"/>
                <w:u w:color="FFFFFF"/>
              </w:rPr>
              <w:t>2023年</w:t>
            </w:r>
          </w:p>
        </w:tc>
        <w:tc>
          <w:tcPr>
            <w:tcW w:w="126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 w:val="21"/>
                <w:szCs w:val="21"/>
                <w:u w:color="FFFFFF"/>
              </w:rPr>
            </w:pPr>
            <w:r>
              <w:rPr>
                <w:rFonts w:hint="default" w:ascii="Times New Roman" w:hAnsi="Times New Roman" w:cs="Times New Roman" w:eastAsiaTheme="minorEastAsia"/>
                <w:color w:val="auto"/>
                <w:sz w:val="21"/>
                <w:szCs w:val="21"/>
                <w:u w:color="FFFFFF"/>
              </w:rPr>
              <w:t>风向、风速、总云量、低云量和干球温度</w:t>
            </w:r>
          </w:p>
        </w:tc>
      </w:tr>
    </w:tbl>
    <w:p>
      <w:pPr>
        <w:keepNext w:val="0"/>
        <w:keepLines w:val="0"/>
        <w:pageBreakBefore w:val="0"/>
        <w:widowControl/>
        <w:kinsoku/>
        <w:wordWrap/>
        <w:overflowPunct/>
        <w:topLinePunct w:val="0"/>
        <w:autoSpaceDE w:val="0"/>
        <w:autoSpaceDN w:val="0"/>
        <w:bidi w:val="0"/>
        <w:adjustRightInd w:val="0"/>
        <w:snapToGrid w:val="0"/>
        <w:spacing w:before="0" w:beforeLines="20" w:line="360" w:lineRule="auto"/>
        <w:ind w:firstLine="480" w:firstLineChars="200"/>
        <w:jc w:val="both"/>
        <w:textAlignment w:val="baseline"/>
        <w:rPr>
          <w:rFonts w:hint="default" w:ascii="Times New Roman" w:hAnsi="Times New Roman" w:cs="Times New Roman" w:eastAsiaTheme="minorEastAsia"/>
          <w:color w:val="auto"/>
          <w:sz w:val="24"/>
        </w:rPr>
      </w:pP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2023年风频最多的是</w:t>
      </w:r>
      <w:r>
        <w:rPr>
          <w:rFonts w:hint="eastAsia" w:ascii="Times New Roman" w:hAnsi="Times New Roman" w:cs="Times New Roman" w:eastAsiaTheme="minorEastAsia"/>
          <w:color w:val="auto"/>
          <w:sz w:val="24"/>
          <w:lang w:val="en-US" w:eastAsia="zh-CN"/>
        </w:rPr>
        <w:t>SSW</w:t>
      </w:r>
      <w:r>
        <w:rPr>
          <w:rFonts w:hint="default" w:ascii="Times New Roman" w:hAnsi="Times New Roman" w:cs="Times New Roman" w:eastAsiaTheme="minorEastAsia"/>
          <w:color w:val="auto"/>
          <w:sz w:val="24"/>
        </w:rPr>
        <w:t>，频率为</w:t>
      </w:r>
      <w:r>
        <w:rPr>
          <w:rFonts w:hint="eastAsia" w:ascii="Times New Roman" w:hAnsi="Times New Roman" w:cs="Times New Roman" w:eastAsiaTheme="minorEastAsia"/>
          <w:color w:val="auto"/>
          <w:sz w:val="24"/>
          <w:lang w:val="en-US" w:eastAsia="zh-CN"/>
        </w:rPr>
        <w:t>12.58</w:t>
      </w:r>
      <w:r>
        <w:rPr>
          <w:rFonts w:hint="default" w:ascii="Times New Roman" w:hAnsi="Times New Roman" w:cs="Times New Roman" w:eastAsiaTheme="minorEastAsia"/>
          <w:color w:val="auto"/>
          <w:sz w:val="24"/>
        </w:rPr>
        <w:t>%；其次是</w:t>
      </w:r>
      <w:r>
        <w:rPr>
          <w:rFonts w:hint="eastAsia" w:ascii="Times New Roman" w:hAnsi="Times New Roman" w:cs="Times New Roman" w:eastAsiaTheme="minorEastAsia"/>
          <w:color w:val="auto"/>
          <w:sz w:val="24"/>
          <w:lang w:val="en-US" w:eastAsia="zh-CN"/>
        </w:rPr>
        <w:t>SW</w:t>
      </w:r>
      <w:r>
        <w:rPr>
          <w:rFonts w:hint="default" w:ascii="Times New Roman" w:hAnsi="Times New Roman" w:cs="Times New Roman" w:eastAsiaTheme="minorEastAsia"/>
          <w:color w:val="auto"/>
          <w:sz w:val="24"/>
        </w:rPr>
        <w:t>，频率为1</w:t>
      </w:r>
      <w:r>
        <w:rPr>
          <w:rFonts w:hint="eastAsia" w:ascii="Times New Roman" w:hAnsi="Times New Roman" w:cs="Times New Roman" w:eastAsiaTheme="minorEastAsia"/>
          <w:color w:val="auto"/>
          <w:sz w:val="24"/>
          <w:lang w:val="en-US" w:eastAsia="zh-CN"/>
        </w:rPr>
        <w:t>1.12</w:t>
      </w:r>
      <w:r>
        <w:rPr>
          <w:rFonts w:hint="default" w:ascii="Times New Roman" w:hAnsi="Times New Roman" w:cs="Times New Roman" w:eastAsiaTheme="minorEastAsia"/>
          <w:color w:val="auto"/>
          <w:sz w:val="24"/>
        </w:rPr>
        <w:t>%，NNE最少，频率为</w:t>
      </w:r>
      <w:r>
        <w:rPr>
          <w:rFonts w:hint="eastAsia" w:ascii="Times New Roman" w:hAnsi="Times New Roman" w:cs="Times New Roman" w:eastAsiaTheme="minorEastAsia"/>
          <w:color w:val="auto"/>
          <w:sz w:val="24"/>
          <w:lang w:val="en-US" w:eastAsia="zh-CN"/>
        </w:rPr>
        <w:t>2.83</w:t>
      </w:r>
      <w:r>
        <w:rPr>
          <w:rFonts w:hint="default"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2023年风频统计见表</w:t>
      </w:r>
      <w:r>
        <w:rPr>
          <w:rFonts w:hint="eastAsia" w:ascii="Times New Roman" w:hAnsi="Times New Roman" w:cs="Times New Roman" w:eastAsiaTheme="minorEastAsia"/>
          <w:color w:val="auto"/>
          <w:sz w:val="24"/>
          <w:lang w:val="en-US" w:eastAsia="zh-CN"/>
        </w:rPr>
        <w:t>6.2-4</w:t>
      </w:r>
      <w:r>
        <w:rPr>
          <w:rFonts w:hint="default" w:ascii="Times New Roman" w:hAnsi="Times New Roman" w:cs="Times New Roman" w:eastAsiaTheme="minorEastAsia"/>
          <w:color w:val="auto"/>
          <w:sz w:val="24"/>
        </w:rPr>
        <w:t>和风向玫瑰图见图</w:t>
      </w:r>
      <w:r>
        <w:rPr>
          <w:rFonts w:hint="eastAsia" w:ascii="Times New Roman" w:hAnsi="Times New Roman" w:cs="Times New Roman" w:eastAsiaTheme="minorEastAsia"/>
          <w:color w:val="auto"/>
          <w:sz w:val="24"/>
          <w:lang w:val="en-US" w:eastAsia="zh-CN"/>
        </w:rPr>
        <w:t>6.2-1</w:t>
      </w:r>
      <w:r>
        <w:rPr>
          <w:rFonts w:hint="default" w:ascii="Times New Roman" w:hAnsi="Times New Roman" w:cs="Times New Roman" w:eastAsiaTheme="minorEastAsia"/>
          <w:color w:val="auto"/>
          <w:sz w:val="24"/>
        </w:rPr>
        <w:t>。</w:t>
      </w:r>
    </w:p>
    <w:p>
      <w:pPr>
        <w:pStyle w:val="16"/>
        <w:spacing w:line="240" w:lineRule="auto"/>
        <w:jc w:val="center"/>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表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表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4</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永州</w:t>
      </w:r>
      <w:r>
        <w:rPr>
          <w:rFonts w:hint="default" w:ascii="Times New Roman" w:hAnsi="Times New Roman" w:cs="Times New Roman" w:eastAsiaTheme="minorEastAsia"/>
          <w:b/>
          <w:color w:val="auto"/>
          <w:sz w:val="24"/>
        </w:rPr>
        <w:t>2023年年均风频的月变化(%)</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422"/>
        <w:gridCol w:w="384"/>
        <w:gridCol w:w="427"/>
        <w:gridCol w:w="384"/>
        <w:gridCol w:w="404"/>
        <w:gridCol w:w="465"/>
        <w:gridCol w:w="489"/>
        <w:gridCol w:w="489"/>
        <w:gridCol w:w="489"/>
        <w:gridCol w:w="465"/>
        <w:gridCol w:w="465"/>
        <w:gridCol w:w="465"/>
        <w:gridCol w:w="504"/>
        <w:gridCol w:w="465"/>
        <w:gridCol w:w="537"/>
        <w:gridCol w:w="489"/>
        <w:gridCol w:w="493"/>
        <w:gridCol w:w="4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月份</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N</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NNE</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NE</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ENE</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E</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ESE</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SE</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SSE</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S</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SSW</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SW</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WSW</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W</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WNW</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NW</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NNW</w:t>
            </w:r>
          </w:p>
        </w:tc>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C</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2.82</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2.15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2.42</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2.42</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3.63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3.90</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5.11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6.32</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10.89</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13.04</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11.02</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5.91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15.05</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6.85</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4.44</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2.15</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3.42</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2.38</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6.40</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3.27</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9.08</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4.61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4.91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4.91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6.70</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7.74</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7.44</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6.85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16.52</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8.63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3.13</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2.98</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3.09</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2.15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3.09</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4.44</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7.93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9.41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5.91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2.02</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6.45</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8.20</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5.51</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3.09</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11.02</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12.10</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9.41</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4.03</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6.81</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5.56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7.08</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6.81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11.11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3.47</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3.06</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3.19</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3.75</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10.83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6.67</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3.06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7.08</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6.11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9.03</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4.44</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6.05</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3.63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2.96</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3.90</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6.99</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5.38</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4.30</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2.55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4.70</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13.17</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14.11</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4.97</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5.11</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4.97</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7.26</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4.57</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2.64</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1.81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3.61</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5.83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8.33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1.53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3.19</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1.81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9.58</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13.75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14.58</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8.33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8.75</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5.00</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4.17</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1.67</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4.84</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2.28</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2.55</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4.57</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8.47</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5.38</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3.23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4.70</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7.93</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11.56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9.27</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7.39</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7.93</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3.49</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3.76</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4.30</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4.84</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2.55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2.96</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5.91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5.51</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3.63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1.75</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1.75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7.39</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13.71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18.28</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8.06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8.47</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3.49</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1.34</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1.61</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9.86</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2.92</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6.39</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6.11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9.58</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3.75</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3.33</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1.53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5.42</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9.31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7.64</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5.56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6.94</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3.19</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3.47</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4.44</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10.56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10月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7.39</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4.44</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3.49</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3.76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4.84</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3.76</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4.17</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3.36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9.14</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12.37</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13.98</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7.66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4.97</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2.15</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3.23</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3.49</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11月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1.81</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0.83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0.83</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0.56</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3.06</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3.75</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2.36</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4.44</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13.19</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18.33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14.03</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8.33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9.86</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3.89</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3.06</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1.25</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10.42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12月</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4.03</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3.23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4.30</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4.17</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6.05</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2.02</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3.36</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2.55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7.80</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18.55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10.48</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5.11</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9.95</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6.18</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5.91</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2.28</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0" w:type="auto"/>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全年</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4.81</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2.83</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3.81</w:t>
            </w:r>
          </w:p>
        </w:tc>
        <w:tc>
          <w:tcPr>
            <w:tcW w:w="4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4.32</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7.02</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4.22</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3.72</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3.25</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7.75</w:t>
            </w:r>
          </w:p>
        </w:tc>
        <w:tc>
          <w:tcPr>
            <w:tcW w:w="42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12.58</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11.12</w:t>
            </w:r>
          </w:p>
        </w:tc>
        <w:tc>
          <w:tcPr>
            <w:tcW w:w="50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6.19</w:t>
            </w:r>
          </w:p>
        </w:tc>
        <w:tc>
          <w:tcPr>
            <w:tcW w:w="384"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9.26</w:t>
            </w:r>
          </w:p>
        </w:tc>
        <w:tc>
          <w:tcPr>
            <w:tcW w:w="537"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5.49</w:t>
            </w:r>
          </w:p>
        </w:tc>
        <w:tc>
          <w:tcPr>
            <w:tcW w:w="489"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4.86</w:t>
            </w:r>
          </w:p>
        </w:tc>
        <w:tc>
          <w:tcPr>
            <w:tcW w:w="493"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3.11</w:t>
            </w:r>
          </w:p>
        </w:tc>
        <w:tc>
          <w:tcPr>
            <w:tcW w:w="376" w:type="dxa"/>
            <w:tcBorders>
              <w:tl2br w:val="nil"/>
              <w:tr2bl w:val="nil"/>
            </w:tcBorders>
            <w:vAlign w:val="bottom"/>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w w:val="95"/>
                <w:kern w:val="0"/>
                <w:sz w:val="21"/>
                <w:szCs w:val="21"/>
              </w:rPr>
            </w:pPr>
            <w:r>
              <w:rPr>
                <w:rFonts w:hint="default" w:ascii="Times New Roman" w:hAnsi="Times New Roman" w:cs="Times New Roman" w:eastAsiaTheme="minorEastAsia"/>
                <w:color w:val="auto"/>
                <w:w w:val="95"/>
                <w:kern w:val="0"/>
                <w:sz w:val="21"/>
                <w:szCs w:val="21"/>
              </w:rPr>
              <w:t>5.66</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eastAsiaTheme="minorEastAsia"/>
          <w:color w:val="auto"/>
          <w:sz w:val="24"/>
          <w:lang w:eastAsia="zh-CN"/>
        </w:rPr>
      </w:pPr>
      <w:r>
        <w:rPr>
          <w:rFonts w:hint="eastAsia" w:ascii="Times New Roman" w:hAnsi="Times New Roman" w:cs="Times New Roman" w:eastAsiaTheme="minorEastAsia"/>
          <w:color w:val="auto"/>
          <w:sz w:val="24"/>
          <w:lang w:eastAsia="zh-CN"/>
        </w:rPr>
        <w:drawing>
          <wp:inline distT="0" distB="0" distL="114300" distR="114300">
            <wp:extent cx="5293995" cy="5788660"/>
            <wp:effectExtent l="0" t="0" r="1905" b="2540"/>
            <wp:docPr id="68" name="图片 68" descr="17297597914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68" descr="1729759791478"/>
                    <pic:cNvPicPr>
                      <a:picLocks noChangeAspect="true"/>
                    </pic:cNvPicPr>
                  </pic:nvPicPr>
                  <pic:blipFill>
                    <a:blip r:embed="rId28"/>
                    <a:srcRect l="744" t="3929" r="732"/>
                    <a:stretch>
                      <a:fillRect/>
                    </a:stretch>
                  </pic:blipFill>
                  <pic:spPr>
                    <a:xfrm>
                      <a:off x="0" y="0"/>
                      <a:ext cx="5293995" cy="5788660"/>
                    </a:xfrm>
                    <a:prstGeom prst="rect">
                      <a:avLst/>
                    </a:prstGeom>
                  </pic:spPr>
                </pic:pic>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after="0" w:afterLines="50" w:line="240" w:lineRule="auto"/>
        <w:jc w:val="center"/>
        <w:textAlignment w:val="baseline"/>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图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图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1</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永州</w:t>
      </w:r>
      <w:r>
        <w:rPr>
          <w:rFonts w:hint="default" w:ascii="Times New Roman" w:hAnsi="Times New Roman" w:cs="Times New Roman" w:eastAsiaTheme="minorEastAsia"/>
          <w:b/>
          <w:color w:val="auto"/>
          <w:sz w:val="24"/>
        </w:rPr>
        <w:t>2023年平均风频玫瑰图</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rPr>
      </w:pP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2023年平均气温为</w:t>
      </w:r>
      <w:r>
        <w:rPr>
          <w:rFonts w:hint="eastAsia" w:ascii="Times New Roman" w:hAnsi="Times New Roman" w:cs="Times New Roman" w:eastAsiaTheme="minorEastAsia"/>
          <w:color w:val="auto"/>
          <w:sz w:val="24"/>
          <w:lang w:val="en-US" w:eastAsia="zh-CN"/>
        </w:rPr>
        <w:t>19.68</w:t>
      </w:r>
      <w:r>
        <w:rPr>
          <w:rFonts w:hint="default" w:ascii="Times New Roman" w:hAnsi="Times New Roman" w:cs="Times New Roman" w:eastAsiaTheme="minorEastAsia"/>
          <w:color w:val="auto"/>
          <w:sz w:val="24"/>
        </w:rPr>
        <w:t>℃，1月份平均气温最低，为</w:t>
      </w:r>
      <w:r>
        <w:rPr>
          <w:rFonts w:hint="eastAsia" w:ascii="Times New Roman" w:hAnsi="Times New Roman" w:cs="Times New Roman" w:eastAsiaTheme="minorEastAsia"/>
          <w:color w:val="auto"/>
          <w:sz w:val="24"/>
          <w:lang w:val="en-US" w:eastAsia="zh-CN"/>
        </w:rPr>
        <w:t>8.97</w:t>
      </w:r>
      <w:r>
        <w:rPr>
          <w:rFonts w:hint="default"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7月份平均气温最高，为</w:t>
      </w:r>
      <w:r>
        <w:rPr>
          <w:rFonts w:hint="eastAsia" w:ascii="Times New Roman" w:hAnsi="Times New Roman" w:cs="Times New Roman" w:eastAsiaTheme="minorEastAsia"/>
          <w:color w:val="auto"/>
          <w:sz w:val="24"/>
          <w:lang w:val="en-US" w:eastAsia="zh-CN"/>
        </w:rPr>
        <w:t>30.89</w:t>
      </w:r>
      <w:r>
        <w:rPr>
          <w:rFonts w:hint="default"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2023年各月及全年气温见表</w:t>
      </w:r>
      <w:r>
        <w:rPr>
          <w:rFonts w:hint="eastAsia" w:ascii="Times New Roman" w:hAnsi="Times New Roman" w:cs="Times New Roman" w:eastAsiaTheme="minorEastAsia"/>
          <w:color w:val="auto"/>
          <w:sz w:val="24"/>
          <w:lang w:val="en-US" w:eastAsia="zh-CN"/>
        </w:rPr>
        <w:t>6.2-5</w:t>
      </w:r>
      <w:r>
        <w:rPr>
          <w:rFonts w:hint="default" w:ascii="Times New Roman" w:hAnsi="Times New Roman" w:cs="Times New Roman" w:eastAsiaTheme="minorEastAsia"/>
          <w:color w:val="auto"/>
          <w:sz w:val="24"/>
        </w:rPr>
        <w:t>和图</w:t>
      </w:r>
      <w:r>
        <w:rPr>
          <w:rFonts w:hint="eastAsia" w:ascii="Times New Roman" w:hAnsi="Times New Roman" w:cs="Times New Roman" w:eastAsiaTheme="minorEastAsia"/>
          <w:color w:val="auto"/>
          <w:sz w:val="24"/>
          <w:lang w:val="en-US" w:eastAsia="zh-CN"/>
        </w:rPr>
        <w:t>6.2-</w:t>
      </w:r>
      <w:r>
        <w:rPr>
          <w:rFonts w:hint="default" w:ascii="Times New Roman" w:hAnsi="Times New Roman" w:cs="Times New Roman" w:eastAsiaTheme="minorEastAsia"/>
          <w:color w:val="auto"/>
          <w:sz w:val="24"/>
        </w:rPr>
        <w:t>2。</w:t>
      </w:r>
    </w:p>
    <w:p>
      <w:pPr>
        <w:pStyle w:val="16"/>
        <w:snapToGrid w:val="0"/>
        <w:spacing w:line="240" w:lineRule="auto"/>
        <w:jc w:val="center"/>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表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表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5</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永州</w:t>
      </w:r>
      <w:r>
        <w:rPr>
          <w:rFonts w:hint="default" w:ascii="Times New Roman" w:hAnsi="Times New Roman" w:cs="Times New Roman" w:eastAsiaTheme="minorEastAsia"/>
          <w:b/>
          <w:color w:val="auto"/>
          <w:sz w:val="24"/>
        </w:rPr>
        <w:t>2023年年均气温的月变化</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91"/>
        <w:gridCol w:w="628"/>
        <w:gridCol w:w="628"/>
        <w:gridCol w:w="578"/>
        <w:gridCol w:w="526"/>
        <w:gridCol w:w="578"/>
        <w:gridCol w:w="526"/>
        <w:gridCol w:w="580"/>
        <w:gridCol w:w="580"/>
        <w:gridCol w:w="580"/>
        <w:gridCol w:w="528"/>
        <w:gridCol w:w="528"/>
        <w:gridCol w:w="628"/>
        <w:gridCol w:w="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5"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月份</w:t>
            </w:r>
          </w:p>
        </w:tc>
        <w:tc>
          <w:tcPr>
            <w:tcW w:w="377"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1月</w:t>
            </w:r>
          </w:p>
        </w:tc>
        <w:tc>
          <w:tcPr>
            <w:tcW w:w="377"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2月</w:t>
            </w:r>
          </w:p>
        </w:tc>
        <w:tc>
          <w:tcPr>
            <w:tcW w:w="347"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3月</w:t>
            </w:r>
          </w:p>
        </w:tc>
        <w:tc>
          <w:tcPr>
            <w:tcW w:w="316"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4月</w:t>
            </w:r>
          </w:p>
        </w:tc>
        <w:tc>
          <w:tcPr>
            <w:tcW w:w="347"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5月</w:t>
            </w:r>
          </w:p>
        </w:tc>
        <w:tc>
          <w:tcPr>
            <w:tcW w:w="316"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6月</w:t>
            </w:r>
          </w:p>
        </w:tc>
        <w:tc>
          <w:tcPr>
            <w:tcW w:w="348"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7月</w:t>
            </w:r>
          </w:p>
        </w:tc>
        <w:tc>
          <w:tcPr>
            <w:tcW w:w="348"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8月</w:t>
            </w:r>
          </w:p>
        </w:tc>
        <w:tc>
          <w:tcPr>
            <w:tcW w:w="348"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9月</w:t>
            </w:r>
          </w:p>
        </w:tc>
        <w:tc>
          <w:tcPr>
            <w:tcW w:w="317"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10月</w:t>
            </w:r>
          </w:p>
        </w:tc>
        <w:tc>
          <w:tcPr>
            <w:tcW w:w="317"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11月</w:t>
            </w:r>
          </w:p>
        </w:tc>
        <w:tc>
          <w:tcPr>
            <w:tcW w:w="377"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12月</w:t>
            </w:r>
          </w:p>
        </w:tc>
        <w:tc>
          <w:tcPr>
            <w:tcW w:w="390"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5" w:type="pct"/>
            <w:tcBorders>
              <w:tl2br w:val="nil"/>
              <w:tr2bl w:val="nil"/>
            </w:tcBorders>
            <w:vAlign w:val="center"/>
          </w:tcPr>
          <w:p>
            <w:pPr>
              <w:widowControl/>
              <w:spacing w:line="4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温度℃</w:t>
            </w:r>
          </w:p>
        </w:tc>
        <w:tc>
          <w:tcPr>
            <w:tcW w:w="626"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8.97 </w:t>
            </w:r>
          </w:p>
        </w:tc>
        <w:tc>
          <w:tcPr>
            <w:tcW w:w="626"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9.12 </w:t>
            </w:r>
          </w:p>
        </w:tc>
        <w:tc>
          <w:tcPr>
            <w:tcW w:w="576"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15.13 </w:t>
            </w:r>
          </w:p>
        </w:tc>
        <w:tc>
          <w:tcPr>
            <w:tcW w:w="524"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19.53 </w:t>
            </w:r>
          </w:p>
        </w:tc>
        <w:tc>
          <w:tcPr>
            <w:tcW w:w="576"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23.83 </w:t>
            </w:r>
          </w:p>
        </w:tc>
        <w:tc>
          <w:tcPr>
            <w:tcW w:w="524"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27.37 </w:t>
            </w:r>
          </w:p>
        </w:tc>
        <w:tc>
          <w:tcPr>
            <w:tcW w:w="578"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30.87 </w:t>
            </w:r>
          </w:p>
        </w:tc>
        <w:tc>
          <w:tcPr>
            <w:tcW w:w="578"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29.01 </w:t>
            </w:r>
          </w:p>
        </w:tc>
        <w:tc>
          <w:tcPr>
            <w:tcW w:w="578"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26.01 </w:t>
            </w:r>
          </w:p>
        </w:tc>
        <w:tc>
          <w:tcPr>
            <w:tcW w:w="526"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20.82 </w:t>
            </w:r>
          </w:p>
        </w:tc>
        <w:tc>
          <w:tcPr>
            <w:tcW w:w="526"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15.92 </w:t>
            </w:r>
          </w:p>
        </w:tc>
        <w:tc>
          <w:tcPr>
            <w:tcW w:w="626"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9.60 </w:t>
            </w:r>
          </w:p>
        </w:tc>
        <w:tc>
          <w:tcPr>
            <w:tcW w:w="647" w:type="dxa"/>
            <w:tcBorders>
              <w:tl2br w:val="nil"/>
              <w:tr2bl w:val="nil"/>
            </w:tcBorders>
            <w:vAlign w:val="bottom"/>
          </w:tcPr>
          <w:p>
            <w:pPr>
              <w:widowControl/>
              <w:spacing w:line="400" w:lineRule="exact"/>
              <w:jc w:val="center"/>
              <w:rPr>
                <w:rFonts w:hint="default"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val="en-US" w:eastAsia="zh-CN"/>
              </w:rPr>
              <w:t xml:space="preserve">19.68 </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240" w:lineRule="auto"/>
        <w:textAlignment w:val="baseline"/>
        <w:rPr>
          <w:rFonts w:hint="default" w:ascii="Times New Roman" w:hAnsi="Times New Roman" w:cs="Times New Roman" w:eastAsiaTheme="minorEastAsia"/>
          <w:color w:val="auto"/>
          <w:spacing w:val="16"/>
          <w:sz w:val="24"/>
        </w:rPr>
      </w:pPr>
      <w:r>
        <w:rPr>
          <w:rFonts w:hint="default" w:ascii="Times New Roman" w:hAnsi="Times New Roman" w:cs="Times New Roman"/>
          <w:color w:val="auto"/>
        </w:rPr>
        <w:drawing>
          <wp:inline distT="0" distB="0" distL="114300" distR="114300">
            <wp:extent cx="5266055" cy="2321560"/>
            <wp:effectExtent l="4445" t="4445" r="6350" b="17145"/>
            <wp:docPr id="204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after="0" w:afterLines="50" w:line="240" w:lineRule="auto"/>
        <w:jc w:val="center"/>
        <w:textAlignment w:val="baseline"/>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图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图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永州</w:t>
      </w:r>
      <w:r>
        <w:rPr>
          <w:rFonts w:hint="default" w:ascii="Times New Roman" w:hAnsi="Times New Roman" w:cs="Times New Roman" w:eastAsiaTheme="minorEastAsia"/>
          <w:b/>
          <w:color w:val="auto"/>
          <w:sz w:val="24"/>
        </w:rPr>
        <w:t>2023年年均气温的月变化曲线图</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rPr>
      </w:pP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2023年平均风速为2.24m/s，最大风速出现在5月，为2.67m/s，最小风速出现在8月，为1.88m/s。</w:t>
      </w: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2023年各月及全年风速见表</w:t>
      </w:r>
      <w:r>
        <w:rPr>
          <w:rFonts w:hint="eastAsia" w:ascii="Times New Roman" w:hAnsi="Times New Roman" w:cs="Times New Roman" w:eastAsiaTheme="minorEastAsia"/>
          <w:color w:val="auto"/>
          <w:sz w:val="24"/>
          <w:lang w:val="en-US" w:eastAsia="zh-CN"/>
        </w:rPr>
        <w:t>6.2-6</w:t>
      </w:r>
      <w:r>
        <w:rPr>
          <w:rFonts w:hint="default" w:ascii="Times New Roman" w:hAnsi="Times New Roman" w:cs="Times New Roman" w:eastAsiaTheme="minorEastAsia"/>
          <w:color w:val="auto"/>
          <w:sz w:val="24"/>
        </w:rPr>
        <w:t>和图</w:t>
      </w:r>
      <w:r>
        <w:rPr>
          <w:rFonts w:hint="eastAsia" w:ascii="Times New Roman" w:hAnsi="Times New Roman" w:cs="Times New Roman" w:eastAsiaTheme="minorEastAsia"/>
          <w:color w:val="auto"/>
          <w:sz w:val="24"/>
          <w:lang w:val="en-US" w:eastAsia="zh-CN"/>
        </w:rPr>
        <w:t>6.2-</w:t>
      </w:r>
      <w:r>
        <w:rPr>
          <w:rFonts w:hint="default" w:ascii="Times New Roman" w:hAnsi="Times New Roman" w:cs="Times New Roman" w:eastAsiaTheme="minorEastAsia"/>
          <w:color w:val="auto"/>
          <w:sz w:val="24"/>
        </w:rPr>
        <w:t>3。</w:t>
      </w:r>
    </w:p>
    <w:p>
      <w:pPr>
        <w:pStyle w:val="16"/>
        <w:snapToGrid w:val="0"/>
        <w:spacing w:line="240" w:lineRule="auto"/>
        <w:jc w:val="center"/>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表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表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永州</w:t>
      </w:r>
      <w:r>
        <w:rPr>
          <w:rFonts w:hint="default" w:ascii="Times New Roman" w:hAnsi="Times New Roman" w:cs="Times New Roman" w:eastAsiaTheme="minorEastAsia"/>
          <w:b/>
          <w:color w:val="auto"/>
          <w:sz w:val="24"/>
        </w:rPr>
        <w:t>2023年年均风速的月变化</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99"/>
        <w:gridCol w:w="539"/>
        <w:gridCol w:w="625"/>
        <w:gridCol w:w="587"/>
        <w:gridCol w:w="535"/>
        <w:gridCol w:w="587"/>
        <w:gridCol w:w="535"/>
        <w:gridCol w:w="587"/>
        <w:gridCol w:w="587"/>
        <w:gridCol w:w="587"/>
        <w:gridCol w:w="535"/>
        <w:gridCol w:w="535"/>
        <w:gridCol w:w="628"/>
        <w:gridCol w:w="6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0" w:type="pct"/>
            <w:tcBorders>
              <w:tl2br w:val="nil"/>
              <w:tr2bl w:val="nil"/>
            </w:tcBorders>
            <w:vAlign w:val="center"/>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月份</w:t>
            </w:r>
          </w:p>
        </w:tc>
        <w:tc>
          <w:tcPr>
            <w:tcW w:w="324"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rPr>
              <w:t>1月</w:t>
            </w:r>
          </w:p>
        </w:tc>
        <w:tc>
          <w:tcPr>
            <w:tcW w:w="376"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2月</w:t>
            </w:r>
          </w:p>
        </w:tc>
        <w:tc>
          <w:tcPr>
            <w:tcW w:w="352"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3月</w:t>
            </w:r>
          </w:p>
        </w:tc>
        <w:tc>
          <w:tcPr>
            <w:tcW w:w="321"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4月</w:t>
            </w:r>
          </w:p>
        </w:tc>
        <w:tc>
          <w:tcPr>
            <w:tcW w:w="352"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5月</w:t>
            </w:r>
          </w:p>
        </w:tc>
        <w:tc>
          <w:tcPr>
            <w:tcW w:w="321"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6月</w:t>
            </w:r>
          </w:p>
        </w:tc>
        <w:tc>
          <w:tcPr>
            <w:tcW w:w="352"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7月</w:t>
            </w:r>
          </w:p>
        </w:tc>
        <w:tc>
          <w:tcPr>
            <w:tcW w:w="352"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8月</w:t>
            </w:r>
          </w:p>
        </w:tc>
        <w:tc>
          <w:tcPr>
            <w:tcW w:w="352"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9月</w:t>
            </w:r>
          </w:p>
        </w:tc>
        <w:tc>
          <w:tcPr>
            <w:tcW w:w="321"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10月</w:t>
            </w:r>
          </w:p>
        </w:tc>
        <w:tc>
          <w:tcPr>
            <w:tcW w:w="321"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11月</w:t>
            </w:r>
          </w:p>
        </w:tc>
        <w:tc>
          <w:tcPr>
            <w:tcW w:w="377"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12月</w:t>
            </w:r>
          </w:p>
        </w:tc>
        <w:tc>
          <w:tcPr>
            <w:tcW w:w="398" w:type="pct"/>
            <w:tcBorders>
              <w:tl2br w:val="nil"/>
              <w:tr2bl w:val="nil"/>
            </w:tcBorders>
            <w:vAlign w:val="center"/>
          </w:tcPr>
          <w:p>
            <w:pPr>
              <w:widowControl/>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0" w:type="pct"/>
            <w:tcBorders>
              <w:tl2br w:val="nil"/>
              <w:tr2bl w:val="nil"/>
            </w:tcBorders>
            <w:vAlign w:val="center"/>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风速m/s</w:t>
            </w:r>
          </w:p>
        </w:tc>
        <w:tc>
          <w:tcPr>
            <w:tcW w:w="538"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1.39 </w:t>
            </w:r>
          </w:p>
        </w:tc>
        <w:tc>
          <w:tcPr>
            <w:tcW w:w="624"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2.38 </w:t>
            </w:r>
          </w:p>
        </w:tc>
        <w:tc>
          <w:tcPr>
            <w:tcW w:w="584"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2.26 </w:t>
            </w:r>
          </w:p>
        </w:tc>
        <w:tc>
          <w:tcPr>
            <w:tcW w:w="533"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2.51 </w:t>
            </w:r>
          </w:p>
        </w:tc>
        <w:tc>
          <w:tcPr>
            <w:tcW w:w="584"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2.34 </w:t>
            </w:r>
          </w:p>
        </w:tc>
        <w:tc>
          <w:tcPr>
            <w:tcW w:w="533"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2.25 </w:t>
            </w:r>
          </w:p>
        </w:tc>
        <w:tc>
          <w:tcPr>
            <w:tcW w:w="584"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2.73 </w:t>
            </w:r>
          </w:p>
        </w:tc>
        <w:tc>
          <w:tcPr>
            <w:tcW w:w="584"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2.05 </w:t>
            </w:r>
          </w:p>
        </w:tc>
        <w:tc>
          <w:tcPr>
            <w:tcW w:w="584"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2.39 </w:t>
            </w:r>
          </w:p>
        </w:tc>
        <w:tc>
          <w:tcPr>
            <w:tcW w:w="533"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2.33 </w:t>
            </w:r>
          </w:p>
        </w:tc>
        <w:tc>
          <w:tcPr>
            <w:tcW w:w="533"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2.16 </w:t>
            </w:r>
          </w:p>
        </w:tc>
        <w:tc>
          <w:tcPr>
            <w:tcW w:w="626" w:type="dxa"/>
            <w:tcBorders>
              <w:tl2br w:val="nil"/>
              <w:tr2bl w:val="nil"/>
            </w:tcBorders>
            <w:vAlign w:val="bottom"/>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eastAsia" w:ascii="Times New Roman" w:hAnsi="Times New Roman" w:cs="Times New Roman" w:eastAsiaTheme="minorEastAsia"/>
                <w:color w:val="auto"/>
                <w:kern w:val="0"/>
                <w:sz w:val="21"/>
                <w:szCs w:val="21"/>
                <w:lang w:val="en-US" w:eastAsia="zh-CN"/>
              </w:rPr>
              <w:t xml:space="preserve">2.07 </w:t>
            </w:r>
          </w:p>
        </w:tc>
        <w:tc>
          <w:tcPr>
            <w:tcW w:w="398" w:type="pct"/>
            <w:tcBorders>
              <w:tl2br w:val="nil"/>
              <w:tr2bl w:val="nil"/>
            </w:tcBorders>
            <w:vAlign w:val="center"/>
          </w:tcPr>
          <w:p>
            <w:pPr>
              <w:widowControl/>
              <w:snapToGrid w:val="0"/>
              <w:spacing w:line="440" w:lineRule="exact"/>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2.24</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240" w:lineRule="auto"/>
        <w:textAlignment w:val="baseline"/>
        <w:rPr>
          <w:rFonts w:hint="default" w:ascii="Times New Roman" w:hAnsi="Times New Roman" w:cs="Times New Roman" w:eastAsiaTheme="minorEastAsia"/>
          <w:color w:val="auto"/>
          <w:spacing w:val="16"/>
          <w:sz w:val="24"/>
        </w:rPr>
      </w:pPr>
      <w:r>
        <w:rPr>
          <w:color w:val="auto"/>
        </w:rPr>
        <w:drawing>
          <wp:inline distT="0" distB="0" distL="114300" distR="114300">
            <wp:extent cx="5293995" cy="2345690"/>
            <wp:effectExtent l="5080" t="4445" r="15875" b="12065"/>
            <wp:docPr id="205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after="0" w:afterLines="50" w:line="240" w:lineRule="auto"/>
        <w:jc w:val="center"/>
        <w:textAlignment w:val="baseline"/>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图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图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3</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永州</w:t>
      </w:r>
      <w:r>
        <w:rPr>
          <w:rFonts w:hint="default" w:ascii="Times New Roman" w:hAnsi="Times New Roman" w:cs="Times New Roman" w:eastAsiaTheme="minorEastAsia"/>
          <w:b/>
          <w:color w:val="auto"/>
          <w:sz w:val="24"/>
        </w:rPr>
        <w:t>2023年均风速的月变化曲线图</w:t>
      </w:r>
    </w:p>
    <w:p>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rPr>
      </w:pPr>
      <w:r>
        <w:rPr>
          <w:rFonts w:hint="eastAsia" w:ascii="Times New Roman" w:hAnsi="Times New Roman" w:cs="Times New Roman" w:eastAsiaTheme="minorEastAsia"/>
          <w:color w:val="auto"/>
          <w:sz w:val="24"/>
          <w:lang w:eastAsia="zh-CN"/>
        </w:rPr>
        <w:t>永州</w:t>
      </w:r>
      <w:r>
        <w:rPr>
          <w:rFonts w:hint="default" w:ascii="Times New Roman" w:hAnsi="Times New Roman" w:cs="Times New Roman" w:eastAsiaTheme="minorEastAsia"/>
          <w:color w:val="auto"/>
          <w:sz w:val="24"/>
        </w:rPr>
        <w:t>2023年季小时平均风速的日变化</w:t>
      </w:r>
      <w:r>
        <w:rPr>
          <w:rFonts w:hint="eastAsia" w:ascii="Times New Roman" w:hAnsi="Times New Roman" w:cs="Times New Roman" w:eastAsiaTheme="minorEastAsia"/>
          <w:color w:val="auto"/>
          <w:sz w:val="24"/>
          <w:lang w:val="en-US" w:eastAsia="zh-CN"/>
        </w:rPr>
        <w:t>情况</w:t>
      </w:r>
      <w:r>
        <w:rPr>
          <w:rFonts w:hint="default" w:ascii="Times New Roman" w:hAnsi="Times New Roman" w:cs="Times New Roman" w:eastAsiaTheme="minorEastAsia"/>
          <w:color w:val="auto"/>
          <w:sz w:val="24"/>
        </w:rPr>
        <w:t>见表</w:t>
      </w:r>
      <w:r>
        <w:rPr>
          <w:rFonts w:hint="eastAsia" w:ascii="Times New Roman" w:hAnsi="Times New Roman" w:cs="Times New Roman" w:eastAsiaTheme="minorEastAsia"/>
          <w:color w:val="auto"/>
          <w:sz w:val="24"/>
          <w:lang w:val="en-US" w:eastAsia="zh-CN"/>
        </w:rPr>
        <w:t>6.2-7</w:t>
      </w:r>
      <w:r>
        <w:rPr>
          <w:rFonts w:hint="default" w:ascii="Times New Roman" w:hAnsi="Times New Roman" w:cs="Times New Roman" w:eastAsiaTheme="minorEastAsia"/>
          <w:color w:val="auto"/>
          <w:sz w:val="24"/>
        </w:rPr>
        <w:t>和图</w:t>
      </w:r>
      <w:r>
        <w:rPr>
          <w:rFonts w:hint="eastAsia" w:ascii="Times New Roman" w:hAnsi="Times New Roman" w:cs="Times New Roman" w:eastAsiaTheme="minorEastAsia"/>
          <w:color w:val="auto"/>
          <w:sz w:val="24"/>
          <w:lang w:val="en-US" w:eastAsia="zh-CN"/>
        </w:rPr>
        <w:t>6.2-4</w:t>
      </w:r>
      <w:r>
        <w:rPr>
          <w:rFonts w:hint="default" w:ascii="Times New Roman" w:hAnsi="Times New Roman" w:cs="Times New Roman" w:eastAsiaTheme="minorEastAsia"/>
          <w:color w:val="auto"/>
          <w:sz w:val="24"/>
        </w:rPr>
        <w:t>。</w:t>
      </w:r>
    </w:p>
    <w:p>
      <w:pPr>
        <w:pStyle w:val="16"/>
        <w:jc w:val="center"/>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表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表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7</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永州</w:t>
      </w:r>
      <w:r>
        <w:rPr>
          <w:rFonts w:hint="default" w:ascii="Times New Roman" w:hAnsi="Times New Roman" w:cs="Times New Roman" w:eastAsiaTheme="minorEastAsia"/>
          <w:b/>
          <w:color w:val="auto"/>
          <w:sz w:val="24"/>
        </w:rPr>
        <w:t>2023年季小时平均风速的日变化</w:t>
      </w:r>
    </w:p>
    <w:tbl>
      <w:tblPr>
        <w:tblStyle w:val="23"/>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308"/>
        <w:gridCol w:w="600"/>
        <w:gridCol w:w="600"/>
        <w:gridCol w:w="600"/>
        <w:gridCol w:w="600"/>
        <w:gridCol w:w="600"/>
        <w:gridCol w:w="600"/>
        <w:gridCol w:w="600"/>
        <w:gridCol w:w="600"/>
        <w:gridCol w:w="600"/>
        <w:gridCol w:w="600"/>
        <w:gridCol w:w="600"/>
        <w:gridCol w:w="60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right"/>
              <w:textAlignment w:val="baseline"/>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小时(h)</w:t>
            </w:r>
          </w:p>
          <w:p>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风速(m/s)</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9</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11</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春季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2.32</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2.19</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2.42</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夏季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1.89</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2.53</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秋季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2.19</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冬季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1.78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1.77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1.74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1.73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1.73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1.59</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1.72</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1.82</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right"/>
              <w:textAlignment w:val="baseline"/>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小时(h)</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风速(m/s)</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春季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2.62</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2.71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2.46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2.27</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夏季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2.80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2.95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3.21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3.03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2.96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2.88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2.67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2.39</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2.14</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秋季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2.26</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2.58</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2.59</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2.84</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2.83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2.63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2.60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2.65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2.53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2.43</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8"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冬季</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2.07</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2.11</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2.22</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2.23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2.15</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2.00</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1.93</w:t>
            </w:r>
          </w:p>
        </w:tc>
        <w:tc>
          <w:tcPr>
            <w:tcW w:w="352"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1.82</w:t>
            </w:r>
          </w:p>
        </w:tc>
        <w:tc>
          <w:tcPr>
            <w:tcW w:w="356" w:type="pct"/>
            <w:tcBorders>
              <w:tl2br w:val="nil"/>
              <w:tr2bl w:val="nil"/>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lang w:val="en-US" w:eastAsia="zh-CN"/>
              </w:rPr>
              <w:t>1.81</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100" w:line="240" w:lineRule="auto"/>
        <w:textAlignment w:val="baseline"/>
        <w:rPr>
          <w:rFonts w:hint="default" w:ascii="Times New Roman" w:hAnsi="Times New Roman" w:cs="Times New Roman" w:eastAsiaTheme="minorEastAsia"/>
          <w:color w:val="auto"/>
          <w:spacing w:val="16"/>
          <w:sz w:val="24"/>
        </w:rPr>
      </w:pPr>
      <w:r>
        <w:rPr>
          <w:color w:val="auto"/>
        </w:rPr>
        <w:drawing>
          <wp:inline distT="0" distB="0" distL="114300" distR="114300">
            <wp:extent cx="5316855" cy="2474595"/>
            <wp:effectExtent l="4445" t="4445" r="12700" b="6985"/>
            <wp:docPr id="205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pPr>
        <w:pStyle w:val="16"/>
        <w:keepNext w:val="0"/>
        <w:keepLines w:val="0"/>
        <w:pageBreakBefore w:val="0"/>
        <w:widowControl/>
        <w:kinsoku w:val="0"/>
        <w:wordWrap/>
        <w:overflowPunct/>
        <w:topLinePunct w:val="0"/>
        <w:autoSpaceDE w:val="0"/>
        <w:autoSpaceDN w:val="0"/>
        <w:bidi w:val="0"/>
        <w:adjustRightInd w:val="0"/>
        <w:snapToGrid w:val="0"/>
        <w:spacing w:after="0" w:afterLines="50" w:line="240" w:lineRule="auto"/>
        <w:jc w:val="center"/>
        <w:textAlignment w:val="baseline"/>
        <w:rPr>
          <w:rFonts w:hint="eastAsia" w:ascii="Times New Roman" w:hAnsi="Times New Roman" w:cs="Times New Roman" w:eastAsiaTheme="minorEastAsia"/>
          <w:b/>
          <w:color w:val="auto"/>
          <w:sz w:val="24"/>
          <w:lang w:val="en-US" w:eastAsia="zh-CN"/>
        </w:rPr>
      </w:pPr>
      <w:r>
        <w:rPr>
          <w:rFonts w:hint="default" w:ascii="Times New Roman" w:hAnsi="Times New Roman" w:cs="Times New Roman" w:eastAsiaTheme="minorEastAsia"/>
          <w:b/>
          <w:color w:val="auto"/>
          <w:sz w:val="24"/>
        </w:rPr>
        <w:t xml:space="preserve">图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图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4</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val="en-US" w:eastAsia="zh-CN"/>
        </w:rPr>
        <w:t xml:space="preserve">   </w:t>
      </w:r>
      <w:r>
        <w:rPr>
          <w:rFonts w:hint="eastAsia" w:ascii="Times New Roman" w:hAnsi="Times New Roman" w:cs="Times New Roman" w:eastAsiaTheme="minorEastAsia"/>
          <w:b/>
          <w:color w:val="auto"/>
          <w:sz w:val="24"/>
          <w:lang w:eastAsia="zh-CN"/>
        </w:rPr>
        <w:t>永州</w:t>
      </w:r>
      <w:r>
        <w:rPr>
          <w:rFonts w:hint="default" w:ascii="Times New Roman" w:hAnsi="Times New Roman" w:cs="Times New Roman" w:eastAsiaTheme="minorEastAsia"/>
          <w:b/>
          <w:color w:val="auto"/>
          <w:sz w:val="24"/>
        </w:rPr>
        <w:t>2023年季小时平均风速的日变化</w:t>
      </w:r>
      <w:r>
        <w:rPr>
          <w:rFonts w:hint="eastAsia" w:ascii="Times New Roman" w:hAnsi="Times New Roman" w:cs="Times New Roman" w:eastAsiaTheme="minorEastAsia"/>
          <w:b/>
          <w:color w:val="auto"/>
          <w:sz w:val="24"/>
          <w:lang w:val="en-US" w:eastAsia="zh-CN"/>
        </w:rPr>
        <w:t>图</w:t>
      </w:r>
    </w:p>
    <w:p>
      <w:pPr>
        <w:snapToGrid w:val="0"/>
        <w:spacing w:line="360" w:lineRule="auto"/>
        <w:rPr>
          <w:rFonts w:hint="default" w:ascii="Times New Roman" w:hAnsi="Times New Roman" w:cs="Times New Roman" w:eastAsiaTheme="minorEastAsia"/>
          <w:color w:val="auto"/>
          <w:sz w:val="24"/>
          <w:u w:color="FFFFFF"/>
        </w:rPr>
      </w:pPr>
      <w:r>
        <w:rPr>
          <w:rFonts w:hint="default" w:ascii="Times New Roman" w:hAnsi="Times New Roman" w:cs="Times New Roman" w:eastAsiaTheme="minorEastAsia"/>
          <w:color w:val="auto"/>
          <w:sz w:val="24"/>
          <w:u w:color="FFFFFF"/>
        </w:rPr>
        <w:t>③高空气象数据</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本项目高空气象数据由国家气象信息中心</w:t>
      </w:r>
      <w:r>
        <w:rPr>
          <w:rFonts w:hint="eastAsia" w:ascii="Times New Roman" w:hAnsi="Times New Roman" w:cs="Times New Roman" w:eastAsiaTheme="minorEastAsia"/>
          <w:color w:val="auto"/>
          <w:sz w:val="24"/>
          <w:lang w:eastAsia="zh-CN"/>
        </w:rPr>
        <w:t>采用</w:t>
      </w:r>
      <w:r>
        <w:rPr>
          <w:rFonts w:hint="default" w:ascii="Times New Roman" w:hAnsi="Times New Roman" w:cs="Times New Roman" w:eastAsiaTheme="minorEastAsia"/>
          <w:color w:val="auto"/>
          <w:sz w:val="24"/>
        </w:rPr>
        <w:t>国际上前沿的模式与同化方案</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GFS/GSI</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，建成全球大气再分析系统</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CRAS</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，通过多层次循环同化试验，不断强化中国特有观测资料的同化应用，研制出10年以上长度的</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中国全球大气再分析中间产品</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CRA-Interim，2012-2023年</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时间分辨率为6小时，水平分辨率为34公里，垂直层次64层。提取37个层次的高空模拟气象数据，层次为1000～100hPa每间隔25hPa为一个层次。高空气象因子包括气压、离地高度、干球温度、露点温度、风向和风速。站台编号为</w:t>
      </w:r>
      <w:r>
        <w:rPr>
          <w:rFonts w:hint="default" w:ascii="Times New Roman" w:hAnsi="Times New Roman" w:cs="Times New Roman" w:eastAsiaTheme="minorEastAsia"/>
          <w:color w:val="auto"/>
          <w:sz w:val="24"/>
          <w:lang w:eastAsia="zh-CN"/>
        </w:rPr>
        <w:t>5</w:t>
      </w:r>
      <w:r>
        <w:rPr>
          <w:rFonts w:hint="default" w:ascii="Times New Roman" w:hAnsi="Times New Roman" w:cs="Times New Roman" w:eastAsiaTheme="minorEastAsia"/>
          <w:color w:val="auto"/>
          <w:sz w:val="24"/>
          <w:lang w:val="en-US" w:eastAsia="zh-CN"/>
        </w:rPr>
        <w:t>7866</w:t>
      </w:r>
      <w:r>
        <w:rPr>
          <w:rFonts w:hint="default" w:ascii="Times New Roman" w:hAnsi="Times New Roman" w:cs="Times New Roman" w:eastAsiaTheme="minorEastAsia"/>
          <w:color w:val="auto"/>
          <w:sz w:val="24"/>
        </w:rPr>
        <w:t>，站点经纬度为北纬26.2258°、东经111.6167°。项目模拟气象数据信息见表</w:t>
      </w:r>
      <w:r>
        <w:rPr>
          <w:rFonts w:hint="eastAsia" w:ascii="Times New Roman" w:hAnsi="Times New Roman" w:cs="Times New Roman" w:eastAsiaTheme="minorEastAsia"/>
          <w:color w:val="auto"/>
          <w:sz w:val="24"/>
          <w:lang w:val="en-US" w:eastAsia="zh-CN"/>
        </w:rPr>
        <w:t>6.2-8</w:t>
      </w:r>
      <w:r>
        <w:rPr>
          <w:rFonts w:hint="default" w:ascii="Times New Roman" w:hAnsi="Times New Roman" w:cs="Times New Roman" w:eastAsiaTheme="minorEastAsia"/>
          <w:color w:val="auto"/>
          <w:sz w:val="24"/>
        </w:rPr>
        <w:t>。</w:t>
      </w:r>
    </w:p>
    <w:p>
      <w:pPr>
        <w:pStyle w:val="16"/>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 xml:space="preserve">表 </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STYLEREF 2 \s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6.2</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w:t>
      </w:r>
      <w:r>
        <w:rPr>
          <w:rFonts w:hint="default" w:ascii="Times New Roman" w:hAnsi="Times New Roman" w:cs="Times New Roman" w:eastAsiaTheme="minorEastAsia"/>
          <w:b/>
          <w:color w:val="auto"/>
          <w:sz w:val="24"/>
        </w:rPr>
        <w:fldChar w:fldCharType="begin"/>
      </w:r>
      <w:r>
        <w:rPr>
          <w:rFonts w:hint="default" w:ascii="Times New Roman" w:hAnsi="Times New Roman" w:cs="Times New Roman" w:eastAsiaTheme="minorEastAsia"/>
          <w:b/>
          <w:color w:val="auto"/>
          <w:sz w:val="24"/>
        </w:rPr>
        <w:instrText xml:space="preserve"> SEQ 表 \* ARABIC \s 2 </w:instrText>
      </w:r>
      <w:r>
        <w:rPr>
          <w:rFonts w:hint="default" w:ascii="Times New Roman" w:hAnsi="Times New Roman" w:cs="Times New Roman" w:eastAsiaTheme="minorEastAsia"/>
          <w:b/>
          <w:color w:val="auto"/>
          <w:sz w:val="24"/>
        </w:rPr>
        <w:fldChar w:fldCharType="separate"/>
      </w:r>
      <w:r>
        <w:rPr>
          <w:rFonts w:hint="default" w:ascii="Times New Roman" w:hAnsi="Times New Roman" w:cs="Times New Roman" w:eastAsiaTheme="minorEastAsia"/>
          <w:b/>
          <w:color w:val="auto"/>
          <w:sz w:val="24"/>
        </w:rPr>
        <w:t>8</w:t>
      </w:r>
      <w:r>
        <w:rPr>
          <w:rFonts w:hint="default" w:ascii="Times New Roman" w:hAnsi="Times New Roman" w:cs="Times New Roman" w:eastAsiaTheme="minorEastAsia"/>
          <w:b/>
          <w:color w:val="auto"/>
          <w:sz w:val="24"/>
        </w:rPr>
        <w:fldChar w:fldCharType="end"/>
      </w:r>
      <w:r>
        <w:rPr>
          <w:rFonts w:hint="eastAsia" w:ascii="Times New Roman" w:hAnsi="Times New Roman" w:cs="Times New Roman" w:eastAsiaTheme="minorEastAsia"/>
          <w:b/>
          <w:color w:val="auto"/>
          <w:sz w:val="24"/>
          <w:lang w:eastAsia="zh-CN"/>
        </w:rPr>
        <w:t xml:space="preserve">   </w:t>
      </w:r>
      <w:r>
        <w:rPr>
          <w:rFonts w:hint="default" w:ascii="Times New Roman" w:hAnsi="Times New Roman" w:cs="Times New Roman" w:eastAsiaTheme="minorEastAsia"/>
          <w:b/>
          <w:color w:val="auto"/>
          <w:sz w:val="24"/>
        </w:rPr>
        <w:t>高空模拟气象数据信息表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098"/>
        <w:gridCol w:w="866"/>
        <w:gridCol w:w="1228"/>
        <w:gridCol w:w="985"/>
        <w:gridCol w:w="3169"/>
        <w:gridCol w:w="98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179" w:type="pct"/>
            <w:gridSpan w:val="2"/>
            <w:tcBorders>
              <w:left w:val="single" w:color="auto" w:sz="12"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模拟坐标</w:t>
            </w:r>
          </w:p>
        </w:tc>
        <w:tc>
          <w:tcPr>
            <w:tcW w:w="737" w:type="pct"/>
            <w:vMerge w:val="restart"/>
            <w:tcBorders>
              <w:left w:val="single" w:color="auto" w:sz="4"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相对距离/m</w:t>
            </w:r>
          </w:p>
        </w:tc>
        <w:tc>
          <w:tcPr>
            <w:tcW w:w="591" w:type="pct"/>
            <w:vMerge w:val="restart"/>
            <w:tcBorders>
              <w:left w:val="single" w:color="auto" w:sz="4"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数据年份</w:t>
            </w:r>
          </w:p>
        </w:tc>
        <w:tc>
          <w:tcPr>
            <w:tcW w:w="1902" w:type="pct"/>
            <w:vMerge w:val="restart"/>
            <w:tcBorders>
              <w:left w:val="single" w:color="auto" w:sz="4"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模拟气象要素</w:t>
            </w:r>
          </w:p>
        </w:tc>
        <w:tc>
          <w:tcPr>
            <w:tcW w:w="588" w:type="pct"/>
            <w:vMerge w:val="restart"/>
            <w:tcBorders>
              <w:left w:val="single" w:color="auto" w:sz="4" w:space="0"/>
              <w:bottom w:val="single" w:color="auto" w:sz="4" w:space="0"/>
              <w:right w:val="single" w:color="auto" w:sz="12"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模拟方式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59" w:type="pct"/>
            <w:tcBorders>
              <w:top w:val="single" w:color="auto" w:sz="4" w:space="0"/>
              <w:left w:val="single" w:color="auto" w:sz="12"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经度</w:t>
            </w:r>
          </w:p>
        </w:tc>
        <w:tc>
          <w:tcPr>
            <w:tcW w:w="519" w:type="pct"/>
            <w:tcBorders>
              <w:top w:val="single" w:color="auto" w:sz="4" w:space="0"/>
              <w:left w:val="single" w:color="auto" w:sz="4"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Cs w:val="21"/>
              </w:rPr>
              <w:t>纬度</w:t>
            </w:r>
          </w:p>
        </w:tc>
        <w:tc>
          <w:tcPr>
            <w:tcW w:w="737"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p>
        </w:tc>
        <w:tc>
          <w:tcPr>
            <w:tcW w:w="591"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p>
        </w:tc>
        <w:tc>
          <w:tcPr>
            <w:tcW w:w="190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p>
        </w:tc>
        <w:tc>
          <w:tcPr>
            <w:tcW w:w="588" w:type="pct"/>
            <w:vMerge w:val="continue"/>
            <w:tcBorders>
              <w:top w:val="single" w:color="auto" w:sz="4" w:space="0"/>
              <w:left w:val="single" w:color="auto" w:sz="4" w:space="0"/>
              <w:bottom w:val="single" w:color="auto" w:sz="4" w:space="0"/>
              <w:right w:val="single" w:color="auto" w:sz="12" w:space="0"/>
            </w:tcBorders>
            <w:vAlign w:val="center"/>
          </w:tcPr>
          <w:p>
            <w:pPr>
              <w:widowControl/>
              <w:snapToGrid w:val="0"/>
              <w:spacing w:line="240" w:lineRule="auto"/>
              <w:jc w:val="center"/>
              <w:rPr>
                <w:rFonts w:hint="default" w:ascii="Times New Roman" w:hAnsi="Times New Roman" w:cs="Times New Roman" w:eastAsiaTheme="minorEastAsia"/>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59" w:type="pct"/>
            <w:tcBorders>
              <w:top w:val="single" w:color="auto" w:sz="4" w:space="0"/>
              <w:left w:val="single" w:color="auto" w:sz="12" w:space="0"/>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Cs w:val="21"/>
                <w:highlight w:val="yellow"/>
              </w:rPr>
            </w:pPr>
            <w:r>
              <w:rPr>
                <w:rFonts w:hint="default" w:ascii="Times New Roman" w:hAnsi="Times New Roman" w:cs="Times New Roman" w:eastAsiaTheme="minorEastAsia"/>
                <w:color w:val="auto"/>
                <w:sz w:val="21"/>
                <w:szCs w:val="21"/>
                <w:u w:color="FFFFFF"/>
              </w:rPr>
              <w:t>111.6167°</w:t>
            </w:r>
          </w:p>
        </w:tc>
        <w:tc>
          <w:tcPr>
            <w:tcW w:w="519" w:type="pct"/>
            <w:tcBorders>
              <w:top w:val="single" w:color="auto" w:sz="4" w:space="0"/>
              <w:left w:val="single" w:color="auto" w:sz="4" w:space="0"/>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Cs w:val="21"/>
                <w:highlight w:val="yellow"/>
              </w:rPr>
            </w:pPr>
            <w:r>
              <w:rPr>
                <w:rFonts w:hint="default" w:ascii="Times New Roman" w:hAnsi="Times New Roman" w:cs="Times New Roman" w:eastAsiaTheme="minorEastAsia"/>
                <w:color w:val="auto"/>
                <w:sz w:val="21"/>
                <w:szCs w:val="21"/>
                <w:u w:color="FFFFFF"/>
              </w:rPr>
              <w:t>26.2258°</w:t>
            </w:r>
          </w:p>
        </w:tc>
        <w:tc>
          <w:tcPr>
            <w:tcW w:w="737" w:type="pct"/>
            <w:tcBorders>
              <w:top w:val="single" w:color="auto" w:sz="4" w:space="0"/>
              <w:left w:val="single" w:color="auto" w:sz="4" w:space="0"/>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szCs w:val="21"/>
                <w:highlight w:val="yellow"/>
              </w:rPr>
            </w:pPr>
            <w:r>
              <w:rPr>
                <w:rFonts w:hint="default" w:ascii="Times New Roman" w:hAnsi="Times New Roman" w:cs="Times New Roman" w:eastAsiaTheme="minorEastAsia"/>
                <w:color w:val="auto"/>
                <w:sz w:val="21"/>
                <w:szCs w:val="21"/>
                <w:u w:color="FFFFFF"/>
                <w:lang w:val="en-US" w:eastAsia="zh-CN"/>
              </w:rPr>
              <w:t>475</w:t>
            </w:r>
            <w:r>
              <w:rPr>
                <w:rFonts w:hint="default" w:ascii="Times New Roman" w:hAnsi="Times New Roman" w:cs="Times New Roman" w:eastAsiaTheme="minorEastAsia"/>
                <w:color w:val="auto"/>
                <w:sz w:val="21"/>
                <w:szCs w:val="21"/>
                <w:u w:color="FFFFFF"/>
              </w:rPr>
              <w:t>0</w:t>
            </w:r>
          </w:p>
        </w:tc>
        <w:tc>
          <w:tcPr>
            <w:tcW w:w="591" w:type="pct"/>
            <w:tcBorders>
              <w:top w:val="single" w:color="auto" w:sz="4" w:space="0"/>
              <w:left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2023年</w:t>
            </w:r>
          </w:p>
        </w:tc>
        <w:tc>
          <w:tcPr>
            <w:tcW w:w="1902" w:type="pct"/>
            <w:tcBorders>
              <w:top w:val="single" w:color="auto" w:sz="4" w:space="0"/>
              <w:left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u w:color="FFFFFF"/>
              </w:rPr>
              <w:t>气压、离地高度、干球温度、露点温度、风向和风速</w:t>
            </w:r>
          </w:p>
        </w:tc>
        <w:tc>
          <w:tcPr>
            <w:tcW w:w="588" w:type="pct"/>
            <w:tcBorders>
              <w:top w:val="single" w:color="auto" w:sz="4" w:space="0"/>
              <w:left w:val="single" w:color="auto" w:sz="4" w:space="0"/>
              <w:right w:val="single" w:color="auto" w:sz="12" w:space="0"/>
            </w:tcBorders>
            <w:vAlign w:val="center"/>
          </w:tcPr>
          <w:p>
            <w:pPr>
              <w:spacing w:line="240" w:lineRule="auto"/>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u w:color="FFFFFF"/>
              </w:rPr>
              <w:t>GFS/GSI</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firstLine="120" w:firstLineChars="50"/>
        <w:textAlignment w:val="baseline"/>
        <w:rPr>
          <w:rFonts w:hint="default" w:ascii="Times New Roman" w:hAnsi="Times New Roman" w:cs="Times New Roman" w:eastAsiaTheme="minorEastAsia"/>
          <w:color w:val="auto"/>
          <w:sz w:val="24"/>
          <w:u w:color="FFFFFF"/>
        </w:rPr>
      </w:pPr>
      <w:r>
        <w:rPr>
          <w:rFonts w:hint="default" w:ascii="Times New Roman" w:hAnsi="Times New Roman" w:cs="Times New Roman" w:eastAsiaTheme="minorEastAsia"/>
          <w:color w:val="auto"/>
          <w:sz w:val="24"/>
          <w:u w:color="FFFFFF"/>
        </w:rPr>
        <w:t>④地表参数和地形数据</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kern w:val="0"/>
          <w:sz w:val="24"/>
        </w:rPr>
      </w:pPr>
      <w:r>
        <w:rPr>
          <w:rFonts w:hint="default" w:ascii="Times New Roman" w:hAnsi="Times New Roman" w:cs="Times New Roman" w:eastAsiaTheme="minorEastAsia"/>
          <w:color w:val="auto"/>
          <w:sz w:val="24"/>
        </w:rPr>
        <w:t>本项目采用美国地质勘探局调查的</w:t>
      </w:r>
      <w:r>
        <w:rPr>
          <w:rFonts w:hint="default" w:ascii="Times New Roman" w:hAnsi="Times New Roman" w:cs="Times New Roman" w:eastAsiaTheme="minorEastAsia"/>
          <w:color w:val="auto"/>
          <w:kern w:val="0"/>
          <w:sz w:val="24"/>
        </w:rPr>
        <w:t>分辨率</w:t>
      </w:r>
      <w:r>
        <w:rPr>
          <w:rFonts w:hint="default" w:ascii="Times New Roman" w:hAnsi="Times New Roman" w:cs="Times New Roman" w:eastAsiaTheme="minorEastAsia"/>
          <w:color w:val="auto"/>
          <w:sz w:val="27"/>
          <w:szCs w:val="27"/>
          <w:shd w:val="clear" w:color="auto" w:fill="FFFFFF"/>
        </w:rPr>
        <w:t>SRTM3-90</w:t>
      </w:r>
      <w:r>
        <w:rPr>
          <w:rFonts w:hint="default" w:ascii="Times New Roman" w:hAnsi="Times New Roman" w:cs="Times New Roman" w:eastAsiaTheme="minorEastAsia"/>
          <w:color w:val="auto"/>
          <w:kern w:val="0"/>
          <w:sz w:val="24"/>
        </w:rPr>
        <w:t>m的中国地形数据库。项目区域地形等值线见</w:t>
      </w:r>
      <w:r>
        <w:rPr>
          <w:rFonts w:hint="eastAsia" w:ascii="Times New Roman" w:hAnsi="Times New Roman" w:cs="Times New Roman" w:eastAsiaTheme="minorEastAsia"/>
          <w:color w:val="auto"/>
          <w:kern w:val="0"/>
          <w:sz w:val="24"/>
          <w:lang w:val="en-US" w:eastAsia="zh-CN"/>
        </w:rPr>
        <w:t>下</w:t>
      </w:r>
      <w:r>
        <w:rPr>
          <w:rFonts w:hint="default" w:ascii="Times New Roman" w:hAnsi="Times New Roman" w:cs="Times New Roman" w:eastAsiaTheme="minorEastAsia"/>
          <w:color w:val="auto"/>
          <w:kern w:val="0"/>
          <w:sz w:val="24"/>
        </w:rPr>
        <w:t>图。</w:t>
      </w:r>
    </w:p>
    <w:p>
      <w:pPr>
        <w:pStyle w:val="31"/>
        <w:keepNext w:val="0"/>
        <w:keepLines w:val="0"/>
        <w:pageBreakBefore w:val="0"/>
        <w:widowControl/>
        <w:kinsoku/>
        <w:wordWrap w:val="0"/>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Cs w:val="28"/>
          <w:u w:val="none" w:color="auto"/>
          <w:lang w:eastAsia="zh-CN"/>
        </w:rPr>
      </w:pPr>
      <w:r>
        <w:rPr>
          <w:color w:val="auto"/>
        </w:rPr>
        <w:drawing>
          <wp:inline distT="0" distB="0" distL="114300" distR="114300">
            <wp:extent cx="4743450" cy="3168650"/>
            <wp:effectExtent l="0" t="0" r="0" b="12700"/>
            <wp:docPr id="236"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6" name="图片 37"/>
                    <pic:cNvPicPr>
                      <a:picLocks noChangeAspect="true"/>
                    </pic:cNvPicPr>
                  </pic:nvPicPr>
                  <pic:blipFill>
                    <a:blip r:embed="rId32"/>
                    <a:srcRect t="533" b="762"/>
                    <a:stretch>
                      <a:fillRect/>
                    </a:stretch>
                  </pic:blipFill>
                  <pic:spPr>
                    <a:xfrm>
                      <a:off x="0" y="0"/>
                      <a:ext cx="4743450" cy="3168650"/>
                    </a:xfrm>
                    <a:prstGeom prst="rect">
                      <a:avLst/>
                    </a:prstGeom>
                    <a:noFill/>
                    <a:ln>
                      <a:noFill/>
                    </a:ln>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eastAsia" w:ascii="Times New Roman" w:hAnsi="Times New Roman" w:eastAsia="宋体" w:cs="Times New Roman"/>
          <w:b/>
          <w:bCs/>
          <w:color w:val="auto"/>
          <w:spacing w:val="5"/>
          <w:sz w:val="24"/>
          <w:szCs w:val="24"/>
          <w:lang w:val="en-US" w:eastAsia="zh-CN"/>
        </w:rPr>
      </w:pPr>
      <w:r>
        <w:rPr>
          <w:rFonts w:hint="default" w:ascii="Times New Roman" w:hAnsi="Times New Roman" w:eastAsia="宋体" w:cs="Times New Roman"/>
          <w:b/>
          <w:bCs/>
          <w:color w:val="auto"/>
          <w:spacing w:val="5"/>
          <w:sz w:val="24"/>
          <w:szCs w:val="24"/>
          <w:lang w:val="en-US" w:eastAsia="zh-CN"/>
        </w:rPr>
        <w:t xml:space="preserve">图 </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STYLEREF 2 \s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6.2</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SEQ 图 \* ARABIC \s 2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5</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项目区域地形等值线</w:t>
      </w:r>
      <w:r>
        <w:rPr>
          <w:rFonts w:hint="eastAsia" w:ascii="Times New Roman" w:hAnsi="Times New Roman" w:eastAsia="宋体" w:cs="Times New Roman"/>
          <w:b/>
          <w:bCs/>
          <w:color w:val="auto"/>
          <w:spacing w:val="5"/>
          <w:sz w:val="24"/>
          <w:szCs w:val="24"/>
          <w:lang w:val="en-US" w:eastAsia="zh-CN"/>
        </w:rPr>
        <w:t>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val="en-US" w:eastAsia="zh-CN"/>
        </w:rPr>
      </w:pPr>
      <w:r>
        <w:rPr>
          <w:rFonts w:hint="eastAsia" w:ascii="Times New Roman" w:hAnsi="Times New Roman" w:cs="Times New Roman"/>
          <w:b/>
          <w:bCs/>
          <w:color w:val="auto"/>
          <w:szCs w:val="28"/>
          <w:u w:val="none" w:color="auto"/>
          <w:lang w:val="en-US" w:eastAsia="zh-CN"/>
        </w:rPr>
        <w:t>（3）预测结果</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①新增污染源正常排放</w:t>
      </w:r>
      <w:r>
        <w:rPr>
          <w:rFonts w:hint="eastAsia" w:ascii="Times New Roman" w:hAnsi="Times New Roman" w:cs="Times New Roman"/>
          <w:color w:val="auto"/>
          <w:szCs w:val="28"/>
          <w:u w:val="none" w:color="auto"/>
          <w:lang w:val="en-US" w:eastAsia="zh-CN"/>
        </w:rPr>
        <w:t>情况</w:t>
      </w:r>
      <w:r>
        <w:rPr>
          <w:rFonts w:hint="default" w:ascii="Times New Roman" w:hAnsi="Times New Roman" w:cs="Times New Roman"/>
          <w:color w:val="auto"/>
          <w:szCs w:val="28"/>
          <w:u w:val="none" w:color="auto"/>
          <w:lang w:val="en-US" w:eastAsia="zh-CN"/>
        </w:rPr>
        <w:t>下小时贡献浓度统计</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根据</w:t>
      </w:r>
      <w:r>
        <w:rPr>
          <w:rFonts w:hint="eastAsia" w:ascii="Times New Roman" w:hAnsi="Times New Roman" w:cs="Times New Roman"/>
          <w:color w:val="auto"/>
          <w:szCs w:val="28"/>
          <w:u w:val="none" w:color="auto"/>
        </w:rPr>
        <w:t>AERSCREEN</w:t>
      </w:r>
      <w:r>
        <w:rPr>
          <w:rFonts w:hint="default" w:ascii="Times New Roman" w:hAnsi="Times New Roman" w:cs="Times New Roman"/>
          <w:color w:val="auto"/>
          <w:szCs w:val="28"/>
          <w:u w:val="none" w:color="auto"/>
          <w:lang w:val="en-US" w:eastAsia="zh-CN"/>
        </w:rPr>
        <w:t>模式计算结果，统计出计算网格范围内全年逐小时气象条件下污染物小时最大地面浓度值见下表。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9</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eastAsia" w:ascii="Times New Roman" w:hAnsi="Times New Roman" w:cs="Times New Roman"/>
          <w:b/>
          <w:bCs/>
          <w:color w:val="auto"/>
          <w:sz w:val="21"/>
          <w:szCs w:val="21"/>
          <w:lang w:val="en-US" w:eastAsia="zh-CN"/>
        </w:rPr>
        <w:t>P</w:t>
      </w:r>
      <w:r>
        <w:rPr>
          <w:rFonts w:hint="eastAsia" w:ascii="Times New Roman" w:hAnsi="Times New Roman" w:eastAsia="宋体" w:cs="Times New Roman"/>
          <w:b/>
          <w:bCs/>
          <w:color w:val="auto"/>
          <w:sz w:val="21"/>
          <w:szCs w:val="21"/>
          <w:lang w:val="en-US" w:eastAsia="zh-CN"/>
        </w:rPr>
        <w:t>max</w:t>
      </w:r>
      <w:r>
        <w:rPr>
          <w:rFonts w:hint="default" w:ascii="Times New Roman" w:hAnsi="Times New Roman" w:eastAsia="宋体" w:cs="Times New Roman"/>
          <w:b/>
          <w:bCs/>
          <w:color w:val="auto"/>
          <w:spacing w:val="5"/>
          <w:sz w:val="24"/>
          <w:szCs w:val="24"/>
        </w:rPr>
        <w:t>和</w:t>
      </w:r>
      <w:r>
        <w:rPr>
          <w:rFonts w:hint="eastAsia" w:ascii="Times New Roman" w:hAnsi="Times New Roman" w:cs="Times New Roman"/>
          <w:b/>
          <w:bCs/>
          <w:color w:val="auto"/>
          <w:sz w:val="21"/>
          <w:szCs w:val="21"/>
          <w:lang w:val="en-US" w:eastAsia="zh-CN"/>
        </w:rPr>
        <w:t>D10%预测结果一览</w:t>
      </w:r>
      <w:r>
        <w:rPr>
          <w:rFonts w:hint="default" w:ascii="Times New Roman" w:hAnsi="Times New Roman" w:eastAsia="宋体" w:cs="Times New Roman"/>
          <w:b/>
          <w:bCs/>
          <w:color w:val="auto"/>
          <w:spacing w:val="5"/>
          <w:sz w:val="24"/>
          <w:szCs w:val="24"/>
        </w:rPr>
        <w:t>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44"/>
        <w:gridCol w:w="1137"/>
        <w:gridCol w:w="1852"/>
        <w:gridCol w:w="1602"/>
        <w:gridCol w:w="1348"/>
        <w:gridCol w:w="134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NewRomanPSMT" w:hAnsi="TimesNewRomanPSMT" w:eastAsia="宋体" w:cs="TimesNewRomanPSMT"/>
                <w:b/>
                <w:bCs/>
                <w:color w:val="auto"/>
                <w:sz w:val="21"/>
                <w:szCs w:val="21"/>
                <w:lang w:val="en-US" w:eastAsia="zh-CN"/>
              </w:rPr>
            </w:pPr>
            <w:r>
              <w:rPr>
                <w:rFonts w:hint="eastAsia" w:ascii="TimesNewRomanPSMT" w:hAnsi="TimesNewRomanPSMT" w:eastAsia="宋体" w:cs="TimesNewRomanPSMT"/>
                <w:b/>
                <w:bCs/>
                <w:color w:val="auto"/>
                <w:sz w:val="21"/>
                <w:szCs w:val="21"/>
                <w:lang w:val="en-US" w:eastAsia="zh-CN"/>
              </w:rPr>
              <w:t>污染源</w:t>
            </w:r>
          </w:p>
        </w:tc>
        <w:tc>
          <w:tcPr>
            <w:tcW w:w="682" w:type="pct"/>
            <w:tcBorders>
              <w:righ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评价因子</w:t>
            </w:r>
          </w:p>
        </w:tc>
        <w:tc>
          <w:tcPr>
            <w:tcW w:w="1111" w:type="pct"/>
            <w:tcBorders>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评价标准</w:t>
            </w:r>
            <w:r>
              <w:rPr>
                <w:rFonts w:hint="default" w:ascii="Times New Roman" w:hAnsi="Times New Roman" w:cs="Times New Roman"/>
                <w:b/>
                <w:bCs/>
                <w:color w:val="auto"/>
                <w:sz w:val="21"/>
                <w:szCs w:val="21"/>
                <w:lang w:val="en-US" w:eastAsia="zh-CN"/>
              </w:rPr>
              <w:t>（μg/m</w:t>
            </w:r>
            <w:r>
              <w:rPr>
                <w:rFonts w:hint="default" w:ascii="Times New Roman" w:hAnsi="Times New Roman"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w:t>
            </w:r>
          </w:p>
        </w:tc>
        <w:tc>
          <w:tcPr>
            <w:tcW w:w="9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Cmax（</w:t>
            </w:r>
            <w:r>
              <w:rPr>
                <w:rFonts w:hint="default" w:ascii="Times New Roman" w:hAnsi="Times New Roman" w:cs="Times New Roman"/>
                <w:b/>
                <w:bCs/>
                <w:color w:val="auto"/>
                <w:sz w:val="21"/>
                <w:szCs w:val="21"/>
                <w:lang w:val="en-US" w:eastAsia="zh-CN"/>
              </w:rPr>
              <w:t>μg/m</w:t>
            </w:r>
            <w:r>
              <w:rPr>
                <w:rFonts w:hint="default" w:ascii="Times New Roman" w:hAnsi="Times New Roman"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lang w:val="en-US" w:eastAsia="zh-CN"/>
              </w:rPr>
              <w:t>）</w:t>
            </w:r>
          </w:p>
        </w:tc>
        <w:tc>
          <w:tcPr>
            <w:tcW w:w="80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P</w:t>
            </w:r>
            <w:r>
              <w:rPr>
                <w:rFonts w:hint="eastAsia" w:ascii="Times New Roman" w:hAnsi="Times New Roman" w:eastAsia="宋体" w:cs="Times New Roman"/>
                <w:b/>
                <w:bCs/>
                <w:color w:val="auto"/>
                <w:sz w:val="21"/>
                <w:szCs w:val="21"/>
                <w:lang w:val="en-US" w:eastAsia="zh-CN"/>
              </w:rPr>
              <w:t>max（%）</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D10%（m）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NewRomanPSMT" w:hAnsi="TimesNewRomanPSMT" w:eastAsia="宋体" w:cs="TimesNewRomanPSMT"/>
                <w:b w:val="0"/>
                <w:bCs w:val="0"/>
                <w:color w:val="auto"/>
                <w:sz w:val="21"/>
                <w:szCs w:val="21"/>
                <w:lang w:val="en-US" w:eastAsia="zh-CN"/>
              </w:rPr>
            </w:pPr>
            <w:r>
              <w:rPr>
                <w:rFonts w:hint="eastAsia" w:ascii="TimesNewRomanPSMT" w:hAnsi="TimesNewRomanPSMT" w:eastAsia="宋体" w:cs="TimesNewRomanPSMT"/>
                <w:b w:val="0"/>
                <w:bCs w:val="0"/>
                <w:color w:val="auto"/>
                <w:sz w:val="21"/>
                <w:szCs w:val="21"/>
                <w:lang w:val="en-US" w:eastAsia="zh-CN"/>
              </w:rPr>
              <w:t>点源</w:t>
            </w:r>
          </w:p>
        </w:tc>
        <w:tc>
          <w:tcPr>
            <w:tcW w:w="682" w:type="pct"/>
            <w:tcBorders>
              <w:righ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Cs w:val="28"/>
                <w:u w:val="none" w:color="auto"/>
                <w:lang w:val="en-US" w:eastAsia="zh-CN"/>
              </w:rPr>
              <w:t>NMHC</w:t>
            </w:r>
          </w:p>
        </w:tc>
        <w:tc>
          <w:tcPr>
            <w:tcW w:w="1111" w:type="pct"/>
            <w:tcBorders>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1200</w:t>
            </w:r>
          </w:p>
        </w:tc>
        <w:tc>
          <w:tcPr>
            <w:tcW w:w="9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265</w:t>
            </w:r>
          </w:p>
        </w:tc>
        <w:tc>
          <w:tcPr>
            <w:tcW w:w="80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22.09</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NewRomanPSMT" w:hAnsi="TimesNewRomanPSMT" w:eastAsia="TimesNewRomanPSMT" w:cs="TimesNewRomanPSMT"/>
                <w:b w:val="0"/>
                <w:bCs w:val="0"/>
                <w:color w:val="auto"/>
                <w:sz w:val="21"/>
                <w:szCs w:val="21"/>
              </w:rPr>
            </w:pPr>
            <w:r>
              <w:rPr>
                <w:rFonts w:hint="eastAsia" w:ascii="TimesNewRomanPSMT" w:hAnsi="TimesNewRomanPSMT" w:eastAsia="宋体" w:cs="TimesNewRomanPSMT"/>
                <w:b w:val="0"/>
                <w:bCs w:val="0"/>
                <w:color w:val="auto"/>
                <w:sz w:val="21"/>
                <w:szCs w:val="21"/>
                <w:lang w:val="en-US" w:eastAsia="zh-CN"/>
              </w:rPr>
              <w:t>点源</w:t>
            </w:r>
          </w:p>
        </w:tc>
        <w:tc>
          <w:tcPr>
            <w:tcW w:w="682" w:type="pct"/>
            <w:tcBorders>
              <w:righ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ascii="TimesNewRomanPSMT" w:hAnsi="TimesNewRomanPSMT" w:eastAsia="TimesNewRomanPSMT" w:cs="TimesNewRomanPSMT"/>
                <w:b w:val="0"/>
                <w:bCs w:val="0"/>
                <w:color w:val="auto"/>
                <w:sz w:val="21"/>
                <w:szCs w:val="21"/>
              </w:rPr>
              <w:t>SO₂</w:t>
            </w:r>
          </w:p>
        </w:tc>
        <w:tc>
          <w:tcPr>
            <w:tcW w:w="1111" w:type="pct"/>
            <w:tcBorders>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500</w:t>
            </w:r>
          </w:p>
        </w:tc>
        <w:tc>
          <w:tcPr>
            <w:tcW w:w="9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0.372</w:t>
            </w:r>
          </w:p>
        </w:tc>
        <w:tc>
          <w:tcPr>
            <w:tcW w:w="80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0.07</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eastAsia" w:ascii="TimesNewRomanPSMT" w:hAnsi="TimesNewRomanPSMT" w:eastAsia="宋体" w:cs="TimesNewRomanPSMT"/>
                <w:b w:val="0"/>
                <w:bCs w:val="0"/>
                <w:color w:val="auto"/>
                <w:sz w:val="21"/>
                <w:szCs w:val="21"/>
                <w:lang w:val="en-US" w:eastAsia="zh-CN"/>
              </w:rPr>
              <w:t>点源</w:t>
            </w:r>
          </w:p>
        </w:tc>
        <w:tc>
          <w:tcPr>
            <w:tcW w:w="682" w:type="pct"/>
            <w:tcBorders>
              <w:righ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ascii="TimesNewRomanPSMT" w:hAnsi="TimesNewRomanPSMT" w:eastAsia="TimesNewRomanPSMT" w:cs="TimesNewRomanPSMT"/>
                <w:b w:val="0"/>
                <w:bCs w:val="0"/>
                <w:color w:val="auto"/>
                <w:sz w:val="21"/>
                <w:szCs w:val="21"/>
              </w:rPr>
              <w:t>NOx</w:t>
            </w:r>
          </w:p>
        </w:tc>
        <w:tc>
          <w:tcPr>
            <w:tcW w:w="1111" w:type="pct"/>
            <w:tcBorders>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200</w:t>
            </w:r>
          </w:p>
        </w:tc>
        <w:tc>
          <w:tcPr>
            <w:tcW w:w="9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2.35</w:t>
            </w:r>
          </w:p>
        </w:tc>
        <w:tc>
          <w:tcPr>
            <w:tcW w:w="1348"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0.94</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面源</w:t>
            </w:r>
          </w:p>
        </w:tc>
        <w:tc>
          <w:tcPr>
            <w:tcW w:w="682" w:type="pct"/>
            <w:tcBorders>
              <w:righ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Cs w:val="28"/>
                <w:u w:val="none" w:color="auto"/>
                <w:lang w:val="en-US" w:eastAsia="zh-CN"/>
              </w:rPr>
              <w:t>NMHC</w:t>
            </w:r>
          </w:p>
        </w:tc>
        <w:tc>
          <w:tcPr>
            <w:tcW w:w="1111" w:type="pct"/>
            <w:tcBorders>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1200</w:t>
            </w:r>
          </w:p>
        </w:tc>
        <w:tc>
          <w:tcPr>
            <w:tcW w:w="9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8.34</w:t>
            </w:r>
          </w:p>
        </w:tc>
        <w:tc>
          <w:tcPr>
            <w:tcW w:w="1348" w:type="dxa"/>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0.69</w:t>
            </w:r>
          </w:p>
        </w:tc>
        <w:tc>
          <w:tcPr>
            <w:tcW w:w="8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w:t>
            </w:r>
          </w:p>
        </w:tc>
      </w:tr>
    </w:tbl>
    <w:p>
      <w:pPr>
        <w:pStyle w:val="31"/>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由上表可得，</w:t>
      </w:r>
      <w:r>
        <w:rPr>
          <w:rFonts w:hint="eastAsia" w:ascii="Times New Roman" w:hAnsi="Times New Roman" w:cs="Times New Roman"/>
          <w:color w:val="auto"/>
          <w:szCs w:val="28"/>
          <w:u w:val="none" w:color="auto"/>
          <w:lang w:val="en-US" w:eastAsia="zh-CN"/>
        </w:rPr>
        <w:t>有组织排放</w:t>
      </w:r>
      <w:r>
        <w:rPr>
          <w:rFonts w:hint="default" w:ascii="Times New Roman" w:hAnsi="Times New Roman" w:cs="Times New Roman"/>
          <w:color w:val="auto"/>
          <w:szCs w:val="28"/>
          <w:u w:val="none" w:color="auto"/>
          <w:lang w:val="en-US" w:eastAsia="zh-CN"/>
        </w:rPr>
        <w:t>NMHC最大小时平均地面浓度值为</w:t>
      </w:r>
      <w:r>
        <w:rPr>
          <w:rFonts w:hint="eastAsia" w:ascii="Times New Roman" w:hAnsi="Times New Roman" w:cs="Times New Roman"/>
          <w:color w:val="auto"/>
          <w:szCs w:val="28"/>
          <w:u w:val="none" w:color="auto"/>
          <w:lang w:val="en-US" w:eastAsia="zh-CN"/>
        </w:rPr>
        <w:t>265u</w:t>
      </w:r>
      <w:r>
        <w:rPr>
          <w:rFonts w:hint="default" w:ascii="Times New Roman" w:hAnsi="Times New Roman" w:cs="Times New Roman"/>
          <w:color w:val="auto"/>
          <w:szCs w:val="28"/>
          <w:u w:val="none" w:color="auto"/>
          <w:lang w:val="en-US" w:eastAsia="zh-CN"/>
        </w:rPr>
        <w:t>g/m</w:t>
      </w:r>
      <w:r>
        <w:rPr>
          <w:rFonts w:hint="eastAsia" w:ascii="Times New Roman" w:hAnsi="Times New Roman"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lang w:val="en-US" w:eastAsia="zh-CN"/>
        </w:rPr>
        <w:t>，占执行标准的</w:t>
      </w:r>
      <w:r>
        <w:rPr>
          <w:rFonts w:hint="eastAsia" w:ascii="Times New Roman" w:hAnsi="Times New Roman" w:cs="Times New Roman"/>
          <w:color w:val="auto"/>
          <w:szCs w:val="28"/>
          <w:u w:val="none" w:color="auto"/>
          <w:lang w:val="en-US" w:eastAsia="zh-CN"/>
        </w:rPr>
        <w:t>22.08</w:t>
      </w:r>
      <w:r>
        <w:rPr>
          <w:rFonts w:hint="default" w:ascii="Times New Roman" w:hAnsi="Times New Roman" w:cs="Times New Roman"/>
          <w:color w:val="auto"/>
          <w:szCs w:val="28"/>
          <w:u w:val="none" w:color="auto"/>
          <w:lang w:val="en-US" w:eastAsia="zh-CN"/>
        </w:rPr>
        <w:t>%；SO₂最大小时平均地面浓度值为0.</w:t>
      </w:r>
      <w:r>
        <w:rPr>
          <w:rFonts w:hint="eastAsia" w:ascii="Times New Roman" w:hAnsi="Times New Roman" w:cs="Times New Roman"/>
          <w:color w:val="auto"/>
          <w:szCs w:val="28"/>
          <w:u w:val="none" w:color="auto"/>
          <w:lang w:val="en-US" w:eastAsia="zh-CN"/>
        </w:rPr>
        <w:t>372u</w:t>
      </w:r>
      <w:r>
        <w:rPr>
          <w:rFonts w:hint="default" w:ascii="Times New Roman" w:hAnsi="Times New Roman" w:cs="Times New Roman"/>
          <w:color w:val="auto"/>
          <w:szCs w:val="28"/>
          <w:u w:val="none" w:color="auto"/>
          <w:lang w:val="en-US" w:eastAsia="zh-CN"/>
        </w:rPr>
        <w:t>g/m</w:t>
      </w:r>
      <w:r>
        <w:rPr>
          <w:rFonts w:hint="eastAsia" w:ascii="Times New Roman" w:hAnsi="Times New Roman"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lang w:val="en-US" w:eastAsia="zh-CN"/>
        </w:rPr>
        <w:t>，占执行标准的</w:t>
      </w:r>
      <w:r>
        <w:rPr>
          <w:rFonts w:hint="eastAsia" w:ascii="Times New Roman" w:hAnsi="Times New Roman" w:cs="Times New Roman"/>
          <w:color w:val="auto"/>
          <w:szCs w:val="28"/>
          <w:u w:val="none" w:color="auto"/>
          <w:lang w:val="en-US" w:eastAsia="zh-CN"/>
        </w:rPr>
        <w:t>0.07</w:t>
      </w:r>
      <w:r>
        <w:rPr>
          <w:rFonts w:hint="default" w:ascii="Times New Roman" w:hAnsi="Times New Roman" w:cs="Times New Roman"/>
          <w:color w:val="auto"/>
          <w:szCs w:val="28"/>
          <w:u w:val="none" w:color="auto"/>
          <w:lang w:val="en-US" w:eastAsia="zh-CN"/>
        </w:rPr>
        <w:t>%；NOx最大小时平均地面浓度值为</w:t>
      </w:r>
      <w:r>
        <w:rPr>
          <w:rFonts w:hint="eastAsia" w:ascii="Times New Roman" w:hAnsi="Times New Roman" w:cs="Times New Roman"/>
          <w:color w:val="auto"/>
          <w:szCs w:val="28"/>
          <w:u w:val="none" w:color="auto"/>
          <w:lang w:val="en-US" w:eastAsia="zh-CN"/>
        </w:rPr>
        <w:t>2.35u</w:t>
      </w:r>
      <w:r>
        <w:rPr>
          <w:rFonts w:hint="default" w:ascii="Times New Roman" w:hAnsi="Times New Roman" w:cs="Times New Roman"/>
          <w:color w:val="auto"/>
          <w:szCs w:val="28"/>
          <w:u w:val="none" w:color="auto"/>
          <w:lang w:val="en-US" w:eastAsia="zh-CN"/>
        </w:rPr>
        <w:t>g/m</w:t>
      </w:r>
      <w:r>
        <w:rPr>
          <w:rFonts w:hint="eastAsia" w:ascii="Times New Roman" w:hAnsi="Times New Roman"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lang w:val="en-US" w:eastAsia="zh-CN"/>
        </w:rPr>
        <w:t>，占执行标准</w:t>
      </w:r>
      <w:r>
        <w:rPr>
          <w:rFonts w:hint="eastAsia" w:ascii="Times New Roman" w:hAnsi="Times New Roman" w:cs="Times New Roman"/>
          <w:color w:val="auto"/>
          <w:szCs w:val="28"/>
          <w:u w:val="none" w:color="auto"/>
          <w:lang w:val="en-US" w:eastAsia="zh-CN"/>
        </w:rPr>
        <w:t>0.94</w:t>
      </w:r>
      <w:r>
        <w:rPr>
          <w:rFonts w:hint="default" w:ascii="Times New Roman" w:hAnsi="Times New Roman" w:cs="Times New Roman"/>
          <w:color w:val="auto"/>
          <w:szCs w:val="28"/>
          <w:u w:val="none" w:color="auto"/>
          <w:lang w:val="en-US" w:eastAsia="zh-CN"/>
        </w:rPr>
        <w:t>%</w:t>
      </w:r>
      <w:r>
        <w:rPr>
          <w:rFonts w:hint="eastAsia" w:ascii="Times New Roman" w:hAnsi="Times New Roman" w:cs="Times New Roman"/>
          <w:color w:val="auto"/>
          <w:szCs w:val="28"/>
          <w:u w:val="none" w:color="auto"/>
          <w:lang w:val="en-US" w:eastAsia="zh-CN"/>
        </w:rPr>
        <w:t>；无组织排放</w:t>
      </w:r>
      <w:r>
        <w:rPr>
          <w:rFonts w:hint="default" w:ascii="Times New Roman" w:hAnsi="Times New Roman" w:cs="Times New Roman"/>
          <w:color w:val="auto"/>
          <w:szCs w:val="28"/>
          <w:u w:val="none" w:color="auto"/>
          <w:lang w:val="en-US" w:eastAsia="zh-CN"/>
        </w:rPr>
        <w:t>NMHC最大小时平均地面浓度值为</w:t>
      </w:r>
      <w:r>
        <w:rPr>
          <w:rFonts w:hint="eastAsia" w:ascii="Times New Roman" w:hAnsi="Times New Roman" w:cs="Times New Roman"/>
          <w:color w:val="auto"/>
          <w:szCs w:val="28"/>
          <w:u w:val="none" w:color="auto"/>
          <w:lang w:val="en-US" w:eastAsia="zh-CN"/>
        </w:rPr>
        <w:t>8.34u</w:t>
      </w:r>
      <w:r>
        <w:rPr>
          <w:rFonts w:hint="default" w:ascii="Times New Roman" w:hAnsi="Times New Roman" w:cs="Times New Roman"/>
          <w:color w:val="auto"/>
          <w:szCs w:val="28"/>
          <w:u w:val="none" w:color="auto"/>
          <w:lang w:val="en-US" w:eastAsia="zh-CN"/>
        </w:rPr>
        <w:t>g/m</w:t>
      </w:r>
      <w:r>
        <w:rPr>
          <w:rFonts w:hint="eastAsia" w:ascii="Times New Roman" w:hAnsi="Times New Roman"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lang w:val="en-US" w:eastAsia="zh-CN"/>
        </w:rPr>
        <w:t>，占执行标准的</w:t>
      </w:r>
      <w:r>
        <w:rPr>
          <w:rFonts w:hint="eastAsia" w:ascii="Times New Roman" w:hAnsi="Times New Roman" w:cs="Times New Roman"/>
          <w:color w:val="auto"/>
          <w:szCs w:val="28"/>
          <w:u w:val="none" w:color="auto"/>
          <w:lang w:val="en-US" w:eastAsia="zh-CN"/>
        </w:rPr>
        <w:t>0.69</w:t>
      </w:r>
      <w:r>
        <w:rPr>
          <w:rFonts w:hint="default" w:ascii="Times New Roman" w:hAnsi="Times New Roman" w:cs="Times New Roman"/>
          <w:color w:val="auto"/>
          <w:szCs w:val="28"/>
          <w:u w:val="none" w:color="auto"/>
          <w:lang w:val="en-US" w:eastAsia="zh-CN"/>
        </w:rPr>
        <w:t>%。</w:t>
      </w:r>
      <w:r>
        <w:rPr>
          <w:rFonts w:hint="eastAsia" w:ascii="Times New Roman" w:hAnsi="Times New Roman" w:cs="Times New Roman"/>
          <w:color w:val="auto"/>
          <w:szCs w:val="28"/>
          <w:u w:val="none" w:color="auto"/>
          <w:lang w:val="en-US" w:eastAsia="zh-CN"/>
        </w:rPr>
        <w:t>故本次评价对有组织排放</w:t>
      </w:r>
      <w:r>
        <w:rPr>
          <w:rFonts w:hint="default" w:ascii="Times New Roman" w:hAnsi="Times New Roman" w:cs="Times New Roman"/>
          <w:color w:val="auto"/>
          <w:szCs w:val="28"/>
          <w:u w:val="none" w:color="auto"/>
          <w:lang w:val="en-US" w:eastAsia="zh-CN"/>
        </w:rPr>
        <w:t>NMHC</w:t>
      </w:r>
      <w:r>
        <w:rPr>
          <w:rFonts w:hint="eastAsia" w:ascii="Times New Roman" w:hAnsi="Times New Roman" w:cs="Times New Roman"/>
          <w:color w:val="auto"/>
          <w:szCs w:val="28"/>
          <w:u w:val="none" w:color="auto"/>
          <w:lang w:val="en-US" w:eastAsia="zh-CN"/>
        </w:rPr>
        <w:t>进行</w:t>
      </w:r>
      <w:r>
        <w:rPr>
          <w:rFonts w:hint="default" w:ascii="Times New Roman" w:hAnsi="Times New Roman" w:cs="Times New Roman"/>
          <w:color w:val="auto"/>
          <w:szCs w:val="28"/>
          <w:u w:val="none" w:color="auto"/>
          <w:lang w:val="en-US" w:eastAsia="zh-CN"/>
        </w:rPr>
        <w:t>进一步预测</w:t>
      </w:r>
      <w:r>
        <w:rPr>
          <w:rFonts w:hint="eastAsia" w:ascii="Times New Roman" w:hAnsi="Times New Roman" w:cs="Times New Roman"/>
          <w:color w:val="auto"/>
          <w:szCs w:val="28"/>
          <w:u w:val="none" w:color="auto"/>
          <w:lang w:val="en-US" w:eastAsia="zh-CN"/>
        </w:rPr>
        <w:t>。</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②NMHC正常排放下敏感点贡献浓度统计</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正常排放情况下，对于敏感点而言，本项目排放的NMHC小时浓度贡献值满足《</w:t>
      </w:r>
      <w:r>
        <w:rPr>
          <w:rFonts w:hint="eastAsia" w:ascii="Times New Roman" w:hAnsi="Times New Roman" w:cs="Times New Roman"/>
          <w:color w:val="auto"/>
          <w:szCs w:val="28"/>
          <w:u w:val="none" w:color="auto"/>
          <w:lang w:val="en-US" w:eastAsia="zh-CN"/>
        </w:rPr>
        <w:t>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大气环境》（HJ2.2-2018）附录D推荐标准值要求（小时标准为8h平均600μg/m</w:t>
      </w:r>
      <w:r>
        <w:rPr>
          <w:rFonts w:hint="eastAsia" w:ascii="Times New Roman" w:hAnsi="Times New Roman"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lang w:val="en-US" w:eastAsia="zh-CN"/>
        </w:rPr>
        <w:t>的2倍值）。区域最大落地浓度中，1小时浓度贡献值最大值为</w:t>
      </w:r>
      <w:r>
        <w:rPr>
          <w:rFonts w:hint="eastAsia" w:ascii="Times New Roman" w:hAnsi="Times New Roman" w:cs="Times New Roman"/>
          <w:color w:val="auto"/>
          <w:szCs w:val="28"/>
          <w:u w:val="none" w:color="auto"/>
          <w:lang w:val="en-US" w:eastAsia="zh-CN"/>
        </w:rPr>
        <w:t>296.654u</w:t>
      </w:r>
      <w:r>
        <w:rPr>
          <w:rFonts w:hint="default" w:ascii="Times New Roman" w:hAnsi="Times New Roman" w:cs="Times New Roman"/>
          <w:color w:val="auto"/>
          <w:szCs w:val="28"/>
          <w:u w:val="none" w:color="auto"/>
          <w:lang w:val="en-US" w:eastAsia="zh-CN"/>
        </w:rPr>
        <w:t>g/m</w:t>
      </w:r>
      <w:r>
        <w:rPr>
          <w:rFonts w:hint="eastAsia" w:ascii="Times New Roman" w:hAnsi="Times New Roman"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lang w:val="en-US" w:eastAsia="zh-CN"/>
        </w:rPr>
        <w:t>、最大占标率为</w:t>
      </w:r>
      <w:r>
        <w:rPr>
          <w:rFonts w:hint="eastAsia" w:ascii="Times New Roman" w:hAnsi="Times New Roman" w:cs="Times New Roman"/>
          <w:color w:val="auto"/>
          <w:szCs w:val="28"/>
          <w:u w:val="none" w:color="auto"/>
          <w:lang w:val="en-US" w:eastAsia="zh-CN"/>
        </w:rPr>
        <w:t>24.72</w:t>
      </w:r>
      <w:r>
        <w:rPr>
          <w:rFonts w:hint="default" w:ascii="Times New Roman" w:hAnsi="Times New Roman" w:cs="Times New Roman"/>
          <w:color w:val="auto"/>
          <w:szCs w:val="28"/>
          <w:u w:val="none" w:color="auto"/>
          <w:lang w:val="en-US" w:eastAsia="zh-CN"/>
        </w:rPr>
        <w:t>%；</w:t>
      </w:r>
      <w:r>
        <w:rPr>
          <w:rFonts w:hint="eastAsia" w:ascii="Times New Roman" w:hAnsi="Times New Roman" w:cs="Times New Roman"/>
          <w:color w:val="auto"/>
          <w:szCs w:val="28"/>
          <w:u w:val="none" w:color="auto"/>
          <w:lang w:val="en-US" w:eastAsia="zh-CN"/>
        </w:rPr>
        <w:t>8小时平</w:t>
      </w:r>
      <w:r>
        <w:rPr>
          <w:rFonts w:hint="default" w:ascii="Times New Roman" w:hAnsi="Times New Roman" w:cs="Times New Roman"/>
          <w:color w:val="auto"/>
          <w:szCs w:val="28"/>
          <w:u w:val="none" w:color="auto"/>
          <w:lang w:val="en-US" w:eastAsia="zh-CN"/>
        </w:rPr>
        <w:t>均浓度贡献值最大值为</w:t>
      </w:r>
      <w:r>
        <w:rPr>
          <w:rFonts w:hint="eastAsia" w:ascii="Times New Roman" w:hAnsi="Times New Roman" w:cs="Times New Roman"/>
          <w:color w:val="auto"/>
          <w:szCs w:val="28"/>
          <w:u w:val="none" w:color="auto"/>
          <w:lang w:val="en-US" w:eastAsia="zh-CN"/>
        </w:rPr>
        <w:t>89.053</w:t>
      </w:r>
      <w:r>
        <w:rPr>
          <w:rFonts w:hint="default" w:ascii="Times New Roman" w:hAnsi="Times New Roman" w:cs="Times New Roman"/>
          <w:color w:val="auto"/>
          <w:szCs w:val="28"/>
          <w:u w:val="none" w:color="auto"/>
          <w:lang w:val="en-US" w:eastAsia="zh-CN"/>
        </w:rPr>
        <w:t>mg/m</w:t>
      </w:r>
      <w:r>
        <w:rPr>
          <w:rFonts w:hint="eastAsia" w:ascii="Times New Roman" w:hAnsi="Times New Roman" w:cs="Times New Roman"/>
          <w:color w:val="auto"/>
          <w:szCs w:val="28"/>
          <w:u w:val="none" w:color="auto"/>
          <w:vertAlign w:val="superscript"/>
          <w:lang w:val="en-US" w:eastAsia="zh-CN"/>
        </w:rPr>
        <w:t>3</w:t>
      </w:r>
      <w:r>
        <w:rPr>
          <w:rFonts w:hint="default" w:ascii="Times New Roman" w:hAnsi="Times New Roman" w:cs="Times New Roman"/>
          <w:color w:val="auto"/>
          <w:szCs w:val="28"/>
          <w:u w:val="none" w:color="auto"/>
          <w:lang w:val="en-US" w:eastAsia="zh-CN"/>
        </w:rPr>
        <w:t>。因此项目NMHC短期浓度贡献值最大浓度占标率小于100%。</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right"/>
        <w:textAlignment w:val="baseline"/>
        <w:rPr>
          <w:rFonts w:hint="default" w:ascii="Times New Roman" w:hAnsi="Times New Roman" w:eastAsia="宋体" w:cs="Times New Roman"/>
          <w:b/>
          <w:bCs/>
          <w:color w:val="auto"/>
          <w:spacing w:val="6"/>
          <w:sz w:val="24"/>
          <w:szCs w:val="24"/>
        </w:rPr>
      </w:pPr>
      <w:r>
        <w:rPr>
          <w:rFonts w:hint="default" w:ascii="Times New Roman" w:hAnsi="Times New Roman" w:eastAsia="宋体" w:cs="Times New Roman"/>
          <w:b/>
          <w:bCs/>
          <w:color w:val="auto"/>
          <w:spacing w:val="6"/>
          <w:sz w:val="24"/>
          <w:szCs w:val="24"/>
        </w:rPr>
        <w:t xml:space="preserve">表 </w:t>
      </w:r>
      <w:r>
        <w:rPr>
          <w:rFonts w:hint="default" w:ascii="Times New Roman" w:hAnsi="Times New Roman" w:eastAsia="宋体" w:cs="Times New Roman"/>
          <w:b/>
          <w:bCs/>
          <w:color w:val="auto"/>
          <w:spacing w:val="6"/>
          <w:sz w:val="24"/>
          <w:szCs w:val="24"/>
        </w:rPr>
        <w:fldChar w:fldCharType="begin"/>
      </w:r>
      <w:r>
        <w:rPr>
          <w:rFonts w:hint="default" w:ascii="Times New Roman" w:hAnsi="Times New Roman" w:eastAsia="宋体" w:cs="Times New Roman"/>
          <w:b/>
          <w:bCs/>
          <w:color w:val="auto"/>
          <w:spacing w:val="6"/>
          <w:sz w:val="24"/>
          <w:szCs w:val="24"/>
        </w:rPr>
        <w:instrText xml:space="preserve"> STYLEREF 2 \s </w:instrText>
      </w:r>
      <w:r>
        <w:rPr>
          <w:rFonts w:hint="default" w:ascii="Times New Roman" w:hAnsi="Times New Roman" w:eastAsia="宋体" w:cs="Times New Roman"/>
          <w:b/>
          <w:bCs/>
          <w:color w:val="auto"/>
          <w:spacing w:val="6"/>
          <w:sz w:val="24"/>
          <w:szCs w:val="24"/>
        </w:rPr>
        <w:fldChar w:fldCharType="separate"/>
      </w:r>
      <w:r>
        <w:rPr>
          <w:rFonts w:hint="default" w:ascii="Times New Roman" w:hAnsi="Times New Roman" w:eastAsia="宋体" w:cs="Times New Roman"/>
          <w:b/>
          <w:bCs/>
          <w:color w:val="auto"/>
          <w:spacing w:val="6"/>
          <w:sz w:val="24"/>
          <w:szCs w:val="24"/>
        </w:rPr>
        <w:t>6.2</w:t>
      </w:r>
      <w:r>
        <w:rPr>
          <w:rFonts w:hint="default" w:ascii="Times New Roman" w:hAnsi="Times New Roman" w:eastAsia="宋体" w:cs="Times New Roman"/>
          <w:b/>
          <w:bCs/>
          <w:color w:val="auto"/>
          <w:spacing w:val="6"/>
          <w:sz w:val="24"/>
          <w:szCs w:val="24"/>
        </w:rPr>
        <w:fldChar w:fldCharType="end"/>
      </w:r>
      <w:r>
        <w:rPr>
          <w:rFonts w:hint="eastAsia" w:ascii="Times New Roman" w:hAnsi="Times New Roman" w:eastAsia="宋体" w:cs="Times New Roman"/>
          <w:b/>
          <w:bCs/>
          <w:color w:val="auto"/>
          <w:spacing w:val="6"/>
          <w:sz w:val="24"/>
          <w:szCs w:val="24"/>
          <w:lang w:eastAsia="zh-CN"/>
        </w:rPr>
        <w:t>-</w:t>
      </w:r>
      <w:r>
        <w:rPr>
          <w:rFonts w:hint="default" w:ascii="Times New Roman" w:hAnsi="Times New Roman" w:eastAsia="宋体" w:cs="Times New Roman"/>
          <w:b/>
          <w:bCs/>
          <w:color w:val="auto"/>
          <w:spacing w:val="6"/>
          <w:sz w:val="24"/>
          <w:szCs w:val="24"/>
        </w:rPr>
        <w:fldChar w:fldCharType="begin"/>
      </w:r>
      <w:r>
        <w:rPr>
          <w:rFonts w:hint="default" w:ascii="Times New Roman" w:hAnsi="Times New Roman" w:eastAsia="宋体" w:cs="Times New Roman"/>
          <w:b/>
          <w:bCs/>
          <w:color w:val="auto"/>
          <w:spacing w:val="6"/>
          <w:sz w:val="24"/>
          <w:szCs w:val="24"/>
        </w:rPr>
        <w:instrText xml:space="preserve"> SEQ 表 \* ARABIC \s 2 </w:instrText>
      </w:r>
      <w:r>
        <w:rPr>
          <w:rFonts w:hint="default" w:ascii="Times New Roman" w:hAnsi="Times New Roman" w:eastAsia="宋体" w:cs="Times New Roman"/>
          <w:b/>
          <w:bCs/>
          <w:color w:val="auto"/>
          <w:spacing w:val="6"/>
          <w:sz w:val="24"/>
          <w:szCs w:val="24"/>
        </w:rPr>
        <w:fldChar w:fldCharType="separate"/>
      </w:r>
      <w:r>
        <w:rPr>
          <w:rFonts w:hint="default" w:ascii="Times New Roman" w:hAnsi="Times New Roman" w:eastAsia="宋体" w:cs="Times New Roman"/>
          <w:b/>
          <w:bCs/>
          <w:color w:val="auto"/>
          <w:spacing w:val="6"/>
          <w:sz w:val="24"/>
          <w:szCs w:val="24"/>
        </w:rPr>
        <w:t>10</w:t>
      </w:r>
      <w:r>
        <w:rPr>
          <w:rFonts w:hint="default" w:ascii="Times New Roman" w:hAnsi="Times New Roman" w:eastAsia="宋体" w:cs="Times New Roman"/>
          <w:b/>
          <w:bCs/>
          <w:color w:val="auto"/>
          <w:spacing w:val="6"/>
          <w:sz w:val="24"/>
          <w:szCs w:val="24"/>
        </w:rPr>
        <w:fldChar w:fldCharType="end"/>
      </w:r>
      <w:r>
        <w:rPr>
          <w:rFonts w:hint="eastAsia" w:ascii="Times New Roman" w:hAnsi="Times New Roman" w:eastAsia="宋体" w:cs="Times New Roman"/>
          <w:b/>
          <w:bCs/>
          <w:color w:val="auto"/>
          <w:spacing w:val="6"/>
          <w:sz w:val="24"/>
          <w:szCs w:val="24"/>
          <w:lang w:eastAsia="zh-CN"/>
        </w:rPr>
        <w:t xml:space="preserve">   </w:t>
      </w:r>
      <w:r>
        <w:rPr>
          <w:rFonts w:hint="default" w:ascii="Times New Roman" w:hAnsi="Times New Roman" w:eastAsia="宋体" w:cs="Times New Roman"/>
          <w:b/>
          <w:bCs/>
          <w:color w:val="auto"/>
          <w:spacing w:val="6"/>
          <w:sz w:val="24"/>
          <w:szCs w:val="24"/>
        </w:rPr>
        <w:t>NMHC贡献值预测结果</w:t>
      </w:r>
      <w:r>
        <w:rPr>
          <w:rFonts w:hint="eastAsia" w:ascii="Times New Roman" w:hAnsi="Times New Roman" w:eastAsia="宋体" w:cs="Times New Roman"/>
          <w:b/>
          <w:bCs/>
          <w:color w:val="auto"/>
          <w:spacing w:val="6"/>
          <w:sz w:val="24"/>
          <w:szCs w:val="24"/>
          <w:lang w:val="en-US" w:eastAsia="zh-CN"/>
        </w:rPr>
        <w:t xml:space="preserve">                  </w:t>
      </w:r>
      <w:r>
        <w:rPr>
          <w:rFonts w:hint="default" w:ascii="Times New Roman" w:hAnsi="Times New Roman" w:eastAsia="宋体" w:cs="Times New Roman"/>
          <w:b/>
          <w:bCs/>
          <w:color w:val="auto"/>
          <w:spacing w:val="6"/>
          <w:sz w:val="24"/>
          <w:szCs w:val="24"/>
        </w:rPr>
        <w:t xml:space="preserve"> 单位：</w:t>
      </w:r>
      <w:r>
        <w:rPr>
          <w:rFonts w:hint="default" w:ascii="Times New Roman" w:hAnsi="Times New Roman" w:eastAsia="宋体" w:cs="Times New Roman"/>
          <w:b/>
          <w:bCs/>
          <w:color w:val="auto"/>
          <w:spacing w:val="5"/>
          <w:sz w:val="24"/>
          <w:szCs w:val="24"/>
          <w:lang w:val="en-US" w:eastAsia="zh-CN"/>
        </w:rPr>
        <w:t>μ</w:t>
      </w:r>
      <w:r>
        <w:rPr>
          <w:rFonts w:hint="default" w:ascii="Times New Roman" w:hAnsi="Times New Roman" w:eastAsia="宋体" w:cs="Times New Roman"/>
          <w:b/>
          <w:bCs/>
          <w:color w:val="auto"/>
          <w:spacing w:val="6"/>
          <w:sz w:val="24"/>
          <w:szCs w:val="24"/>
        </w:rPr>
        <w:t>g/m³</w:t>
      </w:r>
    </w:p>
    <w:tbl>
      <w:tblPr>
        <w:tblStyle w:val="2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09"/>
        <w:gridCol w:w="1326"/>
        <w:gridCol w:w="1419"/>
        <w:gridCol w:w="825"/>
        <w:gridCol w:w="1092"/>
        <w:gridCol w:w="1092"/>
        <w:gridCol w:w="750"/>
        <w:gridCol w:w="697"/>
        <w:gridCol w:w="80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298" w:type="pct"/>
            <w:tcBorders>
              <w:top w:val="single" w:color="000000" w:sz="12"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序号</w:t>
            </w:r>
          </w:p>
        </w:tc>
        <w:tc>
          <w:tcPr>
            <w:tcW w:w="778" w:type="pct"/>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点名称</w:t>
            </w:r>
          </w:p>
        </w:tc>
        <w:tc>
          <w:tcPr>
            <w:tcW w:w="833" w:type="pct"/>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点坐标(x</w:t>
            </w:r>
            <w:r>
              <w:rPr>
                <w:rFonts w:hint="eastAsia" w:ascii="Times New Roman" w:hAnsi="Times New Roman" w:eastAsia="宋体" w:cs="Times New Roman"/>
                <w:i w:val="0"/>
                <w:iCs w:val="0"/>
                <w:snapToGrid w:val="0"/>
                <w:color w:val="auto"/>
                <w:kern w:val="0"/>
                <w:sz w:val="21"/>
                <w:szCs w:val="21"/>
                <w:u w:val="none"/>
                <w:lang w:val="en-US" w:eastAsia="zh-CN" w:bidi="ar"/>
              </w:rPr>
              <w:t>，</w:t>
            </w:r>
            <w:r>
              <w:rPr>
                <w:rFonts w:hint="default" w:ascii="Times New Roman" w:hAnsi="Times New Roman" w:eastAsia="宋体" w:cs="Times New Roman"/>
                <w:i w:val="0"/>
                <w:iCs w:val="0"/>
                <w:snapToGrid w:val="0"/>
                <w:color w:val="auto"/>
                <w:kern w:val="0"/>
                <w:sz w:val="21"/>
                <w:szCs w:val="21"/>
                <w:u w:val="none"/>
                <w:lang w:val="en-US" w:eastAsia="zh-CN" w:bidi="ar"/>
              </w:rPr>
              <w:t>y)</w:t>
            </w:r>
          </w:p>
        </w:tc>
        <w:tc>
          <w:tcPr>
            <w:tcW w:w="484" w:type="pct"/>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浓度类型</w:t>
            </w:r>
          </w:p>
        </w:tc>
        <w:tc>
          <w:tcPr>
            <w:tcW w:w="641" w:type="pct"/>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出现时间</w:t>
            </w:r>
          </w:p>
        </w:tc>
        <w:tc>
          <w:tcPr>
            <w:tcW w:w="641" w:type="pct"/>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叠加背景后的浓度</w:t>
            </w:r>
          </w:p>
        </w:tc>
        <w:tc>
          <w:tcPr>
            <w:tcW w:w="440" w:type="pct"/>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评价标准</w:t>
            </w:r>
          </w:p>
        </w:tc>
        <w:tc>
          <w:tcPr>
            <w:tcW w:w="409" w:type="pct"/>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占标率%</w:t>
            </w:r>
          </w:p>
        </w:tc>
        <w:tc>
          <w:tcPr>
            <w:tcW w:w="472" w:type="pct"/>
            <w:tcBorders>
              <w:top w:val="single" w:color="000000" w:sz="12"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是否超标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宗元学校</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308，873</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23091602</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87.365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7.28</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23110108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46.024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7.67</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2</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河西工业园居民安置区</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288，2366</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23010602</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35.491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2.96</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23110108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16.809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2.80</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3</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石山脚街道</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-1184，742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23051719</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62.779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5.23</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23040708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15.007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2.50</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4</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仁田里村</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-1600，-1065</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23033106</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57.017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4.75</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23122008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19.182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3.20</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瑞翔公租房</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-426，231</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23122420</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171.301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14.28</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23030324</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41.635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6.94</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6</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黄泥桥社区</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-773，1442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23110503</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51.514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4.29</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23111424</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14.647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2.44</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7</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桥坪小区</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40，2179</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23062602</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41.965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3.50</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23043008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21.179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3.53</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8</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永州市第七中学</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768，2373</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23010401</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35.017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2.92</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23110108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14.762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2.46</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9</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朝阳小学</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1801，2399</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23040624</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27.450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2.29</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23011908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9.531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1.59</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10</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蒋家田村</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878，1484</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23021607</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50.610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4.22</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23072608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18.846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3.14</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11</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永州市中心医院南院</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2261，1621</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23021705</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73.282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6.11</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23021708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12.225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2.04</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12</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零陵七里店中学</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2150，1409</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23010719</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38.102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3.18</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23091608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7.940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1.32</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13</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柳子街小学</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2650，1316</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23040701</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27.458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2.29</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23010208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6.538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1.09</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14</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湖南科技学院</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2548，-462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23010321</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38.198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3.18</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23010324</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11.044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1.84</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15</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双济桥村</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2032，-2137</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23030802</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48.830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4.07</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23030808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8.580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1.43</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16</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五里堆社区</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-2168，-1206</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23121923</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47.257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3.94</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23012608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14.194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2.37</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17</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snapToGrid w:val="0"/>
                <w:color w:val="auto"/>
                <w:kern w:val="0"/>
                <w:sz w:val="21"/>
                <w:szCs w:val="21"/>
                <w:u w:val="none"/>
                <w:lang w:val="en-US" w:eastAsia="zh-CN" w:bidi="ar"/>
              </w:rPr>
              <w:t>零陵区五里堆小学</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-2041，-529</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23050924</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65.818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5.48</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23012908</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15.171 </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2.53</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restart"/>
            <w:tcBorders>
              <w:top w:val="single" w:color="000000" w:sz="4" w:space="0"/>
              <w:left w:val="single" w:color="000000" w:sz="12"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snapToGrid w:val="0"/>
                <w:color w:val="auto"/>
                <w:kern w:val="0"/>
                <w:sz w:val="21"/>
                <w:szCs w:val="21"/>
                <w:u w:val="none"/>
                <w:lang w:val="en-US" w:eastAsia="zh-CN" w:bidi="ar"/>
              </w:rPr>
              <w:t>18</w:t>
            </w:r>
          </w:p>
        </w:tc>
        <w:tc>
          <w:tcPr>
            <w:tcW w:w="7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u w:val="none"/>
                <w:lang w:val="en-US" w:eastAsia="zh-CN"/>
              </w:rPr>
            </w:pPr>
            <w:r>
              <w:rPr>
                <w:rFonts w:hint="eastAsia" w:ascii="宋体" w:hAnsi="宋体" w:eastAsia="宋体" w:cs="宋体"/>
                <w:i w:val="0"/>
                <w:iCs w:val="0"/>
                <w:snapToGrid w:val="0"/>
                <w:color w:val="auto"/>
                <w:kern w:val="0"/>
                <w:sz w:val="21"/>
                <w:szCs w:val="21"/>
                <w:u w:val="none"/>
                <w:lang w:val="en-US" w:eastAsia="zh-CN" w:bidi="ar"/>
              </w:rPr>
              <w:t>网格</w:t>
            </w:r>
            <w:r>
              <w:rPr>
                <w:rFonts w:hint="eastAsia" w:eastAsia="宋体"/>
                <w:color w:val="auto"/>
                <w:sz w:val="21"/>
                <w:szCs w:val="21"/>
                <w:lang w:val="en-US" w:eastAsia="zh-CN"/>
              </w:rPr>
              <w:t>点最大落地点浓度</w:t>
            </w:r>
          </w:p>
        </w:tc>
        <w:tc>
          <w:tcPr>
            <w:tcW w:w="83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-46，91</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1小时</w:t>
            </w:r>
          </w:p>
        </w:tc>
        <w:tc>
          <w:tcPr>
            <w:tcW w:w="6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23052006</w:t>
            </w:r>
          </w:p>
        </w:tc>
        <w:tc>
          <w:tcPr>
            <w:tcW w:w="1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296.654 </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24.72</w:t>
            </w:r>
          </w:p>
        </w:tc>
        <w:tc>
          <w:tcPr>
            <w:tcW w:w="472" w:type="pct"/>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298" w:type="pct"/>
            <w:vMerge w:val="continue"/>
            <w:tcBorders>
              <w:top w:val="single" w:color="000000" w:sz="4" w:space="0"/>
              <w:left w:val="single" w:color="000000" w:sz="12" w:space="0"/>
              <w:bottom w:val="single" w:color="000000" w:sz="12"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778" w:type="pct"/>
            <w:vMerge w:val="continue"/>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pageBreakBefore w:val="0"/>
              <w:widowControl/>
              <w:wordWrap/>
              <w:overflowPunct/>
              <w:topLinePunct w:val="0"/>
              <w:bidi w:val="0"/>
              <w:spacing w:line="240" w:lineRule="auto"/>
              <w:jc w:val="center"/>
              <w:rPr>
                <w:rFonts w:hint="default" w:ascii="Times New Roman" w:hAnsi="Times New Roman" w:eastAsia="宋体" w:cs="Times New Roman"/>
                <w:i w:val="0"/>
                <w:iCs w:val="0"/>
                <w:color w:val="auto"/>
                <w:sz w:val="21"/>
                <w:szCs w:val="21"/>
                <w:u w:val="none"/>
              </w:rPr>
            </w:pPr>
          </w:p>
        </w:tc>
        <w:tc>
          <w:tcPr>
            <w:tcW w:w="833" w:type="pct"/>
            <w:vMerge w:val="continue"/>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p>
        </w:tc>
        <w:tc>
          <w:tcPr>
            <w:tcW w:w="484" w:type="pct"/>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8小时</w:t>
            </w:r>
          </w:p>
        </w:tc>
        <w:tc>
          <w:tcPr>
            <w:tcW w:w="641" w:type="pct"/>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23011708</w:t>
            </w:r>
          </w:p>
        </w:tc>
        <w:tc>
          <w:tcPr>
            <w:tcW w:w="1092"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89.053 </w:t>
            </w:r>
          </w:p>
        </w:tc>
        <w:tc>
          <w:tcPr>
            <w:tcW w:w="750"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600</w:t>
            </w:r>
          </w:p>
        </w:tc>
        <w:tc>
          <w:tcPr>
            <w:tcW w:w="697"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14.84</w:t>
            </w:r>
          </w:p>
        </w:tc>
        <w:tc>
          <w:tcPr>
            <w:tcW w:w="472" w:type="pct"/>
            <w:tcBorders>
              <w:top w:val="single" w:color="000000" w:sz="4" w:space="0"/>
              <w:left w:val="single" w:color="000000" w:sz="4" w:space="0"/>
              <w:bottom w:val="single" w:color="000000" w:sz="12" w:space="0"/>
              <w:right w:val="single" w:color="000000" w:sz="12" w:space="0"/>
            </w:tcBorders>
            <w:shd w:val="clear" w:color="auto" w:fill="auto"/>
            <w:noWrap/>
            <w:vAlign w:val="center"/>
          </w:tcPr>
          <w:p>
            <w:pPr>
              <w:keepNext w:val="0"/>
              <w:keepLines w:val="0"/>
              <w:pageBreakBefore w:val="0"/>
              <w:widowControl/>
              <w:suppressLineNumbers w:val="0"/>
              <w:wordWrap/>
              <w:overflowPunct/>
              <w:topLinePunct w:val="0"/>
              <w:bidi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240" w:lineRule="auto"/>
        <w:jc w:val="center"/>
        <w:textAlignment w:val="baseline"/>
        <w:rPr>
          <w:rFonts w:hint="default" w:ascii="Times New Roman" w:hAnsi="Times New Roman" w:eastAsia="宋体" w:cs="Times New Roman"/>
          <w:b/>
          <w:bCs/>
          <w:color w:val="auto"/>
          <w:spacing w:val="6"/>
          <w:sz w:val="24"/>
          <w:szCs w:val="24"/>
        </w:rPr>
      </w:pPr>
      <w:r>
        <w:rPr>
          <w:color w:val="auto"/>
        </w:rPr>
        <w:drawing>
          <wp:inline distT="0" distB="0" distL="114300" distR="114300">
            <wp:extent cx="5346700" cy="3067685"/>
            <wp:effectExtent l="0" t="0" r="6350" b="18415"/>
            <wp:docPr id="241"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1" name="图片 42"/>
                    <pic:cNvPicPr>
                      <a:picLocks noChangeAspect="true"/>
                    </pic:cNvPicPr>
                  </pic:nvPicPr>
                  <pic:blipFill>
                    <a:blip r:embed="rId33"/>
                    <a:srcRect b="6598"/>
                    <a:stretch>
                      <a:fillRect/>
                    </a:stretch>
                  </pic:blipFill>
                  <pic:spPr>
                    <a:xfrm>
                      <a:off x="0" y="0"/>
                      <a:ext cx="5346700" cy="3067685"/>
                    </a:xfrm>
                    <a:prstGeom prst="rect">
                      <a:avLst/>
                    </a:prstGeom>
                    <a:noFill/>
                    <a:ln>
                      <a:noFill/>
                    </a:ln>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right"/>
        <w:textAlignment w:val="baseline"/>
        <w:rPr>
          <w:rFonts w:hint="eastAsia" w:ascii="Times New Roman" w:hAnsi="Times New Roman" w:eastAsia="宋体" w:cs="Times New Roman"/>
          <w:b/>
          <w:bCs/>
          <w:color w:val="auto"/>
          <w:spacing w:val="5"/>
          <w:sz w:val="24"/>
          <w:szCs w:val="24"/>
          <w:lang w:val="en-US" w:eastAsia="zh-CN"/>
        </w:rPr>
      </w:pPr>
      <w:r>
        <w:rPr>
          <w:rFonts w:hint="default" w:ascii="Times New Roman" w:hAnsi="Times New Roman" w:eastAsia="宋体" w:cs="Times New Roman"/>
          <w:b/>
          <w:bCs/>
          <w:color w:val="auto"/>
          <w:spacing w:val="5"/>
          <w:sz w:val="24"/>
          <w:szCs w:val="24"/>
          <w:lang w:val="en-US" w:eastAsia="zh-CN"/>
        </w:rPr>
        <w:t xml:space="preserve">图 </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STYLEREF 2 \s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6.2</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SEQ 图 \* ARABIC \s 2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6</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NMHC贡献值浓度分布图——1小时</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单位：μg/m³</w:t>
      </w:r>
    </w:p>
    <w:p>
      <w:pPr>
        <w:pStyle w:val="31"/>
        <w:keepNext/>
        <w:keepLines w:val="0"/>
        <w:pageBreakBefore w:val="0"/>
        <w:widowControl w:val="0"/>
        <w:kinsoku/>
        <w:wordWrap w:val="0"/>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b/>
          <w:bCs/>
          <w:color w:val="auto"/>
          <w:szCs w:val="28"/>
          <w:u w:val="none" w:color="auto"/>
          <w:lang w:eastAsia="zh-CN"/>
        </w:rPr>
      </w:pPr>
      <w:r>
        <w:rPr>
          <w:color w:val="auto"/>
        </w:rPr>
        <w:drawing>
          <wp:inline distT="0" distB="0" distL="114300" distR="114300">
            <wp:extent cx="5340985" cy="3088640"/>
            <wp:effectExtent l="0" t="0" r="12065" b="16510"/>
            <wp:docPr id="242"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2" name="图片 43"/>
                    <pic:cNvPicPr>
                      <a:picLocks noChangeAspect="true"/>
                    </pic:cNvPicPr>
                  </pic:nvPicPr>
                  <pic:blipFill>
                    <a:blip r:embed="rId34"/>
                    <a:srcRect b="6049"/>
                    <a:stretch>
                      <a:fillRect/>
                    </a:stretch>
                  </pic:blipFill>
                  <pic:spPr>
                    <a:xfrm>
                      <a:off x="0" y="0"/>
                      <a:ext cx="5340985" cy="3088640"/>
                    </a:xfrm>
                    <a:prstGeom prst="rect">
                      <a:avLst/>
                    </a:prstGeom>
                    <a:noFill/>
                    <a:ln>
                      <a:noFill/>
                    </a:ln>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right"/>
        <w:textAlignment w:val="baseline"/>
        <w:rPr>
          <w:rFonts w:hint="eastAsia" w:ascii="Times New Roman" w:hAnsi="Times New Roman" w:eastAsia="宋体" w:cs="Times New Roman"/>
          <w:b/>
          <w:bCs/>
          <w:color w:val="auto"/>
          <w:spacing w:val="5"/>
          <w:sz w:val="24"/>
          <w:szCs w:val="24"/>
          <w:lang w:val="en-US" w:eastAsia="zh-CN"/>
        </w:rPr>
      </w:pPr>
      <w:r>
        <w:rPr>
          <w:rFonts w:hint="default" w:ascii="Times New Roman" w:hAnsi="Times New Roman" w:eastAsia="宋体" w:cs="Times New Roman"/>
          <w:b/>
          <w:bCs/>
          <w:color w:val="auto"/>
          <w:spacing w:val="5"/>
          <w:sz w:val="24"/>
          <w:szCs w:val="24"/>
          <w:lang w:val="en-US" w:eastAsia="zh-CN"/>
        </w:rPr>
        <w:t xml:space="preserve">图 </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STYLEREF 2 \s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6.2</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SEQ 图 \* ARABIC \s 2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7</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NMHC贡献值浓度分布图——</w:t>
      </w:r>
      <w:r>
        <w:rPr>
          <w:rFonts w:hint="eastAsia" w:ascii="Times New Roman" w:hAnsi="Times New Roman" w:eastAsia="宋体" w:cs="Times New Roman"/>
          <w:b/>
          <w:bCs/>
          <w:color w:val="auto"/>
          <w:spacing w:val="5"/>
          <w:sz w:val="24"/>
          <w:szCs w:val="24"/>
          <w:lang w:val="en-US" w:eastAsia="zh-CN"/>
        </w:rPr>
        <w:t xml:space="preserve">8小时           </w:t>
      </w:r>
      <w:r>
        <w:rPr>
          <w:rFonts w:hint="default" w:ascii="Times New Roman" w:hAnsi="Times New Roman" w:eastAsia="宋体" w:cs="Times New Roman"/>
          <w:b/>
          <w:bCs/>
          <w:color w:val="auto"/>
          <w:spacing w:val="5"/>
          <w:sz w:val="24"/>
          <w:szCs w:val="24"/>
          <w:lang w:val="en-US" w:eastAsia="zh-CN"/>
        </w:rPr>
        <w:t>单位：μg/m³</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val="en-US" w:eastAsia="zh-CN"/>
        </w:rPr>
        <w:t>（4）事故工况预测结果</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事故状态下，有机废气处理设施RTO蓄热燃烧系统发生故障，废气治理设施处理效率下降至85%，单次持续30分钟。本项目事故状态下，NMHC预测结果如下：</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right"/>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lang w:val="en-US" w:eastAsia="zh-CN"/>
        </w:rPr>
        <w:t xml:space="preserve">表 </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STYLEREF 2 \s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6.2</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SEQ 表 \* ARABIC \s 2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11</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事故状况下NMHC预测结果</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 xml:space="preserve"> 单位：μg/m³</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57"/>
        <w:gridCol w:w="2128"/>
        <w:gridCol w:w="915"/>
        <w:gridCol w:w="1097"/>
        <w:gridCol w:w="923"/>
        <w:gridCol w:w="723"/>
        <w:gridCol w:w="883"/>
        <w:gridCol w:w="100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1277" w:type="pct"/>
            <w:tcBorders>
              <w:righ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离散点</w:t>
            </w:r>
          </w:p>
        </w:tc>
        <w:tc>
          <w:tcPr>
            <w:tcW w:w="549" w:type="pct"/>
            <w:tcBorders>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平均时间</w:t>
            </w:r>
          </w:p>
        </w:tc>
        <w:tc>
          <w:tcPr>
            <w:tcW w:w="65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出现时刻</w:t>
            </w:r>
          </w:p>
        </w:tc>
        <w:tc>
          <w:tcPr>
            <w:tcW w:w="55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预测值</w:t>
            </w:r>
          </w:p>
        </w:tc>
        <w:tc>
          <w:tcPr>
            <w:tcW w:w="4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标准值</w:t>
            </w:r>
          </w:p>
        </w:tc>
        <w:tc>
          <w:tcPr>
            <w:tcW w:w="5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占标率%</w:t>
            </w:r>
          </w:p>
        </w:tc>
        <w:tc>
          <w:tcPr>
            <w:tcW w:w="60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是否达标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宗元学校</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23091602</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311.565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25.96</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河西工业园居民安置区</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23010602</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126.569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10.55</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石山脚街道</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23051719</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223.885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18.66</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仁田里村</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23033106</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203.339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16.94</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瑞翔公租房</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23122420</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610.903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50.91</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黄泥桥社区</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23110503</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183.710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15.31</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桥坪小区</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23062602</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149.660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12.47</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永州市第七中学</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23010401</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124.879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10.41</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朝阳小学</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23040624</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97.893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8.16</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蒋家田村</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23021607</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180.487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15.04</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永州市中心医院南院</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23021705</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261.344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21.78</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零陵七里店中学</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23010719</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135.880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11.32</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柳子街小学</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23040701</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97.922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8.16</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湖南科技学院</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23010321</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136.225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11.35</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双济桥村</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23030802</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174.140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14.51</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五里堆社区</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23121923</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168.530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14.04</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w:t>
            </w:r>
          </w:p>
        </w:tc>
        <w:tc>
          <w:tcPr>
            <w:tcW w:w="1277" w:type="pct"/>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零陵区五里堆小学</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23050924</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234.725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19.56</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1277" w:type="pct"/>
            <w:tcBorders>
              <w:right w:val="single" w:color="auto" w:sz="4" w:space="0"/>
              <w:tl2br w:val="nil"/>
              <w:tr2bl w:val="nil"/>
            </w:tcBorders>
            <w:vAlign w:val="center"/>
          </w:tcPr>
          <w:p>
            <w:pPr>
              <w:pStyle w:val="17"/>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网格</w:t>
            </w:r>
            <w:r>
              <w:rPr>
                <w:rFonts w:hint="eastAsia" w:eastAsia="宋体"/>
                <w:color w:val="auto"/>
                <w:sz w:val="21"/>
                <w:szCs w:val="21"/>
                <w:lang w:val="en-US" w:eastAsia="zh-CN"/>
              </w:rPr>
              <w:t>最大落地点浓度</w:t>
            </w:r>
          </w:p>
        </w:tc>
        <w:tc>
          <w:tcPr>
            <w:tcW w:w="549" w:type="pct"/>
            <w:tcBorders>
              <w:left w:val="single" w:color="auto" w:sz="4" w:space="0"/>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1小时</w:t>
            </w:r>
          </w:p>
        </w:tc>
        <w:tc>
          <w:tcPr>
            <w:tcW w:w="6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23052006</w:t>
            </w:r>
          </w:p>
        </w:tc>
        <w:tc>
          <w:tcPr>
            <w:tcW w:w="55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 xml:space="preserve">1057.945 </w:t>
            </w:r>
          </w:p>
        </w:tc>
        <w:tc>
          <w:tcPr>
            <w:tcW w:w="434"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1200</w:t>
            </w:r>
          </w:p>
        </w:tc>
        <w:tc>
          <w:tcPr>
            <w:tcW w:w="53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88.16</w:t>
            </w:r>
          </w:p>
        </w:tc>
        <w:tc>
          <w:tcPr>
            <w:tcW w:w="6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bl>
    <w:p>
      <w:pPr>
        <w:pStyle w:val="31"/>
        <w:keepNext w:val="0"/>
        <w:keepLines w:val="0"/>
        <w:pageBreakBefore w:val="0"/>
        <w:widowControl/>
        <w:kinsoku/>
        <w:wordWrap w:val="0"/>
        <w:overflowPunct/>
        <w:topLinePunct w:val="0"/>
        <w:autoSpaceDE w:val="0"/>
        <w:autoSpaceDN w:val="0"/>
        <w:bidi w:val="0"/>
        <w:adjustRightInd w:val="0"/>
        <w:snapToGrid w:val="0"/>
        <w:spacing w:line="24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color w:val="auto"/>
        </w:rPr>
        <w:drawing>
          <wp:inline distT="0" distB="0" distL="114300" distR="114300">
            <wp:extent cx="5268595" cy="3212465"/>
            <wp:effectExtent l="0" t="0" r="8255" b="6985"/>
            <wp:docPr id="243"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3" name="图片 44"/>
                    <pic:cNvPicPr>
                      <a:picLocks noChangeAspect="true"/>
                    </pic:cNvPicPr>
                  </pic:nvPicPr>
                  <pic:blipFill>
                    <a:blip r:embed="rId35"/>
                    <a:stretch>
                      <a:fillRect/>
                    </a:stretch>
                  </pic:blipFill>
                  <pic:spPr>
                    <a:xfrm>
                      <a:off x="0" y="0"/>
                      <a:ext cx="5268595" cy="3212465"/>
                    </a:xfrm>
                    <a:prstGeom prst="rect">
                      <a:avLst/>
                    </a:prstGeom>
                    <a:noFill/>
                    <a:ln>
                      <a:noFill/>
                    </a:ln>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right"/>
        <w:textAlignment w:val="baseline"/>
        <w:rPr>
          <w:rFonts w:hint="eastAsia" w:ascii="Times New Roman" w:hAnsi="Times New Roman" w:eastAsia="宋体" w:cs="Times New Roman"/>
          <w:b/>
          <w:bCs/>
          <w:color w:val="auto"/>
          <w:spacing w:val="5"/>
          <w:sz w:val="24"/>
          <w:szCs w:val="24"/>
          <w:lang w:val="en-US" w:eastAsia="zh-CN"/>
        </w:rPr>
      </w:pPr>
      <w:r>
        <w:rPr>
          <w:rFonts w:hint="default" w:ascii="Times New Roman" w:hAnsi="Times New Roman" w:eastAsia="宋体" w:cs="Times New Roman"/>
          <w:b/>
          <w:bCs/>
          <w:color w:val="auto"/>
          <w:spacing w:val="5"/>
          <w:sz w:val="24"/>
          <w:szCs w:val="24"/>
          <w:lang w:val="en-US" w:eastAsia="zh-CN"/>
        </w:rPr>
        <w:t xml:space="preserve">表 </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STYLEREF 2 \s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6.2</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w:t>
      </w:r>
      <w:r>
        <w:rPr>
          <w:rFonts w:hint="default" w:ascii="Times New Roman" w:hAnsi="Times New Roman" w:eastAsia="宋体" w:cs="Times New Roman"/>
          <w:b/>
          <w:bCs/>
          <w:color w:val="auto"/>
          <w:spacing w:val="5"/>
          <w:sz w:val="24"/>
          <w:szCs w:val="24"/>
          <w:lang w:val="en-US" w:eastAsia="zh-CN"/>
        </w:rPr>
        <w:fldChar w:fldCharType="begin"/>
      </w:r>
      <w:r>
        <w:rPr>
          <w:rFonts w:hint="default" w:ascii="Times New Roman" w:hAnsi="Times New Roman" w:eastAsia="宋体" w:cs="Times New Roman"/>
          <w:b/>
          <w:bCs/>
          <w:color w:val="auto"/>
          <w:spacing w:val="5"/>
          <w:sz w:val="24"/>
          <w:szCs w:val="24"/>
          <w:lang w:val="en-US" w:eastAsia="zh-CN"/>
        </w:rPr>
        <w:instrText xml:space="preserve"> SEQ 表 \* ARABIC \s 2 </w:instrText>
      </w:r>
      <w:r>
        <w:rPr>
          <w:rFonts w:hint="default" w:ascii="Times New Roman" w:hAnsi="Times New Roman" w:eastAsia="宋体" w:cs="Times New Roman"/>
          <w:b/>
          <w:bCs/>
          <w:color w:val="auto"/>
          <w:spacing w:val="5"/>
          <w:sz w:val="24"/>
          <w:szCs w:val="24"/>
          <w:lang w:val="en-US" w:eastAsia="zh-CN"/>
        </w:rPr>
        <w:fldChar w:fldCharType="separate"/>
      </w:r>
      <w:r>
        <w:rPr>
          <w:rFonts w:hint="default" w:ascii="Times New Roman" w:hAnsi="Times New Roman" w:eastAsia="宋体" w:cs="Times New Roman"/>
          <w:b/>
          <w:bCs/>
          <w:color w:val="auto"/>
          <w:spacing w:val="5"/>
          <w:sz w:val="24"/>
          <w:szCs w:val="24"/>
          <w:lang w:val="en-US" w:eastAsia="zh-CN"/>
        </w:rPr>
        <w:t>12</w:t>
      </w:r>
      <w:r>
        <w:rPr>
          <w:rFonts w:hint="default" w:ascii="Times New Roman" w:hAnsi="Times New Roman" w:eastAsia="宋体" w:cs="Times New Roman"/>
          <w:b/>
          <w:bCs/>
          <w:color w:val="auto"/>
          <w:spacing w:val="5"/>
          <w:sz w:val="24"/>
          <w:szCs w:val="24"/>
          <w:lang w:val="en-US" w:eastAsia="zh-CN"/>
        </w:rPr>
        <w:fldChar w:fldCharType="end"/>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事故状况下NMHC预测结果</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color w:val="auto"/>
          <w:spacing w:val="5"/>
          <w:sz w:val="24"/>
          <w:szCs w:val="24"/>
          <w:lang w:val="en-US" w:eastAsia="zh-CN"/>
        </w:rPr>
        <w:t xml:space="preserve"> 单位：μg/m³</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5</w:t>
      </w:r>
      <w:r>
        <w:rPr>
          <w:rFonts w:hint="eastAsia" w:ascii="Times New Roman" w:hAnsi="Times New Roman" w:cs="Times New Roman"/>
          <w:b/>
          <w:bCs/>
          <w:color w:val="auto"/>
          <w:szCs w:val="28"/>
          <w:u w:val="none" w:color="auto"/>
          <w:lang w:eastAsia="zh-CN"/>
        </w:rPr>
        <w:t>）污染物排放量核算</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1）正常排放量核算</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本项目有组织排放量核算表详见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本项目大气污染物有组织排放量核算表</w:t>
      </w:r>
    </w:p>
    <w:tbl>
      <w:tblPr>
        <w:tblStyle w:val="29"/>
        <w:tblW w:w="505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55"/>
        <w:gridCol w:w="1220"/>
        <w:gridCol w:w="1170"/>
        <w:gridCol w:w="1629"/>
        <w:gridCol w:w="1634"/>
        <w:gridCol w:w="21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7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排放口编号</w:t>
            </w:r>
          </w:p>
        </w:tc>
        <w:tc>
          <w:tcPr>
            <w:tcW w:w="69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污染物</w:t>
            </w:r>
          </w:p>
        </w:tc>
        <w:tc>
          <w:tcPr>
            <w:tcW w:w="9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核算排放浓度</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Times New Roman" w:cs="Times New Roman"/>
                <w:b/>
                <w:bCs/>
                <w:color w:val="auto"/>
                <w:spacing w:val="5"/>
                <w:sz w:val="21"/>
                <w:szCs w:val="21"/>
              </w:rPr>
              <w:t>/</w:t>
            </w:r>
            <w:r>
              <w:rPr>
                <w:rFonts w:hint="default" w:ascii="Times New Roman" w:hAnsi="Times New Roman" w:eastAsia="宋体" w:cs="Times New Roman"/>
                <w:b/>
                <w:bCs/>
                <w:color w:val="auto"/>
                <w:spacing w:val="5"/>
                <w:sz w:val="21"/>
                <w:szCs w:val="21"/>
                <w:lang w:eastAsia="zh-CN"/>
              </w:rPr>
              <w:t>（</w:t>
            </w:r>
            <w:r>
              <w:rPr>
                <w:rFonts w:hint="default" w:ascii="Times New Roman" w:hAnsi="Times New Roman" w:eastAsia="Times New Roman" w:cs="Times New Roman"/>
                <w:b/>
                <w:bCs/>
                <w:color w:val="auto"/>
                <w:sz w:val="21"/>
                <w:szCs w:val="21"/>
              </w:rPr>
              <w:t>mg</w:t>
            </w:r>
            <w:r>
              <w:rPr>
                <w:rFonts w:hint="default" w:ascii="Times New Roman" w:hAnsi="Times New Roman" w:eastAsia="Times New Roman" w:cs="Times New Roman"/>
                <w:b/>
                <w:bCs/>
                <w:color w:val="auto"/>
                <w:spacing w:val="5"/>
                <w:sz w:val="21"/>
                <w:szCs w:val="21"/>
              </w:rPr>
              <w:t>/m</w:t>
            </w:r>
            <w:r>
              <w:rPr>
                <w:rFonts w:hint="eastAsia" w:ascii="Times New Roman" w:hAnsi="Times New Roman" w:eastAsia="宋体" w:cs="Times New Roman"/>
                <w:b/>
                <w:bCs/>
                <w:color w:val="auto"/>
                <w:spacing w:val="5"/>
                <w:sz w:val="21"/>
                <w:szCs w:val="21"/>
                <w:vertAlign w:val="superscript"/>
                <w:lang w:val="en-US" w:eastAsia="zh-CN"/>
              </w:rPr>
              <w:t>3</w:t>
            </w:r>
            <w:r>
              <w:rPr>
                <w:rFonts w:hint="default" w:ascii="Times New Roman" w:hAnsi="Times New Roman" w:eastAsia="宋体" w:cs="Times New Roman"/>
                <w:b/>
                <w:bCs/>
                <w:color w:val="auto"/>
                <w:spacing w:val="5"/>
                <w:sz w:val="21"/>
                <w:szCs w:val="21"/>
                <w:lang w:eastAsia="zh-CN"/>
              </w:rPr>
              <w:t>）</w:t>
            </w:r>
          </w:p>
        </w:tc>
        <w:tc>
          <w:tcPr>
            <w:tcW w:w="97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核算排放速率</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Times New Roman" w:cs="Times New Roman"/>
                <w:b/>
                <w:bCs/>
                <w:color w:val="auto"/>
                <w:spacing w:val="5"/>
                <w:sz w:val="21"/>
                <w:szCs w:val="21"/>
              </w:rPr>
              <w:t>/</w:t>
            </w:r>
            <w:r>
              <w:rPr>
                <w:rFonts w:hint="default" w:ascii="Times New Roman" w:hAnsi="Times New Roman" w:eastAsia="宋体" w:cs="Times New Roman"/>
                <w:b/>
                <w:bCs/>
                <w:color w:val="auto"/>
                <w:spacing w:val="5"/>
                <w:sz w:val="21"/>
                <w:szCs w:val="21"/>
                <w:lang w:eastAsia="zh-CN"/>
              </w:rPr>
              <w:t>（</w:t>
            </w:r>
            <w:r>
              <w:rPr>
                <w:rFonts w:hint="default" w:ascii="Times New Roman" w:hAnsi="Times New Roman" w:eastAsia="Times New Roman" w:cs="Times New Roman"/>
                <w:b/>
                <w:bCs/>
                <w:color w:val="auto"/>
                <w:sz w:val="21"/>
                <w:szCs w:val="21"/>
              </w:rPr>
              <w:t>kg</w:t>
            </w:r>
            <w:r>
              <w:rPr>
                <w:rFonts w:hint="default" w:ascii="Times New Roman" w:hAnsi="Times New Roman" w:eastAsia="Times New Roman" w:cs="Times New Roman"/>
                <w:b/>
                <w:bCs/>
                <w:color w:val="auto"/>
                <w:spacing w:val="5"/>
                <w:sz w:val="21"/>
                <w:szCs w:val="21"/>
              </w:rPr>
              <w:t>/h</w:t>
            </w:r>
            <w:r>
              <w:rPr>
                <w:rFonts w:hint="default" w:ascii="Times New Roman" w:hAnsi="Times New Roman" w:eastAsia="宋体" w:cs="Times New Roman"/>
                <w:b/>
                <w:bCs/>
                <w:color w:val="auto"/>
                <w:spacing w:val="5"/>
                <w:sz w:val="21"/>
                <w:szCs w:val="21"/>
                <w:lang w:eastAsia="zh-CN"/>
              </w:rPr>
              <w:t>）</w:t>
            </w:r>
          </w:p>
        </w:tc>
        <w:tc>
          <w:tcPr>
            <w:tcW w:w="125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b/>
                <w:bCs/>
                <w:color w:val="auto"/>
                <w:spacing w:val="5"/>
                <w:sz w:val="21"/>
                <w:szCs w:val="21"/>
              </w:rPr>
              <w:t>核算年排放量</w:t>
            </w:r>
            <w:r>
              <w:rPr>
                <w:rFonts w:hint="default" w:ascii="Times New Roman" w:hAnsi="Times New Roman" w:eastAsia="Times New Roman" w:cs="Times New Roman"/>
                <w:b/>
                <w:bCs/>
                <w:color w:val="auto"/>
                <w:spacing w:val="5"/>
                <w:sz w:val="21"/>
                <w:szCs w:val="21"/>
              </w:rPr>
              <w:t>/</w:t>
            </w:r>
            <w:r>
              <w:rPr>
                <w:rFonts w:hint="default" w:ascii="Times New Roman" w:hAnsi="Times New Roman" w:cs="Times New Roman"/>
                <w:b/>
                <w:bCs/>
                <w:color w:val="auto"/>
                <w:spacing w:val="5"/>
                <w:sz w:val="21"/>
                <w:szCs w:val="21"/>
                <w:lang w:eastAsia="zh-CN"/>
              </w:rPr>
              <w:t>（</w:t>
            </w:r>
            <w:r>
              <w:rPr>
                <w:rFonts w:hint="default" w:ascii="Times New Roman" w:hAnsi="Times New Roman" w:eastAsia="Times New Roman" w:cs="Times New Roman"/>
                <w:b/>
                <w:bCs/>
                <w:color w:val="auto"/>
                <w:spacing w:val="5"/>
                <w:sz w:val="21"/>
                <w:szCs w:val="21"/>
              </w:rPr>
              <w:t>t/a</w:t>
            </w:r>
            <w:r>
              <w:rPr>
                <w:rFonts w:hint="default" w:ascii="Times New Roman" w:hAnsi="Times New Roman" w:cs="Times New Roman"/>
                <w:b/>
                <w:bCs/>
                <w:color w:val="auto"/>
                <w:spacing w:val="5"/>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72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DA</w:t>
            </w:r>
            <w:r>
              <w:rPr>
                <w:rFonts w:hint="default" w:ascii="Times New Roman" w:hAnsi="Times New Roman" w:eastAsia="Times New Roman" w:cs="Times New Roman"/>
                <w:color w:val="auto"/>
                <w:spacing w:val="8"/>
                <w:sz w:val="21"/>
                <w:szCs w:val="21"/>
              </w:rPr>
              <w:t>001</w:t>
            </w:r>
          </w:p>
        </w:tc>
        <w:tc>
          <w:tcPr>
            <w:tcW w:w="69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162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2"/>
                <w:sz w:val="21"/>
                <w:szCs w:val="21"/>
                <w:lang w:val="en-US" w:eastAsia="zh-CN"/>
              </w:rPr>
              <w:t>66.188</w:t>
            </w:r>
          </w:p>
        </w:tc>
        <w:tc>
          <w:tcPr>
            <w:tcW w:w="163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3.177</w:t>
            </w:r>
          </w:p>
        </w:tc>
        <w:tc>
          <w:tcPr>
            <w:tcW w:w="12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22.877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w:t>
            </w:r>
          </w:p>
        </w:tc>
        <w:tc>
          <w:tcPr>
            <w:tcW w:w="72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hint="default" w:ascii="Times New Roman" w:hAnsi="Times New Roman" w:eastAsia="Times New Roman" w:cs="Times New Roman"/>
                <w:color w:val="auto"/>
                <w:sz w:val="21"/>
                <w:szCs w:val="21"/>
              </w:rPr>
              <w:t>DA</w:t>
            </w:r>
            <w:r>
              <w:rPr>
                <w:rFonts w:hint="default" w:ascii="Times New Roman" w:hAnsi="Times New Roman" w:eastAsia="Times New Roman" w:cs="Times New Roman"/>
                <w:color w:val="auto"/>
                <w:spacing w:val="8"/>
                <w:sz w:val="21"/>
                <w:szCs w:val="21"/>
              </w:rPr>
              <w:t>001</w:t>
            </w:r>
          </w:p>
        </w:tc>
        <w:tc>
          <w:tcPr>
            <w:tcW w:w="69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7"/>
                <w:position w:val="-1"/>
                <w:sz w:val="21"/>
                <w:szCs w:val="21"/>
                <w:vertAlign w:val="subscript"/>
              </w:rPr>
              <w:t>2</w:t>
            </w:r>
          </w:p>
        </w:tc>
        <w:tc>
          <w:tcPr>
            <w:tcW w:w="1629" w:type="dxa"/>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0.00026</w:t>
            </w:r>
          </w:p>
        </w:tc>
        <w:tc>
          <w:tcPr>
            <w:tcW w:w="1634"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0.00125</w:t>
            </w:r>
          </w:p>
        </w:tc>
        <w:tc>
          <w:tcPr>
            <w:tcW w:w="125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Calibri" w:cs="Times New Roman"/>
                <w:color w:val="auto"/>
                <w:spacing w:val="2"/>
                <w:sz w:val="21"/>
                <w:szCs w:val="21"/>
              </w:rPr>
              <w:t>0.0</w:t>
            </w:r>
            <w:r>
              <w:rPr>
                <w:rFonts w:hint="eastAsia" w:ascii="Times New Roman" w:hAnsi="Times New Roman" w:eastAsia="宋体" w:cs="Times New Roman"/>
                <w:color w:val="auto"/>
                <w:spacing w:val="2"/>
                <w:sz w:val="21"/>
                <w:szCs w:val="21"/>
                <w:lang w:val="en-US" w:eastAsia="zh-CN"/>
              </w:rPr>
              <w:t>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3</w:t>
            </w:r>
          </w:p>
        </w:tc>
        <w:tc>
          <w:tcPr>
            <w:tcW w:w="72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hint="default" w:ascii="Times New Roman" w:hAnsi="Times New Roman" w:eastAsia="Times New Roman" w:cs="Times New Roman"/>
                <w:color w:val="auto"/>
                <w:sz w:val="21"/>
                <w:szCs w:val="21"/>
              </w:rPr>
              <w:t>DA</w:t>
            </w:r>
            <w:r>
              <w:rPr>
                <w:rFonts w:hint="default" w:ascii="Times New Roman" w:hAnsi="Times New Roman" w:eastAsia="Times New Roman" w:cs="Times New Roman"/>
                <w:color w:val="auto"/>
                <w:spacing w:val="8"/>
                <w:sz w:val="21"/>
                <w:szCs w:val="21"/>
              </w:rPr>
              <w:t>001</w:t>
            </w:r>
          </w:p>
        </w:tc>
        <w:tc>
          <w:tcPr>
            <w:tcW w:w="69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1"/>
                <w:sz w:val="21"/>
                <w:szCs w:val="21"/>
              </w:rPr>
              <w:t>NOx</w:t>
            </w:r>
          </w:p>
        </w:tc>
        <w:tc>
          <w:tcPr>
            <w:tcW w:w="1629" w:type="dxa"/>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0.000164</w:t>
            </w:r>
          </w:p>
        </w:tc>
        <w:tc>
          <w:tcPr>
            <w:tcW w:w="1634" w:type="dxa"/>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0.00788</w:t>
            </w:r>
          </w:p>
        </w:tc>
        <w:tc>
          <w:tcPr>
            <w:tcW w:w="1250"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Calibri" w:cs="Times New Roman"/>
                <w:color w:val="auto"/>
                <w:spacing w:val="2"/>
                <w:sz w:val="21"/>
                <w:szCs w:val="21"/>
              </w:rPr>
              <w:t>0.</w:t>
            </w:r>
            <w:r>
              <w:rPr>
                <w:rFonts w:hint="eastAsia" w:ascii="Times New Roman" w:hAnsi="Times New Roman" w:eastAsia="宋体" w:cs="Times New Roman"/>
                <w:color w:val="auto"/>
                <w:spacing w:val="2"/>
                <w:sz w:val="21"/>
                <w:szCs w:val="21"/>
                <w:lang w:val="en-US" w:eastAsia="zh-CN"/>
              </w:rPr>
              <w:t>0567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6"/>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有组织排放总计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14" w:type="pct"/>
            <w:gridSpan w:val="2"/>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有组织排放总计</w:t>
            </w:r>
          </w:p>
        </w:tc>
        <w:tc>
          <w:tcPr>
            <w:tcW w:w="2634" w:type="pct"/>
            <w:gridSpan w:val="3"/>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125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22.877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14" w:type="pct"/>
            <w:gridSpan w:val="2"/>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2634" w:type="pct"/>
            <w:gridSpan w:val="3"/>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7"/>
                <w:position w:val="-1"/>
                <w:sz w:val="21"/>
                <w:szCs w:val="21"/>
                <w:vertAlign w:val="subscript"/>
              </w:rPr>
              <w:t>2</w:t>
            </w:r>
          </w:p>
        </w:tc>
        <w:tc>
          <w:tcPr>
            <w:tcW w:w="21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0.0</w:t>
            </w:r>
            <w:r>
              <w:rPr>
                <w:rFonts w:hint="eastAsia" w:ascii="Times New Roman" w:hAnsi="Times New Roman" w:eastAsia="宋体" w:cs="Times New Roman"/>
                <w:color w:val="auto"/>
                <w:spacing w:val="2"/>
                <w:sz w:val="21"/>
                <w:szCs w:val="21"/>
                <w:lang w:val="en-US" w:eastAsia="zh-CN"/>
              </w:rPr>
              <w:t>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14" w:type="pct"/>
            <w:gridSpan w:val="2"/>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2634" w:type="pct"/>
            <w:gridSpan w:val="3"/>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NOx</w:t>
            </w:r>
          </w:p>
        </w:tc>
        <w:tc>
          <w:tcPr>
            <w:tcW w:w="21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0.</w:t>
            </w:r>
            <w:r>
              <w:rPr>
                <w:rFonts w:hint="eastAsia" w:ascii="Times New Roman" w:hAnsi="Times New Roman" w:eastAsia="宋体" w:cs="Times New Roman"/>
                <w:color w:val="auto"/>
                <w:spacing w:val="2"/>
                <w:sz w:val="21"/>
                <w:szCs w:val="21"/>
                <w:lang w:val="en-US" w:eastAsia="zh-CN"/>
              </w:rPr>
              <w:t>0567</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本项目无组织排放量核算表详见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本项目大气污染物无组织排放量核算表</w:t>
      </w:r>
    </w:p>
    <w:tbl>
      <w:tblPr>
        <w:tblStyle w:val="29"/>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32"/>
        <w:gridCol w:w="716"/>
        <w:gridCol w:w="792"/>
        <w:gridCol w:w="733"/>
        <w:gridCol w:w="2179"/>
        <w:gridCol w:w="1390"/>
        <w:gridCol w:w="1288"/>
        <w:gridCol w:w="95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8" w:type="pct"/>
            <w:vMerge w:val="restart"/>
            <w:tcBorders>
              <w:tl2br w:val="nil"/>
              <w:tr2bl w:val="nil"/>
            </w:tcBorders>
            <w:textDirection w:val="tbRlV"/>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序号</w:t>
            </w:r>
          </w:p>
        </w:tc>
        <w:tc>
          <w:tcPr>
            <w:tcW w:w="427"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排放口</w:t>
            </w:r>
            <w:r>
              <w:rPr>
                <w:rFonts w:hint="default" w:ascii="Times New Roman" w:hAnsi="Times New Roman" w:cs="Times New Roman"/>
                <w:b/>
                <w:bCs/>
                <w:color w:val="auto"/>
                <w:spacing w:val="3"/>
                <w:sz w:val="21"/>
                <w:szCs w:val="21"/>
              </w:rPr>
              <w:t>编号</w:t>
            </w:r>
          </w:p>
        </w:tc>
        <w:tc>
          <w:tcPr>
            <w:tcW w:w="47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产污环</w:t>
            </w:r>
            <w:r>
              <w:rPr>
                <w:rFonts w:hint="default" w:ascii="Times New Roman" w:hAnsi="Times New Roman" w:cs="Times New Roman"/>
                <w:b/>
                <w:bCs/>
                <w:color w:val="auto"/>
                <w:spacing w:val="-2"/>
                <w:sz w:val="21"/>
                <w:szCs w:val="21"/>
              </w:rPr>
              <w:t>节</w:t>
            </w:r>
          </w:p>
        </w:tc>
        <w:tc>
          <w:tcPr>
            <w:tcW w:w="436"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污染</w:t>
            </w:r>
            <w:r>
              <w:rPr>
                <w:rFonts w:hint="default" w:ascii="Times New Roman" w:hAnsi="Times New Roman" w:cs="Times New Roman"/>
                <w:b/>
                <w:bCs/>
                <w:color w:val="auto"/>
                <w:spacing w:val="-2"/>
                <w:sz w:val="21"/>
                <w:szCs w:val="21"/>
              </w:rPr>
              <w:t>物</w:t>
            </w:r>
          </w:p>
        </w:tc>
        <w:tc>
          <w:tcPr>
            <w:tcW w:w="1299"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主要污染防</w:t>
            </w:r>
            <w:r>
              <w:rPr>
                <w:rFonts w:hint="default" w:ascii="Times New Roman" w:hAnsi="Times New Roman" w:cs="Times New Roman"/>
                <w:b/>
                <w:bCs/>
                <w:color w:val="auto"/>
                <w:spacing w:val="3"/>
                <w:sz w:val="21"/>
                <w:szCs w:val="21"/>
              </w:rPr>
              <w:t>治措施</w:t>
            </w:r>
          </w:p>
        </w:tc>
        <w:tc>
          <w:tcPr>
            <w:tcW w:w="159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国家或地方污染物排放标准</w:t>
            </w:r>
          </w:p>
        </w:tc>
        <w:tc>
          <w:tcPr>
            <w:tcW w:w="569"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2"/>
                <w:sz w:val="21"/>
                <w:szCs w:val="21"/>
              </w:rPr>
            </w:pPr>
            <w:r>
              <w:rPr>
                <w:rFonts w:hint="default" w:ascii="Times New Roman" w:hAnsi="Times New Roman" w:cs="Times New Roman"/>
                <w:b/>
                <w:bCs/>
                <w:color w:val="auto"/>
                <w:spacing w:val="6"/>
                <w:sz w:val="21"/>
                <w:szCs w:val="21"/>
              </w:rPr>
              <w:t>年排放量</w:t>
            </w:r>
            <w:r>
              <w:rPr>
                <w:rFonts w:hint="default" w:ascii="Times New Roman" w:hAnsi="Times New Roman" w:cs="Times New Roman"/>
                <w:b/>
                <w:bCs/>
                <w:color w:val="auto"/>
                <w:spacing w:val="2"/>
                <w:sz w:val="21"/>
                <w:szCs w:val="21"/>
              </w:rPr>
              <w:t>/</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b/>
                <w:bCs/>
                <w:color w:val="auto"/>
                <w:spacing w:val="2"/>
                <w:sz w:val="21"/>
                <w:szCs w:val="21"/>
                <w:lang w:eastAsia="zh-CN"/>
              </w:rPr>
              <w:t>（</w:t>
            </w:r>
            <w:r>
              <w:rPr>
                <w:rFonts w:hint="default" w:ascii="Times New Roman" w:hAnsi="Times New Roman" w:cs="Times New Roman"/>
                <w:b/>
                <w:bCs/>
                <w:color w:val="auto"/>
                <w:spacing w:val="2"/>
                <w:sz w:val="21"/>
                <w:szCs w:val="21"/>
              </w:rPr>
              <w:t>t/a</w:t>
            </w:r>
            <w:r>
              <w:rPr>
                <w:rFonts w:hint="default" w:ascii="Times New Roman" w:hAnsi="Times New Roman" w:cs="Times New Roman"/>
                <w:b/>
                <w:bCs/>
                <w:color w:val="auto"/>
                <w:spacing w:val="2"/>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8" w:type="pct"/>
            <w:vMerge w:val="continue"/>
            <w:tcBorders>
              <w:tl2br w:val="nil"/>
              <w:tr2bl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27"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29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标准名称</w:t>
            </w:r>
          </w:p>
        </w:tc>
        <w:tc>
          <w:tcPr>
            <w:tcW w:w="76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4"/>
                <w:sz w:val="21"/>
                <w:szCs w:val="21"/>
              </w:rPr>
            </w:pPr>
            <w:r>
              <w:rPr>
                <w:rFonts w:hint="default" w:ascii="Times New Roman" w:hAnsi="Times New Roman" w:cs="Times New Roman"/>
                <w:b/>
                <w:bCs/>
                <w:color w:val="auto"/>
                <w:spacing w:val="4"/>
                <w:sz w:val="21"/>
                <w:szCs w:val="21"/>
              </w:rPr>
              <w:t>浓度限值/</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b/>
                <w:bCs/>
                <w:color w:val="auto"/>
                <w:spacing w:val="4"/>
                <w:sz w:val="21"/>
                <w:szCs w:val="21"/>
                <w:lang w:eastAsia="zh-CN"/>
              </w:rPr>
              <w:t>（</w:t>
            </w:r>
            <w:r>
              <w:rPr>
                <w:rFonts w:hint="eastAsia" w:ascii="Times New Roman" w:hAnsi="Times New Roman" w:cs="Times New Roman"/>
                <w:b/>
                <w:bCs/>
                <w:color w:val="auto"/>
                <w:spacing w:val="4"/>
                <w:sz w:val="21"/>
                <w:szCs w:val="21"/>
                <w:lang w:val="en-US" w:eastAsia="zh-CN"/>
              </w:rPr>
              <w:t>m</w:t>
            </w:r>
            <w:r>
              <w:rPr>
                <w:rFonts w:hint="default" w:ascii="Times New Roman" w:hAnsi="Times New Roman" w:cs="Times New Roman"/>
                <w:b/>
                <w:bCs/>
                <w:color w:val="auto"/>
                <w:sz w:val="21"/>
                <w:szCs w:val="21"/>
              </w:rPr>
              <w:t>g/m</w:t>
            </w:r>
            <w:r>
              <w:rPr>
                <w:rFonts w:hint="eastAsia" w:ascii="Times New Roman" w:hAnsi="Times New Roman"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eastAsia="zh-CN"/>
              </w:rPr>
              <w:t>）</w:t>
            </w:r>
          </w:p>
        </w:tc>
        <w:tc>
          <w:tcPr>
            <w:tcW w:w="56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42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厂界</w:t>
            </w:r>
          </w:p>
        </w:tc>
        <w:tc>
          <w:tcPr>
            <w:tcW w:w="47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印刷、</w:t>
            </w:r>
            <w:r>
              <w:rPr>
                <w:rFonts w:hint="default" w:ascii="Times New Roman" w:hAnsi="Times New Roman" w:cs="Times New Roman"/>
                <w:color w:val="auto"/>
                <w:spacing w:val="5"/>
                <w:sz w:val="21"/>
                <w:szCs w:val="21"/>
              </w:rPr>
              <w:t>复合等</w:t>
            </w:r>
          </w:p>
        </w:tc>
        <w:tc>
          <w:tcPr>
            <w:tcW w:w="43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position w:val="1"/>
                <w:sz w:val="21"/>
                <w:szCs w:val="21"/>
              </w:rPr>
              <w:t>VOCs</w:t>
            </w:r>
          </w:p>
        </w:tc>
        <w:tc>
          <w:tcPr>
            <w:tcW w:w="129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车间密闭、加</w:t>
            </w:r>
            <w:r>
              <w:rPr>
                <w:rFonts w:hint="default" w:ascii="Times New Roman" w:hAnsi="Times New Roman" w:cs="Times New Roman"/>
                <w:color w:val="auto"/>
                <w:sz w:val="21"/>
                <w:szCs w:val="21"/>
              </w:rPr>
              <w:t>强集气、调墨</w:t>
            </w:r>
            <w:r>
              <w:rPr>
                <w:rFonts w:hint="default" w:ascii="Times New Roman" w:hAnsi="Times New Roman" w:cs="Times New Roman"/>
                <w:color w:val="auto"/>
                <w:spacing w:val="8"/>
                <w:sz w:val="21"/>
                <w:szCs w:val="21"/>
              </w:rPr>
              <w:t>供墨</w:t>
            </w:r>
            <w:r>
              <w:rPr>
                <w:rFonts w:hint="eastAsia" w:ascii="Times New Roman" w:hAnsi="Times New Roman" w:cs="Times New Roman"/>
                <w:color w:val="auto"/>
                <w:spacing w:val="8"/>
                <w:sz w:val="21"/>
                <w:szCs w:val="21"/>
                <w:lang w:val="en-US" w:eastAsia="zh-CN"/>
              </w:rPr>
              <w:t>区</w:t>
            </w:r>
            <w:r>
              <w:rPr>
                <w:rFonts w:hint="default" w:ascii="Times New Roman" w:hAnsi="Times New Roman" w:cs="Times New Roman"/>
                <w:color w:val="auto"/>
                <w:spacing w:val="8"/>
                <w:sz w:val="21"/>
                <w:szCs w:val="21"/>
              </w:rPr>
              <w:t>密</w:t>
            </w:r>
            <w:r>
              <w:rPr>
                <w:rFonts w:hint="default" w:ascii="Times New Roman" w:hAnsi="Times New Roman" w:cs="Times New Roman"/>
                <w:color w:val="auto"/>
                <w:spacing w:val="-6"/>
                <w:sz w:val="21"/>
                <w:szCs w:val="21"/>
              </w:rPr>
              <w:t>闭等</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DB</w:t>
            </w:r>
            <w:r>
              <w:rPr>
                <w:rFonts w:hint="default" w:ascii="Times New Roman" w:hAnsi="Times New Roman" w:cs="Times New Roman"/>
                <w:color w:val="auto"/>
                <w:spacing w:val="5"/>
                <w:sz w:val="21"/>
                <w:szCs w:val="21"/>
              </w:rPr>
              <w:t>43/1357-2017</w:t>
            </w:r>
          </w:p>
        </w:tc>
        <w:tc>
          <w:tcPr>
            <w:tcW w:w="76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4.0</w:t>
            </w:r>
          </w:p>
        </w:tc>
        <w:tc>
          <w:tcPr>
            <w:tcW w:w="5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8"/>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无组织排放总计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34"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无组织排放总计</w:t>
            </w:r>
          </w:p>
        </w:tc>
        <w:tc>
          <w:tcPr>
            <w:tcW w:w="2896"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position w:val="1"/>
                <w:sz w:val="21"/>
                <w:szCs w:val="21"/>
              </w:rPr>
              <w:t>VOCs</w:t>
            </w:r>
          </w:p>
        </w:tc>
        <w:tc>
          <w:tcPr>
            <w:tcW w:w="5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1.14</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本项目年排放量核算表详见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本项目大气污染物年排放量核算表</w:t>
      </w:r>
    </w:p>
    <w:tbl>
      <w:tblPr>
        <w:tblStyle w:val="29"/>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799"/>
        <w:gridCol w:w="2787"/>
        <w:gridCol w:w="280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166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污染物</w:t>
            </w:r>
          </w:p>
        </w:tc>
        <w:tc>
          <w:tcPr>
            <w:tcW w:w="16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b/>
                <w:bCs/>
                <w:color w:val="auto"/>
                <w:spacing w:val="4"/>
                <w:sz w:val="21"/>
                <w:szCs w:val="21"/>
              </w:rPr>
              <w:t>年排放量/</w:t>
            </w:r>
            <w:r>
              <w:rPr>
                <w:rFonts w:hint="default" w:ascii="Times New Roman" w:hAnsi="Times New Roman" w:cs="Times New Roman"/>
                <w:b/>
                <w:bCs/>
                <w:color w:val="auto"/>
                <w:spacing w:val="4"/>
                <w:sz w:val="21"/>
                <w:szCs w:val="21"/>
                <w:lang w:eastAsia="zh-CN"/>
              </w:rPr>
              <w:t>（</w:t>
            </w:r>
            <w:r>
              <w:rPr>
                <w:rFonts w:hint="default" w:ascii="Times New Roman" w:hAnsi="Times New Roman" w:cs="Times New Roman"/>
                <w:b/>
                <w:bCs/>
                <w:color w:val="auto"/>
                <w:spacing w:val="4"/>
                <w:sz w:val="21"/>
                <w:szCs w:val="21"/>
              </w:rPr>
              <w:t>t/a</w:t>
            </w:r>
            <w:r>
              <w:rPr>
                <w:rFonts w:hint="default" w:ascii="Times New Roman" w:hAnsi="Times New Roman" w:cs="Times New Roman"/>
                <w:b/>
                <w:bCs/>
                <w:color w:val="auto"/>
                <w:spacing w:val="4"/>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66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pacing w:val="2"/>
                <w:position w:val="-2"/>
                <w:sz w:val="21"/>
                <w:szCs w:val="21"/>
                <w:vertAlign w:val="subscript"/>
              </w:rPr>
              <w:t>2</w:t>
            </w:r>
          </w:p>
        </w:tc>
        <w:tc>
          <w:tcPr>
            <w:tcW w:w="280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snapToGrid w:val="0"/>
                <w:color w:val="auto"/>
                <w:kern w:val="0"/>
                <w:sz w:val="21"/>
                <w:szCs w:val="21"/>
                <w:lang w:val="en-US" w:eastAsia="zh-CN" w:bidi="ar-SA"/>
              </w:rPr>
              <w:t>0.009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66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position w:val="1"/>
                <w:sz w:val="21"/>
                <w:szCs w:val="21"/>
              </w:rPr>
              <w:t>NOx</w:t>
            </w:r>
          </w:p>
        </w:tc>
        <w:tc>
          <w:tcPr>
            <w:tcW w:w="280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snapToGrid w:val="0"/>
                <w:color w:val="auto"/>
                <w:kern w:val="0"/>
                <w:sz w:val="21"/>
                <w:szCs w:val="21"/>
                <w:lang w:val="en-US" w:eastAsia="zh-CN" w:bidi="ar-SA"/>
              </w:rPr>
              <w:t>0.0567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166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66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position w:val="1"/>
                <w:sz w:val="21"/>
                <w:szCs w:val="21"/>
              </w:rPr>
              <w:t>VOCs</w:t>
            </w:r>
          </w:p>
        </w:tc>
        <w:tc>
          <w:tcPr>
            <w:tcW w:w="16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pacing w:val="3"/>
                <w:sz w:val="21"/>
                <w:szCs w:val="21"/>
              </w:rPr>
              <w:t>24.0</w:t>
            </w:r>
            <w:r>
              <w:rPr>
                <w:rFonts w:hint="eastAsia" w:ascii="Times New Roman" w:hAnsi="Times New Roman" w:cs="Times New Roman"/>
                <w:color w:val="auto"/>
                <w:spacing w:val="3"/>
                <w:sz w:val="21"/>
                <w:szCs w:val="21"/>
                <w:lang w:val="en-US" w:eastAsia="zh-CN"/>
              </w:rPr>
              <w:t>17</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2）非正常排放量核算</w:t>
      </w:r>
    </w:p>
    <w:p>
      <w:pPr>
        <w:pStyle w:val="31"/>
        <w:keepNext w:val="0"/>
        <w:keepLines w:val="0"/>
        <w:pageBreakBefore w:val="0"/>
        <w:widowControl/>
        <w:kinsoku/>
        <w:wordWrap/>
        <w:overflowPunct/>
        <w:topLinePunct w:val="0"/>
        <w:autoSpaceDE w:val="0"/>
        <w:autoSpaceDN w:val="0"/>
        <w:bidi w:val="0"/>
        <w:adjustRightInd w:val="0"/>
        <w:snapToGrid w:val="0"/>
        <w:spacing w:before="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非正常工况主要是指开停车、检修、断电或事故状态时，造成的污染物排放。依据工程设计，本项目采用双回路供电，保证供电安全，一旦发生断电及时启动备用供电系统，因此项目发生断电原因的事故排放的概率很小。本项目设定废气非正常工况情景为：有机废气处理设施RTO蓄热燃烧系统发生故障，废气治理设施处理效率下降至85%，单次持续时间为30分钟。非正常工况下，项目有组织废气的排放情况见下表。</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项目非正常排放量核算</w:t>
      </w:r>
    </w:p>
    <w:tbl>
      <w:tblPr>
        <w:tblStyle w:val="29"/>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40"/>
        <w:gridCol w:w="1255"/>
        <w:gridCol w:w="1726"/>
        <w:gridCol w:w="931"/>
        <w:gridCol w:w="843"/>
        <w:gridCol w:w="945"/>
        <w:gridCol w:w="991"/>
        <w:gridCol w:w="11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4" w:type="pct"/>
            <w:tcBorders>
              <w:tl2br w:val="nil"/>
              <w:tr2bl w:val="nil"/>
            </w:tcBorders>
            <w:textDirection w:val="tbRlV"/>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序号</w:t>
            </w:r>
          </w:p>
        </w:tc>
        <w:tc>
          <w:tcPr>
            <w:tcW w:w="7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污染源</w:t>
            </w:r>
          </w:p>
        </w:tc>
        <w:tc>
          <w:tcPr>
            <w:tcW w:w="103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非正常排放原因</w:t>
            </w:r>
          </w:p>
        </w:tc>
        <w:tc>
          <w:tcPr>
            <w:tcW w:w="55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污染物</w:t>
            </w:r>
          </w:p>
        </w:tc>
        <w:tc>
          <w:tcPr>
            <w:tcW w:w="50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5"/>
                <w:sz w:val="21"/>
                <w:szCs w:val="21"/>
              </w:rPr>
              <w:t>排放速</w:t>
            </w:r>
            <w:r>
              <w:rPr>
                <w:rFonts w:hint="default" w:ascii="Times New Roman" w:hAnsi="Times New Roman" w:cs="Times New Roman"/>
                <w:b/>
                <w:bCs/>
                <w:color w:val="auto"/>
                <w:spacing w:val="2"/>
                <w:sz w:val="21"/>
                <w:szCs w:val="21"/>
              </w:rPr>
              <w:t>率</w:t>
            </w:r>
            <w:r>
              <w:rPr>
                <w:rFonts w:hint="default" w:ascii="Times New Roman" w:hAnsi="Times New Roman" w:eastAsia="Calibri" w:cs="Times New Roman"/>
                <w:b/>
                <w:bCs/>
                <w:color w:val="auto"/>
                <w:sz w:val="21"/>
                <w:szCs w:val="21"/>
              </w:rPr>
              <w:t>kg</w:t>
            </w:r>
            <w:r>
              <w:rPr>
                <w:rFonts w:hint="default" w:ascii="Times New Roman" w:hAnsi="Times New Roman" w:eastAsia="Calibri" w:cs="Times New Roman"/>
                <w:b/>
                <w:bCs/>
                <w:color w:val="auto"/>
                <w:spacing w:val="2"/>
                <w:sz w:val="21"/>
                <w:szCs w:val="21"/>
              </w:rPr>
              <w:t>/h</w:t>
            </w:r>
          </w:p>
        </w:tc>
        <w:tc>
          <w:tcPr>
            <w:tcW w:w="56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单次持续</w:t>
            </w:r>
            <w:r>
              <w:rPr>
                <w:rFonts w:hint="default" w:ascii="Times New Roman" w:hAnsi="Times New Roman" w:cs="Times New Roman"/>
                <w:b/>
                <w:bCs/>
                <w:color w:val="auto"/>
                <w:spacing w:val="-1"/>
                <w:sz w:val="21"/>
                <w:szCs w:val="21"/>
              </w:rPr>
              <w:t>时间</w:t>
            </w:r>
          </w:p>
        </w:tc>
        <w:tc>
          <w:tcPr>
            <w:tcW w:w="59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年发生</w:t>
            </w:r>
            <w:r>
              <w:rPr>
                <w:rFonts w:hint="default" w:ascii="Times New Roman" w:hAnsi="Times New Roman" w:cs="Times New Roman"/>
                <w:b/>
                <w:bCs/>
                <w:color w:val="auto"/>
                <w:spacing w:val="3"/>
                <w:sz w:val="21"/>
                <w:szCs w:val="21"/>
              </w:rPr>
              <w:t>频次</w:t>
            </w:r>
          </w:p>
        </w:tc>
        <w:tc>
          <w:tcPr>
            <w:tcW w:w="7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应对措施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75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印刷、复合工</w:t>
            </w:r>
            <w:r>
              <w:rPr>
                <w:rFonts w:hint="default" w:ascii="Times New Roman" w:hAnsi="Times New Roman" w:cs="Times New Roman"/>
                <w:color w:val="auto"/>
                <w:spacing w:val="1"/>
                <w:sz w:val="21"/>
                <w:szCs w:val="21"/>
              </w:rPr>
              <w:t>序</w:t>
            </w:r>
          </w:p>
        </w:tc>
        <w:tc>
          <w:tcPr>
            <w:tcW w:w="103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开车、停车、检修</w:t>
            </w:r>
            <w:r>
              <w:rPr>
                <w:rFonts w:hint="default" w:ascii="Times New Roman" w:hAnsi="Times New Roman" w:cs="Times New Roman"/>
                <w:color w:val="auto"/>
                <w:spacing w:val="7"/>
                <w:sz w:val="21"/>
                <w:szCs w:val="21"/>
              </w:rPr>
              <w:t>或事故状态</w:t>
            </w:r>
          </w:p>
        </w:tc>
        <w:tc>
          <w:tcPr>
            <w:tcW w:w="55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50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1"/>
                <w:sz w:val="21"/>
                <w:szCs w:val="21"/>
                <w:highlight w:val="none"/>
                <w:lang w:val="en-US" w:eastAsia="zh-CN"/>
              </w:rPr>
              <w:t>11.33</w:t>
            </w:r>
          </w:p>
        </w:tc>
        <w:tc>
          <w:tcPr>
            <w:tcW w:w="56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&lt;30</w:t>
            </w:r>
            <w:r>
              <w:rPr>
                <w:rFonts w:hint="default" w:ascii="Times New Roman" w:hAnsi="Times New Roman" w:eastAsia="Calibri" w:cs="Times New Roman"/>
                <w:color w:val="auto"/>
                <w:spacing w:val="-1"/>
                <w:sz w:val="21"/>
                <w:szCs w:val="21"/>
              </w:rPr>
              <w:t>min</w:t>
            </w:r>
          </w:p>
        </w:tc>
        <w:tc>
          <w:tcPr>
            <w:tcW w:w="59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偶发</w:t>
            </w:r>
          </w:p>
        </w:tc>
        <w:tc>
          <w:tcPr>
            <w:tcW w:w="7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立即停产检</w:t>
            </w:r>
            <w:r>
              <w:rPr>
                <w:rFonts w:hint="default" w:ascii="Times New Roman" w:hAnsi="Times New Roman" w:cs="Times New Roman"/>
                <w:color w:val="auto"/>
                <w:sz w:val="21"/>
                <w:szCs w:val="21"/>
              </w:rPr>
              <w:t>修</w:t>
            </w:r>
          </w:p>
        </w:tc>
      </w:tr>
    </w:tbl>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6</w:t>
      </w:r>
      <w:r>
        <w:rPr>
          <w:rFonts w:hint="eastAsia" w:ascii="Times New Roman" w:hAnsi="Times New Roman" w:cs="Times New Roman"/>
          <w:b/>
          <w:bCs/>
          <w:color w:val="auto"/>
          <w:szCs w:val="28"/>
          <w:u w:val="none" w:color="auto"/>
          <w:lang w:eastAsia="zh-CN"/>
        </w:rPr>
        <w:t>）防护距离计算</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HJ2.2-2018），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由前述估算模型计算结果可知，本项目VOCs、SO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、NOx气体的厂界浓度能满足大气污染物厂界浓度限值，厂界外大气污染物短期贡献浓度远小于《环境影响评价技术导则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大气环境</w:t>
      </w:r>
      <w:r>
        <w:rPr>
          <w:rFonts w:hint="default" w:ascii="Times New Roman" w:hAnsi="Times New Roman" w:cs="Times New Roman"/>
          <w:color w:val="auto"/>
          <w:szCs w:val="28"/>
          <w:u w:val="none" w:color="auto"/>
        </w:rPr>
        <w:t>》（HJ2.2-2018）附录D、《环境空气质量标准》（GB3095-2012）二级标准浓度限值。根据《环境影响评价技术导则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大气环境》（HJ2.2-2018）规定，本项目无需设置大气环境防护距离。</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因此，本项目无大气环境防护距离设置要求。</w:t>
      </w:r>
    </w:p>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b/>
          <w:bCs/>
          <w:color w:val="auto"/>
          <w:szCs w:val="28"/>
          <w:u w:val="none" w:color="auto"/>
          <w:lang w:val="en-US" w:eastAsia="zh-CN"/>
        </w:rPr>
      </w:pPr>
      <w:r>
        <w:rPr>
          <w:rFonts w:hint="eastAsia" w:ascii="Times New Roman" w:hAnsi="Times New Roman" w:cs="Times New Roman"/>
          <w:b/>
          <w:bCs/>
          <w:color w:val="auto"/>
          <w:szCs w:val="28"/>
          <w:u w:val="none" w:color="auto"/>
          <w:lang w:val="en-US" w:eastAsia="zh-CN"/>
        </w:rPr>
        <w:t>（7）结论</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1</w:t>
      </w:r>
      <w:r>
        <w:rPr>
          <w:rFonts w:hint="default" w:ascii="Times New Roman" w:hAnsi="Times New Roman" w:cs="Times New Roman"/>
          <w:color w:val="auto"/>
          <w:szCs w:val="28"/>
          <w:u w:val="none" w:color="auto"/>
          <w:lang w:val="en-US" w:eastAsia="zh-CN"/>
        </w:rPr>
        <w:t>）预测结果汇总</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本次评价首先采用</w:t>
      </w:r>
      <w:r>
        <w:rPr>
          <w:rFonts w:hint="default" w:ascii="Times New Roman" w:hAnsi="Times New Roman" w:cs="Times New Roman"/>
          <w:color w:val="auto"/>
          <w:sz w:val="24"/>
          <w:szCs w:val="24"/>
          <w:u w:val="none" w:color="auto"/>
        </w:rPr>
        <w:t>AERSCREEN模型</w:t>
      </w:r>
      <w:r>
        <w:rPr>
          <w:rFonts w:hint="eastAsia" w:ascii="Times New Roman" w:hAnsi="Times New Roman" w:eastAsia="宋体" w:cs="Times New Roman"/>
          <w:color w:val="auto"/>
          <w:sz w:val="24"/>
          <w:szCs w:val="24"/>
          <w:u w:val="none" w:color="auto"/>
          <w:lang w:val="en-US" w:eastAsia="zh-CN"/>
        </w:rPr>
        <w:t>做</w:t>
      </w:r>
      <w:r>
        <w:rPr>
          <w:rFonts w:hint="default" w:ascii="Times New Roman" w:hAnsi="Times New Roman" w:cs="Times New Roman"/>
          <w:color w:val="auto"/>
          <w:sz w:val="24"/>
          <w:szCs w:val="24"/>
          <w:u w:val="none" w:color="auto"/>
        </w:rPr>
        <w:t>估算</w:t>
      </w:r>
      <w:r>
        <w:rPr>
          <w:rFonts w:hint="eastAsia" w:ascii="Times New Roman" w:hAnsi="Times New Roman" w:eastAsia="宋体" w:cs="Times New Roman"/>
          <w:color w:val="auto"/>
          <w:sz w:val="24"/>
          <w:szCs w:val="24"/>
          <w:u w:val="none" w:color="auto"/>
          <w:lang w:val="en-US" w:eastAsia="zh-CN"/>
        </w:rPr>
        <w:t>预测，预测结果表明：</w:t>
      </w:r>
      <w:r>
        <w:rPr>
          <w:rFonts w:ascii="TimesNewRomanPSMT" w:hAnsi="TimesNewRomanPSMT" w:eastAsia="TimesNewRomanPSMT" w:cs="TimesNewRomanPSMT"/>
          <w:b w:val="0"/>
          <w:bCs w:val="0"/>
          <w:color w:val="auto"/>
          <w:sz w:val="24"/>
          <w:szCs w:val="24"/>
          <w:highlight w:val="none"/>
        </w:rPr>
        <w:t>SO₂</w:t>
      </w:r>
      <w:r>
        <w:rPr>
          <w:rFonts w:hint="default" w:ascii="Times New Roman" w:hAnsi="Times New Roman" w:cs="Times New Roman"/>
          <w:color w:val="auto"/>
          <w:sz w:val="24"/>
          <w:szCs w:val="24"/>
          <w:u w:val="none" w:color="auto"/>
          <w:lang w:val="en-US" w:eastAsia="zh-CN"/>
        </w:rPr>
        <w:t>、</w:t>
      </w:r>
      <w:r>
        <w:rPr>
          <w:rFonts w:ascii="TimesNewRomanPSMT" w:hAnsi="TimesNewRomanPSMT" w:eastAsia="TimesNewRomanPSMT" w:cs="TimesNewRomanPSMT"/>
          <w:b w:val="0"/>
          <w:bCs w:val="0"/>
          <w:color w:val="auto"/>
          <w:sz w:val="24"/>
          <w:szCs w:val="24"/>
          <w:highlight w:val="none"/>
        </w:rPr>
        <w:t>NOx</w:t>
      </w:r>
      <w:r>
        <w:rPr>
          <w:rFonts w:hint="default" w:ascii="Times New Roman" w:hAnsi="Times New Roman" w:cs="Times New Roman"/>
          <w:color w:val="auto"/>
          <w:sz w:val="24"/>
          <w:szCs w:val="24"/>
          <w:u w:val="none" w:color="auto"/>
          <w:lang w:val="en-US" w:eastAsia="zh-CN"/>
        </w:rPr>
        <w:t>、NMHC贡献值的最大浓度占标率</w:t>
      </w:r>
      <w:r>
        <w:rPr>
          <w:rFonts w:hint="eastAsia" w:ascii="Times New Roman" w:hAnsi="Times New Roman" w:cs="Times New Roman"/>
          <w:color w:val="auto"/>
          <w:sz w:val="24"/>
          <w:szCs w:val="24"/>
          <w:u w:val="none" w:color="auto"/>
          <w:lang w:val="en-US" w:eastAsia="zh-CN"/>
        </w:rPr>
        <w:t>分别为0.07</w:t>
      </w:r>
      <w:r>
        <w:rPr>
          <w:rFonts w:hint="default" w:ascii="Times New Roman" w:hAnsi="Times New Roman" w:cs="Times New Roman"/>
          <w:color w:val="auto"/>
          <w:sz w:val="24"/>
          <w:szCs w:val="24"/>
          <w:u w:val="none" w:color="auto"/>
          <w:lang w:val="en-US" w:eastAsia="zh-CN"/>
        </w:rPr>
        <w:t>%、</w:t>
      </w:r>
      <w:r>
        <w:rPr>
          <w:rFonts w:hint="eastAsia" w:ascii="Times New Roman" w:hAnsi="Times New Roman" w:cs="Times New Roman"/>
          <w:color w:val="auto"/>
          <w:sz w:val="24"/>
          <w:szCs w:val="24"/>
          <w:u w:val="none" w:color="auto"/>
          <w:lang w:val="en-US" w:eastAsia="zh-CN"/>
        </w:rPr>
        <w:t>1.17</w:t>
      </w:r>
      <w:r>
        <w:rPr>
          <w:rFonts w:hint="default" w:ascii="Times New Roman" w:hAnsi="Times New Roman" w:cs="Times New Roman"/>
          <w:color w:val="auto"/>
          <w:sz w:val="24"/>
          <w:szCs w:val="24"/>
          <w:u w:val="none" w:color="auto"/>
          <w:lang w:val="en-US" w:eastAsia="zh-CN"/>
        </w:rPr>
        <w:t>%、</w:t>
      </w:r>
      <w:r>
        <w:rPr>
          <w:rFonts w:hint="eastAsia" w:ascii="Times New Roman" w:hAnsi="Times New Roman" w:cs="Times New Roman"/>
          <w:color w:val="auto"/>
          <w:sz w:val="24"/>
          <w:szCs w:val="24"/>
          <w:u w:val="none" w:color="auto"/>
          <w:lang w:val="en-US" w:eastAsia="zh-CN"/>
        </w:rPr>
        <w:t>22.09</w:t>
      </w:r>
      <w:r>
        <w:rPr>
          <w:rFonts w:hint="default" w:ascii="Times New Roman" w:hAnsi="Times New Roman" w:cs="Times New Roman"/>
          <w:color w:val="auto"/>
          <w:sz w:val="24"/>
          <w:szCs w:val="24"/>
          <w:u w:val="none" w:color="auto"/>
          <w:lang w:val="en-US" w:eastAsia="zh-CN"/>
        </w:rPr>
        <w:t>%，皆小于100%</w:t>
      </w:r>
      <w:r>
        <w:rPr>
          <w:rFonts w:hint="eastAsia" w:ascii="Times New Roman" w:hAnsi="Times New Roman" w:cs="Times New Roman"/>
          <w:color w:val="auto"/>
          <w:sz w:val="24"/>
          <w:szCs w:val="24"/>
          <w:u w:val="none" w:color="auto"/>
          <w:lang w:val="en-US"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lang w:val="en-US" w:eastAsia="zh-CN"/>
        </w:rPr>
        <w:t>由于</w:t>
      </w:r>
      <w:r>
        <w:rPr>
          <w:rFonts w:hint="default" w:ascii="Times New Roman" w:hAnsi="Times New Roman" w:cs="Times New Roman"/>
          <w:color w:val="auto"/>
          <w:szCs w:val="28"/>
          <w:u w:val="none" w:color="auto"/>
          <w:lang w:val="en-US" w:eastAsia="zh-CN"/>
        </w:rPr>
        <w:t>NMHC贡献值的最大浓度占标率</w:t>
      </w:r>
      <w:r>
        <w:rPr>
          <w:rFonts w:hint="eastAsia" w:ascii="Times New Roman" w:hAnsi="Times New Roman" w:eastAsia="宋体" w:cs="Times New Roman"/>
          <w:color w:val="auto"/>
          <w:spacing w:val="7"/>
          <w:position w:val="1"/>
          <w:sz w:val="24"/>
          <w:szCs w:val="24"/>
          <w:lang w:val="en-US" w:eastAsia="zh-CN"/>
        </w:rPr>
        <w:t>＞</w:t>
      </w:r>
      <w:r>
        <w:rPr>
          <w:rFonts w:hint="default" w:ascii="Times New Roman" w:hAnsi="Times New Roman" w:cs="Times New Roman"/>
          <w:color w:val="auto"/>
          <w:sz w:val="24"/>
          <w:szCs w:val="24"/>
          <w:u w:val="none" w:color="auto"/>
        </w:rPr>
        <w:t>10%，</w:t>
      </w:r>
      <w:r>
        <w:rPr>
          <w:rFonts w:hint="default" w:ascii="Times New Roman" w:hAnsi="Times New Roman" w:cs="Times New Roman"/>
          <w:color w:val="auto"/>
          <w:szCs w:val="28"/>
          <w:u w:val="none" w:color="auto"/>
          <w:lang w:val="en-US" w:eastAsia="zh-CN"/>
        </w:rPr>
        <w:t>本次评价采用AERMOD模式系统</w:t>
      </w:r>
      <w:r>
        <w:rPr>
          <w:rFonts w:hint="eastAsia" w:ascii="Times New Roman" w:hAnsi="Times New Roman" w:cs="Times New Roman"/>
          <w:color w:val="auto"/>
          <w:szCs w:val="28"/>
          <w:u w:val="none" w:color="auto"/>
          <w:lang w:val="en-US" w:eastAsia="zh-CN"/>
        </w:rPr>
        <w:t>对</w:t>
      </w:r>
      <w:r>
        <w:rPr>
          <w:rFonts w:hint="default" w:ascii="Times New Roman" w:hAnsi="Times New Roman" w:cs="Times New Roman"/>
          <w:color w:val="auto"/>
          <w:szCs w:val="28"/>
          <w:u w:val="none" w:color="auto"/>
          <w:lang w:val="en-US" w:eastAsia="zh-CN"/>
        </w:rPr>
        <w:t>NMHC做进一步预测，预测结果表明：</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1）日气象条件下，NMHC</w:t>
      </w:r>
      <w:r>
        <w:rPr>
          <w:rFonts w:hint="eastAsia" w:ascii="Times New Roman" w:hAnsi="Times New Roman" w:cs="Times New Roman"/>
          <w:color w:val="auto"/>
          <w:szCs w:val="28"/>
          <w:u w:val="none" w:color="auto"/>
          <w:lang w:val="en-US" w:eastAsia="zh-CN"/>
        </w:rPr>
        <w:t>8小时平</w:t>
      </w:r>
      <w:r>
        <w:rPr>
          <w:rFonts w:hint="default" w:ascii="Times New Roman" w:hAnsi="Times New Roman" w:cs="Times New Roman"/>
          <w:color w:val="auto"/>
          <w:szCs w:val="28"/>
          <w:u w:val="none" w:color="auto"/>
          <w:lang w:val="en-US" w:eastAsia="zh-CN"/>
        </w:rPr>
        <w:t>均浓度贡献值的最大浓度占标率（VOCs无日均值标准）为</w:t>
      </w:r>
      <w:r>
        <w:rPr>
          <w:rFonts w:hint="eastAsia" w:ascii="Times New Roman" w:hAnsi="Times New Roman" w:cs="Times New Roman"/>
          <w:color w:val="auto"/>
          <w:szCs w:val="28"/>
          <w:u w:val="none" w:color="auto"/>
          <w:lang w:val="en-US" w:eastAsia="zh-CN"/>
        </w:rPr>
        <w:t>7.42</w:t>
      </w:r>
      <w:r>
        <w:rPr>
          <w:rFonts w:hint="default" w:ascii="Times New Roman" w:hAnsi="Times New Roman" w:cs="Times New Roman"/>
          <w:color w:val="auto"/>
          <w:szCs w:val="28"/>
          <w:u w:val="none" w:color="auto"/>
          <w:lang w:val="en-US" w:eastAsia="zh-CN"/>
        </w:rPr>
        <w:t>%，小于100%；小时气象条件下，NMHC小时浓度贡献值的最大浓度占标率为</w:t>
      </w:r>
      <w:r>
        <w:rPr>
          <w:rFonts w:hint="eastAsia" w:ascii="Times New Roman" w:hAnsi="Times New Roman" w:cs="Times New Roman"/>
          <w:color w:val="auto"/>
          <w:szCs w:val="28"/>
          <w:u w:val="none" w:color="auto"/>
          <w:lang w:val="en-US" w:eastAsia="zh-CN"/>
        </w:rPr>
        <w:t>24.72</w:t>
      </w:r>
      <w:r>
        <w:rPr>
          <w:rFonts w:hint="default" w:ascii="Times New Roman" w:hAnsi="Times New Roman" w:cs="Times New Roman"/>
          <w:color w:val="auto"/>
          <w:szCs w:val="28"/>
          <w:u w:val="none" w:color="auto"/>
          <w:lang w:val="en-US" w:eastAsia="zh-CN"/>
        </w:rPr>
        <w:t>%，小于100%。各敏感点污染物最大地面浓度皆满足相应功能区标准要求。</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2）拟建项目运营后污染物的厂界浓度以及厂界外大气污染物短期贡献值浓度均满足相应的环境质量标准，故拟建项目不需设置大气环境防护距离。</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3）本项目污染源叠加现状浓度后，区域SO₂、NOx、VOCs的短期浓度的最大浓度满足相应环境空气质量标准要求。</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4）事故状态下，有机废气处理设施RTO蓄热燃烧系统发生故障，废气治理设施处理效率下降至85%，单次持续30分钟，项目排放的VOCs最大小时平均地面浓度值为</w:t>
      </w:r>
      <w:r>
        <w:rPr>
          <w:rFonts w:hint="eastAsia" w:ascii="Times New Roman" w:hAnsi="Times New Roman" w:cs="Times New Roman"/>
          <w:color w:val="auto"/>
          <w:szCs w:val="28"/>
          <w:u w:val="none" w:color="auto"/>
          <w:lang w:val="en-US" w:eastAsia="zh-CN"/>
        </w:rPr>
        <w:t>1057.945</w:t>
      </w:r>
      <w:r>
        <w:rPr>
          <w:rFonts w:hint="default" w:ascii="Times New Roman" w:hAnsi="Times New Roman" w:eastAsia="宋体" w:cs="Times New Roman"/>
          <w:b w:val="0"/>
          <w:bCs w:val="0"/>
          <w:color w:val="auto"/>
          <w:spacing w:val="5"/>
          <w:sz w:val="24"/>
          <w:szCs w:val="24"/>
          <w:lang w:val="en-US" w:eastAsia="zh-CN"/>
        </w:rPr>
        <w:t>μ</w:t>
      </w:r>
      <w:r>
        <w:rPr>
          <w:rFonts w:hint="default" w:ascii="Times New Roman" w:hAnsi="Times New Roman" w:cs="Times New Roman"/>
          <w:color w:val="auto"/>
          <w:szCs w:val="28"/>
          <w:u w:val="none" w:color="auto"/>
          <w:lang w:val="en-US" w:eastAsia="zh-CN"/>
        </w:rPr>
        <w:t>g/m³，占执行标准的</w:t>
      </w:r>
      <w:r>
        <w:rPr>
          <w:rFonts w:hint="eastAsia" w:ascii="Times New Roman" w:hAnsi="Times New Roman" w:cs="Times New Roman"/>
          <w:color w:val="auto"/>
          <w:szCs w:val="28"/>
          <w:u w:val="none" w:color="auto"/>
          <w:lang w:val="en-US" w:eastAsia="zh-CN"/>
        </w:rPr>
        <w:t>88.16</w:t>
      </w:r>
      <w:r>
        <w:rPr>
          <w:rFonts w:hint="default" w:ascii="Times New Roman" w:hAnsi="Times New Roman" w:cs="Times New Roman"/>
          <w:color w:val="auto"/>
          <w:szCs w:val="28"/>
          <w:u w:val="none" w:color="auto"/>
          <w:lang w:val="en-US" w:eastAsia="zh-CN"/>
        </w:rPr>
        <w:t>%，本环评要求建设单位在运行</w:t>
      </w:r>
      <w:r>
        <w:rPr>
          <w:rFonts w:hint="eastAsia" w:ascii="Times New Roman" w:hAnsi="Times New Roman" w:cs="Times New Roman"/>
          <w:color w:val="auto"/>
          <w:szCs w:val="28"/>
          <w:u w:val="none" w:color="auto"/>
          <w:lang w:val="en-US" w:eastAsia="zh-CN"/>
        </w:rPr>
        <w:t>期间</w:t>
      </w:r>
      <w:r>
        <w:rPr>
          <w:rFonts w:hint="default" w:ascii="Times New Roman" w:hAnsi="Times New Roman" w:cs="Times New Roman"/>
          <w:color w:val="auto"/>
          <w:szCs w:val="28"/>
          <w:u w:val="none" w:color="auto"/>
          <w:lang w:val="en-US" w:eastAsia="zh-CN"/>
        </w:rPr>
        <w:t>加强污染治理设施设备检修，杜绝事故排放的发生。</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（2）评价结论</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评价项目所在区域环境质量现状属于不达标区，根据《环境影响评价技术导则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lang w:val="en-US" w:eastAsia="zh-CN"/>
        </w:rPr>
        <w:t>大气环境》（HJ2.2-2018），不达标区域的建设项目环境影响评价，当同时满足如下条件时，则认为环境影响可以接受：</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（1）达标规划未包含的新增污染源建设项目，需另有替代源的削减方案；</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（2）新增污染源正常排放下污染物短期浓度贡献值的最大浓度占标率≤100%；</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（3）新增污染源正常排放下污染物年均浓度贡献值的最大浓度占标率≤30%；</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4）项目环境影响符合环境功能区划或满足区域环境质量改善目标。计算的预测范围内年均质量浓度变化率k≤-20%；对于现状达标的污染物评价，叠加后污染物浓度符合环境质量标准，对于项目排放的主要污染物仅有短期浓度限值的，叠加后的短期浓度符合环境质量标准。</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评价项目所在地区暂未出台VOCs达标规划，根据预测，项目正常排放下所有污染物短期浓度贡献值最大浓度占标率≤100%；年均浓度贡献值的最大浓度占标率≤30%；项目排放的主要污染物VOCs仅有短期浓度限值，叠加后的短期浓度符合环境质量标准；</w:t>
      </w:r>
      <w:r>
        <w:rPr>
          <w:rFonts w:hint="eastAsia" w:ascii="Times New Roman" w:hAnsi="Times New Roman" w:cs="Times New Roman"/>
          <w:color w:val="auto"/>
          <w:szCs w:val="28"/>
          <w:u w:val="none" w:color="auto"/>
          <w:lang w:val="en-US" w:eastAsia="zh-CN"/>
        </w:rPr>
        <w:t>本项目所在区域环境空气质量现状浓度超标的污染物为</w:t>
      </w:r>
      <w:r>
        <w:rPr>
          <w:rFonts w:hint="default" w:ascii="Times New Roman" w:hAnsi="Times New Roman" w:cs="Times New Roman"/>
          <w:color w:val="auto"/>
          <w:szCs w:val="28"/>
          <w:u w:val="none" w:color="auto"/>
          <w:lang w:val="en-US" w:eastAsia="zh-CN"/>
        </w:rPr>
        <w:t>PM</w:t>
      </w:r>
      <w:r>
        <w:rPr>
          <w:rFonts w:hint="eastAsia" w:ascii="Times New Roman" w:hAnsi="Times New Roman" w:cs="Times New Roman"/>
          <w:color w:val="auto"/>
          <w:szCs w:val="28"/>
          <w:u w:val="none" w:color="auto"/>
          <w:vertAlign w:val="subscript"/>
          <w:lang w:val="en-US" w:eastAsia="zh-CN"/>
        </w:rPr>
        <w:t>2.5</w:t>
      </w:r>
      <w:r>
        <w:rPr>
          <w:rFonts w:hint="eastAsia" w:ascii="Times New Roman" w:hAnsi="Times New Roman" w:cs="Times New Roman"/>
          <w:color w:val="auto"/>
          <w:szCs w:val="28"/>
          <w:u w:val="none" w:color="auto"/>
          <w:lang w:val="en-US" w:eastAsia="zh-CN"/>
        </w:rPr>
        <w:t>，项目运营期无</w:t>
      </w:r>
      <w:r>
        <w:rPr>
          <w:rFonts w:hint="default" w:ascii="Times New Roman" w:hAnsi="Times New Roman" w:cs="Times New Roman"/>
          <w:color w:val="auto"/>
          <w:szCs w:val="28"/>
          <w:u w:val="none" w:color="auto"/>
          <w:lang w:val="en-US" w:eastAsia="zh-CN"/>
        </w:rPr>
        <w:t>PM</w:t>
      </w:r>
      <w:r>
        <w:rPr>
          <w:rFonts w:hint="eastAsia" w:ascii="Times New Roman" w:hAnsi="Times New Roman" w:cs="Times New Roman"/>
          <w:color w:val="auto"/>
          <w:szCs w:val="28"/>
          <w:u w:val="none" w:color="auto"/>
          <w:vertAlign w:val="subscript"/>
          <w:lang w:val="en-US" w:eastAsia="zh-CN"/>
        </w:rPr>
        <w:t>2.5</w:t>
      </w:r>
      <w:r>
        <w:rPr>
          <w:rFonts w:hint="eastAsia" w:ascii="Times New Roman" w:hAnsi="Times New Roman" w:cs="Times New Roman"/>
          <w:color w:val="auto"/>
          <w:szCs w:val="28"/>
          <w:u w:val="none" w:color="auto"/>
          <w:lang w:val="en-US" w:eastAsia="zh-CN"/>
        </w:rPr>
        <w:t>相关污染物排放，故无需</w:t>
      </w:r>
      <w:r>
        <w:rPr>
          <w:rFonts w:hint="default" w:ascii="Times New Roman" w:hAnsi="Times New Roman" w:cs="Times New Roman"/>
          <w:color w:val="auto"/>
          <w:szCs w:val="28"/>
          <w:u w:val="none" w:color="auto"/>
          <w:lang w:val="en-US" w:eastAsia="zh-CN"/>
        </w:rPr>
        <w:t>计算的k值。因此，环评认为评价项目的环境影响可以接受。</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lang w:val="en-US" w:eastAsia="zh-CN"/>
        </w:rPr>
        <w:t>本项目的大气环境影响评价自查表详见附表1。</w:t>
      </w:r>
    </w:p>
    <w:p>
      <w:pPr>
        <w:pStyle w:val="11"/>
        <w:keepNext w:val="0"/>
        <w:keepLines w:val="0"/>
        <w:pageBreakBefore w:val="0"/>
        <w:kinsoku/>
        <w:wordWrap/>
        <w:overflowPunct/>
        <w:topLinePunct w:val="0"/>
        <w:autoSpaceDE w:val="0"/>
        <w:autoSpaceDN w:val="0"/>
        <w:bidi w:val="0"/>
        <w:adjustRightInd w:val="0"/>
        <w:snapToGrid w:val="0"/>
        <w:spacing w:line="360" w:lineRule="auto"/>
        <w:ind w:left="851" w:hanging="851"/>
        <w:textAlignment w:val="baseline"/>
        <w:rPr>
          <w:rFonts w:hint="default" w:ascii="Times New Roman" w:hAnsi="Times New Roman" w:eastAsia="宋体"/>
          <w:color w:val="auto"/>
          <w:sz w:val="30"/>
          <w:szCs w:val="30"/>
          <w:lang w:eastAsia="zh-CN"/>
        </w:rPr>
      </w:pPr>
      <w:bookmarkStart w:id="71" w:name="bookmark68"/>
      <w:bookmarkEnd w:id="71"/>
      <w:r>
        <w:rPr>
          <w:rFonts w:hint="default" w:ascii="Times New Roman" w:hAnsi="Times New Roman" w:eastAsia="宋体"/>
          <w:color w:val="auto"/>
          <w:sz w:val="30"/>
          <w:szCs w:val="30"/>
          <w:lang w:eastAsia="zh-CN"/>
        </w:rPr>
        <w:t>运营期地表水环境影响评价</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地表水环境》（HJ2.3-2018），本项目污水间接排放，本项目地表水环境影响评价等级为水污染影响型三级B，可不进行水环境影响预测，水污染影响型三级B评价的主要评价内容包括：</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a、水污染控制和水环境影响减缓措施有效性评价；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b、依托污水处理设施的环境可行性评价</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val="en-US" w:eastAsia="zh-CN"/>
        </w:rPr>
      </w:pPr>
      <w:r>
        <w:rPr>
          <w:rFonts w:hint="eastAsia" w:ascii="Times New Roman" w:hAnsi="Times New Roman" w:cs="Times New Roman"/>
          <w:b/>
          <w:bCs/>
          <w:color w:val="auto"/>
          <w:szCs w:val="28"/>
          <w:u w:val="none" w:color="auto"/>
          <w:lang w:val="en-US" w:eastAsia="zh-CN"/>
        </w:rPr>
        <w:t>（1）</w:t>
      </w:r>
      <w:r>
        <w:rPr>
          <w:rFonts w:hint="default" w:ascii="Times New Roman" w:hAnsi="Times New Roman" w:cs="Times New Roman"/>
          <w:b/>
          <w:bCs/>
          <w:color w:val="auto"/>
          <w:szCs w:val="28"/>
          <w:u w:val="none" w:color="auto"/>
          <w:lang w:val="en-US" w:eastAsia="zh-CN"/>
        </w:rPr>
        <w:t>水污染控制和水环境影响减缓措施有效性评价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根据工程分析，本项目产生的废水主要为生活污水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废水，水中的污染物主要为pH、COD、SS、BOD</w:t>
      </w:r>
      <w:r>
        <w:rPr>
          <w:rFonts w:hint="default" w:ascii="Times New Roman" w:hAnsi="Times New Roman" w:cs="Times New Roman"/>
          <w:color w:val="auto"/>
          <w:szCs w:val="28"/>
          <w:u w:val="none" w:color="auto"/>
          <w:vertAlign w:val="subscript"/>
        </w:rPr>
        <w:t>5</w:t>
      </w:r>
      <w:r>
        <w:rPr>
          <w:rFonts w:hint="default" w:ascii="Times New Roman" w:hAnsi="Times New Roman" w:cs="Times New Roman"/>
          <w:color w:val="auto"/>
          <w:szCs w:val="28"/>
          <w:u w:val="none" w:color="auto"/>
        </w:rPr>
        <w:t>、NH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w:t>
      </w:r>
      <w:r>
        <w:rPr>
          <w:rFonts w:hint="eastAsia" w:ascii="Times New Roman" w:hAnsi="Times New Roman" w:eastAsia="宋体" w:cs="Times New Roman"/>
          <w:color w:val="auto"/>
          <w:szCs w:val="28"/>
          <w:u w:val="none" w:color="auto"/>
          <w:lang w:val="en-US" w:eastAsia="zh-CN"/>
        </w:rPr>
        <w:t>动植物油</w:t>
      </w:r>
      <w:r>
        <w:rPr>
          <w:rFonts w:hint="default" w:ascii="Times New Roman" w:hAnsi="Times New Roman" w:cs="Times New Roman"/>
          <w:color w:val="auto"/>
          <w:szCs w:val="28"/>
          <w:u w:val="none" w:color="auto"/>
        </w:rPr>
        <w:t>等。</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职工</w:t>
      </w:r>
      <w:r>
        <w:rPr>
          <w:rFonts w:hint="eastAsia" w:ascii="Times New Roman" w:hAnsi="Times New Roman" w:eastAsia="宋体" w:cs="Times New Roman"/>
          <w:color w:val="auto"/>
          <w:szCs w:val="28"/>
          <w:u w:val="none" w:color="auto"/>
          <w:lang w:val="en-US" w:eastAsia="zh-CN"/>
        </w:rPr>
        <w:t>食堂废水经隔油池处理后与其他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废水经过</w:t>
      </w:r>
      <w:r>
        <w:rPr>
          <w:rFonts w:hint="eastAsia" w:ascii="Times New Roman" w:hAnsi="Times New Roman" w:eastAsia="宋体" w:cs="Times New Roman"/>
          <w:color w:val="auto"/>
          <w:szCs w:val="28"/>
          <w:u w:val="none" w:color="auto"/>
          <w:lang w:val="en-US" w:eastAsia="zh-CN"/>
        </w:rPr>
        <w:t>三利厂区已建</w:t>
      </w:r>
      <w:r>
        <w:rPr>
          <w:rFonts w:hint="default" w:ascii="Times New Roman" w:hAnsi="Times New Roman" w:cs="Times New Roman"/>
          <w:color w:val="auto"/>
          <w:szCs w:val="28"/>
          <w:u w:val="none" w:color="auto"/>
        </w:rPr>
        <w:t>化粪池预处理，</w:t>
      </w:r>
      <w:r>
        <w:rPr>
          <w:rFonts w:hint="eastAsia" w:ascii="Times New Roman" w:hAnsi="Times New Roman" w:eastAsia="宋体" w:cs="Times New Roman"/>
          <w:color w:val="auto"/>
          <w:szCs w:val="28"/>
          <w:u w:val="none" w:color="auto"/>
          <w:lang w:val="en-US" w:eastAsia="zh-CN"/>
        </w:rPr>
        <w:t>再</w:t>
      </w:r>
      <w:r>
        <w:rPr>
          <w:rFonts w:hint="default" w:ascii="Times New Roman" w:hAnsi="Times New Roman" w:cs="Times New Roman"/>
          <w:color w:val="auto"/>
          <w:szCs w:val="28"/>
          <w:u w:val="none" w:color="auto"/>
        </w:rPr>
        <w:t>排入</w:t>
      </w:r>
      <w:r>
        <w:rPr>
          <w:rFonts w:hint="eastAsia" w:ascii="Times New Roman" w:hAnsi="Times New Roman" w:eastAsia="宋体" w:cs="Times New Roman"/>
          <w:color w:val="auto"/>
          <w:szCs w:val="28"/>
          <w:u w:val="none" w:color="auto"/>
          <w:lang w:val="en-US" w:eastAsia="zh-CN"/>
        </w:rPr>
        <w:t>三利</w:t>
      </w:r>
      <w:r>
        <w:rPr>
          <w:rFonts w:hint="default" w:ascii="Times New Roman" w:hAnsi="Times New Roman" w:cs="Times New Roman"/>
          <w:color w:val="auto"/>
          <w:szCs w:val="28"/>
          <w:u w:val="none" w:color="auto"/>
        </w:rPr>
        <w:t>厂区北侧的</w:t>
      </w:r>
      <w:r>
        <w:rPr>
          <w:rFonts w:hint="eastAsia" w:ascii="Times New Roman" w:hAnsi="Times New Roman" w:eastAsia="宋体" w:cs="Times New Roman"/>
          <w:color w:val="auto"/>
          <w:szCs w:val="28"/>
          <w:u w:val="none" w:color="auto"/>
          <w:lang w:val="en-US" w:eastAsia="zh-CN"/>
        </w:rPr>
        <w:t>瑞祥大道</w:t>
      </w:r>
      <w:r>
        <w:rPr>
          <w:rFonts w:hint="default" w:ascii="Times New Roman" w:hAnsi="Times New Roman" w:cs="Times New Roman"/>
          <w:color w:val="auto"/>
          <w:szCs w:val="28"/>
          <w:u w:val="none" w:color="auto"/>
        </w:rPr>
        <w:t>，经</w:t>
      </w:r>
      <w:r>
        <w:rPr>
          <w:rFonts w:hint="eastAsia" w:ascii="Times New Roman" w:hAnsi="Times New Roman" w:eastAsia="宋体" w:cs="Times New Roman"/>
          <w:color w:val="auto"/>
          <w:szCs w:val="28"/>
          <w:u w:val="none" w:color="auto"/>
          <w:lang w:val="en-US" w:eastAsia="zh-CN"/>
        </w:rPr>
        <w:t>潇湘大道</w:t>
      </w:r>
      <w:r>
        <w:rPr>
          <w:rFonts w:hint="default" w:ascii="Times New Roman" w:hAnsi="Times New Roman" w:cs="Times New Roman"/>
          <w:color w:val="auto"/>
          <w:szCs w:val="28"/>
          <w:u w:val="none" w:color="auto"/>
        </w:rPr>
        <w:t>市政污水管道，</w:t>
      </w:r>
      <w:r>
        <w:rPr>
          <w:rFonts w:hint="eastAsia" w:ascii="Times New Roman" w:hAnsi="Times New Roman" w:eastAsia="宋体" w:cs="Times New Roman"/>
          <w:color w:val="auto"/>
          <w:szCs w:val="28"/>
          <w:u w:val="none" w:color="auto"/>
          <w:lang w:val="en-US" w:eastAsia="zh-CN"/>
        </w:rPr>
        <w:t>纳</w:t>
      </w:r>
      <w:r>
        <w:rPr>
          <w:rFonts w:hint="default" w:ascii="Times New Roman" w:hAnsi="Times New Roman" w:cs="Times New Roman"/>
          <w:color w:val="auto"/>
          <w:szCs w:val="28"/>
          <w:u w:val="none" w:color="auto"/>
        </w:rPr>
        <w:t>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处理达标后排入湘江。</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eastAsia" w:ascii="Times New Roman" w:hAnsi="Times New Roman" w:cs="Times New Roman"/>
          <w:color w:val="auto"/>
          <w:szCs w:val="28"/>
          <w:u w:val="none" w:color="auto"/>
          <w:lang w:val="en-US" w:eastAsia="zh-CN"/>
        </w:rPr>
        <w:t>主要污染物是SS，含少量</w:t>
      </w:r>
      <w:r>
        <w:rPr>
          <w:rFonts w:hint="default" w:ascii="Times New Roman" w:hAnsi="Times New Roman" w:cs="Times New Roman"/>
          <w:color w:val="auto"/>
          <w:szCs w:val="28"/>
          <w:u w:val="none" w:color="auto"/>
        </w:rPr>
        <w:t>钠离子</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氯离子</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钙离子</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镁离子和其他杂质</w:t>
      </w:r>
      <w:r>
        <w:rPr>
          <w:rFonts w:hint="eastAsia" w:ascii="Times New Roman" w:hAnsi="Times New Roman" w:cs="Times New Roman"/>
          <w:color w:val="auto"/>
          <w:szCs w:val="28"/>
          <w:u w:val="none" w:color="auto"/>
          <w:lang w:val="en-US" w:eastAsia="zh-CN"/>
        </w:rPr>
        <w:t>等。</w:t>
      </w:r>
      <w:r>
        <w:rPr>
          <w:rFonts w:hint="default" w:ascii="Times New Roman" w:hAnsi="Times New Roman" w:cs="Times New Roman"/>
          <w:color w:val="auto"/>
          <w:szCs w:val="28"/>
          <w:u w:val="none" w:color="auto"/>
        </w:rPr>
        <w:t>生活污水水质简单，可生化性较好，水中的污染物主要为pH、COD、SS、BOD</w:t>
      </w:r>
      <w:r>
        <w:rPr>
          <w:rFonts w:hint="default" w:ascii="Times New Roman" w:hAnsi="Times New Roman" w:cs="Times New Roman"/>
          <w:color w:val="auto"/>
          <w:szCs w:val="28"/>
          <w:u w:val="none" w:color="auto"/>
          <w:vertAlign w:val="subscript"/>
        </w:rPr>
        <w:t>5</w:t>
      </w:r>
      <w:r>
        <w:rPr>
          <w:rFonts w:hint="default" w:ascii="Times New Roman" w:hAnsi="Times New Roman" w:cs="Times New Roman"/>
          <w:color w:val="auto"/>
          <w:szCs w:val="28"/>
          <w:u w:val="none" w:color="auto"/>
        </w:rPr>
        <w:t>、NH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w:t>
      </w:r>
      <w:r>
        <w:rPr>
          <w:rFonts w:hint="eastAsia" w:ascii="Times New Roman" w:hAnsi="Times New Roman" w:eastAsia="宋体" w:cs="Times New Roman"/>
          <w:color w:val="auto"/>
          <w:szCs w:val="28"/>
          <w:u w:val="none" w:color="auto"/>
          <w:lang w:val="en-US" w:eastAsia="zh-CN"/>
        </w:rPr>
        <w:t>动植物油</w:t>
      </w:r>
      <w:r>
        <w:rPr>
          <w:rFonts w:hint="default" w:ascii="Times New Roman" w:hAnsi="Times New Roman" w:cs="Times New Roman"/>
          <w:color w:val="auto"/>
          <w:szCs w:val="28"/>
          <w:u w:val="none" w:color="auto"/>
        </w:rPr>
        <w:t>等，均为常见的污染物。</w:t>
      </w:r>
      <w:r>
        <w:rPr>
          <w:rFonts w:hint="eastAsia" w:ascii="Times New Roman" w:hAnsi="Times New Roman" w:eastAsia="宋体" w:cs="Times New Roman"/>
          <w:color w:val="auto"/>
          <w:szCs w:val="28"/>
          <w:u w:val="none" w:color="auto"/>
          <w:lang w:val="en-US" w:eastAsia="zh-CN"/>
        </w:rPr>
        <w:t>隔油池可有效地将食堂废水中的动植物油分离，</w:t>
      </w:r>
      <w:r>
        <w:rPr>
          <w:rFonts w:hint="default" w:ascii="Times New Roman" w:hAnsi="Times New Roman" w:cs="Times New Roman"/>
          <w:color w:val="auto"/>
          <w:szCs w:val="28"/>
          <w:u w:val="none" w:color="auto"/>
        </w:rPr>
        <w:t>化粪池是对生活污水进行预处理的常见措施，根据多年的实践经验，生活污水通过化粪池处理后，污水能达到《污水综合排放标准》（GB8978</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1996）中的三级标准。</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val="en-US" w:eastAsia="zh-CN"/>
        </w:rPr>
      </w:pPr>
      <w:r>
        <w:rPr>
          <w:rFonts w:hint="eastAsia" w:ascii="Times New Roman" w:hAnsi="Times New Roman" w:cs="Times New Roman"/>
          <w:b/>
          <w:bCs/>
          <w:color w:val="auto"/>
          <w:szCs w:val="28"/>
          <w:u w:val="none" w:color="auto"/>
          <w:lang w:val="en-US" w:eastAsia="zh-CN"/>
        </w:rPr>
        <w:t>（2）</w:t>
      </w:r>
      <w:r>
        <w:rPr>
          <w:rFonts w:hint="default" w:ascii="Times New Roman" w:hAnsi="Times New Roman" w:cs="Times New Roman"/>
          <w:b/>
          <w:bCs/>
          <w:color w:val="auto"/>
          <w:szCs w:val="28"/>
          <w:u w:val="none" w:color="auto"/>
          <w:lang w:val="en-US" w:eastAsia="zh-CN"/>
        </w:rPr>
        <w:t>依托污水处理设施的环境可行性评价</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zh-CN"/>
        </w:rPr>
      </w:pPr>
      <w:r>
        <w:rPr>
          <w:rFonts w:hint="default" w:ascii="Times New Roman" w:hAnsi="Times New Roman" w:cs="Times New Roman"/>
          <w:color w:val="auto"/>
          <w:szCs w:val="28"/>
          <w:u w:val="none" w:color="auto"/>
          <w:lang w:val="zh-CN"/>
        </w:rPr>
        <w:t>园区河西片区市政污水规划进入</w:t>
      </w:r>
      <w:r>
        <w:rPr>
          <w:rFonts w:hint="eastAsia" w:ascii="Times New Roman" w:hAnsi="Times New Roman" w:cs="Times New Roman"/>
          <w:color w:val="auto"/>
          <w:szCs w:val="28"/>
          <w:u w:val="none" w:color="auto"/>
        </w:rPr>
        <w:t>鹿坪</w:t>
      </w:r>
      <w:r>
        <w:rPr>
          <w:rFonts w:hint="default" w:ascii="Times New Roman" w:hAnsi="Times New Roman" w:cs="Times New Roman"/>
          <w:color w:val="auto"/>
          <w:szCs w:val="28"/>
          <w:u w:val="none" w:color="auto"/>
          <w:lang w:val="zh-CN"/>
        </w:rPr>
        <w:t>污水处理厂，目前项目所在区域已接入市政污水管网，与</w:t>
      </w:r>
      <w:r>
        <w:rPr>
          <w:rFonts w:hint="eastAsia" w:ascii="Times New Roman" w:hAnsi="Times New Roman" w:cs="Times New Roman"/>
          <w:color w:val="auto"/>
          <w:szCs w:val="28"/>
          <w:u w:val="none" w:color="auto"/>
        </w:rPr>
        <w:t>鹿坪污水处理厂</w:t>
      </w:r>
      <w:r>
        <w:rPr>
          <w:rFonts w:hint="default" w:ascii="Times New Roman" w:hAnsi="Times New Roman" w:cs="Times New Roman"/>
          <w:color w:val="auto"/>
          <w:szCs w:val="28"/>
          <w:u w:val="none" w:color="auto"/>
          <w:lang w:val="zh-CN"/>
        </w:rPr>
        <w:t>间连接的潇湘大道市政污水管网已建成。</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鹿坪污水处理厂</w:t>
      </w:r>
      <w:r>
        <w:rPr>
          <w:rFonts w:hint="default" w:ascii="Times New Roman" w:hAnsi="Times New Roman" w:cs="Times New Roman"/>
          <w:color w:val="auto"/>
          <w:szCs w:val="28"/>
          <w:u w:val="none" w:color="auto"/>
        </w:rPr>
        <w:t>建设项目</w:t>
      </w:r>
      <w:r>
        <w:rPr>
          <w:rFonts w:hint="eastAsia" w:ascii="Times New Roman" w:hAnsi="Times New Roman" w:eastAsia="宋体" w:cs="Times New Roman"/>
          <w:color w:val="auto"/>
          <w:szCs w:val="28"/>
          <w:u w:val="none" w:color="auto"/>
          <w:lang w:val="en-US" w:eastAsia="zh-CN"/>
        </w:rPr>
        <w:t>位</w:t>
      </w:r>
      <w:r>
        <w:rPr>
          <w:rFonts w:hint="default" w:ascii="Times New Roman" w:hAnsi="Times New Roman" w:cs="Times New Roman"/>
          <w:color w:val="auto"/>
          <w:szCs w:val="28"/>
          <w:u w:val="none" w:color="auto"/>
        </w:rPr>
        <w:t>于</w:t>
      </w:r>
      <w:r>
        <w:rPr>
          <w:rFonts w:hint="eastAsia" w:ascii="Times New Roman" w:hAnsi="Times New Roman" w:cs="Times New Roman"/>
          <w:color w:val="auto"/>
          <w:szCs w:val="28"/>
          <w:u w:val="none" w:color="auto"/>
        </w:rPr>
        <w:t>零陵</w:t>
      </w:r>
      <w:r>
        <w:rPr>
          <w:rFonts w:hint="default" w:ascii="Times New Roman" w:hAnsi="Times New Roman" w:cs="Times New Roman"/>
          <w:color w:val="auto"/>
          <w:szCs w:val="28"/>
          <w:u w:val="none" w:color="auto"/>
        </w:rPr>
        <w:t>区河西萍州西路与湘江大道交叉口</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污水处理厂规模为</w:t>
      </w:r>
      <w:r>
        <w:rPr>
          <w:rFonts w:hint="eastAsia" w:ascii="Times New Roman" w:hAnsi="Times New Roman" w:cs="Times New Roman"/>
          <w:color w:val="auto"/>
          <w:szCs w:val="28"/>
          <w:u w:val="none" w:color="auto"/>
        </w:rPr>
        <w:t>2万</w:t>
      </w:r>
      <w:r>
        <w:rPr>
          <w:rFonts w:hint="default" w:ascii="Times New Roman" w:hAnsi="Times New Roman" w:cs="Times New Roman"/>
          <w:color w:val="auto"/>
          <w:szCs w:val="28"/>
          <w:u w:val="none" w:color="auto"/>
        </w:rPr>
        <w:t>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/d</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污水处理工艺采用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细格栅+旋流沉砂+水解酸化+A</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O生化处理+沉淀过滤+紫外光消毒</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工艺。</w:t>
      </w:r>
      <w:r>
        <w:rPr>
          <w:rFonts w:hint="eastAsia" w:ascii="Times New Roman" w:hAnsi="Times New Roman" w:cs="Times New Roman"/>
          <w:color w:val="auto"/>
          <w:szCs w:val="28"/>
          <w:u w:val="none" w:color="auto"/>
        </w:rPr>
        <w:t>尾水中COD、氨氮、总氮、总磷满足《湖南省城镇污水处理厂主要水污染物排放标准》（DB43/T1546-2018）中二级标准限值，其他指标满足《城镇污水处理厂污染物排放标准》（GB18918-2002）中的一级A排放标准后</w:t>
      </w:r>
      <w:r>
        <w:rPr>
          <w:rFonts w:hint="default" w:ascii="Times New Roman" w:hAnsi="Times New Roman" w:cs="Times New Roman"/>
          <w:color w:val="auto"/>
          <w:szCs w:val="28"/>
          <w:u w:val="none" w:color="auto"/>
        </w:rPr>
        <w:t>排入北侧湘江。</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highlight w:val="none"/>
          <w:u w:val="none" w:color="auto"/>
        </w:rPr>
        <w:t>本项目</w:t>
      </w:r>
      <w:r>
        <w:rPr>
          <w:rFonts w:hint="eastAsia" w:ascii="Times New Roman" w:hAnsi="Times New Roman" w:eastAsia="宋体" w:cs="Times New Roman"/>
          <w:color w:val="auto"/>
          <w:szCs w:val="28"/>
          <w:highlight w:val="none"/>
          <w:u w:val="none" w:color="auto"/>
          <w:lang w:val="en-US" w:eastAsia="zh-CN"/>
        </w:rPr>
        <w:t>综合废水</w:t>
      </w:r>
      <w:r>
        <w:rPr>
          <w:rFonts w:hint="default" w:ascii="Times New Roman" w:hAnsi="Times New Roman" w:cs="Times New Roman"/>
          <w:color w:val="auto"/>
          <w:szCs w:val="28"/>
          <w:highlight w:val="none"/>
          <w:u w:val="none" w:color="auto"/>
        </w:rPr>
        <w:t>排放总量约为</w:t>
      </w:r>
      <w:r>
        <w:rPr>
          <w:rFonts w:hint="eastAsia" w:ascii="Times New Roman" w:hAnsi="Times New Roman" w:eastAsia="宋体" w:cs="Times New Roman"/>
          <w:color w:val="auto"/>
          <w:szCs w:val="28"/>
          <w:highlight w:val="none"/>
          <w:u w:val="none" w:color="auto"/>
          <w:lang w:val="en-US" w:eastAsia="zh-CN"/>
        </w:rPr>
        <w:t>5551.5</w:t>
      </w:r>
      <w:r>
        <w:rPr>
          <w:rFonts w:hint="default" w:ascii="Times New Roman" w:hAnsi="Times New Roman" w:cs="Times New Roman"/>
          <w:color w:val="auto"/>
          <w:szCs w:val="28"/>
          <w:highlight w:val="none"/>
          <w:u w:val="none" w:color="auto"/>
        </w:rPr>
        <w:t>t/</w:t>
      </w:r>
      <w:r>
        <w:rPr>
          <w:rFonts w:hint="eastAsia" w:ascii="Times New Roman" w:hAnsi="Times New Roman" w:eastAsia="宋体" w:cs="Times New Roman"/>
          <w:color w:val="auto"/>
          <w:szCs w:val="28"/>
          <w:highlight w:val="none"/>
          <w:u w:val="none" w:color="auto"/>
          <w:lang w:val="en-US" w:eastAsia="zh-CN"/>
        </w:rPr>
        <w:t>a（17.505</w:t>
      </w:r>
      <w:r>
        <w:rPr>
          <w:rFonts w:hint="default" w:ascii="Times New Roman" w:hAnsi="Times New Roman" w:cs="Times New Roman"/>
          <w:color w:val="auto"/>
          <w:szCs w:val="28"/>
          <w:highlight w:val="none"/>
          <w:u w:val="none" w:color="auto"/>
        </w:rPr>
        <w:t>t/d</w:t>
      </w:r>
      <w:r>
        <w:rPr>
          <w:rFonts w:hint="eastAsia" w:ascii="Times New Roman" w:hAnsi="Times New Roman" w:eastAsia="宋体" w:cs="Times New Roman"/>
          <w:color w:val="auto"/>
          <w:szCs w:val="28"/>
          <w:highlight w:val="none"/>
          <w:u w:val="none" w:color="auto"/>
          <w:lang w:val="en-US" w:eastAsia="zh-CN"/>
        </w:rPr>
        <w:t>）</w:t>
      </w:r>
      <w:r>
        <w:rPr>
          <w:rFonts w:hint="default" w:ascii="Times New Roman" w:hAnsi="Times New Roman" w:cs="Times New Roman"/>
          <w:color w:val="auto"/>
          <w:szCs w:val="28"/>
          <w:highlight w:val="none"/>
          <w:u w:val="none" w:color="auto"/>
        </w:rPr>
        <w:t>，占设计处理规模的0.0</w:t>
      </w:r>
      <w:r>
        <w:rPr>
          <w:rFonts w:hint="eastAsia" w:ascii="Times New Roman" w:hAnsi="Times New Roman" w:eastAsia="宋体" w:cs="Times New Roman"/>
          <w:color w:val="auto"/>
          <w:szCs w:val="28"/>
          <w:highlight w:val="none"/>
          <w:u w:val="none" w:color="auto"/>
          <w:lang w:val="en-US" w:eastAsia="zh-CN"/>
        </w:rPr>
        <w:t>925</w:t>
      </w:r>
      <w:r>
        <w:rPr>
          <w:rFonts w:hint="default" w:ascii="Times New Roman" w:hAnsi="Times New Roman" w:cs="Times New Roman"/>
          <w:color w:val="auto"/>
          <w:szCs w:val="28"/>
          <w:highlight w:val="none"/>
          <w:u w:val="none" w:color="auto"/>
        </w:rPr>
        <w:t>%，</w:t>
      </w:r>
      <w:r>
        <w:rPr>
          <w:rFonts w:hint="default" w:ascii="Times New Roman" w:hAnsi="Times New Roman" w:cs="Times New Roman"/>
          <w:color w:val="auto"/>
          <w:szCs w:val="28"/>
          <w:u w:val="none" w:color="auto"/>
        </w:rPr>
        <w:t>且主要为生活污水，水质简单，本项目也属于</w:t>
      </w:r>
      <w:r>
        <w:rPr>
          <w:rFonts w:hint="eastAsia" w:ascii="Times New Roman" w:hAnsi="Times New Roman" w:cs="Times New Roman"/>
          <w:color w:val="auto"/>
          <w:szCs w:val="28"/>
          <w:u w:val="none" w:color="auto"/>
        </w:rPr>
        <w:t>鹿坪</w:t>
      </w:r>
      <w:r>
        <w:rPr>
          <w:rFonts w:hint="default" w:ascii="Times New Roman" w:hAnsi="Times New Roman" w:cs="Times New Roman"/>
          <w:color w:val="auto"/>
          <w:szCs w:val="28"/>
          <w:u w:val="none" w:color="auto"/>
        </w:rPr>
        <w:t>污水处理厂纳污范围，配套纳污干管已完善，项目生活污水经化粪池处理达到《污水综合排放标准》（GB8978-1996）中三级标准要求后汇入</w:t>
      </w:r>
      <w:r>
        <w:rPr>
          <w:rFonts w:hint="eastAsia" w:ascii="Times New Roman" w:hAnsi="Times New Roman" w:cs="Times New Roman"/>
          <w:color w:val="auto"/>
          <w:szCs w:val="28"/>
          <w:u w:val="none" w:color="auto"/>
        </w:rPr>
        <w:t>鹿坪</w:t>
      </w:r>
      <w:r>
        <w:rPr>
          <w:rFonts w:hint="default" w:ascii="Times New Roman" w:hAnsi="Times New Roman" w:cs="Times New Roman"/>
          <w:color w:val="auto"/>
          <w:szCs w:val="28"/>
          <w:u w:val="none" w:color="auto"/>
        </w:rPr>
        <w:t>污水处理厂，处理后达到《湖南省城镇污水处理厂主要水污染物排放标准》（DB42/T1546-2018）中二级标准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《城镇污水处理厂污染物排放标准》中的一级A类标准外排</w:t>
      </w:r>
      <w:r>
        <w:rPr>
          <w:rFonts w:hint="eastAsia" w:ascii="Times New Roman" w:hAnsi="Times New Roman" w:cs="Times New Roman"/>
          <w:color w:val="auto"/>
          <w:szCs w:val="28"/>
          <w:u w:val="none" w:color="auto"/>
        </w:rPr>
        <w:t>湘江</w:t>
      </w:r>
      <w:r>
        <w:rPr>
          <w:rFonts w:hint="default" w:ascii="Times New Roman" w:hAnsi="Times New Roman" w:cs="Times New Roman"/>
          <w:color w:val="auto"/>
          <w:szCs w:val="28"/>
          <w:u w:val="none" w:color="auto"/>
        </w:rPr>
        <w:t>，对</w:t>
      </w:r>
      <w:r>
        <w:rPr>
          <w:rFonts w:hint="eastAsia" w:ascii="Times New Roman" w:hAnsi="Times New Roman" w:cs="Times New Roman"/>
          <w:color w:val="auto"/>
          <w:szCs w:val="28"/>
          <w:u w:val="none" w:color="auto"/>
        </w:rPr>
        <w:t>湘江</w:t>
      </w:r>
      <w:r>
        <w:rPr>
          <w:rFonts w:hint="default" w:ascii="Times New Roman" w:hAnsi="Times New Roman" w:cs="Times New Roman"/>
          <w:color w:val="auto"/>
          <w:szCs w:val="28"/>
          <w:u w:val="none" w:color="auto"/>
        </w:rPr>
        <w:t>水质影响较小</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因此，本项目污水接入</w:t>
      </w:r>
      <w:r>
        <w:rPr>
          <w:rFonts w:hint="eastAsia" w:ascii="Times New Roman" w:hAnsi="Times New Roman" w:cs="Times New Roman"/>
          <w:color w:val="auto"/>
          <w:szCs w:val="28"/>
          <w:u w:val="none" w:color="auto"/>
        </w:rPr>
        <w:t>鹿坪</w:t>
      </w:r>
      <w:r>
        <w:rPr>
          <w:rFonts w:hint="default" w:ascii="Times New Roman" w:hAnsi="Times New Roman" w:cs="Times New Roman"/>
          <w:color w:val="auto"/>
          <w:szCs w:val="28"/>
          <w:u w:val="none" w:color="auto"/>
        </w:rPr>
        <w:t>污水处理厂是可行的。</w:t>
      </w:r>
    </w:p>
    <w:p>
      <w:pPr>
        <w:pStyle w:val="31"/>
        <w:keepNext/>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3</w:t>
      </w:r>
      <w:r>
        <w:rPr>
          <w:rFonts w:hint="eastAsia" w:ascii="Times New Roman" w:hAnsi="Times New Roman" w:cs="Times New Roman"/>
          <w:b/>
          <w:bCs/>
          <w:color w:val="auto"/>
          <w:szCs w:val="28"/>
          <w:u w:val="none" w:color="auto"/>
          <w:lang w:eastAsia="zh-CN"/>
        </w:rPr>
        <w:t>）污染源排放量核算</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根据工程分析，对本项目排放污染物进行核算（本项目属于间接排放建设项目，其污染源排放量核算依托</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控制要求），本项目生活污水经</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处理后排入湘江。</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17</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废水类别、污染物及污染治理设施信息表</w:t>
      </w:r>
    </w:p>
    <w:tbl>
      <w:tblPr>
        <w:tblStyle w:val="23"/>
        <w:tblW w:w="5121"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57"/>
        <w:gridCol w:w="625"/>
        <w:gridCol w:w="761"/>
        <w:gridCol w:w="557"/>
        <w:gridCol w:w="1453"/>
        <w:gridCol w:w="729"/>
        <w:gridCol w:w="922"/>
        <w:gridCol w:w="724"/>
        <w:gridCol w:w="763"/>
        <w:gridCol w:w="977"/>
        <w:gridCol w:w="76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1"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序</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号</w:t>
            </w:r>
          </w:p>
        </w:tc>
        <w:tc>
          <w:tcPr>
            <w:tcW w:w="366"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废水类别</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（a）</w:t>
            </w:r>
          </w:p>
        </w:tc>
        <w:tc>
          <w:tcPr>
            <w:tcW w:w="446"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污染物种类</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（b）</w:t>
            </w:r>
          </w:p>
        </w:tc>
        <w:tc>
          <w:tcPr>
            <w:tcW w:w="326"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排放去向</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（c）</w:t>
            </w:r>
          </w:p>
        </w:tc>
        <w:tc>
          <w:tcPr>
            <w:tcW w:w="851"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排放规律（d）</w:t>
            </w:r>
          </w:p>
        </w:tc>
        <w:tc>
          <w:tcPr>
            <w:tcW w:w="1391" w:type="pct"/>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污染治理设施</w:t>
            </w:r>
          </w:p>
        </w:tc>
        <w:tc>
          <w:tcPr>
            <w:tcW w:w="447"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排放口编号</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（f）</w:t>
            </w:r>
          </w:p>
        </w:tc>
        <w:tc>
          <w:tcPr>
            <w:tcW w:w="572"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排放口设置是否符合要求</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（g）</w:t>
            </w:r>
          </w:p>
        </w:tc>
        <w:tc>
          <w:tcPr>
            <w:tcW w:w="447"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类型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1"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序</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号</w:t>
            </w:r>
          </w:p>
        </w:tc>
        <w:tc>
          <w:tcPr>
            <w:tcW w:w="366"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（a）</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废水类别</w:t>
            </w:r>
          </w:p>
        </w:tc>
        <w:tc>
          <w:tcPr>
            <w:tcW w:w="446"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污染物</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（b）</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种类</w:t>
            </w:r>
          </w:p>
        </w:tc>
        <w:tc>
          <w:tcPr>
            <w:tcW w:w="326"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（c）</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排放去向</w:t>
            </w:r>
          </w:p>
        </w:tc>
        <w:tc>
          <w:tcPr>
            <w:tcW w:w="851"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（d）</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排放规律</w:t>
            </w:r>
          </w:p>
        </w:tc>
        <w:tc>
          <w:tcPr>
            <w:tcW w:w="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污染治理设施编号</w:t>
            </w:r>
          </w:p>
        </w:tc>
        <w:tc>
          <w:tcPr>
            <w:tcW w:w="54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污染治理设施名称（e）</w:t>
            </w:r>
          </w:p>
        </w:tc>
        <w:tc>
          <w:tcPr>
            <w:tcW w:w="42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污染治理设施工艺</w:t>
            </w:r>
          </w:p>
        </w:tc>
        <w:tc>
          <w:tcPr>
            <w:tcW w:w="44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（f）</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编号</w:t>
            </w:r>
          </w:p>
        </w:tc>
        <w:tc>
          <w:tcPr>
            <w:tcW w:w="572"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排放口设置是</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（g）</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否符合要求</w:t>
            </w:r>
          </w:p>
        </w:tc>
        <w:tc>
          <w:tcPr>
            <w:tcW w:w="44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类型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36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eastAsia" w:ascii="Times New Roman" w:hAnsi="Times New Roman" w:eastAsia="宋体" w:cs="Times New Roman"/>
                <w:color w:val="auto"/>
                <w:kern w:val="0"/>
                <w:sz w:val="21"/>
                <w:szCs w:val="21"/>
                <w:lang w:val="en-US" w:eastAsia="zh-CN"/>
              </w:rPr>
              <w:t>综合</w:t>
            </w:r>
            <w:r>
              <w:rPr>
                <w:rFonts w:hint="default" w:ascii="Times New Roman" w:hAnsi="Times New Roman" w:cs="Times New Roman"/>
                <w:color w:val="auto"/>
                <w:kern w:val="0"/>
                <w:sz w:val="21"/>
                <w:szCs w:val="21"/>
              </w:rPr>
              <w:t>污水</w:t>
            </w:r>
          </w:p>
        </w:tc>
        <w:tc>
          <w:tcPr>
            <w:tcW w:w="44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CODcr</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p>
            <w:pPr>
              <w:pStyle w:val="2"/>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动植物油</w:t>
            </w:r>
          </w:p>
        </w:tc>
        <w:tc>
          <w:tcPr>
            <w:tcW w:w="3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鹿坪污水处理厂</w:t>
            </w:r>
          </w:p>
        </w:tc>
        <w:tc>
          <w:tcPr>
            <w:tcW w:w="851"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间断排放，排放期间流量不稳定且无规律，但不属于冲击型排放</w:t>
            </w:r>
          </w:p>
        </w:tc>
        <w:tc>
          <w:tcPr>
            <w:tcW w:w="42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54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隔油池</w:t>
            </w:r>
            <w:r>
              <w:rPr>
                <w:rFonts w:hint="default" w:ascii="Times New Roman" w:hAnsi="Times New Roman" w:cs="Times New Roman"/>
                <w:color w:val="auto"/>
                <w:kern w:val="0"/>
                <w:sz w:val="21"/>
                <w:szCs w:val="21"/>
                <w:lang w:val="en-US" w:eastAsia="zh-CN"/>
              </w:rPr>
              <w:t>、</w:t>
            </w:r>
            <w:r>
              <w:rPr>
                <w:rFonts w:hint="default" w:ascii="Times New Roman" w:hAnsi="Times New Roman" w:cs="Times New Roman"/>
                <w:color w:val="auto"/>
                <w:kern w:val="0"/>
                <w:sz w:val="21"/>
                <w:szCs w:val="21"/>
              </w:rPr>
              <w:t>化粪池</w:t>
            </w:r>
          </w:p>
        </w:tc>
        <w:tc>
          <w:tcPr>
            <w:tcW w:w="42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p>
        </w:tc>
        <w:tc>
          <w:tcPr>
            <w:tcW w:w="44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572"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rPr>
              <w:t>是</w:t>
            </w:r>
          </w:p>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□否</w:t>
            </w:r>
          </w:p>
        </w:tc>
        <w:tc>
          <w:tcPr>
            <w:tcW w:w="44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sym w:font="Wingdings 2" w:char="0052"/>
            </w:r>
            <w:r>
              <w:rPr>
                <w:rFonts w:hint="default" w:ascii="Times New Roman" w:hAnsi="Times New Roman" w:cs="Times New Roman"/>
                <w:color w:val="auto"/>
                <w:kern w:val="0"/>
                <w:sz w:val="21"/>
                <w:szCs w:val="21"/>
              </w:rPr>
              <w:t>企业总排</w:t>
            </w:r>
            <w:r>
              <w:rPr>
                <w:rFonts w:hint="eastAsia" w:ascii="Times New Roman" w:hAnsi="Times New Roman" w:eastAsia="宋体" w:cs="Times New Roman"/>
                <w:color w:val="auto"/>
                <w:kern w:val="0"/>
                <w:sz w:val="21"/>
                <w:szCs w:val="21"/>
                <w:lang w:val="en-US" w:eastAsia="zh-CN"/>
              </w:rPr>
              <w:t>口</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水污染物排放信息表</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344"/>
        <w:gridCol w:w="1657"/>
        <w:gridCol w:w="2345"/>
        <w:gridCol w:w="20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pct"/>
            <w:tcBorders>
              <w:tl2br w:val="nil"/>
              <w:tr2bl w:val="nil"/>
            </w:tcBorders>
            <w:noWrap w:val="0"/>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排污口</w:t>
            </w:r>
          </w:p>
        </w:tc>
        <w:tc>
          <w:tcPr>
            <w:tcW w:w="789" w:type="pct"/>
            <w:tcBorders>
              <w:tl2br w:val="nil"/>
              <w:tr2bl w:val="nil"/>
            </w:tcBorders>
            <w:noWrap w:val="0"/>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排放口编号</w:t>
            </w:r>
          </w:p>
        </w:tc>
        <w:tc>
          <w:tcPr>
            <w:tcW w:w="973" w:type="pct"/>
            <w:tcBorders>
              <w:tl2br w:val="nil"/>
              <w:tr2bl w:val="nil"/>
            </w:tcBorders>
            <w:noWrap w:val="0"/>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污染物种类</w:t>
            </w:r>
          </w:p>
        </w:tc>
        <w:tc>
          <w:tcPr>
            <w:tcW w:w="1377" w:type="pct"/>
            <w:tcBorders>
              <w:tl2br w:val="nil"/>
              <w:tr2bl w:val="nil"/>
            </w:tcBorders>
            <w:noWrap w:val="0"/>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排放浓度（mg/L)</w:t>
            </w:r>
          </w:p>
        </w:tc>
        <w:tc>
          <w:tcPr>
            <w:tcW w:w="1189" w:type="pct"/>
            <w:tcBorders>
              <w:tl2br w:val="nil"/>
              <w:tr2bl w:val="nil"/>
            </w:tcBorders>
            <w:noWrap w:val="0"/>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pct"/>
            <w:vMerge w:val="restart"/>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总排放口</w:t>
            </w:r>
          </w:p>
        </w:tc>
        <w:tc>
          <w:tcPr>
            <w:tcW w:w="789" w:type="pct"/>
            <w:vMerge w:val="restart"/>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DW001</w:t>
            </w:r>
          </w:p>
        </w:tc>
        <w:tc>
          <w:tcPr>
            <w:tcW w:w="973" w:type="pct"/>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废水量</w:t>
            </w:r>
          </w:p>
        </w:tc>
        <w:tc>
          <w:tcPr>
            <w:tcW w:w="1377" w:type="pct"/>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p>
        </w:tc>
        <w:tc>
          <w:tcPr>
            <w:tcW w:w="1189" w:type="pct"/>
            <w:tcBorders>
              <w:tl2br w:val="nil"/>
              <w:tr2bl w:val="nil"/>
            </w:tcBorders>
            <w:noWrap w:val="0"/>
            <w:vAlign w:val="center"/>
          </w:tcPr>
          <w:p>
            <w:pPr>
              <w:widowControl/>
              <w:jc w:val="center"/>
              <w:rPr>
                <w:rFonts w:hint="default" w:ascii="Times New Roman" w:hAnsi="Times New Roman" w:cs="Times New Roman"/>
                <w:color w:val="auto"/>
                <w:kern w:val="0"/>
                <w:sz w:val="21"/>
                <w:szCs w:val="21"/>
                <w:lang w:val="en-US"/>
              </w:rPr>
            </w:pPr>
            <w:r>
              <w:rPr>
                <w:rFonts w:hint="eastAsia" w:ascii="Times New Roman" w:hAnsi="Times New Roman" w:eastAsia="宋体" w:cs="Times New Roman"/>
                <w:color w:val="auto"/>
                <w:szCs w:val="28"/>
                <w:highlight w:val="none"/>
                <w:u w:val="none" w:color="auto"/>
                <w:lang w:val="en-US" w:eastAsia="zh-CN"/>
              </w:rPr>
              <w:t>5551.5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789"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973" w:type="pct"/>
            <w:tcBorders>
              <w:tl2br w:val="nil"/>
              <w:tr2bl w:val="nil"/>
            </w:tcBorders>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COD</w:t>
            </w:r>
            <w:r>
              <w:rPr>
                <w:rFonts w:hint="default" w:ascii="Times New Roman" w:hAnsi="Times New Roman" w:cs="Times New Roman"/>
                <w:bCs/>
                <w:color w:val="auto"/>
                <w:sz w:val="21"/>
                <w:szCs w:val="21"/>
                <w:vertAlign w:val="subscript"/>
              </w:rPr>
              <w:t>Cr</w:t>
            </w:r>
          </w:p>
        </w:tc>
        <w:tc>
          <w:tcPr>
            <w:tcW w:w="1377" w:type="pct"/>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r>
              <w:rPr>
                <w:rFonts w:hint="eastAsia" w:ascii="Times New Roman" w:hAnsi="Times New Roman" w:eastAsia="宋体" w:cs="Times New Roman"/>
                <w:color w:val="auto"/>
                <w:kern w:val="0"/>
                <w:sz w:val="21"/>
                <w:szCs w:val="21"/>
                <w:lang w:val="en-US" w:eastAsia="zh-CN"/>
              </w:rPr>
              <w:t>3</w:t>
            </w:r>
            <w:r>
              <w:rPr>
                <w:rFonts w:hint="default" w:ascii="Times New Roman" w:hAnsi="Times New Roman" w:cs="Times New Roman"/>
                <w:color w:val="auto"/>
                <w:kern w:val="0"/>
                <w:sz w:val="21"/>
                <w:szCs w:val="21"/>
              </w:rPr>
              <w:t>00</w:t>
            </w:r>
          </w:p>
        </w:tc>
        <w:tc>
          <w:tcPr>
            <w:tcW w:w="20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1.665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789"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973" w:type="pct"/>
            <w:tcBorders>
              <w:tl2br w:val="nil"/>
              <w:tr2bl w:val="nil"/>
            </w:tcBorders>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BOD</w:t>
            </w:r>
            <w:r>
              <w:rPr>
                <w:rFonts w:hint="default" w:ascii="Times New Roman" w:hAnsi="Times New Roman" w:cs="Times New Roman"/>
                <w:bCs/>
                <w:color w:val="auto"/>
                <w:sz w:val="21"/>
                <w:szCs w:val="21"/>
                <w:vertAlign w:val="subscript"/>
              </w:rPr>
              <w:t>5</w:t>
            </w:r>
          </w:p>
        </w:tc>
        <w:tc>
          <w:tcPr>
            <w:tcW w:w="1377" w:type="pct"/>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r>
              <w:rPr>
                <w:rFonts w:hint="eastAsia" w:ascii="Times New Roman" w:hAnsi="Times New Roman" w:eastAsia="宋体" w:cs="Times New Roman"/>
                <w:color w:val="auto"/>
                <w:kern w:val="0"/>
                <w:sz w:val="21"/>
                <w:szCs w:val="21"/>
                <w:lang w:val="en-US" w:eastAsia="zh-CN"/>
              </w:rPr>
              <w:t>2</w:t>
            </w:r>
            <w:r>
              <w:rPr>
                <w:rFonts w:hint="default" w:ascii="Times New Roman" w:hAnsi="Times New Roman" w:cs="Times New Roman"/>
                <w:color w:val="auto"/>
                <w:kern w:val="0"/>
                <w:sz w:val="21"/>
                <w:szCs w:val="21"/>
              </w:rPr>
              <w:t>00</w:t>
            </w:r>
          </w:p>
        </w:tc>
        <w:tc>
          <w:tcPr>
            <w:tcW w:w="20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1.111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789"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973" w:type="pct"/>
            <w:tcBorders>
              <w:tl2br w:val="nil"/>
              <w:tr2bl w:val="nil"/>
            </w:tcBorders>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SS</w:t>
            </w:r>
          </w:p>
        </w:tc>
        <w:tc>
          <w:tcPr>
            <w:tcW w:w="1377" w:type="pct"/>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r>
              <w:rPr>
                <w:rFonts w:hint="eastAsia" w:ascii="Times New Roman" w:hAnsi="Times New Roman" w:eastAsia="宋体" w:cs="Times New Roman"/>
                <w:color w:val="auto"/>
                <w:kern w:val="0"/>
                <w:sz w:val="21"/>
                <w:szCs w:val="21"/>
                <w:lang w:val="en-US" w:eastAsia="zh-CN"/>
              </w:rPr>
              <w:t>5</w:t>
            </w:r>
            <w:r>
              <w:rPr>
                <w:rFonts w:hint="default" w:ascii="Times New Roman" w:hAnsi="Times New Roman" w:cs="Times New Roman"/>
                <w:color w:val="auto"/>
                <w:kern w:val="0"/>
                <w:sz w:val="21"/>
                <w:szCs w:val="21"/>
              </w:rPr>
              <w:t>0</w:t>
            </w:r>
          </w:p>
        </w:tc>
        <w:tc>
          <w:tcPr>
            <w:tcW w:w="20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0.833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789"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973" w:type="pct"/>
            <w:tcBorders>
              <w:tl2br w:val="nil"/>
              <w:tr2bl w:val="nil"/>
            </w:tcBorders>
            <w:noWrap w:val="0"/>
            <w:vAlign w:val="center"/>
          </w:tcPr>
          <w:p>
            <w:pPr>
              <w:jc w:val="center"/>
              <w:rPr>
                <w:rFonts w:hint="default" w:ascii="Times New Roman" w:hAnsi="Times New Roman" w:eastAsia="Arial" w:cs="Times New Roman"/>
                <w:bCs/>
                <w:snapToGrid w:val="0"/>
                <w:color w:val="auto"/>
                <w:kern w:val="0"/>
                <w:sz w:val="21"/>
                <w:szCs w:val="21"/>
                <w:lang w:val="en-US" w:eastAsia="en-US" w:bidi="ar-SA"/>
              </w:rPr>
            </w:pPr>
            <w:r>
              <w:rPr>
                <w:rFonts w:hint="default" w:ascii="Times New Roman" w:hAnsi="Times New Roman" w:cs="Times New Roman"/>
                <w:bCs/>
                <w:color w:val="auto"/>
                <w:sz w:val="21"/>
                <w:szCs w:val="21"/>
              </w:rPr>
              <w:t>NH</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rPr>
              <w:t>-N</w:t>
            </w:r>
          </w:p>
        </w:tc>
        <w:tc>
          <w:tcPr>
            <w:tcW w:w="1377" w:type="pct"/>
            <w:tcBorders>
              <w:tl2br w:val="nil"/>
              <w:tr2bl w:val="nil"/>
            </w:tcBorders>
            <w:noWrap w:val="0"/>
            <w:vAlign w:val="center"/>
          </w:tcPr>
          <w:p>
            <w:pPr>
              <w:widowControl/>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35</w:t>
            </w:r>
          </w:p>
        </w:tc>
        <w:tc>
          <w:tcPr>
            <w:tcW w:w="20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0.194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789" w:type="pct"/>
            <w:vMerge w:val="continue"/>
            <w:tcBorders>
              <w:tl2br w:val="nil"/>
              <w:tr2bl w:val="nil"/>
            </w:tcBorders>
            <w:noWrap w:val="0"/>
            <w:vAlign w:val="center"/>
          </w:tcPr>
          <w:p>
            <w:pPr>
              <w:widowControl/>
              <w:jc w:val="center"/>
              <w:rPr>
                <w:rFonts w:hint="default" w:ascii="Times New Roman" w:hAnsi="Times New Roman" w:cs="Times New Roman"/>
                <w:color w:val="auto"/>
                <w:kern w:val="0"/>
                <w:sz w:val="21"/>
                <w:szCs w:val="21"/>
              </w:rPr>
            </w:pPr>
          </w:p>
        </w:tc>
        <w:tc>
          <w:tcPr>
            <w:tcW w:w="973" w:type="pct"/>
            <w:tcBorders>
              <w:tl2br w:val="nil"/>
              <w:tr2bl w:val="nil"/>
            </w:tcBorders>
            <w:noWrap w:val="0"/>
            <w:vAlign w:val="center"/>
          </w:tcPr>
          <w:p>
            <w:pPr>
              <w:jc w:val="center"/>
              <w:rPr>
                <w:rFonts w:hint="default" w:ascii="Times New Roman" w:hAnsi="Times New Roman" w:cs="Times New Roman"/>
                <w:bCs/>
                <w:color w:val="auto"/>
                <w:sz w:val="21"/>
                <w:szCs w:val="21"/>
              </w:rPr>
            </w:pPr>
            <w:r>
              <w:rPr>
                <w:rFonts w:hint="eastAsia" w:ascii="Times New Roman" w:hAnsi="Times New Roman" w:cs="Times New Roman" w:eastAsiaTheme="minorEastAsia"/>
                <w:color w:val="auto"/>
                <w:kern w:val="0"/>
                <w:sz w:val="21"/>
                <w:szCs w:val="21"/>
                <w:lang w:val="en-US" w:eastAsia="zh-CN"/>
              </w:rPr>
              <w:t>动植物油</w:t>
            </w:r>
          </w:p>
        </w:tc>
        <w:tc>
          <w:tcPr>
            <w:tcW w:w="1377"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40</w:t>
            </w:r>
          </w:p>
        </w:tc>
        <w:tc>
          <w:tcPr>
            <w:tcW w:w="202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0.222 </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19</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废水污染物排放执行标准表</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1010"/>
        <w:gridCol w:w="1429"/>
        <w:gridCol w:w="2410"/>
        <w:gridCol w:w="25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排污口</w:t>
            </w:r>
          </w:p>
        </w:tc>
        <w:tc>
          <w:tcPr>
            <w:tcW w:w="593"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排放口编号</w:t>
            </w:r>
          </w:p>
        </w:tc>
        <w:tc>
          <w:tcPr>
            <w:tcW w:w="839"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污染物种类</w:t>
            </w:r>
          </w:p>
        </w:tc>
        <w:tc>
          <w:tcPr>
            <w:tcW w:w="2892" w:type="pct"/>
            <w:gridSpan w:val="2"/>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国家或地方污染物排放标准及其他按规定商定的排放协议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p>
        </w:tc>
        <w:tc>
          <w:tcPr>
            <w:tcW w:w="59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p>
        </w:tc>
        <w:tc>
          <w:tcPr>
            <w:tcW w:w="83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p>
        </w:tc>
        <w:tc>
          <w:tcPr>
            <w:tcW w:w="1415"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名称</w:t>
            </w:r>
          </w:p>
        </w:tc>
        <w:tc>
          <w:tcPr>
            <w:tcW w:w="14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浓度限值（mg/L)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总排放口</w:t>
            </w:r>
          </w:p>
        </w:tc>
        <w:tc>
          <w:tcPr>
            <w:tcW w:w="593"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DW001</w:t>
            </w:r>
          </w:p>
        </w:tc>
        <w:tc>
          <w:tcPr>
            <w:tcW w:w="8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COD</w:t>
            </w:r>
            <w:r>
              <w:rPr>
                <w:rFonts w:hint="default" w:ascii="Times New Roman" w:hAnsi="Times New Roman" w:cs="Times New Roman"/>
                <w:bCs/>
                <w:color w:val="auto"/>
                <w:sz w:val="21"/>
                <w:szCs w:val="21"/>
                <w:vertAlign w:val="subscript"/>
              </w:rPr>
              <w:t>Cr</w:t>
            </w:r>
          </w:p>
        </w:tc>
        <w:tc>
          <w:tcPr>
            <w:tcW w:w="1415"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《污水综合排放标准》（GB8978-96）表4中三级标准</w:t>
            </w:r>
          </w:p>
        </w:tc>
        <w:tc>
          <w:tcPr>
            <w:tcW w:w="14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59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8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BOD</w:t>
            </w:r>
            <w:r>
              <w:rPr>
                <w:rFonts w:hint="default" w:ascii="Times New Roman" w:hAnsi="Times New Roman" w:cs="Times New Roman"/>
                <w:bCs/>
                <w:color w:val="auto"/>
                <w:sz w:val="21"/>
                <w:szCs w:val="21"/>
                <w:vertAlign w:val="subscript"/>
              </w:rPr>
              <w:t>5</w:t>
            </w:r>
          </w:p>
        </w:tc>
        <w:tc>
          <w:tcPr>
            <w:tcW w:w="1415"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p>
        </w:tc>
        <w:tc>
          <w:tcPr>
            <w:tcW w:w="14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59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8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SS</w:t>
            </w:r>
          </w:p>
        </w:tc>
        <w:tc>
          <w:tcPr>
            <w:tcW w:w="1415"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p>
        </w:tc>
        <w:tc>
          <w:tcPr>
            <w:tcW w:w="14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59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8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NH</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rPr>
              <w:t>-N</w:t>
            </w:r>
          </w:p>
        </w:tc>
        <w:tc>
          <w:tcPr>
            <w:tcW w:w="1415"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p>
        </w:tc>
        <w:tc>
          <w:tcPr>
            <w:tcW w:w="14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59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rPr>
            </w:pPr>
          </w:p>
        </w:tc>
        <w:tc>
          <w:tcPr>
            <w:tcW w:w="8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r>
              <w:rPr>
                <w:rFonts w:hint="eastAsia" w:ascii="Times New Roman" w:hAnsi="Times New Roman" w:cs="Times New Roman" w:eastAsiaTheme="minorEastAsia"/>
                <w:color w:val="auto"/>
                <w:kern w:val="0"/>
                <w:sz w:val="21"/>
                <w:szCs w:val="21"/>
                <w:lang w:val="en-US" w:eastAsia="zh-CN"/>
              </w:rPr>
              <w:t>动植物油</w:t>
            </w:r>
          </w:p>
        </w:tc>
        <w:tc>
          <w:tcPr>
            <w:tcW w:w="1415"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Cs/>
                <w:color w:val="auto"/>
                <w:sz w:val="21"/>
                <w:szCs w:val="21"/>
              </w:rPr>
            </w:pPr>
          </w:p>
        </w:tc>
        <w:tc>
          <w:tcPr>
            <w:tcW w:w="147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20</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20</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废水间接排放口基本情况表</w:t>
      </w:r>
    </w:p>
    <w:tbl>
      <w:tblPr>
        <w:tblStyle w:val="23"/>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5"/>
        <w:gridCol w:w="949"/>
        <w:gridCol w:w="885"/>
        <w:gridCol w:w="645"/>
        <w:gridCol w:w="1759"/>
        <w:gridCol w:w="654"/>
        <w:gridCol w:w="671"/>
        <w:gridCol w:w="1120"/>
        <w:gridCol w:w="13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3"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排污口</w:t>
            </w:r>
          </w:p>
        </w:tc>
        <w:tc>
          <w:tcPr>
            <w:tcW w:w="557"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排放口编号</w:t>
            </w:r>
          </w:p>
        </w:tc>
        <w:tc>
          <w:tcPr>
            <w:tcW w:w="519"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废水排放量</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（t/a）</w:t>
            </w:r>
          </w:p>
        </w:tc>
        <w:tc>
          <w:tcPr>
            <w:tcW w:w="378"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排放去向</w:t>
            </w:r>
          </w:p>
        </w:tc>
        <w:tc>
          <w:tcPr>
            <w:tcW w:w="1033"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排放规律</w:t>
            </w:r>
          </w:p>
        </w:tc>
        <w:tc>
          <w:tcPr>
            <w:tcW w:w="384" w:type="pct"/>
            <w:vMerge w:val="restar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间歇排放时段</w:t>
            </w:r>
          </w:p>
        </w:tc>
        <w:tc>
          <w:tcPr>
            <w:tcW w:w="1852" w:type="pct"/>
            <w:gridSpan w:val="3"/>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受纳污水处理厂信息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9" w:hRule="atLeast"/>
          <w:jc w:val="center"/>
        </w:trPr>
        <w:tc>
          <w:tcPr>
            <w:tcW w:w="27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p>
        </w:tc>
        <w:tc>
          <w:tcPr>
            <w:tcW w:w="557"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p>
        </w:tc>
        <w:tc>
          <w:tcPr>
            <w:tcW w:w="519"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p>
        </w:tc>
        <w:tc>
          <w:tcPr>
            <w:tcW w:w="378"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p>
        </w:tc>
        <w:tc>
          <w:tcPr>
            <w:tcW w:w="1033"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p>
        </w:tc>
        <w:tc>
          <w:tcPr>
            <w:tcW w:w="384" w:type="pct"/>
            <w:vMerge w:val="continue"/>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p>
        </w:tc>
        <w:tc>
          <w:tcPr>
            <w:tcW w:w="39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名称</w:t>
            </w:r>
          </w:p>
        </w:tc>
        <w:tc>
          <w:tcPr>
            <w:tcW w:w="658"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污染物种类</w:t>
            </w:r>
          </w:p>
        </w:tc>
        <w:tc>
          <w:tcPr>
            <w:tcW w:w="80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eastAsiaTheme="minorEastAsia"/>
                <w:b/>
                <w:bCs/>
                <w:color w:val="auto"/>
                <w:kern w:val="0"/>
                <w:sz w:val="21"/>
                <w:szCs w:val="21"/>
                <w:lang w:eastAsia="zh-CN"/>
              </w:rPr>
            </w:pPr>
            <w:r>
              <w:rPr>
                <w:rFonts w:hint="default" w:ascii="Times New Roman" w:hAnsi="Times New Roman" w:cs="Times New Roman" w:eastAsiaTheme="minorEastAsia"/>
                <w:b/>
                <w:bCs/>
                <w:color w:val="auto"/>
                <w:kern w:val="0"/>
                <w:sz w:val="21"/>
                <w:szCs w:val="21"/>
              </w:rPr>
              <w:t>国家或地方污染物排放标准浓度限值（mg/L</w:t>
            </w:r>
            <w:r>
              <w:rPr>
                <w:rFonts w:hint="eastAsia" w:ascii="Times New Roman" w:hAnsi="Times New Roman" w:cs="Times New Roman" w:eastAsiaTheme="minorEastAsia"/>
                <w:b/>
                <w:bCs/>
                <w:color w:val="auto"/>
                <w:kern w:val="0"/>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7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总排放口</w:t>
            </w:r>
          </w:p>
        </w:tc>
        <w:tc>
          <w:tcPr>
            <w:tcW w:w="55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DW001</w:t>
            </w:r>
          </w:p>
        </w:tc>
        <w:tc>
          <w:tcPr>
            <w:tcW w:w="51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eastAsiaTheme="minorEastAsia"/>
                <w:color w:val="auto"/>
                <w:kern w:val="0"/>
                <w:sz w:val="21"/>
                <w:szCs w:val="21"/>
                <w:lang w:val="en-US" w:eastAsia="zh-CN"/>
              </w:rPr>
              <w:t>5551.5</w:t>
            </w:r>
          </w:p>
        </w:tc>
        <w:tc>
          <w:tcPr>
            <w:tcW w:w="378"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鹿坪污水处理厂</w:t>
            </w:r>
          </w:p>
        </w:tc>
        <w:tc>
          <w:tcPr>
            <w:tcW w:w="1033"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间断排放，排放期间流量不稳定且无规律，但不属于冲击型排放</w:t>
            </w:r>
          </w:p>
        </w:tc>
        <w:tc>
          <w:tcPr>
            <w:tcW w:w="38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生产生活时段</w:t>
            </w:r>
          </w:p>
        </w:tc>
        <w:tc>
          <w:tcPr>
            <w:tcW w:w="394"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bCs/>
                <w:color w:val="auto"/>
                <w:kern w:val="0"/>
                <w:sz w:val="21"/>
                <w:szCs w:val="21"/>
              </w:rPr>
              <w:t>鹿坪污水处理厂</w:t>
            </w:r>
          </w:p>
        </w:tc>
        <w:tc>
          <w:tcPr>
            <w:tcW w:w="658"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CODcr</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BOD</w:t>
            </w:r>
            <w:r>
              <w:rPr>
                <w:rFonts w:hint="default" w:ascii="Times New Roman" w:hAnsi="Times New Roman" w:cs="Times New Roman" w:eastAsiaTheme="minorEastAsia"/>
                <w:color w:val="auto"/>
                <w:kern w:val="0"/>
                <w:sz w:val="21"/>
                <w:szCs w:val="21"/>
                <w:vertAlign w:val="subscript"/>
              </w:rPr>
              <w:t>5</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SS</w:t>
            </w:r>
          </w:p>
          <w:p>
            <w:pPr>
              <w:pStyle w:val="7"/>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NH</w:t>
            </w:r>
            <w:r>
              <w:rPr>
                <w:rFonts w:hint="default" w:ascii="Times New Roman" w:hAnsi="Times New Roman" w:cs="Times New Roman" w:eastAsiaTheme="minorEastAsia"/>
                <w:color w:val="auto"/>
                <w:kern w:val="0"/>
                <w:sz w:val="21"/>
                <w:szCs w:val="21"/>
                <w:vertAlign w:val="subscript"/>
                <w:lang w:val="en-US" w:eastAsia="zh-CN"/>
              </w:rPr>
              <w:t>3</w:t>
            </w:r>
            <w:r>
              <w:rPr>
                <w:rFonts w:hint="default" w:ascii="Times New Roman" w:hAnsi="Times New Roman" w:cs="Times New Roman" w:eastAsiaTheme="minorEastAsia"/>
                <w:color w:val="auto"/>
                <w:kern w:val="0"/>
                <w:sz w:val="21"/>
                <w:szCs w:val="21"/>
                <w:lang w:val="en-US" w:eastAsia="zh-CN"/>
              </w:rPr>
              <w:t>-N</w:t>
            </w:r>
          </w:p>
          <w:p>
            <w:pPr>
              <w:rPr>
                <w:rFonts w:hint="default"/>
                <w:color w:val="auto"/>
                <w:lang w:val="en-US" w:eastAsia="zh-CN"/>
              </w:rPr>
            </w:pPr>
            <w:r>
              <w:rPr>
                <w:rFonts w:hint="eastAsia" w:ascii="Times New Roman" w:hAnsi="Times New Roman" w:cs="Times New Roman" w:eastAsiaTheme="minorEastAsia"/>
                <w:color w:val="auto"/>
                <w:kern w:val="0"/>
                <w:sz w:val="21"/>
                <w:szCs w:val="21"/>
                <w:lang w:val="en-US" w:eastAsia="zh-CN"/>
              </w:rPr>
              <w:t>动植物油</w:t>
            </w:r>
          </w:p>
        </w:tc>
        <w:tc>
          <w:tcPr>
            <w:tcW w:w="80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COD</w:t>
            </w:r>
            <w:r>
              <w:rPr>
                <w:rFonts w:hint="default" w:ascii="Times New Roman" w:hAnsi="Times New Roman" w:cs="Times New Roman" w:eastAsiaTheme="minorEastAsia"/>
                <w:color w:val="auto"/>
                <w:kern w:val="0"/>
                <w:sz w:val="21"/>
                <w:szCs w:val="21"/>
                <w:vertAlign w:val="subscript"/>
              </w:rPr>
              <w:t>Cr</w:t>
            </w:r>
            <w:r>
              <w:rPr>
                <w:rFonts w:hint="default" w:ascii="Times New Roman" w:hAnsi="Times New Roman" w:cs="Times New Roman" w:eastAsiaTheme="minorEastAsia"/>
                <w:color w:val="auto"/>
                <w:kern w:val="0"/>
                <w:sz w:val="21"/>
                <w:szCs w:val="21"/>
              </w:rPr>
              <w:t>≤</w:t>
            </w:r>
            <w:r>
              <w:rPr>
                <w:rFonts w:hint="eastAsia" w:ascii="Times New Roman" w:hAnsi="Times New Roman" w:cs="Times New Roman" w:eastAsiaTheme="minorEastAsia"/>
                <w:color w:val="auto"/>
                <w:kern w:val="0"/>
                <w:sz w:val="21"/>
                <w:szCs w:val="21"/>
                <w:lang w:val="en-US" w:eastAsia="zh-CN"/>
              </w:rPr>
              <w:t>4</w:t>
            </w:r>
            <w:r>
              <w:rPr>
                <w:rFonts w:hint="default" w:ascii="Times New Roman" w:hAnsi="Times New Roman" w:cs="Times New Roman" w:eastAsiaTheme="minorEastAsia"/>
                <w:color w:val="auto"/>
                <w:kern w:val="0"/>
                <w:sz w:val="21"/>
                <w:szCs w:val="21"/>
              </w:rPr>
              <w:t>0</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BOD</w:t>
            </w:r>
            <w:r>
              <w:rPr>
                <w:rFonts w:hint="default" w:ascii="Times New Roman" w:hAnsi="Times New Roman" w:cs="Times New Roman" w:eastAsiaTheme="minorEastAsia"/>
                <w:color w:val="auto"/>
                <w:kern w:val="0"/>
                <w:sz w:val="21"/>
                <w:szCs w:val="21"/>
                <w:vertAlign w:val="subscript"/>
              </w:rPr>
              <w:t>5</w:t>
            </w:r>
            <w:r>
              <w:rPr>
                <w:rFonts w:hint="default" w:ascii="Times New Roman" w:hAnsi="Times New Roman" w:cs="Times New Roman" w:eastAsiaTheme="minorEastAsia"/>
                <w:color w:val="auto"/>
                <w:kern w:val="0"/>
                <w:sz w:val="21"/>
                <w:szCs w:val="21"/>
              </w:rPr>
              <w:t>≤10</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SS≤10</w:t>
            </w:r>
          </w:p>
          <w:p>
            <w:pPr>
              <w:pStyle w:val="7"/>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氨氮≤</w:t>
            </w:r>
            <w:r>
              <w:rPr>
                <w:rFonts w:hint="eastAsia" w:ascii="Times New Roman" w:hAnsi="Times New Roman" w:cs="Times New Roman" w:eastAsiaTheme="minorEastAsia"/>
                <w:color w:val="auto"/>
                <w:kern w:val="0"/>
                <w:sz w:val="21"/>
                <w:szCs w:val="21"/>
                <w:lang w:val="en-US" w:eastAsia="zh-CN"/>
              </w:rPr>
              <w:t>3</w:t>
            </w:r>
          </w:p>
          <w:p>
            <w:pPr>
              <w:rPr>
                <w:rFonts w:hint="default"/>
                <w:color w:val="auto"/>
                <w:lang w:val="en-US" w:eastAsia="zh-CN"/>
              </w:rPr>
            </w:pPr>
            <w:r>
              <w:rPr>
                <w:rFonts w:hint="eastAsia" w:ascii="Times New Roman" w:hAnsi="Times New Roman" w:cs="Times New Roman" w:eastAsiaTheme="minorEastAsia"/>
                <w:color w:val="auto"/>
                <w:kern w:val="0"/>
                <w:sz w:val="21"/>
                <w:szCs w:val="21"/>
                <w:lang w:val="en-US" w:eastAsia="zh-CN"/>
              </w:rPr>
              <w:t>动植物油</w:t>
            </w:r>
            <w:r>
              <w:rPr>
                <w:rFonts w:hint="default" w:ascii="Times New Roman" w:hAnsi="Times New Roman" w:cs="Times New Roman" w:eastAsiaTheme="minorEastAsia"/>
                <w:color w:val="auto"/>
                <w:kern w:val="0"/>
                <w:sz w:val="21"/>
                <w:szCs w:val="21"/>
                <w:lang w:val="en-US" w:eastAsia="zh-CN"/>
              </w:rPr>
              <w:t>≤</w:t>
            </w:r>
            <w:r>
              <w:rPr>
                <w:rFonts w:hint="eastAsia" w:ascii="Times New Roman" w:hAnsi="Times New Roman" w:cs="Times New Roman" w:eastAsiaTheme="minorEastAsia"/>
                <w:color w:val="auto"/>
                <w:kern w:val="0"/>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9"/>
            <w:tcBorders>
              <w:tl2br w:val="nil"/>
              <w:tr2bl w:val="nil"/>
            </w:tcBorders>
            <w:noWrap w:val="0"/>
            <w:vAlign w:val="center"/>
          </w:tcPr>
          <w:p>
            <w:pPr>
              <w:pStyle w:val="7"/>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bCs/>
                <w:color w:val="auto"/>
                <w:sz w:val="21"/>
                <w:szCs w:val="21"/>
                <w:lang w:val="en-US" w:eastAsia="zh-CN"/>
              </w:rPr>
              <w:t>排放口地理坐标111.5743428、26.2096868</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4</w:t>
      </w:r>
      <w:r>
        <w:rPr>
          <w:rFonts w:hint="eastAsia" w:ascii="Times New Roman" w:hAnsi="Times New Roman" w:cs="Times New Roman"/>
          <w:b/>
          <w:bCs/>
          <w:color w:val="auto"/>
          <w:szCs w:val="28"/>
          <w:u w:val="none" w:color="auto"/>
          <w:lang w:eastAsia="zh-CN"/>
        </w:rPr>
        <w:t>）地表水环境影响评价结论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水环境影响评价结论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本项目食堂废水经隔油池处理后，与其他生活污水、制软水废水及蓄水箱清洗</w:t>
      </w:r>
      <w:r>
        <w:rPr>
          <w:rFonts w:hint="default" w:ascii="Times New Roman" w:hAnsi="Times New Roman" w:cs="Times New Roman"/>
          <w:color w:val="auto"/>
          <w:szCs w:val="28"/>
          <w:u w:val="none" w:color="auto"/>
        </w:rPr>
        <w:t>废水</w:t>
      </w:r>
      <w:r>
        <w:rPr>
          <w:rFonts w:hint="eastAsia" w:ascii="Times New Roman" w:hAnsi="Times New Roman" w:eastAsia="宋体" w:cs="Times New Roman"/>
          <w:color w:val="auto"/>
          <w:szCs w:val="28"/>
          <w:u w:val="none" w:color="auto"/>
          <w:lang w:val="en-US" w:eastAsia="zh-CN"/>
        </w:rPr>
        <w:t>一并</w:t>
      </w:r>
      <w:r>
        <w:rPr>
          <w:rFonts w:hint="default" w:ascii="Times New Roman" w:hAnsi="Times New Roman" w:cs="Times New Roman"/>
          <w:color w:val="auto"/>
          <w:szCs w:val="28"/>
          <w:u w:val="none" w:color="auto"/>
        </w:rPr>
        <w:t>经化粪池预处理后</w:t>
      </w:r>
      <w:r>
        <w:rPr>
          <w:rFonts w:hint="eastAsia" w:ascii="Times New Roman" w:hAnsi="Times New Roman" w:eastAsia="宋体" w:cs="Times New Roman"/>
          <w:color w:val="auto"/>
          <w:szCs w:val="28"/>
          <w:u w:val="none" w:color="auto"/>
          <w:lang w:val="en-US" w:eastAsia="zh-CN"/>
        </w:rPr>
        <w:t>排入</w:t>
      </w:r>
      <w:r>
        <w:rPr>
          <w:rFonts w:hint="default" w:ascii="Times New Roman" w:hAnsi="Times New Roman" w:cs="Times New Roman"/>
          <w:color w:val="auto"/>
          <w:szCs w:val="28"/>
          <w:u w:val="none" w:color="auto"/>
        </w:rPr>
        <w:t>市政管网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汇入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处理。经</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处理达到《湖南省城镇污水处理厂主要水污染物排放标准》（DB42/T1546-2018）中二级标准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《城镇污水处理厂污染物排放标准》（GB18918-2002）一级A排放标准后排放进入湘江。</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本项目废水不直接外排，对地表水环境影响较小，影响可接受。</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污染源排放量</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经污水处理厂处理后，项目最终年排放COD</w:t>
      </w:r>
      <w:r>
        <w:rPr>
          <w:rFonts w:hint="default" w:ascii="Times New Roman" w:hAnsi="Times New Roman" w:cs="Times New Roman"/>
          <w:color w:val="auto"/>
          <w:szCs w:val="28"/>
          <w:u w:val="none" w:color="auto"/>
          <w:vertAlign w:val="subscript"/>
        </w:rPr>
        <w:t>Cr</w:t>
      </w:r>
      <w:r>
        <w:rPr>
          <w:rFonts w:hint="default" w:ascii="Times New Roman" w:hAnsi="Times New Roman" w:cs="Times New Roman"/>
          <w:color w:val="auto"/>
          <w:szCs w:val="28"/>
          <w:u w:val="none" w:color="auto"/>
        </w:rPr>
        <w:t>为0.</w:t>
      </w:r>
      <w:r>
        <w:rPr>
          <w:rFonts w:hint="eastAsia" w:ascii="Times New Roman" w:hAnsi="Times New Roman" w:eastAsia="宋体" w:cs="Times New Roman"/>
          <w:color w:val="auto"/>
          <w:szCs w:val="28"/>
          <w:u w:val="none" w:color="auto"/>
          <w:lang w:val="en-US" w:eastAsia="zh-CN"/>
        </w:rPr>
        <w:t>222</w:t>
      </w:r>
      <w:r>
        <w:rPr>
          <w:rFonts w:hint="default" w:ascii="Times New Roman" w:hAnsi="Times New Roman" w:cs="Times New Roman"/>
          <w:color w:val="auto"/>
          <w:szCs w:val="28"/>
          <w:u w:val="none" w:color="auto"/>
        </w:rPr>
        <w:t>t/a，BOD</w:t>
      </w:r>
      <w:r>
        <w:rPr>
          <w:rFonts w:hint="default" w:ascii="Times New Roman" w:hAnsi="Times New Roman" w:cs="Times New Roman"/>
          <w:color w:val="auto"/>
          <w:szCs w:val="28"/>
          <w:u w:val="none" w:color="auto"/>
          <w:vertAlign w:val="subscript"/>
        </w:rPr>
        <w:t>5</w:t>
      </w:r>
      <w:r>
        <w:rPr>
          <w:rFonts w:hint="default" w:ascii="Times New Roman" w:hAnsi="Times New Roman" w:cs="Times New Roman"/>
          <w:color w:val="auto"/>
          <w:szCs w:val="28"/>
          <w:u w:val="none" w:color="auto"/>
        </w:rPr>
        <w:t>为0.0</w:t>
      </w:r>
      <w:r>
        <w:rPr>
          <w:rFonts w:hint="eastAsia" w:ascii="Times New Roman" w:hAnsi="Times New Roman" w:eastAsia="宋体" w:cs="Times New Roman"/>
          <w:color w:val="auto"/>
          <w:szCs w:val="28"/>
          <w:u w:val="none" w:color="auto"/>
          <w:lang w:val="en-US" w:eastAsia="zh-CN"/>
        </w:rPr>
        <w:t>56</w:t>
      </w:r>
      <w:r>
        <w:rPr>
          <w:rFonts w:hint="default" w:ascii="Times New Roman" w:hAnsi="Times New Roman" w:cs="Times New Roman"/>
          <w:color w:val="auto"/>
          <w:szCs w:val="28"/>
          <w:u w:val="none" w:color="auto"/>
        </w:rPr>
        <w:t>t/a，SS为0.0</w:t>
      </w:r>
      <w:r>
        <w:rPr>
          <w:rFonts w:hint="eastAsia" w:ascii="Times New Roman" w:hAnsi="Times New Roman" w:eastAsia="宋体" w:cs="Times New Roman"/>
          <w:color w:val="auto"/>
          <w:szCs w:val="28"/>
          <w:u w:val="none" w:color="auto"/>
          <w:lang w:val="en-US" w:eastAsia="zh-CN"/>
        </w:rPr>
        <w:t>56</w:t>
      </w:r>
      <w:r>
        <w:rPr>
          <w:rFonts w:hint="default" w:ascii="Times New Roman" w:hAnsi="Times New Roman" w:cs="Times New Roman"/>
          <w:color w:val="auto"/>
          <w:szCs w:val="28"/>
          <w:u w:val="none" w:color="auto"/>
        </w:rPr>
        <w:t>t/a，NH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-N为0.0</w:t>
      </w:r>
      <w:r>
        <w:rPr>
          <w:rFonts w:hint="eastAsia" w:ascii="Times New Roman" w:hAnsi="Times New Roman" w:eastAsia="宋体" w:cs="Times New Roman"/>
          <w:color w:val="auto"/>
          <w:szCs w:val="28"/>
          <w:u w:val="none" w:color="auto"/>
          <w:lang w:val="en-US" w:eastAsia="zh-CN"/>
        </w:rPr>
        <w:t>17</w:t>
      </w:r>
      <w:r>
        <w:rPr>
          <w:rFonts w:hint="default" w:ascii="Times New Roman" w:hAnsi="Times New Roman" w:cs="Times New Roman"/>
          <w:color w:val="auto"/>
          <w:szCs w:val="28"/>
          <w:u w:val="none" w:color="auto"/>
        </w:rPr>
        <w:t>t/a、</w:t>
      </w:r>
      <w:r>
        <w:rPr>
          <w:rFonts w:hint="eastAsia" w:ascii="Times New Roman" w:hAnsi="Times New Roman" w:eastAsia="宋体" w:cs="Times New Roman"/>
          <w:color w:val="auto"/>
          <w:szCs w:val="28"/>
          <w:u w:val="none" w:color="auto"/>
          <w:lang w:val="en-US" w:eastAsia="zh-CN"/>
        </w:rPr>
        <w:t>动植物油</w:t>
      </w:r>
      <w:r>
        <w:rPr>
          <w:rFonts w:hint="default" w:ascii="Times New Roman" w:hAnsi="Times New Roman" w:cs="Times New Roman"/>
          <w:color w:val="auto"/>
          <w:szCs w:val="28"/>
          <w:u w:val="none" w:color="auto"/>
        </w:rPr>
        <w:t>为0.00</w:t>
      </w:r>
      <w:r>
        <w:rPr>
          <w:rFonts w:hint="eastAsia" w:ascii="Times New Roman" w:hAnsi="Times New Roman" w:eastAsia="宋体" w:cs="Times New Roman"/>
          <w:color w:val="auto"/>
          <w:szCs w:val="28"/>
          <w:u w:val="none" w:color="auto"/>
          <w:lang w:val="en-US" w:eastAsia="zh-CN"/>
        </w:rPr>
        <w:t>6</w:t>
      </w:r>
      <w:r>
        <w:rPr>
          <w:rFonts w:hint="default" w:ascii="Times New Roman" w:hAnsi="Times New Roman" w:cs="Times New Roman"/>
          <w:color w:val="auto"/>
          <w:szCs w:val="28"/>
          <w:u w:val="none" w:color="auto"/>
        </w:rPr>
        <w:t>t/a。</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地表水环境影响评价自查表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本项目的地表水环境影响评价自查表详见附表1。</w:t>
      </w:r>
    </w:p>
    <w:p>
      <w:pPr>
        <w:pStyle w:val="11"/>
        <w:bidi w:val="0"/>
        <w:spacing w:line="360" w:lineRule="auto"/>
        <w:ind w:left="851" w:hanging="851"/>
        <w:rPr>
          <w:rFonts w:hint="default" w:ascii="Times New Roman" w:hAnsi="Times New Roman" w:eastAsia="宋体"/>
          <w:color w:val="auto"/>
          <w:sz w:val="30"/>
          <w:szCs w:val="30"/>
          <w:lang w:eastAsia="zh-CN"/>
        </w:rPr>
      </w:pPr>
      <w:bookmarkStart w:id="72" w:name="bookmark81"/>
      <w:bookmarkEnd w:id="72"/>
      <w:bookmarkStart w:id="73" w:name="bookmark83"/>
      <w:bookmarkEnd w:id="73"/>
      <w:bookmarkStart w:id="74" w:name="bookmark70"/>
      <w:bookmarkEnd w:id="74"/>
      <w:r>
        <w:rPr>
          <w:rFonts w:hint="default" w:ascii="Times New Roman" w:hAnsi="Times New Roman" w:eastAsia="宋体"/>
          <w:color w:val="auto"/>
          <w:sz w:val="30"/>
          <w:szCs w:val="30"/>
          <w:lang w:eastAsia="zh-CN"/>
        </w:rPr>
        <w:t>地下水影响分析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根据对照《环境影响评价技术导则</w:t>
      </w:r>
      <w:r>
        <w:rPr>
          <w:rFonts w:hint="default"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地下水环境》（HJ610-2016）附录A，项目类别为</w:t>
      </w:r>
      <w:r>
        <w:rPr>
          <w:rFonts w:hint="default" w:ascii="Times New Roman" w:hAnsi="Times New Roman" w:eastAsia="宋体" w:cs="Times New Roman"/>
          <w:color w:val="auto"/>
          <w:szCs w:val="28"/>
          <w:u w:val="none" w:color="auto"/>
          <w:lang w:eastAsia="zh-CN"/>
        </w:rPr>
        <w:t>Ⅳ类</w:t>
      </w:r>
      <w:r>
        <w:rPr>
          <w:rFonts w:hint="default" w:ascii="Times New Roman" w:hAnsi="Times New Roman" w:cs="Times New Roman"/>
          <w:color w:val="auto"/>
          <w:szCs w:val="28"/>
          <w:u w:val="none" w:color="auto"/>
        </w:rPr>
        <w:t>，可不开展地下水环境影响评价。</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本项目不涉及地下水的抽取，项目重点污染区（有机物原料库及危废库）拟全部硬化并进行树脂防渗处理，在</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严格控制各含有机物原料及危险废物贮存和转运过程，避免露天堆存和沿途撒落，同时加强有机物原料库及危险废物暂存间的日常管理与维护的前提下，本项目生产运营过程对地下水环境造成不利影响的可能性很小，本环评不对其地下水影响进行详细分析，仅简要提出工程建设的地下水的污染防治措施（详见第</w:t>
      </w:r>
      <w:r>
        <w:rPr>
          <w:rFonts w:hint="eastAsia" w:ascii="Times New Roman" w:hAnsi="Times New Roman" w:eastAsia="宋体" w:cs="Times New Roman"/>
          <w:color w:val="auto"/>
          <w:szCs w:val="28"/>
          <w:u w:val="none" w:color="auto"/>
          <w:lang w:val="en-US" w:eastAsia="zh-CN"/>
        </w:rPr>
        <w:t>8</w:t>
      </w:r>
      <w:r>
        <w:rPr>
          <w:rFonts w:hint="default" w:ascii="Times New Roman" w:hAnsi="Times New Roman" w:cs="Times New Roman"/>
          <w:color w:val="auto"/>
          <w:szCs w:val="28"/>
          <w:u w:val="none" w:color="auto"/>
        </w:rPr>
        <w:t>章）。</w:t>
      </w:r>
    </w:p>
    <w:p>
      <w:pPr>
        <w:pStyle w:val="11"/>
        <w:bidi w:val="0"/>
        <w:spacing w:line="360" w:lineRule="auto"/>
        <w:ind w:left="851" w:hanging="851"/>
        <w:rPr>
          <w:rFonts w:hint="default" w:ascii="Times New Roman" w:hAnsi="Times New Roman" w:eastAsia="宋体"/>
          <w:color w:val="auto"/>
          <w:sz w:val="30"/>
          <w:szCs w:val="30"/>
          <w:lang w:eastAsia="zh-CN"/>
        </w:rPr>
      </w:pPr>
      <w:bookmarkStart w:id="75" w:name="bookmark72"/>
      <w:bookmarkEnd w:id="75"/>
      <w:r>
        <w:rPr>
          <w:rFonts w:hint="default" w:ascii="Times New Roman" w:hAnsi="Times New Roman" w:eastAsia="宋体"/>
          <w:color w:val="auto"/>
          <w:sz w:val="30"/>
          <w:szCs w:val="30"/>
          <w:lang w:eastAsia="zh-CN"/>
        </w:rPr>
        <w:t>环境噪声预测评价</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1</w:t>
      </w:r>
      <w:r>
        <w:rPr>
          <w:rFonts w:hint="eastAsia" w:ascii="Times New Roman" w:hAnsi="Times New Roman" w:cs="Times New Roman"/>
          <w:b/>
          <w:bCs/>
          <w:color w:val="auto"/>
          <w:szCs w:val="28"/>
          <w:u w:val="none" w:color="auto"/>
          <w:lang w:eastAsia="zh-CN"/>
        </w:rPr>
        <w:t>）主要噪声源与噪声测点距离</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建设项目主要噪声源距离</w:t>
      </w:r>
      <w:r>
        <w:rPr>
          <w:rFonts w:hint="eastAsia" w:ascii="Times New Roman" w:hAnsi="Times New Roman" w:eastAsia="宋体" w:cs="Times New Roman"/>
          <w:color w:val="auto"/>
          <w:szCs w:val="28"/>
          <w:u w:val="none" w:color="auto"/>
          <w:lang w:eastAsia="zh-CN"/>
        </w:rPr>
        <w:t>厂</w:t>
      </w:r>
      <w:r>
        <w:rPr>
          <w:rFonts w:hint="default" w:ascii="Times New Roman" w:hAnsi="Times New Roman" w:cs="Times New Roman"/>
          <w:color w:val="auto"/>
          <w:szCs w:val="28"/>
          <w:u w:val="none" w:color="auto"/>
        </w:rPr>
        <w:t>界距离见</w:t>
      </w:r>
      <w:r>
        <w:rPr>
          <w:rFonts w:hint="eastAsia" w:ascii="Times New Roman" w:hAnsi="Times New Roman" w:eastAsia="宋体" w:cs="Times New Roman"/>
          <w:color w:val="auto"/>
          <w:szCs w:val="28"/>
          <w:u w:val="none" w:color="auto"/>
          <w:lang w:val="en-US" w:eastAsia="zh-CN"/>
        </w:rPr>
        <w:t>下</w:t>
      </w:r>
      <w:r>
        <w:rPr>
          <w:rFonts w:hint="default" w:ascii="Times New Roman" w:hAnsi="Times New Roman" w:cs="Times New Roman"/>
          <w:color w:val="auto"/>
          <w:szCs w:val="28"/>
          <w:u w:val="none" w:color="auto"/>
        </w:rPr>
        <w:t>表。</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建设项目噪声源距厂界距离一览表</w:t>
      </w:r>
    </w:p>
    <w:tbl>
      <w:tblPr>
        <w:tblStyle w:val="29"/>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25"/>
        <w:gridCol w:w="1306"/>
        <w:gridCol w:w="948"/>
        <w:gridCol w:w="818"/>
        <w:gridCol w:w="811"/>
        <w:gridCol w:w="1121"/>
        <w:gridCol w:w="666"/>
        <w:gridCol w:w="748"/>
        <w:gridCol w:w="713"/>
        <w:gridCol w:w="76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textDirection w:val="tbRlV"/>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6"/>
                <w:sz w:val="21"/>
                <w:szCs w:val="21"/>
              </w:rPr>
              <w:t>序号</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5"/>
                <w:sz w:val="21"/>
                <w:szCs w:val="21"/>
              </w:rPr>
              <w:t>设备名称</w:t>
            </w:r>
          </w:p>
        </w:tc>
        <w:tc>
          <w:tcPr>
            <w:tcW w:w="5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b/>
                <w:bCs/>
                <w:color w:val="auto"/>
                <w:spacing w:val="3"/>
                <w:sz w:val="21"/>
                <w:szCs w:val="21"/>
              </w:rPr>
            </w:pPr>
            <w:r>
              <w:rPr>
                <w:rFonts w:hint="default" w:ascii="Times New Roman" w:hAnsi="Times New Roman" w:cs="Times New Roman" w:eastAsiaTheme="minorEastAsia"/>
                <w:b/>
                <w:bCs/>
                <w:color w:val="auto"/>
                <w:spacing w:val="3"/>
                <w:sz w:val="21"/>
                <w:szCs w:val="21"/>
              </w:rPr>
              <w:t>数量</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1"/>
                <w:sz w:val="21"/>
                <w:szCs w:val="21"/>
              </w:rPr>
              <w:t>（台/</w:t>
            </w:r>
            <w:r>
              <w:rPr>
                <w:rFonts w:hint="default" w:ascii="Times New Roman" w:hAnsi="Times New Roman" w:cs="Times New Roman" w:eastAsiaTheme="minorEastAsia"/>
                <w:b/>
                <w:bCs/>
                <w:color w:val="auto"/>
                <w:spacing w:val="16"/>
                <w:sz w:val="21"/>
                <w:szCs w:val="21"/>
              </w:rPr>
              <w:t>套）</w:t>
            </w:r>
          </w:p>
        </w:tc>
        <w:tc>
          <w:tcPr>
            <w:tcW w:w="49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b/>
                <w:bCs/>
                <w:color w:val="auto"/>
                <w:spacing w:val="-11"/>
                <w:sz w:val="21"/>
                <w:szCs w:val="21"/>
              </w:rPr>
            </w:pPr>
            <w:r>
              <w:rPr>
                <w:rFonts w:hint="default" w:ascii="Times New Roman" w:hAnsi="Times New Roman" w:cs="Times New Roman" w:eastAsiaTheme="minorEastAsia"/>
                <w:b/>
                <w:bCs/>
                <w:color w:val="auto"/>
                <w:spacing w:val="6"/>
                <w:sz w:val="21"/>
                <w:szCs w:val="21"/>
              </w:rPr>
              <w:t>单台设备</w:t>
            </w:r>
            <w:r>
              <w:rPr>
                <w:rFonts w:hint="default" w:ascii="Times New Roman" w:hAnsi="Times New Roman" w:cs="Times New Roman" w:eastAsiaTheme="minorEastAsia"/>
                <w:b/>
                <w:bCs/>
                <w:color w:val="auto"/>
                <w:spacing w:val="-11"/>
                <w:sz w:val="21"/>
                <w:szCs w:val="21"/>
              </w:rPr>
              <w:t>噪声</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11"/>
                <w:sz w:val="21"/>
                <w:szCs w:val="21"/>
              </w:rPr>
              <w:t>（dB）</w:t>
            </w:r>
          </w:p>
        </w:tc>
        <w:tc>
          <w:tcPr>
            <w:tcW w:w="48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4"/>
                <w:sz w:val="21"/>
                <w:szCs w:val="21"/>
              </w:rPr>
              <w:t>叠加噪</w:t>
            </w:r>
            <w:r>
              <w:rPr>
                <w:rFonts w:hint="default" w:ascii="Times New Roman" w:hAnsi="Times New Roman" w:cs="Times New Roman" w:eastAsiaTheme="minorEastAsia"/>
                <w:b/>
                <w:bCs/>
                <w:color w:val="auto"/>
                <w:spacing w:val="1"/>
                <w:sz w:val="21"/>
                <w:szCs w:val="21"/>
              </w:rPr>
              <w:t>声源</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1"/>
                <w:sz w:val="21"/>
                <w:szCs w:val="21"/>
              </w:rPr>
              <w:t>（dB）</w:t>
            </w:r>
          </w:p>
        </w:tc>
        <w:tc>
          <w:tcPr>
            <w:tcW w:w="67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6"/>
                <w:sz w:val="21"/>
                <w:szCs w:val="21"/>
              </w:rPr>
              <w:t>采取降噪</w:t>
            </w:r>
            <w:r>
              <w:rPr>
                <w:rFonts w:hint="default" w:ascii="Times New Roman" w:hAnsi="Times New Roman" w:cs="Times New Roman" w:eastAsiaTheme="minorEastAsia"/>
                <w:b/>
                <w:bCs/>
                <w:color w:val="auto"/>
                <w:spacing w:val="17"/>
                <w:sz w:val="21"/>
                <w:szCs w:val="21"/>
              </w:rPr>
              <w:t>措施后噪</w:t>
            </w:r>
            <w:r>
              <w:rPr>
                <w:rFonts w:hint="default" w:ascii="Times New Roman" w:hAnsi="Times New Roman" w:cs="Times New Roman" w:eastAsiaTheme="minorEastAsia"/>
                <w:b/>
                <w:bCs/>
                <w:color w:val="auto"/>
                <w:spacing w:val="-2"/>
                <w:sz w:val="21"/>
                <w:szCs w:val="21"/>
              </w:rPr>
              <w:t>声源（dB）</w:t>
            </w:r>
          </w:p>
        </w:tc>
        <w:tc>
          <w:tcPr>
            <w:tcW w:w="40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z w:val="21"/>
                <w:szCs w:val="21"/>
              </w:rPr>
              <w:t>东厂</w:t>
            </w:r>
            <w:r>
              <w:rPr>
                <w:rFonts w:hint="default" w:ascii="Times New Roman" w:hAnsi="Times New Roman" w:cs="Times New Roman" w:eastAsiaTheme="minorEastAsia"/>
                <w:b/>
                <w:bCs/>
                <w:color w:val="auto"/>
                <w:spacing w:val="-3"/>
                <w:sz w:val="21"/>
                <w:szCs w:val="21"/>
              </w:rPr>
              <w:t>界</w:t>
            </w:r>
            <w:r>
              <w:rPr>
                <w:rFonts w:hint="default" w:ascii="Times New Roman" w:hAnsi="Times New Roman" w:cs="Times New Roman" w:eastAsiaTheme="minorEastAsia"/>
                <w:b/>
                <w:bCs/>
                <w:color w:val="auto"/>
                <w:spacing w:val="-5"/>
                <w:sz w:val="21"/>
                <w:szCs w:val="21"/>
              </w:rPr>
              <w:t>（m）</w:t>
            </w:r>
          </w:p>
        </w:tc>
        <w:tc>
          <w:tcPr>
            <w:tcW w:w="44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2"/>
                <w:sz w:val="21"/>
                <w:szCs w:val="21"/>
              </w:rPr>
              <w:t>南厂</w:t>
            </w:r>
            <w:r>
              <w:rPr>
                <w:rFonts w:hint="default" w:ascii="Times New Roman" w:hAnsi="Times New Roman" w:cs="Times New Roman" w:eastAsiaTheme="minorEastAsia"/>
                <w:b/>
                <w:bCs/>
                <w:color w:val="auto"/>
                <w:spacing w:val="-3"/>
                <w:sz w:val="21"/>
                <w:szCs w:val="21"/>
              </w:rPr>
              <w:t>界</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2"/>
                <w:sz w:val="21"/>
                <w:szCs w:val="21"/>
              </w:rPr>
              <w:t>（m）</w:t>
            </w:r>
          </w:p>
        </w:tc>
        <w:tc>
          <w:tcPr>
            <w:tcW w:w="42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1"/>
                <w:sz w:val="21"/>
                <w:szCs w:val="21"/>
              </w:rPr>
              <w:t>西厂</w:t>
            </w:r>
            <w:r>
              <w:rPr>
                <w:rFonts w:hint="default" w:ascii="Times New Roman" w:hAnsi="Times New Roman" w:cs="Times New Roman" w:eastAsiaTheme="minorEastAsia"/>
                <w:b/>
                <w:bCs/>
                <w:color w:val="auto"/>
                <w:spacing w:val="-3"/>
                <w:sz w:val="21"/>
                <w:szCs w:val="21"/>
              </w:rPr>
              <w:t>界</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3"/>
                <w:sz w:val="21"/>
                <w:szCs w:val="21"/>
              </w:rPr>
              <w:t>（m）</w:t>
            </w:r>
          </w:p>
        </w:tc>
        <w:tc>
          <w:tcPr>
            <w:tcW w:w="46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2"/>
                <w:sz w:val="21"/>
                <w:szCs w:val="21"/>
              </w:rPr>
              <w:t>北厂</w:t>
            </w:r>
            <w:r>
              <w:rPr>
                <w:rFonts w:hint="default" w:ascii="Times New Roman" w:hAnsi="Times New Roman" w:cs="Times New Roman" w:eastAsiaTheme="minorEastAsia"/>
                <w:b/>
                <w:bCs/>
                <w:color w:val="auto"/>
                <w:spacing w:val="-3"/>
                <w:sz w:val="21"/>
                <w:szCs w:val="21"/>
              </w:rPr>
              <w:t>界</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pacing w:val="-2"/>
                <w:sz w:val="21"/>
                <w:szCs w:val="21"/>
              </w:rPr>
              <w:t>（m）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印刷机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15</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印刷机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20</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70</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8"/>
                <w:sz w:val="21"/>
                <w:szCs w:val="21"/>
              </w:rPr>
              <w:t>干法复合机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70</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73.01</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58.01</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40</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50</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7"/>
                <w:sz w:val="21"/>
                <w:szCs w:val="21"/>
              </w:rPr>
              <w:t>无溶剂复合</w:t>
            </w:r>
            <w:r>
              <w:rPr>
                <w:rFonts w:hint="default" w:ascii="Times New Roman" w:hAnsi="Times New Roman" w:cs="Times New Roman" w:eastAsiaTheme="minorEastAsia"/>
                <w:color w:val="auto"/>
                <w:spacing w:val="1"/>
                <w:sz w:val="21"/>
                <w:szCs w:val="21"/>
              </w:rPr>
              <w:t>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70</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74.77</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59.77</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45</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45</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品检机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63</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45</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45</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45</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6"/>
                <w:sz w:val="21"/>
                <w:szCs w:val="21"/>
              </w:rPr>
              <w:t>制袋机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65</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76.14</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61.14</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30</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6"/>
                <w:sz w:val="21"/>
                <w:szCs w:val="21"/>
              </w:rPr>
              <w:t>单口机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65</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71.99</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55.99</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30</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烫金机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66.99</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61.99</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30</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6"/>
                <w:sz w:val="21"/>
                <w:szCs w:val="21"/>
              </w:rPr>
              <w:t>分切机</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82</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67</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60</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50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40</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4"/>
                <w:sz w:val="21"/>
                <w:szCs w:val="21"/>
              </w:rPr>
              <w:t>风机</w:t>
            </w:r>
          </w:p>
        </w:tc>
        <w:tc>
          <w:tcPr>
            <w:tcW w:w="5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pacing w:val="3"/>
                <w:sz w:val="21"/>
                <w:szCs w:val="21"/>
              </w:rPr>
            </w:pPr>
            <w:r>
              <w:rPr>
                <w:rFonts w:hint="default" w:ascii="Times New Roman" w:hAnsi="Times New Roman" w:cs="Times New Roman" w:eastAsiaTheme="minorEastAsia"/>
                <w:color w:val="auto"/>
                <w:spacing w:val="3"/>
                <w:sz w:val="21"/>
                <w:szCs w:val="21"/>
              </w:rPr>
              <w:t>2</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3"/>
                <w:sz w:val="21"/>
                <w:szCs w:val="21"/>
              </w:rPr>
              <w:t>（室</w:t>
            </w:r>
            <w:r>
              <w:rPr>
                <w:rFonts w:hint="default" w:ascii="Times New Roman" w:hAnsi="Times New Roman" w:cs="Times New Roman" w:eastAsiaTheme="minorEastAsia"/>
                <w:color w:val="auto"/>
                <w:spacing w:val="-2"/>
                <w:sz w:val="21"/>
                <w:szCs w:val="21"/>
              </w:rPr>
              <w:t>外）</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80</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83</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65</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90</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85</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5"/>
                <w:sz w:val="21"/>
                <w:szCs w:val="21"/>
              </w:rPr>
              <w:t>11</w:t>
            </w:r>
          </w:p>
        </w:tc>
        <w:tc>
          <w:tcPr>
            <w:tcW w:w="7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6"/>
                <w:sz w:val="21"/>
                <w:szCs w:val="21"/>
              </w:rPr>
              <w:t>冷却机组</w:t>
            </w:r>
          </w:p>
        </w:tc>
        <w:tc>
          <w:tcPr>
            <w:tcW w:w="5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4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48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
                <w:sz w:val="21"/>
                <w:szCs w:val="21"/>
              </w:rPr>
              <w:t>75</w:t>
            </w:r>
          </w:p>
        </w:tc>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65</w:t>
            </w:r>
          </w:p>
        </w:tc>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44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95</w:t>
            </w:r>
          </w:p>
        </w:tc>
        <w:tc>
          <w:tcPr>
            <w:tcW w:w="4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85</w:t>
            </w:r>
          </w:p>
        </w:tc>
        <w:tc>
          <w:tcPr>
            <w:tcW w:w="46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2</w:t>
      </w:r>
      <w:r>
        <w:rPr>
          <w:rFonts w:hint="eastAsia" w:ascii="Times New Roman" w:hAnsi="Times New Roman" w:cs="Times New Roman"/>
          <w:b/>
          <w:bCs/>
          <w:color w:val="auto"/>
          <w:szCs w:val="28"/>
          <w:u w:val="none" w:color="auto"/>
          <w:lang w:eastAsia="zh-CN"/>
        </w:rPr>
        <w:t>）噪声预测模式</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根据《环境影响评价的技术导则 声环境》</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HJ2.4-2021</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的技术要求，本次评价采用导则上推荐模式。</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jc w:val="left"/>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声级计算</w:t>
      </w:r>
    </w:p>
    <w:p>
      <w:pPr>
        <w:keepNext w:val="0"/>
        <w:keepLines w:val="0"/>
        <w:pageBreakBefore w:val="0"/>
        <w:widowControl/>
        <w:tabs>
          <w:tab w:val="left" w:pos="1021"/>
        </w:tabs>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建设项目声源在预测点产生的等效声级贡献值（Leqg）计算公式：</w:t>
      </w:r>
    </w:p>
    <w:p>
      <w:pPr>
        <w:tabs>
          <w:tab w:val="left" w:pos="1021"/>
        </w:tabs>
        <w:spacing w:line="300" w:lineRule="auto"/>
        <w:ind w:firstLine="420" w:firstLineChars="200"/>
        <w:jc w:val="center"/>
        <w:rPr>
          <w:rFonts w:hint="eastAsia" w:cs="Calibri"/>
          <w:color w:val="auto"/>
          <w:szCs w:val="20"/>
        </w:rPr>
      </w:pPr>
      <w:r>
        <w:rPr>
          <w:rFonts w:cs="Calibri"/>
          <w:color w:val="auto"/>
          <w:szCs w:val="20"/>
        </w:rPr>
        <w:drawing>
          <wp:inline distT="0" distB="0" distL="114300" distR="114300">
            <wp:extent cx="1933575" cy="485775"/>
            <wp:effectExtent l="0" t="0" r="0" b="0"/>
            <wp:docPr id="3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true"/>
                    </pic:cNvPicPr>
                  </pic:nvPicPr>
                  <pic:blipFill>
                    <a:blip r:embed="rId36"/>
                    <a:srcRect t="7650" b="8743"/>
                    <a:stretch>
                      <a:fillRect/>
                    </a:stretch>
                  </pic:blipFill>
                  <pic:spPr>
                    <a:xfrm>
                      <a:off x="0" y="0"/>
                      <a:ext cx="1933575" cy="485775"/>
                    </a:xfrm>
                    <a:prstGeom prst="rect">
                      <a:avLst/>
                    </a:prstGeom>
                    <a:noFill/>
                    <a:ln>
                      <a:noFill/>
                    </a:ln>
                  </pic:spPr>
                </pic:pic>
              </a:graphicData>
            </a:graphic>
          </wp:inline>
        </w:drawing>
      </w:r>
    </w:p>
    <w:p>
      <w:pPr>
        <w:tabs>
          <w:tab w:val="left" w:pos="1021"/>
        </w:tabs>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式中：Leqg—建设项目声源在预测点的等效声级贡献值，dB</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A</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w:t>
      </w:r>
    </w:p>
    <w:p>
      <w:pPr>
        <w:keepNext w:val="0"/>
        <w:keepLines w:val="0"/>
        <w:pageBreakBefore w:val="0"/>
        <w:widowControl/>
        <w:tabs>
          <w:tab w:val="left" w:pos="1021"/>
        </w:tabs>
        <w:kinsoku w:val="0"/>
        <w:wordWrap/>
        <w:overflowPunct/>
        <w:topLinePunct w:val="0"/>
        <w:autoSpaceDE w:val="0"/>
        <w:autoSpaceDN w:val="0"/>
        <w:bidi w:val="0"/>
        <w:adjustRightInd w:val="0"/>
        <w:snapToGrid w:val="0"/>
        <w:spacing w:line="360" w:lineRule="auto"/>
        <w:ind w:firstLine="1200" w:firstLineChars="5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L</w:t>
      </w:r>
      <w:r>
        <w:rPr>
          <w:rFonts w:hint="default" w:ascii="Times New Roman" w:hAnsi="Times New Roman" w:cs="Times New Roman"/>
          <w:color w:val="auto"/>
          <w:sz w:val="24"/>
          <w:szCs w:val="24"/>
          <w:vertAlign w:val="subscript"/>
        </w:rPr>
        <w:t>Ai</w:t>
      </w:r>
      <w:r>
        <w:rPr>
          <w:rFonts w:hint="default" w:ascii="Times New Roman" w:hAnsi="Times New Roman" w:cs="Times New Roman"/>
          <w:color w:val="auto"/>
          <w:sz w:val="24"/>
          <w:szCs w:val="24"/>
        </w:rPr>
        <w:t>—i声源在预测点产生的A声级，dB</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A</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 xml:space="preserve">； </w:t>
      </w:r>
    </w:p>
    <w:p>
      <w:pPr>
        <w:keepNext w:val="0"/>
        <w:keepLines w:val="0"/>
        <w:pageBreakBefore w:val="0"/>
        <w:widowControl/>
        <w:tabs>
          <w:tab w:val="left" w:pos="1021"/>
        </w:tabs>
        <w:kinsoku w:val="0"/>
        <w:wordWrap/>
        <w:overflowPunct/>
        <w:topLinePunct w:val="0"/>
        <w:autoSpaceDE w:val="0"/>
        <w:autoSpaceDN w:val="0"/>
        <w:bidi w:val="0"/>
        <w:adjustRightInd w:val="0"/>
        <w:snapToGrid w:val="0"/>
        <w:spacing w:line="360" w:lineRule="auto"/>
        <w:ind w:firstLine="1200" w:firstLineChars="5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T—预测计算的时间段，s；</w:t>
      </w:r>
    </w:p>
    <w:p>
      <w:pPr>
        <w:keepNext w:val="0"/>
        <w:keepLines w:val="0"/>
        <w:pageBreakBefore w:val="0"/>
        <w:widowControl/>
        <w:tabs>
          <w:tab w:val="left" w:pos="1021"/>
        </w:tabs>
        <w:kinsoku w:val="0"/>
        <w:wordWrap/>
        <w:overflowPunct/>
        <w:topLinePunct w:val="0"/>
        <w:autoSpaceDE w:val="0"/>
        <w:autoSpaceDN w:val="0"/>
        <w:bidi w:val="0"/>
        <w:adjustRightInd w:val="0"/>
        <w:snapToGrid w:val="0"/>
        <w:spacing w:line="360" w:lineRule="auto"/>
        <w:ind w:firstLine="1200" w:firstLineChars="5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ti—i声源在T时段内的运行时间，s。</w:t>
      </w:r>
    </w:p>
    <w:p>
      <w:pPr>
        <w:tabs>
          <w:tab w:val="left" w:pos="1021"/>
        </w:tabs>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预测点的预测等效声级（Leq）计算公式</w:t>
      </w:r>
    </w:p>
    <w:p>
      <w:pPr>
        <w:pStyle w:val="31"/>
        <w:keepNext w:val="0"/>
        <w:keepLines w:val="0"/>
        <w:pageBreakBefore w:val="0"/>
        <w:widowControl/>
        <w:kinsoku/>
        <w:wordWrap w:val="0"/>
        <w:overflowPunct/>
        <w:topLinePunct w:val="0"/>
        <w:autoSpaceDE w:val="0"/>
        <w:autoSpaceDN w:val="0"/>
        <w:bidi w:val="0"/>
        <w:adjustRightInd w:val="0"/>
        <w:snapToGrid w:val="0"/>
        <w:spacing w:line="240" w:lineRule="auto"/>
        <w:ind w:left="0" w:leftChars="0" w:firstLine="0" w:firstLineChars="0"/>
        <w:jc w:val="center"/>
        <w:textAlignment w:val="baseline"/>
        <w:rPr>
          <w:rFonts w:cs="Calibri"/>
          <w:color w:val="auto"/>
        </w:rPr>
      </w:pPr>
      <w:r>
        <w:rPr>
          <w:rFonts w:cs="Calibri"/>
          <w:color w:val="auto"/>
        </w:rPr>
        <w:drawing>
          <wp:inline distT="0" distB="0" distL="114300" distR="114300">
            <wp:extent cx="2078355" cy="353695"/>
            <wp:effectExtent l="0" t="0" r="17145" b="8255"/>
            <wp:docPr id="7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true"/>
                    </pic:cNvPicPr>
                  </pic:nvPicPr>
                  <pic:blipFill>
                    <a:blip r:embed="rId37"/>
                    <a:srcRect t="12695"/>
                    <a:stretch>
                      <a:fillRect/>
                    </a:stretch>
                  </pic:blipFill>
                  <pic:spPr>
                    <a:xfrm>
                      <a:off x="0" y="0"/>
                      <a:ext cx="2078355" cy="353695"/>
                    </a:xfrm>
                    <a:prstGeom prst="rect">
                      <a:avLst/>
                    </a:prstGeom>
                    <a:noFill/>
                    <a:ln>
                      <a:noFill/>
                    </a:ln>
                  </pic:spPr>
                </pic:pic>
              </a:graphicData>
            </a:graphic>
          </wp:inline>
        </w:drawing>
      </w:r>
    </w:p>
    <w:p>
      <w:pPr>
        <w:keepNext w:val="0"/>
        <w:keepLines w:val="0"/>
        <w:pageBreakBefore w:val="0"/>
        <w:widowControl/>
        <w:tabs>
          <w:tab w:val="left" w:pos="1021"/>
        </w:tabs>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式中：Leqg—建设项目声源在预测点的等效声级贡献值，dB</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A</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eastAsiaTheme="minorEastAsia"/>
          <w:color w:val="auto"/>
          <w:sz w:val="24"/>
          <w:szCs w:val="24"/>
        </w:rPr>
        <w:t>；</w:t>
      </w:r>
    </w:p>
    <w:p>
      <w:pPr>
        <w:keepNext w:val="0"/>
        <w:keepLines w:val="0"/>
        <w:pageBreakBefore w:val="0"/>
        <w:widowControl/>
        <w:tabs>
          <w:tab w:val="left" w:pos="1021"/>
        </w:tabs>
        <w:kinsoku w:val="0"/>
        <w:wordWrap/>
        <w:overflowPunct/>
        <w:topLinePunct w:val="0"/>
        <w:autoSpaceDE w:val="0"/>
        <w:autoSpaceDN w:val="0"/>
        <w:bidi w:val="0"/>
        <w:adjustRightInd w:val="0"/>
        <w:snapToGrid w:val="0"/>
        <w:spacing w:line="360" w:lineRule="auto"/>
        <w:ind w:firstLine="1200" w:firstLineChars="5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Leqb—预测点的背景值，dB</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A</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eastAsiaTheme="minorEastAsia"/>
          <w:color w:val="auto"/>
          <w:sz w:val="24"/>
          <w:szCs w:val="24"/>
        </w:rPr>
        <w:t>。</w:t>
      </w:r>
    </w:p>
    <w:p>
      <w:pPr>
        <w:keepNext w:val="0"/>
        <w:keepLines w:val="0"/>
        <w:pageBreakBefore w:val="0"/>
        <w:widowControl/>
        <w:tabs>
          <w:tab w:val="left" w:pos="1021"/>
        </w:tabs>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户外声传播衰减计算</w:t>
      </w:r>
    </w:p>
    <w:p>
      <w:pPr>
        <w:keepNext w:val="0"/>
        <w:keepLines w:val="0"/>
        <w:pageBreakBefore w:val="0"/>
        <w:widowControl/>
        <w:tabs>
          <w:tab w:val="left" w:pos="1021"/>
        </w:tabs>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户外声传播衰减包括几何发散（A</w:t>
      </w:r>
      <w:r>
        <w:rPr>
          <w:rFonts w:hint="default" w:ascii="Times New Roman" w:hAnsi="Times New Roman" w:cs="Times New Roman" w:eastAsiaTheme="minorEastAsia"/>
          <w:color w:val="auto"/>
          <w:sz w:val="24"/>
          <w:szCs w:val="24"/>
          <w:vertAlign w:val="subscript"/>
        </w:rPr>
        <w:t>div</w:t>
      </w:r>
      <w:r>
        <w:rPr>
          <w:rFonts w:hint="default" w:ascii="Times New Roman" w:hAnsi="Times New Roman" w:cs="Times New Roman" w:eastAsiaTheme="minorEastAsia"/>
          <w:color w:val="auto"/>
          <w:sz w:val="24"/>
          <w:szCs w:val="24"/>
        </w:rPr>
        <w:t>）、大气吸收（A</w:t>
      </w:r>
      <w:r>
        <w:rPr>
          <w:rFonts w:hint="default" w:ascii="Times New Roman" w:hAnsi="Times New Roman" w:cs="Times New Roman" w:eastAsiaTheme="minorEastAsia"/>
          <w:color w:val="auto"/>
          <w:sz w:val="24"/>
          <w:szCs w:val="24"/>
          <w:vertAlign w:val="subscript"/>
        </w:rPr>
        <w:t>atm</w:t>
      </w:r>
      <w:r>
        <w:rPr>
          <w:rFonts w:hint="default" w:ascii="Times New Roman" w:hAnsi="Times New Roman" w:cs="Times New Roman" w:eastAsiaTheme="minorEastAsia"/>
          <w:color w:val="auto"/>
          <w:sz w:val="24"/>
          <w:szCs w:val="24"/>
        </w:rPr>
        <w:t>）、地面效应（A</w:t>
      </w:r>
      <w:r>
        <w:rPr>
          <w:rFonts w:hint="default" w:ascii="Times New Roman" w:hAnsi="Times New Roman" w:cs="Times New Roman" w:eastAsiaTheme="minorEastAsia"/>
          <w:color w:val="auto"/>
          <w:sz w:val="24"/>
          <w:szCs w:val="24"/>
          <w:vertAlign w:val="subscript"/>
        </w:rPr>
        <w:t>gr</w:t>
      </w:r>
      <w:r>
        <w:rPr>
          <w:rFonts w:hint="default" w:ascii="Times New Roman" w:hAnsi="Times New Roman" w:cs="Times New Roman" w:eastAsiaTheme="minorEastAsia"/>
          <w:color w:val="auto"/>
          <w:sz w:val="24"/>
          <w:szCs w:val="24"/>
        </w:rPr>
        <w:t>）、屏障屏蔽（A</w:t>
      </w:r>
      <w:r>
        <w:rPr>
          <w:rFonts w:hint="default" w:ascii="Times New Roman" w:hAnsi="Times New Roman" w:cs="Times New Roman" w:eastAsiaTheme="minorEastAsia"/>
          <w:color w:val="auto"/>
          <w:sz w:val="24"/>
          <w:szCs w:val="24"/>
          <w:vertAlign w:val="subscript"/>
        </w:rPr>
        <w:t>bar</w:t>
      </w:r>
      <w:r>
        <w:rPr>
          <w:rFonts w:hint="default" w:ascii="Times New Roman" w:hAnsi="Times New Roman" w:cs="Times New Roman" w:eastAsiaTheme="minorEastAsia"/>
          <w:color w:val="auto"/>
          <w:sz w:val="24"/>
          <w:szCs w:val="24"/>
        </w:rPr>
        <w:t>）、其他多方面效应（A</w:t>
      </w:r>
      <w:r>
        <w:rPr>
          <w:rFonts w:hint="default" w:ascii="Times New Roman" w:hAnsi="Times New Roman" w:cs="Times New Roman" w:eastAsiaTheme="minorEastAsia"/>
          <w:color w:val="auto"/>
          <w:sz w:val="24"/>
          <w:szCs w:val="24"/>
          <w:vertAlign w:val="subscript"/>
        </w:rPr>
        <w:t>misc</w:t>
      </w:r>
      <w:r>
        <w:rPr>
          <w:rFonts w:hint="default" w:ascii="Times New Roman" w:hAnsi="Times New Roman" w:cs="Times New Roman" w:eastAsiaTheme="minorEastAsia"/>
          <w:color w:val="auto"/>
          <w:sz w:val="24"/>
          <w:szCs w:val="24"/>
        </w:rPr>
        <w:t>）引起的衰减。</w:t>
      </w:r>
    </w:p>
    <w:p>
      <w:pPr>
        <w:keepNext w:val="0"/>
        <w:keepLines w:val="0"/>
        <w:pageBreakBefore w:val="0"/>
        <w:widowControl/>
        <w:tabs>
          <w:tab w:val="left" w:pos="1021"/>
        </w:tabs>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距声源点r处的A声级按下式计算：</w:t>
      </w:r>
    </w:p>
    <w:p>
      <w:pPr>
        <w:pStyle w:val="31"/>
        <w:keepNext w:val="0"/>
        <w:keepLines w:val="0"/>
        <w:pageBreakBefore w:val="0"/>
        <w:widowControl/>
        <w:kinsoku/>
        <w:wordWrap w:val="0"/>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cs="Times New Roman"/>
          <w:color w:val="auto"/>
          <w:szCs w:val="28"/>
          <w:u w:val="none" w:color="auto"/>
        </w:rPr>
      </w:pPr>
      <w:r>
        <w:rPr>
          <w:rFonts w:cs="Calibri"/>
          <w:color w:val="auto"/>
        </w:rPr>
        <w:drawing>
          <wp:inline distT="0" distB="0" distL="114300" distR="114300">
            <wp:extent cx="3895090" cy="466725"/>
            <wp:effectExtent l="0" t="0" r="10160" b="9525"/>
            <wp:docPr id="71"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true"/>
                    </pic:cNvPicPr>
                  </pic:nvPicPr>
                  <pic:blipFill>
                    <a:blip r:embed="rId38"/>
                    <a:stretch>
                      <a:fillRect/>
                    </a:stretch>
                  </pic:blipFill>
                  <pic:spPr>
                    <a:xfrm>
                      <a:off x="0" y="0"/>
                      <a:ext cx="3895090" cy="466725"/>
                    </a:xfrm>
                    <a:prstGeom prst="rect">
                      <a:avLst/>
                    </a:prstGeom>
                    <a:noFill/>
                    <a:ln>
                      <a:noFill/>
                    </a:ln>
                  </pic:spPr>
                </pic:pic>
              </a:graphicData>
            </a:graphic>
          </wp:inline>
        </w:drawing>
      </w:r>
    </w:p>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0" w:firstLineChars="0"/>
        <w:jc w:val="both"/>
        <w:textAlignment w:val="baseline"/>
        <w:rPr>
          <w:rFonts w:hint="eastAsia"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3</w:t>
      </w:r>
      <w:r>
        <w:rPr>
          <w:rFonts w:hint="eastAsia" w:ascii="Times New Roman" w:hAnsi="Times New Roman" w:cs="Times New Roman"/>
          <w:b/>
          <w:bCs/>
          <w:color w:val="auto"/>
          <w:szCs w:val="28"/>
          <w:u w:val="none" w:color="auto"/>
          <w:lang w:eastAsia="zh-CN"/>
        </w:rPr>
        <w:t>）预测内容</w:t>
      </w:r>
    </w:p>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预测因子为等效连续A声级Leq</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A</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lang w:eastAsia="zh-CN"/>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预测方案为预测厂界外1m处4个典型点位。</w:t>
      </w:r>
    </w:p>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0" w:firstLineChars="0"/>
        <w:jc w:val="both"/>
        <w:textAlignment w:val="baseline"/>
        <w:rPr>
          <w:rFonts w:hint="default" w:ascii="Times New Roman" w:hAnsi="Times New Roman" w:cs="Times New Roman"/>
          <w:b/>
          <w:bCs/>
          <w:color w:val="auto"/>
          <w:szCs w:val="28"/>
          <w:u w:val="none" w:color="auto"/>
          <w:lang w:eastAsia="zh-CN"/>
        </w:rPr>
      </w:pPr>
      <w:r>
        <w:rPr>
          <w:rFonts w:hint="eastAsia" w:ascii="Times New Roman" w:hAnsi="Times New Roman" w:cs="Times New Roman"/>
          <w:b/>
          <w:bCs/>
          <w:color w:val="auto"/>
          <w:szCs w:val="28"/>
          <w:u w:val="none" w:color="auto"/>
          <w:lang w:eastAsia="zh-CN"/>
        </w:rPr>
        <w:t>（</w:t>
      </w:r>
      <w:r>
        <w:rPr>
          <w:rFonts w:hint="eastAsia" w:ascii="Times New Roman" w:hAnsi="Times New Roman" w:cs="Times New Roman"/>
          <w:b/>
          <w:bCs/>
          <w:color w:val="auto"/>
          <w:szCs w:val="28"/>
          <w:u w:val="none" w:color="auto"/>
          <w:lang w:val="en-US" w:eastAsia="zh-CN"/>
        </w:rPr>
        <w:t>4</w:t>
      </w:r>
      <w:r>
        <w:rPr>
          <w:rFonts w:hint="eastAsia" w:ascii="Times New Roman" w:hAnsi="Times New Roman" w:cs="Times New Roman"/>
          <w:b/>
          <w:bCs/>
          <w:color w:val="auto"/>
          <w:szCs w:val="28"/>
          <w:u w:val="none" w:color="auto"/>
          <w:lang w:eastAsia="zh-CN"/>
        </w:rPr>
        <w:t>）</w:t>
      </w:r>
      <w:r>
        <w:rPr>
          <w:rFonts w:hint="default" w:ascii="Times New Roman" w:hAnsi="Times New Roman" w:cs="Times New Roman"/>
          <w:b/>
          <w:bCs/>
          <w:color w:val="auto"/>
          <w:szCs w:val="28"/>
          <w:u w:val="none" w:color="auto"/>
          <w:lang w:eastAsia="zh-CN"/>
        </w:rPr>
        <w:t>预测结果及分析</w:t>
      </w:r>
    </w:p>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本项目为新建项目，根据《环境影响评价技术导则</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rPr>
        <w:t>声环境》（HJ2.4-2021），噪声预测结果为贡献值，预测及计算结果见下表所示。</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eastAsia" w:ascii="Times New Roman" w:hAnsi="Times New Roman" w:eastAsia="宋体" w:cs="Times New Roman"/>
          <w:b/>
          <w:bCs/>
          <w:color w:val="auto"/>
          <w:spacing w:val="5"/>
          <w:sz w:val="24"/>
          <w:szCs w:val="24"/>
        </w:rPr>
        <w:t>本项目厂界噪声预测值结果</w:t>
      </w:r>
      <w:r>
        <w:rPr>
          <w:rFonts w:hint="default" w:ascii="Times New Roman" w:hAnsi="Times New Roman" w:eastAsia="宋体" w:cs="Times New Roman"/>
          <w:b/>
          <w:bCs/>
          <w:color w:val="auto"/>
          <w:spacing w:val="5"/>
          <w:sz w:val="24"/>
          <w:szCs w:val="24"/>
        </w:rPr>
        <w:t xml:space="preserve">  </w:t>
      </w:r>
      <w:r>
        <w:rPr>
          <w:rFonts w:hint="eastAsia" w:ascii="Times New Roman" w:hAnsi="Times New Roman" w:eastAsia="宋体" w:cs="Times New Roman"/>
          <w:b/>
          <w:bCs/>
          <w:color w:val="auto"/>
          <w:spacing w:val="5"/>
          <w:sz w:val="24"/>
          <w:szCs w:val="24"/>
        </w:rPr>
        <w:t>单位：</w:t>
      </w:r>
      <w:r>
        <w:rPr>
          <w:rFonts w:hint="default" w:ascii="Times New Roman" w:hAnsi="Times New Roman" w:eastAsia="宋体" w:cs="Times New Roman"/>
          <w:b/>
          <w:bCs/>
          <w:color w:val="auto"/>
          <w:spacing w:val="5"/>
          <w:sz w:val="24"/>
          <w:szCs w:val="24"/>
        </w:rPr>
        <w:t>Leq[dB(A)]</w:t>
      </w:r>
    </w:p>
    <w:tbl>
      <w:tblPr>
        <w:tblStyle w:val="2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893"/>
        <w:gridCol w:w="1702"/>
        <w:gridCol w:w="1702"/>
        <w:gridCol w:w="1702"/>
        <w:gridCol w:w="17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gridSpan w:val="2"/>
            <w:noWrap w:val="0"/>
            <w:vAlign w:val="center"/>
          </w:tcPr>
          <w:p>
            <w:pPr>
              <w:pStyle w:val="45"/>
              <w:rPr>
                <w:color w:val="auto"/>
                <w:szCs w:val="21"/>
              </w:rPr>
            </w:pPr>
            <w:r>
              <w:rPr>
                <w:color w:val="auto"/>
                <w:szCs w:val="21"/>
              </w:rPr>
              <w:t>厂界方位</w:t>
            </w:r>
          </w:p>
        </w:tc>
        <w:tc>
          <w:tcPr>
            <w:tcW w:w="999" w:type="pct"/>
            <w:noWrap w:val="0"/>
            <w:vAlign w:val="center"/>
          </w:tcPr>
          <w:p>
            <w:pPr>
              <w:pStyle w:val="45"/>
              <w:rPr>
                <w:color w:val="auto"/>
                <w:szCs w:val="21"/>
              </w:rPr>
            </w:pPr>
            <w:r>
              <w:rPr>
                <w:color w:val="auto"/>
                <w:szCs w:val="21"/>
              </w:rPr>
              <w:t>东</w:t>
            </w:r>
          </w:p>
        </w:tc>
        <w:tc>
          <w:tcPr>
            <w:tcW w:w="999" w:type="pct"/>
            <w:noWrap w:val="0"/>
            <w:vAlign w:val="center"/>
          </w:tcPr>
          <w:p>
            <w:pPr>
              <w:pStyle w:val="45"/>
              <w:rPr>
                <w:color w:val="auto"/>
                <w:szCs w:val="21"/>
              </w:rPr>
            </w:pPr>
            <w:r>
              <w:rPr>
                <w:color w:val="auto"/>
                <w:szCs w:val="21"/>
              </w:rPr>
              <w:t>南</w:t>
            </w:r>
          </w:p>
        </w:tc>
        <w:tc>
          <w:tcPr>
            <w:tcW w:w="999" w:type="pct"/>
            <w:noWrap w:val="0"/>
            <w:vAlign w:val="center"/>
          </w:tcPr>
          <w:p>
            <w:pPr>
              <w:pStyle w:val="45"/>
              <w:rPr>
                <w:color w:val="auto"/>
                <w:szCs w:val="21"/>
              </w:rPr>
            </w:pPr>
            <w:r>
              <w:rPr>
                <w:color w:val="auto"/>
                <w:szCs w:val="21"/>
              </w:rPr>
              <w:t>西</w:t>
            </w:r>
          </w:p>
        </w:tc>
        <w:tc>
          <w:tcPr>
            <w:tcW w:w="1001" w:type="pct"/>
            <w:noWrap w:val="0"/>
            <w:vAlign w:val="center"/>
          </w:tcPr>
          <w:p>
            <w:pPr>
              <w:pStyle w:val="45"/>
              <w:rPr>
                <w:color w:val="auto"/>
                <w:szCs w:val="21"/>
              </w:rPr>
            </w:pPr>
            <w:r>
              <w:rPr>
                <w:color w:val="auto"/>
                <w:szCs w:val="21"/>
              </w:rPr>
              <w:t>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gridSpan w:val="2"/>
            <w:noWrap w:val="0"/>
            <w:vAlign w:val="center"/>
          </w:tcPr>
          <w:p>
            <w:pPr>
              <w:pStyle w:val="45"/>
              <w:rPr>
                <w:color w:val="auto"/>
                <w:szCs w:val="21"/>
              </w:rPr>
            </w:pPr>
            <w:r>
              <w:rPr>
                <w:color w:val="auto"/>
                <w:szCs w:val="21"/>
              </w:rPr>
              <w:t>贡献值</w:t>
            </w:r>
          </w:p>
        </w:tc>
        <w:tc>
          <w:tcPr>
            <w:tcW w:w="1702" w:type="dxa"/>
            <w:noWrap w:val="0"/>
            <w:vAlign w:val="center"/>
          </w:tcPr>
          <w:p>
            <w:pPr>
              <w:pStyle w:val="45"/>
              <w:rPr>
                <w:rFonts w:hint="eastAsia"/>
                <w:color w:val="auto"/>
                <w:szCs w:val="21"/>
              </w:rPr>
            </w:pPr>
            <w:r>
              <w:rPr>
                <w:rFonts w:hint="eastAsia"/>
                <w:color w:val="auto"/>
                <w:szCs w:val="21"/>
                <w:lang w:val="en-US" w:eastAsia="zh-CN"/>
              </w:rPr>
              <w:t>52.61</w:t>
            </w:r>
          </w:p>
        </w:tc>
        <w:tc>
          <w:tcPr>
            <w:tcW w:w="1702" w:type="dxa"/>
            <w:noWrap w:val="0"/>
            <w:vAlign w:val="center"/>
          </w:tcPr>
          <w:p>
            <w:pPr>
              <w:pStyle w:val="45"/>
              <w:rPr>
                <w:rFonts w:hint="eastAsia"/>
                <w:color w:val="auto"/>
                <w:szCs w:val="21"/>
              </w:rPr>
            </w:pPr>
            <w:r>
              <w:rPr>
                <w:rFonts w:hint="eastAsia"/>
                <w:color w:val="auto"/>
                <w:szCs w:val="21"/>
                <w:lang w:val="en-US" w:eastAsia="zh-CN"/>
              </w:rPr>
              <w:t>46.59</w:t>
            </w:r>
          </w:p>
        </w:tc>
        <w:tc>
          <w:tcPr>
            <w:tcW w:w="1702" w:type="dxa"/>
            <w:noWrap w:val="0"/>
            <w:vAlign w:val="center"/>
          </w:tcPr>
          <w:p>
            <w:pPr>
              <w:pStyle w:val="45"/>
              <w:rPr>
                <w:rFonts w:hint="eastAsia"/>
                <w:color w:val="auto"/>
                <w:szCs w:val="21"/>
              </w:rPr>
            </w:pPr>
            <w:r>
              <w:rPr>
                <w:rFonts w:hint="eastAsia"/>
                <w:color w:val="auto"/>
                <w:szCs w:val="21"/>
                <w:lang w:val="en-US" w:eastAsia="zh-CN"/>
              </w:rPr>
              <w:t>41.73</w:t>
            </w:r>
          </w:p>
        </w:tc>
        <w:tc>
          <w:tcPr>
            <w:tcW w:w="1705" w:type="dxa"/>
            <w:noWrap w:val="0"/>
            <w:vAlign w:val="center"/>
          </w:tcPr>
          <w:p>
            <w:pPr>
              <w:pStyle w:val="45"/>
              <w:rPr>
                <w:rFonts w:hint="eastAsia"/>
                <w:color w:val="auto"/>
                <w:szCs w:val="21"/>
              </w:rPr>
            </w:pPr>
            <w:r>
              <w:rPr>
                <w:rFonts w:hint="eastAsia"/>
                <w:color w:val="auto"/>
                <w:szCs w:val="21"/>
                <w:lang w:val="en-US" w:eastAsia="zh-CN"/>
              </w:rPr>
              <w:t>37.05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gridSpan w:val="2"/>
            <w:noWrap w:val="0"/>
            <w:vAlign w:val="center"/>
          </w:tcPr>
          <w:p>
            <w:pPr>
              <w:pStyle w:val="45"/>
              <w:rPr>
                <w:rFonts w:hint="eastAsia" w:eastAsia="宋体"/>
                <w:color w:val="auto"/>
                <w:szCs w:val="21"/>
                <w:lang w:val="en-US" w:eastAsia="zh-CN"/>
              </w:rPr>
            </w:pPr>
            <w:r>
              <w:rPr>
                <w:rFonts w:hint="eastAsia"/>
                <w:color w:val="auto"/>
                <w:szCs w:val="21"/>
                <w:lang w:val="en-US" w:eastAsia="zh-CN"/>
              </w:rPr>
              <w:t>背景值</w:t>
            </w:r>
          </w:p>
        </w:tc>
        <w:tc>
          <w:tcPr>
            <w:tcW w:w="999" w:type="pct"/>
            <w:noWrap w:val="0"/>
            <w:vAlign w:val="center"/>
          </w:tcPr>
          <w:p>
            <w:pPr>
              <w:pStyle w:val="45"/>
              <w:rPr>
                <w:rFonts w:hint="eastAsia" w:eastAsia="宋体"/>
                <w:color w:val="auto"/>
                <w:szCs w:val="21"/>
                <w:lang w:val="en-US" w:eastAsia="zh-CN"/>
              </w:rPr>
            </w:pPr>
            <w:r>
              <w:rPr>
                <w:rFonts w:hint="eastAsia"/>
                <w:color w:val="auto"/>
                <w:szCs w:val="21"/>
                <w:lang w:val="en-US" w:eastAsia="zh-CN"/>
              </w:rPr>
              <w:t>/</w:t>
            </w:r>
          </w:p>
        </w:tc>
        <w:tc>
          <w:tcPr>
            <w:tcW w:w="999" w:type="pct"/>
            <w:noWrap w:val="0"/>
            <w:vAlign w:val="center"/>
          </w:tcPr>
          <w:p>
            <w:pPr>
              <w:pStyle w:val="45"/>
              <w:rPr>
                <w:rFonts w:hint="eastAsia"/>
                <w:color w:val="auto"/>
                <w:szCs w:val="21"/>
              </w:rPr>
            </w:pPr>
            <w:r>
              <w:rPr>
                <w:rFonts w:hint="eastAsia"/>
                <w:color w:val="auto"/>
                <w:szCs w:val="21"/>
                <w:lang w:val="en-US" w:eastAsia="zh-CN"/>
              </w:rPr>
              <w:t>/</w:t>
            </w:r>
          </w:p>
        </w:tc>
        <w:tc>
          <w:tcPr>
            <w:tcW w:w="999" w:type="pct"/>
            <w:noWrap w:val="0"/>
            <w:vAlign w:val="center"/>
          </w:tcPr>
          <w:p>
            <w:pPr>
              <w:pStyle w:val="45"/>
              <w:rPr>
                <w:rFonts w:hint="eastAsia"/>
                <w:color w:val="auto"/>
                <w:szCs w:val="21"/>
              </w:rPr>
            </w:pPr>
            <w:r>
              <w:rPr>
                <w:rFonts w:hint="eastAsia"/>
                <w:color w:val="auto"/>
                <w:szCs w:val="21"/>
                <w:lang w:val="en-US" w:eastAsia="zh-CN"/>
              </w:rPr>
              <w:t>/</w:t>
            </w:r>
          </w:p>
        </w:tc>
        <w:tc>
          <w:tcPr>
            <w:tcW w:w="1001" w:type="pct"/>
            <w:noWrap w:val="0"/>
            <w:vAlign w:val="center"/>
          </w:tcPr>
          <w:p>
            <w:pPr>
              <w:pStyle w:val="45"/>
              <w:rPr>
                <w:rFonts w:hint="eastAsia"/>
                <w:color w:val="auto"/>
                <w:szCs w:val="21"/>
              </w:rPr>
            </w:pPr>
            <w:r>
              <w:rPr>
                <w:rFonts w:hint="eastAsia"/>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gridSpan w:val="2"/>
            <w:noWrap w:val="0"/>
            <w:vAlign w:val="center"/>
          </w:tcPr>
          <w:p>
            <w:pPr>
              <w:pStyle w:val="45"/>
              <w:rPr>
                <w:color w:val="auto"/>
                <w:szCs w:val="21"/>
              </w:rPr>
            </w:pPr>
            <w:r>
              <w:rPr>
                <w:color w:val="auto"/>
                <w:szCs w:val="21"/>
              </w:rPr>
              <w:t>预测值</w:t>
            </w:r>
          </w:p>
        </w:tc>
        <w:tc>
          <w:tcPr>
            <w:tcW w:w="1702" w:type="dxa"/>
            <w:noWrap w:val="0"/>
            <w:vAlign w:val="center"/>
          </w:tcPr>
          <w:p>
            <w:pPr>
              <w:pStyle w:val="45"/>
              <w:rPr>
                <w:color w:val="auto"/>
                <w:szCs w:val="21"/>
              </w:rPr>
            </w:pPr>
            <w:r>
              <w:rPr>
                <w:rFonts w:hint="eastAsia"/>
                <w:color w:val="auto"/>
                <w:szCs w:val="21"/>
                <w:lang w:val="en-US" w:eastAsia="zh-CN"/>
              </w:rPr>
              <w:t>52.61</w:t>
            </w:r>
          </w:p>
        </w:tc>
        <w:tc>
          <w:tcPr>
            <w:tcW w:w="1702" w:type="dxa"/>
            <w:noWrap w:val="0"/>
            <w:vAlign w:val="center"/>
          </w:tcPr>
          <w:p>
            <w:pPr>
              <w:pStyle w:val="45"/>
              <w:rPr>
                <w:color w:val="auto"/>
                <w:szCs w:val="21"/>
              </w:rPr>
            </w:pPr>
            <w:r>
              <w:rPr>
                <w:rFonts w:hint="eastAsia"/>
                <w:color w:val="auto"/>
                <w:szCs w:val="21"/>
                <w:lang w:val="en-US" w:eastAsia="zh-CN"/>
              </w:rPr>
              <w:t>46.59</w:t>
            </w:r>
          </w:p>
        </w:tc>
        <w:tc>
          <w:tcPr>
            <w:tcW w:w="1702" w:type="dxa"/>
            <w:noWrap w:val="0"/>
            <w:vAlign w:val="center"/>
          </w:tcPr>
          <w:p>
            <w:pPr>
              <w:pStyle w:val="45"/>
              <w:rPr>
                <w:color w:val="auto"/>
                <w:szCs w:val="21"/>
              </w:rPr>
            </w:pPr>
            <w:r>
              <w:rPr>
                <w:rFonts w:hint="eastAsia"/>
                <w:color w:val="auto"/>
                <w:szCs w:val="21"/>
                <w:lang w:val="en-US" w:eastAsia="zh-CN"/>
              </w:rPr>
              <w:t>41.73</w:t>
            </w:r>
          </w:p>
        </w:tc>
        <w:tc>
          <w:tcPr>
            <w:tcW w:w="1705" w:type="dxa"/>
            <w:noWrap w:val="0"/>
            <w:vAlign w:val="center"/>
          </w:tcPr>
          <w:p>
            <w:pPr>
              <w:pStyle w:val="45"/>
              <w:rPr>
                <w:color w:val="auto"/>
                <w:szCs w:val="21"/>
              </w:rPr>
            </w:pPr>
            <w:r>
              <w:rPr>
                <w:rFonts w:hint="eastAsia"/>
                <w:color w:val="auto"/>
                <w:szCs w:val="21"/>
                <w:lang w:val="en-US" w:eastAsia="zh-CN"/>
              </w:rPr>
              <w:t>37.05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pct"/>
            <w:vMerge w:val="restart"/>
            <w:noWrap w:val="0"/>
            <w:vAlign w:val="center"/>
          </w:tcPr>
          <w:p>
            <w:pPr>
              <w:pStyle w:val="45"/>
              <w:rPr>
                <w:color w:val="auto"/>
                <w:szCs w:val="21"/>
              </w:rPr>
            </w:pPr>
            <w:r>
              <w:rPr>
                <w:color w:val="auto"/>
                <w:szCs w:val="21"/>
              </w:rPr>
              <w:t>标准限值</w:t>
            </w:r>
          </w:p>
        </w:tc>
        <w:tc>
          <w:tcPr>
            <w:tcW w:w="523" w:type="pct"/>
            <w:noWrap w:val="0"/>
            <w:vAlign w:val="center"/>
          </w:tcPr>
          <w:p>
            <w:pPr>
              <w:pStyle w:val="45"/>
              <w:rPr>
                <w:rFonts w:hint="eastAsia" w:eastAsia="宋体"/>
                <w:color w:val="auto"/>
                <w:szCs w:val="21"/>
                <w:lang w:val="en-US" w:eastAsia="zh-CN"/>
              </w:rPr>
            </w:pPr>
            <w:r>
              <w:rPr>
                <w:rFonts w:hint="eastAsia"/>
                <w:color w:val="auto"/>
                <w:szCs w:val="21"/>
                <w:lang w:val="en-US" w:eastAsia="zh-CN"/>
              </w:rPr>
              <w:t>昼</w:t>
            </w:r>
          </w:p>
        </w:tc>
        <w:tc>
          <w:tcPr>
            <w:tcW w:w="999" w:type="pct"/>
            <w:noWrap w:val="0"/>
            <w:vAlign w:val="center"/>
          </w:tcPr>
          <w:p>
            <w:pPr>
              <w:pStyle w:val="45"/>
              <w:rPr>
                <w:rFonts w:hint="eastAsia" w:eastAsia="宋体"/>
                <w:color w:val="auto"/>
                <w:szCs w:val="21"/>
                <w:lang w:eastAsia="zh-CN"/>
              </w:rPr>
            </w:pPr>
            <w:r>
              <w:rPr>
                <w:color w:val="auto"/>
                <w:szCs w:val="21"/>
              </w:rPr>
              <w:t>6</w:t>
            </w:r>
            <w:r>
              <w:rPr>
                <w:rFonts w:hint="eastAsia"/>
                <w:color w:val="auto"/>
                <w:szCs w:val="21"/>
                <w:lang w:val="en-US" w:eastAsia="zh-CN"/>
              </w:rPr>
              <w:t>5</w:t>
            </w:r>
          </w:p>
        </w:tc>
        <w:tc>
          <w:tcPr>
            <w:tcW w:w="1702" w:type="dxa"/>
            <w:noWrap w:val="0"/>
            <w:vAlign w:val="center"/>
          </w:tcPr>
          <w:p>
            <w:pPr>
              <w:pStyle w:val="45"/>
              <w:rPr>
                <w:color w:val="auto"/>
              </w:rPr>
            </w:pPr>
            <w:r>
              <w:rPr>
                <w:color w:val="auto"/>
                <w:szCs w:val="21"/>
              </w:rPr>
              <w:t>6</w:t>
            </w:r>
            <w:r>
              <w:rPr>
                <w:rFonts w:hint="eastAsia"/>
                <w:color w:val="auto"/>
                <w:szCs w:val="21"/>
                <w:lang w:val="en-US" w:eastAsia="zh-CN"/>
              </w:rPr>
              <w:t>5</w:t>
            </w:r>
          </w:p>
        </w:tc>
        <w:tc>
          <w:tcPr>
            <w:tcW w:w="1702" w:type="dxa"/>
            <w:noWrap w:val="0"/>
            <w:vAlign w:val="center"/>
          </w:tcPr>
          <w:p>
            <w:pPr>
              <w:pStyle w:val="45"/>
              <w:rPr>
                <w:color w:val="auto"/>
              </w:rPr>
            </w:pPr>
            <w:r>
              <w:rPr>
                <w:color w:val="auto"/>
                <w:szCs w:val="21"/>
              </w:rPr>
              <w:t>6</w:t>
            </w:r>
            <w:r>
              <w:rPr>
                <w:rFonts w:hint="eastAsia"/>
                <w:color w:val="auto"/>
                <w:szCs w:val="21"/>
                <w:lang w:val="en-US" w:eastAsia="zh-CN"/>
              </w:rPr>
              <w:t>5</w:t>
            </w:r>
          </w:p>
        </w:tc>
        <w:tc>
          <w:tcPr>
            <w:tcW w:w="1705" w:type="dxa"/>
            <w:noWrap w:val="0"/>
            <w:vAlign w:val="center"/>
          </w:tcPr>
          <w:p>
            <w:pPr>
              <w:pStyle w:val="45"/>
              <w:rPr>
                <w:color w:val="auto"/>
              </w:rPr>
            </w:pPr>
            <w:r>
              <w:rPr>
                <w:color w:val="auto"/>
                <w:szCs w:val="21"/>
              </w:rPr>
              <w:t>6</w:t>
            </w:r>
            <w:r>
              <w:rPr>
                <w:rFonts w:hint="eastAsia"/>
                <w:color w:val="auto"/>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pct"/>
            <w:vMerge w:val="continue"/>
            <w:noWrap w:val="0"/>
            <w:vAlign w:val="center"/>
          </w:tcPr>
          <w:p>
            <w:pPr>
              <w:pStyle w:val="45"/>
              <w:rPr>
                <w:color w:val="auto"/>
                <w:szCs w:val="21"/>
              </w:rPr>
            </w:pPr>
          </w:p>
        </w:tc>
        <w:tc>
          <w:tcPr>
            <w:tcW w:w="523" w:type="pct"/>
            <w:noWrap w:val="0"/>
            <w:vAlign w:val="center"/>
          </w:tcPr>
          <w:p>
            <w:pPr>
              <w:pStyle w:val="45"/>
              <w:rPr>
                <w:rFonts w:hint="eastAsia" w:eastAsia="宋体"/>
                <w:color w:val="auto"/>
                <w:szCs w:val="21"/>
                <w:lang w:val="en-US" w:eastAsia="zh-CN"/>
              </w:rPr>
            </w:pPr>
            <w:r>
              <w:rPr>
                <w:rFonts w:hint="eastAsia"/>
                <w:color w:val="auto"/>
                <w:szCs w:val="21"/>
                <w:lang w:val="en-US" w:eastAsia="zh-CN"/>
              </w:rPr>
              <w:t>夜</w:t>
            </w:r>
          </w:p>
        </w:tc>
        <w:tc>
          <w:tcPr>
            <w:tcW w:w="999" w:type="pct"/>
            <w:noWrap w:val="0"/>
            <w:vAlign w:val="center"/>
          </w:tcPr>
          <w:p>
            <w:pPr>
              <w:pStyle w:val="45"/>
              <w:rPr>
                <w:rFonts w:hint="default" w:eastAsia="宋体"/>
                <w:color w:val="auto"/>
                <w:szCs w:val="21"/>
                <w:lang w:val="en-US" w:eastAsia="zh-CN"/>
              </w:rPr>
            </w:pPr>
            <w:r>
              <w:rPr>
                <w:rFonts w:hint="eastAsia"/>
                <w:color w:val="auto"/>
                <w:szCs w:val="21"/>
                <w:lang w:val="en-US" w:eastAsia="zh-CN"/>
              </w:rPr>
              <w:t>55</w:t>
            </w:r>
          </w:p>
        </w:tc>
        <w:tc>
          <w:tcPr>
            <w:tcW w:w="1702" w:type="dxa"/>
            <w:noWrap w:val="0"/>
            <w:vAlign w:val="center"/>
          </w:tcPr>
          <w:p>
            <w:pPr>
              <w:pStyle w:val="45"/>
              <w:rPr>
                <w:color w:val="auto"/>
              </w:rPr>
            </w:pPr>
            <w:r>
              <w:rPr>
                <w:rFonts w:hint="eastAsia"/>
                <w:color w:val="auto"/>
                <w:szCs w:val="21"/>
                <w:lang w:val="en-US" w:eastAsia="zh-CN"/>
              </w:rPr>
              <w:t>55</w:t>
            </w:r>
          </w:p>
        </w:tc>
        <w:tc>
          <w:tcPr>
            <w:tcW w:w="1702" w:type="dxa"/>
            <w:noWrap w:val="0"/>
            <w:vAlign w:val="center"/>
          </w:tcPr>
          <w:p>
            <w:pPr>
              <w:pStyle w:val="45"/>
              <w:rPr>
                <w:color w:val="auto"/>
              </w:rPr>
            </w:pPr>
            <w:r>
              <w:rPr>
                <w:rFonts w:hint="eastAsia"/>
                <w:color w:val="auto"/>
                <w:szCs w:val="21"/>
                <w:lang w:val="en-US" w:eastAsia="zh-CN"/>
              </w:rPr>
              <w:t>55</w:t>
            </w:r>
          </w:p>
        </w:tc>
        <w:tc>
          <w:tcPr>
            <w:tcW w:w="1705" w:type="dxa"/>
            <w:noWrap w:val="0"/>
            <w:vAlign w:val="center"/>
          </w:tcPr>
          <w:p>
            <w:pPr>
              <w:pStyle w:val="45"/>
              <w:rPr>
                <w:color w:val="auto"/>
              </w:rPr>
            </w:pPr>
            <w:r>
              <w:rPr>
                <w:rFonts w:hint="eastAsia"/>
                <w:color w:val="auto"/>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gridSpan w:val="2"/>
            <w:noWrap w:val="0"/>
            <w:vAlign w:val="center"/>
          </w:tcPr>
          <w:p>
            <w:pPr>
              <w:pStyle w:val="45"/>
              <w:rPr>
                <w:color w:val="auto"/>
                <w:szCs w:val="21"/>
              </w:rPr>
            </w:pPr>
            <w:r>
              <w:rPr>
                <w:color w:val="auto"/>
                <w:szCs w:val="21"/>
              </w:rPr>
              <w:t>是否达标</w:t>
            </w:r>
          </w:p>
        </w:tc>
        <w:tc>
          <w:tcPr>
            <w:tcW w:w="999" w:type="pct"/>
            <w:noWrap w:val="0"/>
            <w:vAlign w:val="center"/>
          </w:tcPr>
          <w:p>
            <w:pPr>
              <w:pStyle w:val="45"/>
              <w:rPr>
                <w:color w:val="auto"/>
                <w:szCs w:val="21"/>
              </w:rPr>
            </w:pPr>
            <w:r>
              <w:rPr>
                <w:color w:val="auto"/>
                <w:szCs w:val="21"/>
              </w:rPr>
              <w:t>达标</w:t>
            </w:r>
          </w:p>
        </w:tc>
        <w:tc>
          <w:tcPr>
            <w:tcW w:w="999" w:type="pct"/>
            <w:noWrap w:val="0"/>
            <w:vAlign w:val="center"/>
          </w:tcPr>
          <w:p>
            <w:pPr>
              <w:jc w:val="center"/>
              <w:rPr>
                <w:color w:val="auto"/>
              </w:rPr>
            </w:pPr>
            <w:r>
              <w:rPr>
                <w:color w:val="auto"/>
              </w:rPr>
              <w:t>达标</w:t>
            </w:r>
          </w:p>
        </w:tc>
        <w:tc>
          <w:tcPr>
            <w:tcW w:w="999" w:type="pct"/>
            <w:noWrap w:val="0"/>
            <w:vAlign w:val="center"/>
          </w:tcPr>
          <w:p>
            <w:pPr>
              <w:jc w:val="center"/>
              <w:rPr>
                <w:color w:val="auto"/>
              </w:rPr>
            </w:pPr>
            <w:r>
              <w:rPr>
                <w:color w:val="auto"/>
              </w:rPr>
              <w:t>达标</w:t>
            </w:r>
          </w:p>
        </w:tc>
        <w:tc>
          <w:tcPr>
            <w:tcW w:w="1001" w:type="pct"/>
            <w:noWrap w:val="0"/>
            <w:vAlign w:val="center"/>
          </w:tcPr>
          <w:p>
            <w:pPr>
              <w:jc w:val="center"/>
              <w:rPr>
                <w:color w:val="auto"/>
              </w:rPr>
            </w:pPr>
            <w:r>
              <w:rPr>
                <w:color w:val="auto"/>
              </w:rPr>
              <w:t>达标</w:t>
            </w:r>
          </w:p>
        </w:tc>
      </w:tr>
    </w:tbl>
    <w:p>
      <w:pPr>
        <w:pStyle w:val="31"/>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从上表中噪声预测值可知，在采取了合理的降噪措施后，当本项目所有设备运行时，昼</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夜间的厂界噪声值均能满足《工业企业厂界环境噪声排放标准》（GB12348-2008）中3类标准的要求，且项目四周均为园区内道路</w:t>
      </w:r>
      <w:r>
        <w:rPr>
          <w:rFonts w:hint="eastAsia" w:ascii="Times New Roman" w:hAnsi="Times New Roman" w:eastAsia="宋体" w:cs="Times New Roman"/>
          <w:color w:val="auto"/>
          <w:szCs w:val="28"/>
          <w:u w:val="none" w:color="auto"/>
          <w:lang w:val="en-US" w:eastAsia="zh-CN"/>
        </w:rPr>
        <w:t>或工业企业</w:t>
      </w:r>
      <w:r>
        <w:rPr>
          <w:rFonts w:hint="default" w:ascii="Times New Roman" w:hAnsi="Times New Roman" w:cs="Times New Roman"/>
          <w:color w:val="auto"/>
          <w:szCs w:val="28"/>
          <w:u w:val="none" w:color="auto"/>
        </w:rPr>
        <w:t>，周边200m范围内无居民区、学校、医院等噪声敏感点，因此，本项目运营期对周边声环境质量影响不大。</w:t>
      </w:r>
    </w:p>
    <w:p>
      <w:pPr>
        <w:pStyle w:val="11"/>
        <w:bidi w:val="0"/>
        <w:spacing w:line="360" w:lineRule="auto"/>
        <w:ind w:left="851" w:hanging="851"/>
        <w:rPr>
          <w:rFonts w:hint="default" w:ascii="Times New Roman" w:hAnsi="Times New Roman" w:eastAsia="宋体"/>
          <w:color w:val="auto"/>
          <w:sz w:val="30"/>
          <w:szCs w:val="30"/>
          <w:lang w:eastAsia="zh-CN"/>
        </w:rPr>
      </w:pPr>
      <w:bookmarkStart w:id="76" w:name="bookmark74"/>
      <w:bookmarkEnd w:id="76"/>
      <w:r>
        <w:rPr>
          <w:rFonts w:hint="default" w:ascii="Times New Roman" w:hAnsi="Times New Roman" w:eastAsia="宋体"/>
          <w:color w:val="auto"/>
          <w:sz w:val="30"/>
          <w:szCs w:val="30"/>
          <w:lang w:eastAsia="zh-CN"/>
        </w:rPr>
        <w:t>运营期固体废物环境影响分析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本项目固废主要为职工生活垃圾、一般工业固废和危险固废。其中，生活垃圾由环卫部门清运</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废边角料、不合格产品经专门的单位收集后回收利用</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废交换树脂</w:t>
      </w:r>
      <w:r>
        <w:rPr>
          <w:rFonts w:hint="eastAsia" w:ascii="Times New Roman" w:hAnsi="Times New Roman" w:cs="Times New Roman"/>
          <w:color w:val="auto"/>
          <w:szCs w:val="28"/>
          <w:u w:val="none" w:color="auto"/>
          <w:lang w:val="en-US" w:eastAsia="zh-CN"/>
        </w:rPr>
        <w:t>由更换厂家直接带走</w:t>
      </w:r>
      <w:r>
        <w:rPr>
          <w:rFonts w:hint="default" w:ascii="Times New Roman" w:hAnsi="Times New Roman" w:cs="Times New Roman"/>
          <w:color w:val="auto"/>
          <w:szCs w:val="28"/>
          <w:u w:val="none" w:color="auto"/>
        </w:rPr>
        <w:t>；废油墨、废胶水、废原料桶、沾染性抹布属于危险废物，根据《危险废物贮存污染控制标准》</w:t>
      </w:r>
      <w:r>
        <w:rPr>
          <w:rFonts w:hint="eastAsia" w:ascii="Times New Roman" w:hAnsi="Times New Roman" w:eastAsia="宋体" w:cs="Times New Roman"/>
          <w:color w:val="auto"/>
          <w:szCs w:val="28"/>
          <w:u w:val="none" w:color="auto"/>
          <w:lang w:eastAsia="zh-CN"/>
        </w:rPr>
        <w:t>（GB18597-2023）</w:t>
      </w:r>
      <w:r>
        <w:rPr>
          <w:rFonts w:hint="default" w:ascii="Times New Roman" w:hAnsi="Times New Roman" w:cs="Times New Roman"/>
          <w:color w:val="auto"/>
          <w:szCs w:val="28"/>
          <w:u w:val="none" w:color="auto"/>
        </w:rPr>
        <w:t>中的相关规定，本项目需建设专门的危险废物贮存场所，并委托具有资质的单位进行处理（其中完好无损的废稀释剂桶交由原厂家</w:t>
      </w:r>
      <w:r>
        <w:rPr>
          <w:rFonts w:hint="eastAsia" w:ascii="Times New Roman" w:hAnsi="Times New Roman" w:eastAsia="宋体" w:cs="Times New Roman"/>
          <w:color w:val="auto"/>
          <w:szCs w:val="28"/>
          <w:u w:val="none" w:color="auto"/>
          <w:lang w:eastAsia="zh-CN"/>
        </w:rPr>
        <w:t>回收</w:t>
      </w:r>
      <w:r>
        <w:rPr>
          <w:rFonts w:hint="default" w:ascii="Times New Roman" w:hAnsi="Times New Roman" w:cs="Times New Roman"/>
          <w:color w:val="auto"/>
          <w:szCs w:val="28"/>
          <w:u w:val="none" w:color="auto"/>
        </w:rPr>
        <w:t>利用，部分破损导致厂家无法回收的需交由有资质单位处置），不得随意丢弃。项目产生固废得到综合处理和利用，对环境产生的影响较小。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本项目所产生的固体废物处理处置前在厂内的堆放、贮存场所应按照国家固体废物贮存有关要求设置，避免其对周围环境产生二次污染</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强化废物产生、收集、贮运各环节的管理，杜绝固废在厂区内的散失、渗漏</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做好固体废物在厂区内的收集和储存相关防护工作，收集后进行有效处置</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建立完善的规章制度，以降低固体废物散落对周围环境的影响。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因此，固体废物均得到了妥善处置和利用，本项目产生的固体废</w:t>
      </w:r>
      <w:r>
        <w:rPr>
          <w:rFonts w:hint="eastAsia" w:ascii="Times New Roman" w:hAnsi="Times New Roman" w:eastAsia="宋体" w:cs="Times New Roman"/>
          <w:color w:val="auto"/>
          <w:szCs w:val="28"/>
          <w:u w:val="none" w:color="auto"/>
          <w:lang w:val="en-US" w:eastAsia="zh-CN"/>
        </w:rPr>
        <w:t>物</w:t>
      </w:r>
      <w:r>
        <w:rPr>
          <w:rFonts w:hint="default" w:ascii="Times New Roman" w:hAnsi="Times New Roman" w:cs="Times New Roman"/>
          <w:color w:val="auto"/>
          <w:szCs w:val="28"/>
          <w:u w:val="none" w:color="auto"/>
        </w:rPr>
        <w:t>经有效处理和处置后对环境影响较小。</w:t>
      </w:r>
    </w:p>
    <w:p>
      <w:pPr>
        <w:pStyle w:val="11"/>
        <w:bidi w:val="0"/>
        <w:spacing w:line="360" w:lineRule="auto"/>
        <w:ind w:left="851" w:hanging="851"/>
        <w:rPr>
          <w:rFonts w:hint="default" w:ascii="Times New Roman" w:hAnsi="Times New Roman" w:eastAsia="宋体"/>
          <w:color w:val="auto"/>
          <w:sz w:val="30"/>
          <w:szCs w:val="30"/>
          <w:lang w:eastAsia="zh-CN"/>
        </w:rPr>
      </w:pPr>
      <w:bookmarkStart w:id="77" w:name="bookmark76"/>
      <w:bookmarkEnd w:id="77"/>
      <w:r>
        <w:rPr>
          <w:rFonts w:hint="default" w:ascii="Times New Roman" w:hAnsi="Times New Roman" w:eastAsia="宋体"/>
          <w:color w:val="auto"/>
          <w:sz w:val="30"/>
          <w:szCs w:val="30"/>
          <w:lang w:eastAsia="zh-CN"/>
        </w:rPr>
        <w:t>土壤环境影响分析</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根据对照《环境影响评价技术导则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土壤环境（试行）》（HJ964-2018）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附录A表A1，本项目为塑料软包装卷膜及袋包生产项目，根据附录A属于</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其他行业</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，为Ⅳ类项目，可不开展土壤环境影响评价。且本项目重点污染区（有机物原料库及危废库）拟全部硬化并进行树脂防渗处理，在</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严格控制各含有机物原料及危险废物贮存和转运过程，避免露天堆存和沿途撒落，同时加强有机物原料库及危险废物暂存间的日常管理与维护的前提下，本项目生产运营过程中基本不存在垂直入渗及地表漫流现象，对土壤环境造成不利影响的可能性很小。</w:t>
      </w:r>
    </w:p>
    <w:p>
      <w:pPr>
        <w:pStyle w:val="31"/>
        <w:keepNext w:val="0"/>
        <w:keepLines w:val="0"/>
        <w:pageBreakBefore w:val="0"/>
        <w:widowControl w:val="0"/>
        <w:kinsoku w:val="0"/>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因此，本环评不对其土壤环境影响进行详细分析，仅简要提出工程建设的土壤污染防治措施（详见第</w:t>
      </w:r>
      <w:r>
        <w:rPr>
          <w:rFonts w:hint="eastAsia" w:ascii="Times New Roman" w:hAnsi="Times New Roman" w:eastAsia="宋体" w:cs="Times New Roman"/>
          <w:color w:val="auto"/>
          <w:szCs w:val="28"/>
          <w:u w:val="none" w:color="auto"/>
          <w:lang w:val="en-US" w:eastAsia="zh-CN"/>
        </w:rPr>
        <w:t>八</w:t>
      </w:r>
      <w:r>
        <w:rPr>
          <w:rFonts w:hint="default" w:ascii="Times New Roman" w:hAnsi="Times New Roman" w:cs="Times New Roman"/>
          <w:color w:val="auto"/>
          <w:szCs w:val="28"/>
          <w:u w:val="none" w:color="auto"/>
        </w:rPr>
        <w:t>章）。</w:t>
      </w:r>
    </w:p>
    <w:p>
      <w:pPr>
        <w:pStyle w:val="11"/>
        <w:bidi w:val="0"/>
        <w:spacing w:line="360" w:lineRule="auto"/>
        <w:ind w:left="851" w:hanging="851"/>
        <w:rPr>
          <w:rFonts w:hint="default" w:ascii="Times New Roman" w:hAnsi="Times New Roman" w:eastAsia="宋体"/>
          <w:color w:val="auto"/>
          <w:sz w:val="30"/>
          <w:szCs w:val="30"/>
          <w:lang w:eastAsia="zh-CN"/>
        </w:rPr>
      </w:pPr>
      <w:bookmarkStart w:id="78" w:name="bookmark78"/>
      <w:bookmarkEnd w:id="78"/>
      <w:r>
        <w:rPr>
          <w:rFonts w:hint="default" w:ascii="Times New Roman" w:hAnsi="Times New Roman" w:eastAsia="宋体"/>
          <w:color w:val="auto"/>
          <w:sz w:val="30"/>
          <w:szCs w:val="30"/>
          <w:lang w:eastAsia="zh-CN"/>
        </w:rPr>
        <w:t>生态环境影响分析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为园区工业用地，项目占地现状为已建好厂房，不占用耕地，项目的建设对区域生态环境影响较小。拟建项目营运后，项目建设不会使区域土地利用格局发生改变。因此，本项目的实施不会对区域生态环境造成明显影响。</w:t>
      </w:r>
    </w:p>
    <w:p>
      <w:pPr>
        <w:spacing w:line="355" w:lineRule="auto"/>
        <w:rPr>
          <w:rFonts w:ascii="宋体" w:hAnsi="宋体" w:eastAsia="宋体" w:cs="宋体"/>
          <w:color w:val="auto"/>
          <w:sz w:val="24"/>
          <w:szCs w:val="24"/>
        </w:rPr>
        <w:sectPr>
          <w:pgSz w:w="11905" w:h="16839"/>
          <w:pgMar w:top="1440" w:right="1803" w:bottom="1440" w:left="1803" w:header="0" w:footer="821"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79" w:name="bookmark82"/>
      <w:bookmarkEnd w:id="79"/>
      <w:bookmarkStart w:id="80" w:name="bookmark80"/>
      <w:bookmarkEnd w:id="80"/>
      <w:bookmarkStart w:id="81" w:name="_Toc14687"/>
      <w:r>
        <w:rPr>
          <w:rFonts w:hint="default" w:ascii="Times New Roman" w:hAnsi="Times New Roman" w:cs="Times New Roman" w:eastAsiaTheme="majorEastAsia"/>
          <w:color w:val="auto"/>
          <w:sz w:val="36"/>
          <w:szCs w:val="36"/>
        </w:rPr>
        <w:t>环境风险分析</w:t>
      </w:r>
      <w:bookmarkEnd w:id="81"/>
    </w:p>
    <w:p>
      <w:pPr>
        <w:pStyle w:val="10"/>
        <w:bidi w:val="0"/>
        <w:spacing w:line="360" w:lineRule="auto"/>
        <w:rPr>
          <w:rFonts w:hint="default" w:ascii="Times New Roman" w:hAnsi="Times New Roman" w:cs="Times New Roman"/>
          <w:color w:val="auto"/>
          <w:sz w:val="32"/>
          <w:szCs w:val="32"/>
        </w:rPr>
      </w:pPr>
      <w:bookmarkStart w:id="82" w:name="_Toc31558"/>
      <w:r>
        <w:rPr>
          <w:rFonts w:hint="default" w:ascii="Times New Roman" w:hAnsi="Times New Roman" w:cs="Times New Roman"/>
          <w:color w:val="auto"/>
          <w:sz w:val="32"/>
          <w:szCs w:val="32"/>
        </w:rPr>
        <w:t>评价目的及重点</w:t>
      </w:r>
      <w:bookmarkEnd w:id="82"/>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依据《关于进一步加强环境影响评价管理防范环境风险的通知》（环发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77号）、《关于切实加强风险防范严格环境影响评价管理的通知》（环发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98号）及《建设项目环境风险评价技术导则》（HJ169-2018）等有关文件的精神和要求，确定本次进行环境风险评价和管理的主要目的和评价重点。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评价目的：从环境风险评价的角度进一步论证拟选厂址的环境可行性；根据项目工程特点，对生产、物料储存及运输等过程中存在的各种事故风险因素进行识别；针对可能发生的主要事故分析，预测有毒、易燃、易爆物质泄漏到环境中所导致的后果（包括自然环境和社会环境），以及应采取的缓解措施；有针对性地提出切实可行的事故应急处理计划和应急预案，完善安全设计，以此指导设计和生产，减少或控制建设项目的事故发生频率，减轻事故风险对环境和社会的危害，以合理的成本实现安全生产；制定适合建设项目特点的事故应急预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评价重点：事故分析。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环境风险评价是对建设项目在失控状态下产生的突发性、不确定性和随机性灾害事故进行评价。以及对建设项目在运营期间发生的可预测突发性事件或事故</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一般不包括人为破坏及自然灾害</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引起有毒、有害、易燃易爆等物质泄漏，或突发事件产生的新的有毒有害物质，所造成的对人身安全与环境的影响和损害进行评估，提出防范、应急与减缓措施。</w:t>
      </w:r>
    </w:p>
    <w:p>
      <w:pPr>
        <w:pStyle w:val="10"/>
        <w:bidi w:val="0"/>
        <w:spacing w:line="360" w:lineRule="auto"/>
        <w:rPr>
          <w:rFonts w:hint="default" w:ascii="Times New Roman" w:hAnsi="Times New Roman" w:cs="Times New Roman"/>
          <w:color w:val="auto"/>
          <w:sz w:val="32"/>
          <w:szCs w:val="32"/>
        </w:rPr>
      </w:pPr>
      <w:bookmarkStart w:id="83" w:name="bookmark84"/>
      <w:bookmarkEnd w:id="83"/>
      <w:bookmarkStart w:id="84" w:name="_Toc12704"/>
      <w:r>
        <w:rPr>
          <w:rFonts w:hint="default" w:ascii="Times New Roman" w:hAnsi="Times New Roman" w:cs="Times New Roman"/>
          <w:color w:val="auto"/>
          <w:sz w:val="32"/>
          <w:szCs w:val="32"/>
        </w:rPr>
        <w:t>风险调查与识别</w:t>
      </w:r>
      <w:bookmarkEnd w:id="84"/>
    </w:p>
    <w:p>
      <w:pPr>
        <w:pStyle w:val="11"/>
        <w:bidi w:val="0"/>
        <w:spacing w:line="360" w:lineRule="auto"/>
        <w:ind w:left="851" w:hanging="851"/>
        <w:rPr>
          <w:color w:val="auto"/>
          <w:sz w:val="30"/>
          <w:szCs w:val="30"/>
        </w:rPr>
      </w:pPr>
      <w:r>
        <w:rPr>
          <w:color w:val="auto"/>
          <w:sz w:val="30"/>
          <w:szCs w:val="30"/>
        </w:rPr>
        <w:t>风险源调查</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参照《危险化学品重大危险源</w:t>
      </w:r>
      <w:r>
        <w:rPr>
          <w:rFonts w:hint="eastAsia" w:ascii="Times New Roman" w:hAnsi="Times New Roman" w:eastAsia="宋体" w:cs="Times New Roman"/>
          <w:color w:val="auto"/>
          <w:szCs w:val="28"/>
          <w:u w:val="none" w:color="auto"/>
          <w:lang w:eastAsia="zh-CN"/>
        </w:rPr>
        <w:t>辨</w:t>
      </w:r>
      <w:r>
        <w:rPr>
          <w:rFonts w:hint="default" w:ascii="Times New Roman" w:hAnsi="Times New Roman" w:cs="Times New Roman"/>
          <w:color w:val="auto"/>
          <w:szCs w:val="28"/>
          <w:u w:val="none" w:color="auto"/>
        </w:rPr>
        <w:t>识》（GB18218-2009）及《建设项目环境风险评价技术导则》（HJ169-2018），本项目生产过程中</w:t>
      </w:r>
      <w:r>
        <w:rPr>
          <w:rFonts w:hint="eastAsia" w:ascii="Times New Roman" w:hAnsi="Times New Roman" w:eastAsia="宋体" w:cs="Times New Roman"/>
          <w:color w:val="auto"/>
          <w:szCs w:val="28"/>
          <w:u w:val="none" w:color="auto"/>
          <w:lang w:eastAsia="zh-CN"/>
        </w:rPr>
        <w:t>涉及的</w:t>
      </w:r>
      <w:r>
        <w:rPr>
          <w:rFonts w:hint="default" w:ascii="Times New Roman" w:hAnsi="Times New Roman" w:cs="Times New Roman"/>
          <w:color w:val="auto"/>
          <w:szCs w:val="28"/>
          <w:u w:val="none" w:color="auto"/>
        </w:rPr>
        <w:t>具有易燃易爆、有毒有害等特性，会对环境造成危害的危险物质主要有乙酸乙酯、正丙酯、异丙醇、油墨、聚氨酯胶水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液化天然气</w:t>
      </w:r>
      <w:r>
        <w:rPr>
          <w:rFonts w:hint="default" w:ascii="Times New Roman" w:hAnsi="Times New Roman" w:cs="Times New Roman"/>
          <w:color w:val="auto"/>
          <w:szCs w:val="28"/>
          <w:u w:val="none" w:color="auto"/>
        </w:rPr>
        <w:t>，详见下表。</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本项目涉及的危险物质调查一览表</w:t>
      </w:r>
    </w:p>
    <w:tbl>
      <w:tblPr>
        <w:tblStyle w:val="29"/>
        <w:tblpPr w:leftFromText="180" w:rightFromText="180" w:vertAnchor="text" w:horzAnchor="page" w:tblpX="1884" w:tblpY="10"/>
        <w:tblOverlap w:val="never"/>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28"/>
        <w:gridCol w:w="1403"/>
        <w:gridCol w:w="1993"/>
        <w:gridCol w:w="1768"/>
        <w:gridCol w:w="253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77"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lang w:val="en-US" w:eastAsia="zh-CN"/>
              </w:rPr>
              <w:t>序</w:t>
            </w:r>
            <w:r>
              <w:rPr>
                <w:rFonts w:hint="default" w:ascii="Times New Roman" w:hAnsi="Times New Roman" w:cs="Times New Roman"/>
                <w:b/>
                <w:bCs/>
                <w:color w:val="auto"/>
                <w:spacing w:val="-3"/>
                <w:sz w:val="21"/>
                <w:szCs w:val="21"/>
              </w:rPr>
              <w:t>号</w:t>
            </w:r>
          </w:p>
        </w:tc>
        <w:tc>
          <w:tcPr>
            <w:tcW w:w="8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9"/>
                <w:sz w:val="21"/>
                <w:szCs w:val="21"/>
              </w:rPr>
              <w:t>物质名称</w:t>
            </w:r>
          </w:p>
        </w:tc>
        <w:tc>
          <w:tcPr>
            <w:tcW w:w="119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9"/>
                <w:position w:val="2"/>
                <w:sz w:val="21"/>
                <w:szCs w:val="21"/>
              </w:rPr>
              <w:t>存储形式</w:t>
            </w:r>
            <w:r>
              <w:rPr>
                <w:rFonts w:hint="default" w:ascii="Times New Roman" w:hAnsi="Times New Roman" w:eastAsia="Calibri" w:cs="Times New Roman"/>
                <w:b/>
                <w:bCs/>
                <w:color w:val="auto"/>
                <w:spacing w:val="9"/>
                <w:position w:val="2"/>
                <w:sz w:val="21"/>
                <w:szCs w:val="21"/>
              </w:rPr>
              <w:t>/</w:t>
            </w:r>
            <w:r>
              <w:rPr>
                <w:rFonts w:hint="default" w:ascii="Times New Roman" w:hAnsi="Times New Roman" w:cs="Times New Roman"/>
                <w:b/>
                <w:bCs/>
                <w:color w:val="auto"/>
                <w:spacing w:val="9"/>
                <w:position w:val="2"/>
                <w:sz w:val="21"/>
                <w:szCs w:val="21"/>
              </w:rPr>
              <w:t>容器材质</w:t>
            </w:r>
          </w:p>
        </w:tc>
        <w:tc>
          <w:tcPr>
            <w:tcW w:w="106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9"/>
                <w:sz w:val="21"/>
                <w:szCs w:val="21"/>
              </w:rPr>
              <w:t>存在位置</w:t>
            </w:r>
          </w:p>
        </w:tc>
        <w:tc>
          <w:tcPr>
            <w:tcW w:w="15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position w:val="2"/>
                <w:sz w:val="21"/>
                <w:szCs w:val="21"/>
              </w:rPr>
              <w:t>用途</w:t>
            </w:r>
            <w:r>
              <w:rPr>
                <w:rFonts w:hint="default" w:ascii="Times New Roman" w:hAnsi="Times New Roman" w:eastAsia="Calibri" w:cs="Times New Roman"/>
                <w:b/>
                <w:bCs/>
                <w:color w:val="auto"/>
                <w:spacing w:val="6"/>
                <w:position w:val="2"/>
                <w:sz w:val="21"/>
                <w:szCs w:val="21"/>
              </w:rPr>
              <w:t>/</w:t>
            </w:r>
            <w:r>
              <w:rPr>
                <w:rFonts w:hint="default" w:ascii="Times New Roman" w:hAnsi="Times New Roman" w:cs="Times New Roman"/>
                <w:b/>
                <w:bCs/>
                <w:color w:val="auto"/>
                <w:spacing w:val="6"/>
                <w:position w:val="2"/>
                <w:sz w:val="21"/>
                <w:szCs w:val="21"/>
              </w:rPr>
              <w:t>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77"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8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乙酸乙酯</w:t>
            </w:r>
          </w:p>
        </w:tc>
        <w:tc>
          <w:tcPr>
            <w:tcW w:w="119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液态、桶装</w:t>
            </w:r>
          </w:p>
        </w:tc>
        <w:tc>
          <w:tcPr>
            <w:tcW w:w="1061"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VOCs</w:t>
            </w:r>
            <w:r>
              <w:rPr>
                <w:rFonts w:hint="default" w:ascii="Times New Roman" w:hAnsi="Times New Roman" w:cs="Times New Roman"/>
                <w:color w:val="auto"/>
                <w:spacing w:val="11"/>
                <w:sz w:val="21"/>
                <w:szCs w:val="21"/>
              </w:rPr>
              <w:t>物料贮存区</w:t>
            </w:r>
            <w:r>
              <w:rPr>
                <w:rFonts w:hint="default" w:ascii="Times New Roman" w:hAnsi="Times New Roman" w:cs="Times New Roman"/>
                <w:color w:val="auto"/>
                <w:spacing w:val="-1"/>
                <w:sz w:val="21"/>
                <w:szCs w:val="21"/>
              </w:rPr>
              <w:t>（原料库）、危废</w:t>
            </w:r>
            <w:r>
              <w:rPr>
                <w:rFonts w:hint="default" w:ascii="Times New Roman" w:hAnsi="Times New Roman" w:cs="Times New Roman"/>
                <w:color w:val="auto"/>
                <w:spacing w:val="-23"/>
                <w:sz w:val="21"/>
                <w:szCs w:val="21"/>
              </w:rPr>
              <w:t>暂存区（危废间）、</w:t>
            </w:r>
            <w:r>
              <w:rPr>
                <w:rFonts w:hint="default" w:ascii="Times New Roman" w:hAnsi="Times New Roman" w:cs="Times New Roman"/>
                <w:color w:val="auto"/>
                <w:spacing w:val="6"/>
                <w:sz w:val="21"/>
                <w:szCs w:val="21"/>
              </w:rPr>
              <w:t>生产车间</w:t>
            </w:r>
          </w:p>
        </w:tc>
        <w:tc>
          <w:tcPr>
            <w:tcW w:w="15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油墨稀释剂、聚氨酯胶水稀释剂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77"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8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正丙酯</w:t>
            </w:r>
          </w:p>
        </w:tc>
        <w:tc>
          <w:tcPr>
            <w:tcW w:w="119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液态、桶装</w:t>
            </w:r>
          </w:p>
        </w:tc>
        <w:tc>
          <w:tcPr>
            <w:tcW w:w="106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5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油墨稀释剂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77"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8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异丙醇</w:t>
            </w:r>
          </w:p>
        </w:tc>
        <w:tc>
          <w:tcPr>
            <w:tcW w:w="119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液态、桶装</w:t>
            </w:r>
          </w:p>
        </w:tc>
        <w:tc>
          <w:tcPr>
            <w:tcW w:w="106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5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油墨稀释剂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77"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8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油墨</w:t>
            </w:r>
          </w:p>
        </w:tc>
        <w:tc>
          <w:tcPr>
            <w:tcW w:w="119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液态、桶装</w:t>
            </w:r>
          </w:p>
        </w:tc>
        <w:tc>
          <w:tcPr>
            <w:tcW w:w="106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5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印刷油墨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77"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w:t>
            </w:r>
          </w:p>
        </w:tc>
        <w:tc>
          <w:tcPr>
            <w:tcW w:w="8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聚氨酯胶水</w:t>
            </w:r>
          </w:p>
        </w:tc>
        <w:tc>
          <w:tcPr>
            <w:tcW w:w="119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液态、桶</w:t>
            </w:r>
            <w:r>
              <w:rPr>
                <w:rFonts w:hint="default" w:ascii="Times New Roman" w:hAnsi="Times New Roman" w:cs="Times New Roman"/>
                <w:color w:val="auto"/>
                <w:spacing w:val="8"/>
                <w:sz w:val="21"/>
                <w:szCs w:val="21"/>
              </w:rPr>
              <w:t>装</w:t>
            </w:r>
          </w:p>
        </w:tc>
        <w:tc>
          <w:tcPr>
            <w:tcW w:w="106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5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复合用胶水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77"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8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液化天然气</w:t>
            </w:r>
          </w:p>
        </w:tc>
        <w:tc>
          <w:tcPr>
            <w:tcW w:w="1196"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7"/>
                <w:sz w:val="21"/>
                <w:szCs w:val="21"/>
                <w:lang w:val="en-US" w:eastAsia="zh-CN"/>
              </w:rPr>
            </w:pPr>
            <w:r>
              <w:rPr>
                <w:rFonts w:hint="default" w:ascii="Times New Roman" w:hAnsi="Times New Roman" w:cs="Times New Roman"/>
                <w:color w:val="auto"/>
                <w:spacing w:val="7"/>
                <w:sz w:val="21"/>
                <w:szCs w:val="21"/>
              </w:rPr>
              <w:t>液态、</w:t>
            </w:r>
            <w:r>
              <w:rPr>
                <w:rFonts w:hint="eastAsia" w:ascii="Times New Roman" w:hAnsi="Times New Roman" w:cs="Times New Roman"/>
                <w:color w:val="auto"/>
                <w:spacing w:val="7"/>
                <w:sz w:val="21"/>
                <w:szCs w:val="21"/>
                <w:lang w:val="en-US" w:eastAsia="zh-CN"/>
              </w:rPr>
              <w:t>储罐</w:t>
            </w:r>
          </w:p>
        </w:tc>
        <w:tc>
          <w:tcPr>
            <w:tcW w:w="1061"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highlight w:val="none"/>
              </w:rPr>
              <w:t>RTO</w:t>
            </w:r>
            <w:r>
              <w:rPr>
                <w:rFonts w:hint="eastAsia" w:ascii="Times New Roman" w:hAnsi="Times New Roman" w:eastAsia="宋体" w:cs="Times New Roman"/>
                <w:color w:val="auto"/>
                <w:sz w:val="21"/>
                <w:szCs w:val="21"/>
                <w:highlight w:val="none"/>
                <w:lang w:val="en-US" w:eastAsia="zh-CN"/>
              </w:rPr>
              <w:t>天然气储罐区</w:t>
            </w:r>
          </w:p>
        </w:tc>
        <w:tc>
          <w:tcPr>
            <w:tcW w:w="152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7"/>
                <w:sz w:val="21"/>
                <w:szCs w:val="21"/>
              </w:rPr>
            </w:pPr>
            <w:r>
              <w:rPr>
                <w:rFonts w:hint="default" w:ascii="Times New Roman" w:hAnsi="Times New Roman" w:eastAsia="Calibri" w:cs="Times New Roman"/>
                <w:color w:val="auto"/>
                <w:sz w:val="21"/>
                <w:szCs w:val="21"/>
                <w:highlight w:val="none"/>
              </w:rPr>
              <w:t>RTO</w:t>
            </w:r>
            <w:r>
              <w:rPr>
                <w:rFonts w:hint="default" w:ascii="Times New Roman" w:hAnsi="Times New Roman" w:cs="Times New Roman"/>
                <w:color w:val="auto"/>
                <w:spacing w:val="7"/>
                <w:sz w:val="21"/>
                <w:szCs w:val="21"/>
                <w:highlight w:val="none"/>
              </w:rPr>
              <w:t>蓄热燃烧装置，</w:t>
            </w:r>
            <w:r>
              <w:rPr>
                <w:rFonts w:hint="default" w:ascii="Times New Roman" w:hAnsi="Times New Roman" w:cs="Times New Roman"/>
                <w:color w:val="auto"/>
                <w:spacing w:val="3"/>
                <w:sz w:val="21"/>
                <w:szCs w:val="21"/>
                <w:highlight w:val="none"/>
              </w:rPr>
              <w:t>助燃</w:t>
            </w:r>
          </w:p>
        </w:tc>
      </w:tr>
    </w:tbl>
    <w:p>
      <w:pPr>
        <w:spacing w:line="26" w:lineRule="exact"/>
        <w:rPr>
          <w:color w:val="auto"/>
        </w:rPr>
      </w:pPr>
    </w:p>
    <w:p>
      <w:pPr>
        <w:pStyle w:val="11"/>
        <w:keepNext w:val="0"/>
        <w:keepLines w:val="0"/>
        <w:pageBreakBefore w:val="0"/>
        <w:widowControl/>
        <w:kinsoku w:val="0"/>
        <w:wordWrap/>
        <w:overflowPunct/>
        <w:topLinePunct w:val="0"/>
        <w:autoSpaceDE w:val="0"/>
        <w:autoSpaceDN w:val="0"/>
        <w:bidi w:val="0"/>
        <w:adjustRightInd w:val="0"/>
        <w:snapToGrid w:val="0"/>
        <w:spacing w:before="0" w:beforeLines="30" w:line="360" w:lineRule="auto"/>
        <w:ind w:left="850" w:hanging="850"/>
        <w:textAlignment w:val="baseline"/>
        <w:rPr>
          <w:color w:val="auto"/>
          <w:sz w:val="30"/>
          <w:szCs w:val="30"/>
        </w:rPr>
      </w:pPr>
      <w:r>
        <w:rPr>
          <w:color w:val="auto"/>
          <w:sz w:val="30"/>
          <w:szCs w:val="30"/>
        </w:rPr>
        <w:t>风险识别</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根据《建设项目环境风险评价技术导则》（HJ169-2018）规定，风险识别包括：物质危险性识别、生产系统危险性识别、危险物质向环境转移的途径识别等。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（1）物质危险性识别</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包括主要原辅材料、燃料、中间产品、副产品、最终产品、污染物、火灾和爆炸伴生/次生物等。根据上述风险源调查可知，本项目涉及的主要风险物质是异丙醇、乙酸乙酯、正丙酯、油墨</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聚氨酯胶水和</w:t>
      </w:r>
      <w:r>
        <w:rPr>
          <w:rFonts w:hint="eastAsia" w:ascii="Times New Roman" w:hAnsi="Times New Roman" w:cs="Times New Roman"/>
          <w:color w:val="auto"/>
          <w:szCs w:val="28"/>
          <w:u w:val="none" w:color="auto"/>
          <w:lang w:val="en-US" w:eastAsia="zh-CN"/>
        </w:rPr>
        <w:t>液化天然气</w:t>
      </w:r>
      <w:r>
        <w:rPr>
          <w:rFonts w:hint="default" w:ascii="Times New Roman" w:hAnsi="Times New Roman" w:cs="Times New Roman"/>
          <w:color w:val="auto"/>
          <w:szCs w:val="28"/>
          <w:u w:val="none" w:color="auto"/>
        </w:rPr>
        <w:t>，其危险特性判定见表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.2-2~</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.2-</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乙酸乙酯理化性质和危险特性</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91"/>
        <w:gridCol w:w="2647"/>
        <w:gridCol w:w="691"/>
        <w:gridCol w:w="1579"/>
        <w:gridCol w:w="30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标识</w:t>
            </w:r>
          </w:p>
        </w:tc>
        <w:tc>
          <w:tcPr>
            <w:tcW w:w="2004"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中文名：醋酸乙酯；乙酸乙酯</w:t>
            </w:r>
          </w:p>
        </w:tc>
        <w:tc>
          <w:tcPr>
            <w:tcW w:w="2760"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1"/>
                <w:sz w:val="21"/>
                <w:szCs w:val="21"/>
              </w:rPr>
              <w:t>英文名：</w:t>
            </w:r>
            <w:r>
              <w:rPr>
                <w:rFonts w:hint="default" w:ascii="Times New Roman" w:hAnsi="Times New Roman" w:eastAsia="Calibri" w:cs="Times New Roman"/>
                <w:color w:val="auto"/>
                <w:sz w:val="21"/>
                <w:szCs w:val="21"/>
              </w:rPr>
              <w:t>ethylacetate</w:t>
            </w:r>
            <w:r>
              <w:rPr>
                <w:rFonts w:hint="eastAsia" w:ascii="Times New Roman" w:hAnsi="Times New Roman" w:eastAsia="宋体" w:cs="Times New Roman"/>
                <w:color w:val="auto"/>
                <w:spacing w:val="11"/>
                <w:sz w:val="21"/>
                <w:szCs w:val="21"/>
                <w:lang w:eastAsia="zh-CN"/>
              </w:rPr>
              <w:t>；</w:t>
            </w:r>
            <w:r>
              <w:rPr>
                <w:rFonts w:hint="default" w:ascii="Times New Roman" w:hAnsi="Times New Roman" w:eastAsia="Calibri" w:cs="Times New Roman"/>
                <w:color w:val="auto"/>
                <w:sz w:val="21"/>
                <w:szCs w:val="21"/>
              </w:rPr>
              <w:t>aceticester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分子式：</w:t>
            </w:r>
            <w:r>
              <w:rPr>
                <w:rFonts w:hint="default" w:ascii="Times New Roman" w:hAnsi="Times New Roman" w:eastAsia="Calibri" w:cs="Times New Roman"/>
                <w:color w:val="auto"/>
                <w:spacing w:val="2"/>
                <w:sz w:val="21"/>
                <w:szCs w:val="21"/>
              </w:rPr>
              <w:t>C</w:t>
            </w:r>
            <w:r>
              <w:rPr>
                <w:rFonts w:hint="default" w:ascii="Times New Roman" w:hAnsi="Times New Roman" w:eastAsia="Calibri" w:cs="Times New Roman"/>
                <w:color w:val="auto"/>
                <w:spacing w:val="2"/>
                <w:position w:val="-1"/>
                <w:sz w:val="21"/>
                <w:szCs w:val="21"/>
                <w:vertAlign w:val="subscript"/>
              </w:rPr>
              <w:t>4</w:t>
            </w:r>
            <w:r>
              <w:rPr>
                <w:rFonts w:hint="default" w:ascii="Times New Roman" w:hAnsi="Times New Roman" w:eastAsia="Calibri" w:cs="Times New Roman"/>
                <w:color w:val="auto"/>
                <w:spacing w:val="2"/>
                <w:sz w:val="21"/>
                <w:szCs w:val="21"/>
              </w:rPr>
              <w:t>H</w:t>
            </w:r>
            <w:r>
              <w:rPr>
                <w:rFonts w:hint="default" w:ascii="Times New Roman" w:hAnsi="Times New Roman" w:eastAsia="Calibri" w:cs="Times New Roman"/>
                <w:color w:val="auto"/>
                <w:spacing w:val="2"/>
                <w:position w:val="-1"/>
                <w:sz w:val="21"/>
                <w:szCs w:val="21"/>
                <w:vertAlign w:val="subscript"/>
              </w:rPr>
              <w:t>8</w:t>
            </w:r>
            <w:r>
              <w:rPr>
                <w:rFonts w:hint="default" w:ascii="Times New Roman" w:hAnsi="Times New Roman" w:eastAsia="Calibri" w:cs="Times New Roman"/>
                <w:color w:val="auto"/>
                <w:spacing w:val="2"/>
                <w:sz w:val="21"/>
                <w:szCs w:val="21"/>
              </w:rPr>
              <w:t>O</w:t>
            </w:r>
            <w:r>
              <w:rPr>
                <w:rFonts w:hint="default" w:ascii="Times New Roman" w:hAnsi="Times New Roman" w:eastAsia="Calibri" w:cs="Times New Roman"/>
                <w:color w:val="auto"/>
                <w:spacing w:val="2"/>
                <w:position w:val="-1"/>
                <w:sz w:val="21"/>
                <w:szCs w:val="21"/>
                <w:vertAlign w:val="subscript"/>
              </w:rPr>
              <w:t>2</w:t>
            </w:r>
          </w:p>
        </w:tc>
        <w:tc>
          <w:tcPr>
            <w:tcW w:w="1363"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分子量：</w:t>
            </w:r>
            <w:r>
              <w:rPr>
                <w:rFonts w:hint="default" w:ascii="Times New Roman" w:hAnsi="Times New Roman" w:eastAsia="Calibri" w:cs="Times New Roman"/>
                <w:color w:val="auto"/>
                <w:spacing w:val="4"/>
                <w:sz w:val="21"/>
                <w:szCs w:val="21"/>
              </w:rPr>
              <w:t>88.10</w:t>
            </w:r>
          </w:p>
        </w:tc>
        <w:tc>
          <w:tcPr>
            <w:tcW w:w="1811"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CAS</w:t>
            </w:r>
            <w:r>
              <w:rPr>
                <w:rFonts w:hint="default" w:ascii="Times New Roman" w:hAnsi="Times New Roman" w:cs="Times New Roman"/>
                <w:color w:val="auto"/>
                <w:spacing w:val="4"/>
                <w:sz w:val="21"/>
                <w:szCs w:val="21"/>
              </w:rPr>
              <w:t>号：</w:t>
            </w:r>
            <w:r>
              <w:rPr>
                <w:rFonts w:hint="default" w:ascii="Times New Roman" w:hAnsi="Times New Roman" w:eastAsia="Calibri" w:cs="Times New Roman"/>
                <w:color w:val="auto"/>
                <w:spacing w:val="4"/>
                <w:sz w:val="21"/>
                <w:szCs w:val="21"/>
              </w:rPr>
              <w:t>141</w:t>
            </w:r>
            <w:r>
              <w:rPr>
                <w:rFonts w:hint="eastAsia" w:ascii="Times New Roman" w:hAnsi="Times New Roman" w:eastAsia="宋体" w:cs="Times New Roman"/>
                <w:color w:val="auto"/>
                <w:spacing w:val="4"/>
                <w:sz w:val="21"/>
                <w:szCs w:val="21"/>
                <w:lang w:val="en-US" w:eastAsia="zh-CN"/>
              </w:rPr>
              <w:t>-</w:t>
            </w:r>
            <w:r>
              <w:rPr>
                <w:rFonts w:hint="default" w:ascii="Times New Roman" w:hAnsi="Times New Roman" w:eastAsia="Calibri" w:cs="Times New Roman"/>
                <w:color w:val="auto"/>
                <w:spacing w:val="4"/>
                <w:sz w:val="21"/>
                <w:szCs w:val="21"/>
              </w:rPr>
              <w:t>78</w:t>
            </w:r>
            <w:r>
              <w:rPr>
                <w:rFonts w:hint="eastAsia" w:ascii="Times New Roman" w:hAnsi="Times New Roman" w:eastAsia="宋体" w:cs="Times New Roman"/>
                <w:color w:val="auto"/>
                <w:spacing w:val="4"/>
                <w:sz w:val="21"/>
                <w:szCs w:val="21"/>
                <w:lang w:val="en-US" w:eastAsia="zh-CN"/>
              </w:rPr>
              <w:t>-</w:t>
            </w:r>
            <w:r>
              <w:rPr>
                <w:rFonts w:hint="default" w:ascii="Times New Roman" w:hAnsi="Times New Roman" w:eastAsia="Calibri" w:cs="Times New Roman"/>
                <w:color w:val="auto"/>
                <w:spacing w:val="4"/>
                <w:sz w:val="21"/>
                <w:szCs w:val="21"/>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危规号：</w:t>
            </w:r>
            <w:r>
              <w:rPr>
                <w:rFonts w:hint="default" w:ascii="Times New Roman" w:hAnsi="Times New Roman" w:eastAsia="Calibri" w:cs="Times New Roman"/>
                <w:color w:val="auto"/>
                <w:spacing w:val="4"/>
                <w:sz w:val="21"/>
                <w:szCs w:val="21"/>
              </w:rPr>
              <w:t>32127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理化性质</w:t>
            </w: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性状：无色澄清液体，有芳香气味，易挥发。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溶解性：微溶于水、溶于醇、酮、醚氯仿等多数有机溶剂。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熔点</w:t>
            </w:r>
            <w:r>
              <w:rPr>
                <w:rFonts w:hint="default"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rPr>
              <w:t>℃</w:t>
            </w:r>
            <w:r>
              <w:rPr>
                <w:rFonts w:hint="default"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rPr>
              <w:t>-</w:t>
            </w:r>
            <w:r>
              <w:rPr>
                <w:rFonts w:hint="default" w:ascii="Times New Roman" w:hAnsi="Times New Roman" w:eastAsia="Calibri" w:cs="Times New Roman"/>
                <w:color w:val="auto"/>
                <w:spacing w:val="2"/>
                <w:sz w:val="21"/>
                <w:szCs w:val="21"/>
              </w:rPr>
              <w:t>83.6</w:t>
            </w:r>
          </w:p>
        </w:tc>
        <w:tc>
          <w:tcPr>
            <w:tcW w:w="1363"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沸点</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eastAsia="Calibri" w:cs="Times New Roman"/>
                <w:color w:val="auto"/>
                <w:spacing w:val="-1"/>
                <w:sz w:val="21"/>
                <w:szCs w:val="21"/>
              </w:rPr>
              <w:t>77.2</w:t>
            </w:r>
          </w:p>
        </w:tc>
        <w:tc>
          <w:tcPr>
            <w:tcW w:w="1811"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相对密度（水＝</w:t>
            </w:r>
            <w:r>
              <w:rPr>
                <w:rFonts w:hint="default" w:ascii="Times New Roman" w:hAnsi="Times New Roman" w:eastAsia="Calibri" w:cs="Times New Roman"/>
                <w:color w:val="auto"/>
                <w:spacing w:val="5"/>
                <w:sz w:val="21"/>
                <w:szCs w:val="21"/>
              </w:rPr>
              <w:t>1</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5"/>
                <w:sz w:val="21"/>
                <w:szCs w:val="21"/>
              </w:rPr>
              <w:t>0.90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rPr>
              <w:t>临界温度</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w:t>
            </w:r>
            <w:r>
              <w:rPr>
                <w:rFonts w:hint="default" w:ascii="Times New Roman" w:hAnsi="Times New Roman" w:eastAsia="Calibri" w:cs="Times New Roman"/>
                <w:color w:val="auto"/>
                <w:sz w:val="21"/>
                <w:szCs w:val="21"/>
              </w:rPr>
              <w:t>250.1</w:t>
            </w:r>
          </w:p>
        </w:tc>
        <w:tc>
          <w:tcPr>
            <w:tcW w:w="1363"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rPr>
              <w:t>临界压力（</w:t>
            </w:r>
            <w:r>
              <w:rPr>
                <w:rFonts w:hint="default" w:ascii="Times New Roman" w:hAnsi="Times New Roman" w:eastAsia="Calibri" w:cs="Times New Roman"/>
                <w:color w:val="auto"/>
                <w:sz w:val="21"/>
                <w:szCs w:val="21"/>
              </w:rPr>
              <w:t>MPa</w:t>
            </w:r>
            <w:r>
              <w:rPr>
                <w:rFonts w:hint="default" w:ascii="Times New Roman" w:hAnsi="Times New Roman" w:cs="Times New Roman"/>
                <w:color w:val="auto"/>
                <w:spacing w:val="-15"/>
                <w:sz w:val="21"/>
                <w:szCs w:val="21"/>
              </w:rPr>
              <w:t>）：</w:t>
            </w:r>
            <w:r>
              <w:rPr>
                <w:rFonts w:hint="default" w:ascii="Times New Roman" w:hAnsi="Times New Roman" w:eastAsia="Calibri" w:cs="Times New Roman"/>
                <w:color w:val="auto"/>
                <w:sz w:val="21"/>
                <w:szCs w:val="21"/>
              </w:rPr>
              <w:t>3.83</w:t>
            </w:r>
          </w:p>
        </w:tc>
        <w:tc>
          <w:tcPr>
            <w:tcW w:w="1811"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相对密度（空气＝</w:t>
            </w:r>
            <w:r>
              <w:rPr>
                <w:rFonts w:hint="default" w:ascii="Times New Roman" w:hAnsi="Times New Roman" w:eastAsia="Calibri" w:cs="Times New Roman"/>
                <w:color w:val="auto"/>
                <w:spacing w:val="5"/>
                <w:sz w:val="21"/>
                <w:szCs w:val="21"/>
              </w:rPr>
              <w:t>1</w:t>
            </w:r>
            <w:r>
              <w:rPr>
                <w:rFonts w:hint="default" w:ascii="Times New Roman" w:hAnsi="Times New Roman" w:cs="Times New Roman"/>
                <w:color w:val="auto"/>
                <w:spacing w:val="13"/>
                <w:sz w:val="21"/>
                <w:szCs w:val="21"/>
              </w:rPr>
              <w:t>）：</w:t>
            </w:r>
            <w:r>
              <w:rPr>
                <w:rFonts w:hint="default" w:ascii="Times New Roman" w:hAnsi="Times New Roman" w:eastAsia="Calibri" w:cs="Times New Roman"/>
                <w:color w:val="auto"/>
                <w:spacing w:val="5"/>
                <w:sz w:val="21"/>
                <w:szCs w:val="21"/>
              </w:rPr>
              <w:t>3.04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position w:val="2"/>
                <w:sz w:val="21"/>
                <w:szCs w:val="21"/>
              </w:rPr>
              <w:t>燃烧热（</w:t>
            </w:r>
            <w:r>
              <w:rPr>
                <w:rFonts w:hint="default" w:ascii="Times New Roman" w:hAnsi="Times New Roman" w:eastAsia="Calibri" w:cs="Times New Roman"/>
                <w:color w:val="auto"/>
                <w:position w:val="2"/>
                <w:sz w:val="21"/>
                <w:szCs w:val="21"/>
              </w:rPr>
              <w:t>KJ</w:t>
            </w:r>
            <w:r>
              <w:rPr>
                <w:rFonts w:hint="default" w:ascii="Times New Roman" w:hAnsi="Times New Roman" w:eastAsia="Calibri" w:cs="Times New Roman"/>
                <w:color w:val="auto"/>
                <w:spacing w:val="3"/>
                <w:position w:val="2"/>
                <w:sz w:val="21"/>
                <w:szCs w:val="21"/>
              </w:rPr>
              <w:t>/</w:t>
            </w:r>
            <w:r>
              <w:rPr>
                <w:rFonts w:hint="default" w:ascii="Times New Roman" w:hAnsi="Times New Roman" w:eastAsia="Calibri" w:cs="Times New Roman"/>
                <w:color w:val="auto"/>
                <w:position w:val="2"/>
                <w:sz w:val="21"/>
                <w:szCs w:val="21"/>
              </w:rPr>
              <w:t>mol</w:t>
            </w:r>
            <w:r>
              <w:rPr>
                <w:rFonts w:hint="default" w:ascii="Times New Roman" w:hAnsi="Times New Roman" w:cs="Times New Roman"/>
                <w:color w:val="auto"/>
                <w:spacing w:val="2"/>
                <w:position w:val="2"/>
                <w:sz w:val="21"/>
                <w:szCs w:val="21"/>
              </w:rPr>
              <w:t>）：</w:t>
            </w:r>
            <w:r>
              <w:rPr>
                <w:rFonts w:hint="default" w:ascii="Times New Roman" w:hAnsi="Times New Roman" w:eastAsia="Calibri" w:cs="Times New Roman"/>
                <w:color w:val="auto"/>
                <w:spacing w:val="3"/>
                <w:position w:val="2"/>
                <w:sz w:val="21"/>
                <w:szCs w:val="21"/>
              </w:rPr>
              <w:t>2244.2</w:t>
            </w:r>
          </w:p>
        </w:tc>
        <w:tc>
          <w:tcPr>
            <w:tcW w:w="1363"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最小点火能（</w:t>
            </w:r>
            <w:r>
              <w:rPr>
                <w:rFonts w:hint="default" w:ascii="Times New Roman" w:hAnsi="Times New Roman" w:eastAsia="Calibri" w:cs="Times New Roman"/>
                <w:color w:val="auto"/>
                <w:sz w:val="21"/>
                <w:szCs w:val="21"/>
              </w:rPr>
              <w:t>mJ</w:t>
            </w:r>
            <w:r>
              <w:rPr>
                <w:rFonts w:hint="default" w:ascii="Times New Roman" w:hAnsi="Times New Roman" w:cs="Times New Roman"/>
                <w:color w:val="auto"/>
                <w:sz w:val="21"/>
                <w:szCs w:val="21"/>
              </w:rPr>
              <w:t>）：</w:t>
            </w:r>
          </w:p>
        </w:tc>
        <w:tc>
          <w:tcPr>
            <w:tcW w:w="1811"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饱和蒸汽压（</w:t>
            </w:r>
            <w:r>
              <w:rPr>
                <w:rFonts w:hint="default" w:ascii="Times New Roman" w:hAnsi="Times New Roman" w:eastAsia="Calibri" w:cs="Times New Roman"/>
                <w:color w:val="auto"/>
                <w:sz w:val="21"/>
                <w:szCs w:val="21"/>
              </w:rPr>
              <w:t>KPa</w:t>
            </w:r>
            <w:r>
              <w:rPr>
                <w:rFonts w:hint="default" w:ascii="Times New Roman" w:hAnsi="Times New Roman" w:cs="Times New Roman"/>
                <w:color w:val="auto"/>
                <w:spacing w:val="21"/>
                <w:sz w:val="21"/>
                <w:szCs w:val="21"/>
              </w:rPr>
              <w:t>）：</w:t>
            </w:r>
            <w:r>
              <w:rPr>
                <w:rFonts w:hint="default" w:ascii="Times New Roman" w:hAnsi="Times New Roman" w:eastAsia="Calibri" w:cs="Times New Roman"/>
                <w:color w:val="auto"/>
                <w:spacing w:val="4"/>
                <w:sz w:val="21"/>
                <w:szCs w:val="21"/>
              </w:rPr>
              <w:t>13.33</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27</w:t>
            </w:r>
            <w:r>
              <w:rPr>
                <w:rFonts w:hint="default" w:ascii="Times New Roman" w:hAnsi="Times New Roman" w:cs="Times New Roman"/>
                <w:color w:val="auto"/>
                <w:spacing w:val="4"/>
                <w:sz w:val="21"/>
                <w:szCs w:val="21"/>
              </w:rPr>
              <w:t>℃</w:t>
            </w:r>
            <w:r>
              <w:rPr>
                <w:rFonts w:hint="default" w:ascii="Times New Roman" w:hAnsi="Times New Roman" w:cs="Times New Roman"/>
                <w:color w:val="auto"/>
                <w:spacing w:val="4"/>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燃烧爆炸危险性</w:t>
            </w: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燃烧性：易燃</w:t>
            </w:r>
          </w:p>
        </w:tc>
        <w:tc>
          <w:tcPr>
            <w:tcW w:w="317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燃烧分解产物：一氧化碳、二氧化碳。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闪点</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eastAsia="Calibri" w:cs="Times New Roman"/>
                <w:color w:val="auto"/>
                <w:spacing w:val="-1"/>
                <w:sz w:val="21"/>
                <w:szCs w:val="21"/>
              </w:rPr>
              <w:t>4</w:t>
            </w:r>
          </w:p>
        </w:tc>
        <w:tc>
          <w:tcPr>
            <w:tcW w:w="317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聚合危害：不聚合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爆炸下限</w:t>
            </w:r>
            <w:r>
              <w:rPr>
                <w:rFonts w:hint="default" w:ascii="Times New Roman" w:hAnsi="Times New Roman" w:cs="Times New Roman"/>
                <w:color w:val="auto"/>
                <w:spacing w:val="-5"/>
                <w:sz w:val="21"/>
                <w:szCs w:val="21"/>
              </w:rPr>
              <w:t>（</w:t>
            </w:r>
            <w:r>
              <w:rPr>
                <w:rFonts w:hint="default"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3"/>
                <w:sz w:val="21"/>
                <w:szCs w:val="21"/>
              </w:rPr>
              <w:t>2.0</w:t>
            </w:r>
          </w:p>
        </w:tc>
        <w:tc>
          <w:tcPr>
            <w:tcW w:w="317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稳定性：稳定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爆炸上限</w:t>
            </w:r>
            <w:r>
              <w:rPr>
                <w:rFonts w:hint="default" w:ascii="Times New Roman" w:hAnsi="Times New Roman" w:cs="Times New Roman"/>
                <w:color w:val="auto"/>
                <w:spacing w:val="-3"/>
                <w:sz w:val="21"/>
                <w:szCs w:val="21"/>
              </w:rPr>
              <w:t>（</w:t>
            </w:r>
            <w:r>
              <w:rPr>
                <w:rFonts w:hint="default"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w:t>
            </w:r>
            <w:r>
              <w:rPr>
                <w:rFonts w:hint="default" w:ascii="Times New Roman" w:hAnsi="Times New Roman" w:eastAsia="Calibri" w:cs="Times New Roman"/>
                <w:color w:val="auto"/>
                <w:spacing w:val="2"/>
                <w:sz w:val="21"/>
                <w:szCs w:val="21"/>
              </w:rPr>
              <w:t>11.5</w:t>
            </w:r>
          </w:p>
        </w:tc>
        <w:tc>
          <w:tcPr>
            <w:tcW w:w="317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最大爆炸压力（</w:t>
            </w:r>
            <w:r>
              <w:rPr>
                <w:rFonts w:hint="default" w:ascii="Times New Roman" w:hAnsi="Times New Roman" w:eastAsia="Calibri" w:cs="Times New Roman"/>
                <w:color w:val="auto"/>
                <w:sz w:val="21"/>
                <w:szCs w:val="21"/>
              </w:rPr>
              <w:t>MPa</w:t>
            </w:r>
            <w:r>
              <w:rPr>
                <w:rFonts w:hint="default" w:ascii="Times New Roman" w:hAnsi="Times New Roman" w:cs="Times New Roman"/>
                <w:color w:val="auto"/>
                <w:spacing w:val="15"/>
                <w:sz w:val="21"/>
                <w:szCs w:val="21"/>
              </w:rPr>
              <w:t>）：</w:t>
            </w:r>
            <w:r>
              <w:rPr>
                <w:rFonts w:hint="default" w:ascii="Times New Roman" w:hAnsi="Times New Roman" w:eastAsia="Calibri" w:cs="Times New Roman"/>
                <w:color w:val="auto"/>
                <w:spacing w:val="5"/>
                <w:sz w:val="21"/>
                <w:szCs w:val="21"/>
              </w:rPr>
              <w:t>0.850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8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引燃温度</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eastAsia="Calibri" w:cs="Times New Roman"/>
                <w:color w:val="auto"/>
                <w:spacing w:val="-1"/>
                <w:sz w:val="21"/>
                <w:szCs w:val="21"/>
              </w:rPr>
              <w:t>426</w:t>
            </w:r>
          </w:p>
        </w:tc>
        <w:tc>
          <w:tcPr>
            <w:tcW w:w="317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禁忌物：强氧化剂、碱类、酸类。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危险特性：易燃，其蒸气与空气可形成爆炸性混合物。遇明火、高热能引起燃</w:t>
            </w:r>
            <w:r>
              <w:rPr>
                <w:rFonts w:hint="default" w:ascii="Times New Roman" w:hAnsi="Times New Roman" w:cs="Times New Roman"/>
                <w:color w:val="auto"/>
                <w:spacing w:val="6"/>
                <w:sz w:val="21"/>
                <w:szCs w:val="21"/>
              </w:rPr>
              <w:t>烧爆炸。与氧化剂</w:t>
            </w:r>
            <w:r>
              <w:rPr>
                <w:rFonts w:hint="default" w:ascii="Times New Roman" w:hAnsi="Times New Roman" w:cs="Times New Roman"/>
                <w:color w:val="auto"/>
                <w:spacing w:val="8"/>
                <w:sz w:val="21"/>
                <w:szCs w:val="21"/>
              </w:rPr>
              <w:t>接触会猛烈反应。其蒸气比空气重，能在较低处扩散</w:t>
            </w:r>
            <w:r>
              <w:rPr>
                <w:rFonts w:hint="default" w:ascii="Times New Roman" w:hAnsi="Times New Roman" w:cs="Times New Roman"/>
                <w:color w:val="auto"/>
                <w:spacing w:val="7"/>
                <w:sz w:val="21"/>
                <w:szCs w:val="21"/>
              </w:rPr>
              <w:t>到相当远的地方，遇明火会引着回燃。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灭火方法：抗溶性泡沫、干粉、二氧化碳、砂土。</w:t>
            </w:r>
            <w:r>
              <w:rPr>
                <w:rFonts w:hint="default" w:ascii="Times New Roman" w:hAnsi="Times New Roman" w:cs="Times New Roman"/>
                <w:color w:val="auto"/>
                <w:spacing w:val="3"/>
                <w:sz w:val="21"/>
                <w:szCs w:val="21"/>
              </w:rPr>
              <w:t>用水灭火无效，但可用水保持火场中容器冷却。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毒性</w:t>
            </w: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position w:val="2"/>
                <w:sz w:val="21"/>
                <w:szCs w:val="21"/>
              </w:rPr>
              <w:t>LD</w:t>
            </w:r>
            <w:r>
              <w:rPr>
                <w:rFonts w:hint="default" w:ascii="Times New Roman" w:hAnsi="Times New Roman" w:eastAsia="Calibri" w:cs="Times New Roman"/>
                <w:color w:val="auto"/>
                <w:spacing w:val="4"/>
                <w:position w:val="1"/>
                <w:sz w:val="21"/>
                <w:szCs w:val="21"/>
              </w:rPr>
              <w:t>50</w:t>
            </w:r>
            <w:r>
              <w:rPr>
                <w:rFonts w:hint="default" w:ascii="Times New Roman" w:hAnsi="Times New Roman" w:eastAsia="Calibri" w:cs="Times New Roman"/>
                <w:color w:val="auto"/>
                <w:spacing w:val="4"/>
                <w:position w:val="2"/>
                <w:sz w:val="21"/>
                <w:szCs w:val="21"/>
              </w:rPr>
              <w:t>5620</w:t>
            </w:r>
            <w:r>
              <w:rPr>
                <w:rFonts w:hint="default" w:ascii="Times New Roman" w:hAnsi="Times New Roman" w:eastAsia="Calibri" w:cs="Times New Roman"/>
                <w:color w:val="auto"/>
                <w:position w:val="2"/>
                <w:sz w:val="21"/>
                <w:szCs w:val="21"/>
              </w:rPr>
              <w:t>mg</w:t>
            </w:r>
            <w:r>
              <w:rPr>
                <w:rFonts w:hint="default" w:ascii="Times New Roman" w:hAnsi="Times New Roman" w:eastAsia="Calibri" w:cs="Times New Roman"/>
                <w:color w:val="auto"/>
                <w:spacing w:val="4"/>
                <w:position w:val="2"/>
                <w:sz w:val="21"/>
                <w:szCs w:val="21"/>
              </w:rPr>
              <w:t>/</w:t>
            </w:r>
            <w:r>
              <w:rPr>
                <w:rFonts w:hint="default" w:ascii="Times New Roman" w:hAnsi="Times New Roman" w:eastAsia="Calibri" w:cs="Times New Roman"/>
                <w:color w:val="auto"/>
                <w:position w:val="2"/>
                <w:sz w:val="21"/>
                <w:szCs w:val="21"/>
              </w:rPr>
              <w:t>kg</w:t>
            </w:r>
            <w:r>
              <w:rPr>
                <w:rFonts w:hint="default" w:ascii="Times New Roman" w:hAnsi="Times New Roman" w:cs="Times New Roman"/>
                <w:color w:val="auto"/>
                <w:spacing w:val="4"/>
                <w:position w:val="2"/>
                <w:sz w:val="21"/>
                <w:szCs w:val="21"/>
              </w:rPr>
              <w:t>（大鼠经口</w:t>
            </w:r>
            <w:r>
              <w:rPr>
                <w:rFonts w:hint="default" w:ascii="Times New Roman" w:hAnsi="Times New Roman" w:cs="Times New Roman"/>
                <w:color w:val="auto"/>
                <w:spacing w:val="19"/>
                <w:position w:val="2"/>
                <w:sz w:val="21"/>
                <w:szCs w:val="21"/>
              </w:rPr>
              <w:t>）；</w:t>
            </w:r>
            <w:r>
              <w:rPr>
                <w:rFonts w:hint="default" w:ascii="Times New Roman" w:hAnsi="Times New Roman" w:eastAsia="Calibri" w:cs="Times New Roman"/>
                <w:color w:val="auto"/>
                <w:spacing w:val="4"/>
                <w:position w:val="2"/>
                <w:sz w:val="21"/>
                <w:szCs w:val="21"/>
              </w:rPr>
              <w:t>4940</w:t>
            </w:r>
            <w:r>
              <w:rPr>
                <w:rFonts w:hint="default" w:ascii="Times New Roman" w:hAnsi="Times New Roman" w:eastAsia="Calibri" w:cs="Times New Roman"/>
                <w:color w:val="auto"/>
                <w:position w:val="2"/>
                <w:sz w:val="21"/>
                <w:szCs w:val="21"/>
              </w:rPr>
              <w:t>mg</w:t>
            </w:r>
            <w:r>
              <w:rPr>
                <w:rFonts w:hint="default" w:ascii="Times New Roman" w:hAnsi="Times New Roman" w:eastAsia="Calibri" w:cs="Times New Roman"/>
                <w:color w:val="auto"/>
                <w:spacing w:val="4"/>
                <w:position w:val="2"/>
                <w:sz w:val="21"/>
                <w:szCs w:val="21"/>
              </w:rPr>
              <w:t>/</w:t>
            </w:r>
            <w:r>
              <w:rPr>
                <w:rFonts w:hint="default" w:ascii="Times New Roman" w:hAnsi="Times New Roman" w:eastAsia="Calibri" w:cs="Times New Roman"/>
                <w:color w:val="auto"/>
                <w:position w:val="2"/>
                <w:sz w:val="21"/>
                <w:szCs w:val="21"/>
              </w:rPr>
              <w:t>kg</w:t>
            </w:r>
            <w:r>
              <w:rPr>
                <w:rFonts w:hint="default" w:ascii="Times New Roman" w:hAnsi="Times New Roman" w:cs="Times New Roman"/>
                <w:color w:val="auto"/>
                <w:spacing w:val="4"/>
                <w:position w:val="2"/>
                <w:sz w:val="21"/>
                <w:szCs w:val="21"/>
              </w:rPr>
              <w:t>（兔经口）</w:t>
            </w:r>
            <w:r>
              <w:rPr>
                <w:rFonts w:hint="default" w:ascii="Times New Roman" w:hAnsi="Times New Roman" w:eastAsia="Calibri" w:cs="Times New Roman"/>
                <w:color w:val="auto"/>
                <w:position w:val="2"/>
                <w:sz w:val="21"/>
                <w:szCs w:val="21"/>
              </w:rPr>
              <w:t>LC</w:t>
            </w:r>
            <w:r>
              <w:rPr>
                <w:rFonts w:hint="default" w:ascii="Times New Roman" w:hAnsi="Times New Roman" w:eastAsia="Calibri" w:cs="Times New Roman"/>
                <w:color w:val="auto"/>
                <w:spacing w:val="4"/>
                <w:position w:val="1"/>
                <w:sz w:val="21"/>
                <w:szCs w:val="21"/>
              </w:rPr>
              <w:t>50</w:t>
            </w:r>
            <w:r>
              <w:rPr>
                <w:rFonts w:hint="default" w:ascii="Times New Roman" w:hAnsi="Times New Roman" w:eastAsia="Calibri" w:cs="Times New Roman"/>
                <w:color w:val="auto"/>
                <w:spacing w:val="4"/>
                <w:position w:val="2"/>
                <w:sz w:val="21"/>
                <w:szCs w:val="21"/>
              </w:rPr>
              <w:t>5760</w:t>
            </w:r>
            <w:r>
              <w:rPr>
                <w:rFonts w:hint="default" w:ascii="Times New Roman" w:hAnsi="Times New Roman" w:eastAsia="Calibri" w:cs="Times New Roman"/>
                <w:color w:val="auto"/>
                <w:position w:val="2"/>
                <w:sz w:val="21"/>
                <w:szCs w:val="21"/>
              </w:rPr>
              <w:t>mg</w:t>
            </w:r>
            <w:r>
              <w:rPr>
                <w:rFonts w:hint="default" w:ascii="Times New Roman" w:hAnsi="Times New Roman" w:eastAsia="Calibri" w:cs="Times New Roman"/>
                <w:color w:val="auto"/>
                <w:spacing w:val="4"/>
                <w:position w:val="2"/>
                <w:sz w:val="21"/>
                <w:szCs w:val="21"/>
              </w:rPr>
              <w:t>/m</w:t>
            </w:r>
            <w:r>
              <w:rPr>
                <w:rFonts w:hint="eastAsia" w:ascii="Times New Roman" w:hAnsi="Times New Roman" w:eastAsia="宋体" w:cs="Times New Roman"/>
                <w:color w:val="auto"/>
                <w:spacing w:val="4"/>
                <w:position w:val="2"/>
                <w:sz w:val="21"/>
                <w:szCs w:val="21"/>
                <w:vertAlign w:val="superscript"/>
                <w:lang w:val="en-US" w:eastAsia="zh-CN"/>
              </w:rPr>
              <w:t>3</w:t>
            </w:r>
            <w:r>
              <w:rPr>
                <w:rFonts w:hint="default" w:ascii="Times New Roman" w:hAnsi="Times New Roman" w:cs="Times New Roman"/>
                <w:color w:val="auto"/>
                <w:spacing w:val="4"/>
                <w:position w:val="2"/>
                <w:sz w:val="21"/>
                <w:szCs w:val="21"/>
              </w:rPr>
              <w:t>，</w:t>
            </w:r>
            <w:r>
              <w:rPr>
                <w:rFonts w:hint="default" w:ascii="Times New Roman" w:hAnsi="Times New Roman" w:eastAsia="Calibri" w:cs="Times New Roman"/>
                <w:color w:val="auto"/>
                <w:spacing w:val="4"/>
                <w:position w:val="2"/>
                <w:sz w:val="21"/>
                <w:szCs w:val="21"/>
              </w:rPr>
              <w:t>8</w:t>
            </w:r>
            <w:r>
              <w:rPr>
                <w:rFonts w:hint="default" w:ascii="Times New Roman" w:hAnsi="Times New Roman" w:cs="Times New Roman"/>
                <w:color w:val="auto"/>
                <w:spacing w:val="4"/>
                <w:position w:val="2"/>
                <w:sz w:val="21"/>
                <w:szCs w:val="21"/>
              </w:rPr>
              <w:t>小时（大鼠吸入）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对人体危害</w:t>
            </w: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侵入途径：吸入、食入、经皮肤吸收。</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对眼、鼻、喉有刺激作用。高浓度吸入可引起进行性麻醉作用，急性肺水肿，肝</w:t>
            </w:r>
            <w:r>
              <w:rPr>
                <w:rFonts w:hint="default" w:ascii="Times New Roman" w:hAnsi="Times New Roman" w:cs="Times New Roman"/>
                <w:color w:val="auto"/>
                <w:spacing w:val="6"/>
                <w:sz w:val="21"/>
                <w:szCs w:val="21"/>
              </w:rPr>
              <w:t>、肾损害。持续</w:t>
            </w:r>
            <w:r>
              <w:rPr>
                <w:rFonts w:hint="default" w:ascii="Times New Roman" w:hAnsi="Times New Roman" w:cs="Times New Roman"/>
                <w:color w:val="auto"/>
                <w:spacing w:val="7"/>
                <w:sz w:val="21"/>
                <w:szCs w:val="21"/>
              </w:rPr>
              <w:t>大量吸入，可致呼吸麻痹。误服者可产生恶心、呕吐、腹泻等。有致敏作用，</w:t>
            </w:r>
            <w:r>
              <w:rPr>
                <w:rFonts w:hint="default" w:ascii="Times New Roman" w:hAnsi="Times New Roman" w:cs="Times New Roman"/>
                <w:color w:val="auto"/>
                <w:spacing w:val="6"/>
                <w:sz w:val="21"/>
                <w:szCs w:val="21"/>
              </w:rPr>
              <w:t>因血管神经障碍而</w:t>
            </w:r>
            <w:r>
              <w:rPr>
                <w:rFonts w:hint="default" w:ascii="Times New Roman" w:hAnsi="Times New Roman" w:cs="Times New Roman"/>
                <w:color w:val="auto"/>
                <w:spacing w:val="7"/>
                <w:sz w:val="21"/>
                <w:szCs w:val="21"/>
              </w:rPr>
              <w:t>致牙龈出血；可致湿疹样皮炎。慢性影响：长期接触本品有时可致角膜混浊、继发性贫血</w:t>
            </w:r>
            <w:r>
              <w:rPr>
                <w:rFonts w:hint="default" w:ascii="Times New Roman" w:hAnsi="Times New Roman" w:cs="Times New Roman"/>
                <w:color w:val="auto"/>
                <w:spacing w:val="6"/>
                <w:sz w:val="21"/>
                <w:szCs w:val="21"/>
              </w:rPr>
              <w:t>、白细</w:t>
            </w:r>
            <w:r>
              <w:rPr>
                <w:rFonts w:hint="default" w:ascii="Times New Roman" w:hAnsi="Times New Roman" w:cs="Times New Roman"/>
                <w:color w:val="auto"/>
                <w:spacing w:val="4"/>
                <w:sz w:val="21"/>
                <w:szCs w:val="21"/>
              </w:rPr>
              <w:t>胞增多等。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急救</w:t>
            </w: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皮肤接触：脱去污染的衣着，用肥皂水和清水彻底冲洗皮肤。</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眼睛接触：提起眼睑，用流动清水或生理盐水冲洗。就医。吸入：迅速脱离现场至空气新鲜处，</w:t>
            </w:r>
            <w:r>
              <w:rPr>
                <w:rFonts w:hint="default" w:ascii="Times New Roman" w:hAnsi="Times New Roman" w:cs="Times New Roman"/>
                <w:color w:val="auto"/>
                <w:spacing w:val="8"/>
                <w:sz w:val="21"/>
                <w:szCs w:val="21"/>
              </w:rPr>
              <w:t>保持呼吸道通畅。如呼吸困难，给输氧。如</w:t>
            </w:r>
            <w:r>
              <w:rPr>
                <w:rFonts w:hint="default" w:ascii="Times New Roman" w:hAnsi="Times New Roman" w:cs="Times New Roman"/>
                <w:color w:val="auto"/>
                <w:spacing w:val="7"/>
                <w:sz w:val="21"/>
                <w:szCs w:val="21"/>
              </w:rPr>
              <w:t>呼吸停止，立即进行人工呼吸。就医。</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食入：饮足量温水，催吐。就医。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防护</w:t>
            </w: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工程防护：生产过程密闭，全面通风。提供安全淋浴和洗眼设备。</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个人防护：可能接触其蒸气时，</w:t>
            </w:r>
            <w:r>
              <w:rPr>
                <w:rFonts w:hint="default" w:ascii="Times New Roman" w:hAnsi="Times New Roman" w:cs="Times New Roman"/>
                <w:color w:val="auto"/>
                <w:spacing w:val="7"/>
                <w:sz w:val="21"/>
                <w:szCs w:val="21"/>
              </w:rPr>
              <w:t>应该佩戴自吸过滤式防毒面具（半面罩）。紧急事态抢救或撤离时，建议佩戴空气呼吸</w:t>
            </w:r>
            <w:r>
              <w:rPr>
                <w:rFonts w:hint="default" w:ascii="Times New Roman" w:hAnsi="Times New Roman" w:cs="Times New Roman"/>
                <w:color w:val="auto"/>
                <w:spacing w:val="6"/>
                <w:sz w:val="21"/>
                <w:szCs w:val="21"/>
              </w:rPr>
              <w:t>器。戴</w:t>
            </w:r>
            <w:r>
              <w:rPr>
                <w:rFonts w:hint="default" w:ascii="Times New Roman" w:hAnsi="Times New Roman" w:cs="Times New Roman"/>
                <w:color w:val="auto"/>
                <w:spacing w:val="10"/>
                <w:sz w:val="21"/>
                <w:szCs w:val="21"/>
              </w:rPr>
              <w:t>化学安全防护眼镜。穿防静电工作服。戴橡胶手套。工作现场</w:t>
            </w:r>
            <w:r>
              <w:rPr>
                <w:rFonts w:hint="default" w:ascii="Times New Roman" w:hAnsi="Times New Roman" w:cs="Times New Roman"/>
                <w:color w:val="auto"/>
                <w:spacing w:val="9"/>
                <w:sz w:val="21"/>
                <w:szCs w:val="21"/>
              </w:rPr>
              <w:t>禁止吸烟。工作毕，淋浴更衣。</w:t>
            </w:r>
            <w:r>
              <w:rPr>
                <w:rFonts w:hint="default" w:ascii="Times New Roman" w:hAnsi="Times New Roman" w:cs="Times New Roman"/>
                <w:color w:val="auto"/>
                <w:spacing w:val="6"/>
                <w:sz w:val="21"/>
                <w:szCs w:val="21"/>
              </w:rPr>
              <w:t>注意个人清洁卫生。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泄漏处理</w:t>
            </w: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迅速撤离泄漏污染区人员至安全区，并进行隔离，严格限制出入。切断火源。</w:t>
            </w:r>
            <w:r>
              <w:rPr>
                <w:rFonts w:hint="default" w:ascii="Times New Roman" w:hAnsi="Times New Roman" w:cs="Times New Roman"/>
                <w:color w:val="auto"/>
                <w:spacing w:val="6"/>
                <w:sz w:val="21"/>
                <w:szCs w:val="21"/>
              </w:rPr>
              <w:t>建议应急处理人员</w:t>
            </w:r>
            <w:r>
              <w:rPr>
                <w:rFonts w:hint="default" w:ascii="Times New Roman" w:hAnsi="Times New Roman" w:cs="Times New Roman"/>
                <w:color w:val="auto"/>
                <w:spacing w:val="7"/>
                <w:sz w:val="21"/>
                <w:szCs w:val="21"/>
              </w:rPr>
              <w:t>戴自给正压式呼吸器，穿消防防护服。尽可能切断泄漏源，防止进入下水道、排洪</w:t>
            </w:r>
            <w:r>
              <w:rPr>
                <w:rFonts w:hint="default" w:ascii="Times New Roman" w:hAnsi="Times New Roman" w:cs="Times New Roman"/>
                <w:color w:val="auto"/>
                <w:spacing w:val="6"/>
                <w:sz w:val="21"/>
                <w:szCs w:val="21"/>
              </w:rPr>
              <w:t>沟等限制性空</w:t>
            </w:r>
            <w:r>
              <w:rPr>
                <w:rFonts w:hint="default" w:ascii="Times New Roman" w:hAnsi="Times New Roman" w:cs="Times New Roman"/>
                <w:color w:val="auto"/>
                <w:spacing w:val="4"/>
                <w:sz w:val="21"/>
                <w:szCs w:val="21"/>
              </w:rPr>
              <w:t>间。小量泄漏：用活性炭或</w:t>
            </w:r>
            <w:r>
              <w:rPr>
                <w:rFonts w:hint="eastAsia" w:ascii="Times New Roman" w:hAnsi="Times New Roman" w:cs="Times New Roman"/>
                <w:color w:val="auto"/>
                <w:spacing w:val="4"/>
                <w:sz w:val="21"/>
                <w:szCs w:val="21"/>
                <w:lang w:eastAsia="zh-CN"/>
              </w:rPr>
              <w:t>其他</w:t>
            </w:r>
            <w:r>
              <w:rPr>
                <w:rFonts w:hint="default" w:ascii="Times New Roman" w:hAnsi="Times New Roman" w:cs="Times New Roman"/>
                <w:color w:val="auto"/>
                <w:spacing w:val="4"/>
                <w:sz w:val="21"/>
                <w:szCs w:val="21"/>
              </w:rPr>
              <w:t>惰性材料吸收。也可以用大量水</w:t>
            </w:r>
            <w:r>
              <w:rPr>
                <w:rFonts w:hint="default" w:ascii="Times New Roman" w:hAnsi="Times New Roman" w:cs="Times New Roman"/>
                <w:color w:val="auto"/>
                <w:spacing w:val="3"/>
                <w:sz w:val="21"/>
                <w:szCs w:val="21"/>
              </w:rPr>
              <w:t>冲洗，洗水稀释后放入废水系统。</w:t>
            </w:r>
            <w:r>
              <w:rPr>
                <w:rFonts w:hint="default" w:ascii="Times New Roman" w:hAnsi="Times New Roman" w:cs="Times New Roman"/>
                <w:color w:val="auto"/>
                <w:spacing w:val="7"/>
                <w:sz w:val="21"/>
                <w:szCs w:val="21"/>
              </w:rPr>
              <w:t>大量泄漏：构筑围堤或挖坑收容；用泡沫覆盖，降低蒸气灾害。用防爆泵转移至槽</w:t>
            </w:r>
            <w:r>
              <w:rPr>
                <w:rFonts w:hint="default" w:ascii="Times New Roman" w:hAnsi="Times New Roman" w:cs="Times New Roman"/>
                <w:color w:val="auto"/>
                <w:spacing w:val="6"/>
                <w:sz w:val="21"/>
                <w:szCs w:val="21"/>
              </w:rPr>
              <w:t>车或专用收集</w:t>
            </w:r>
            <w:r>
              <w:rPr>
                <w:rFonts w:hint="default" w:ascii="Times New Roman" w:hAnsi="Times New Roman" w:cs="Times New Roman"/>
                <w:color w:val="auto"/>
                <w:spacing w:val="7"/>
                <w:sz w:val="21"/>
                <w:szCs w:val="21"/>
              </w:rPr>
              <w:t>器内，回收或运至废物处理场所处置。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贮运</w:t>
            </w:r>
          </w:p>
        </w:tc>
        <w:tc>
          <w:tcPr>
            <w:tcW w:w="4764"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包装标志：</w:t>
            </w:r>
            <w:r>
              <w:rPr>
                <w:rFonts w:hint="default" w:ascii="Times New Roman" w:hAnsi="Times New Roman" w:eastAsia="Calibri" w:cs="Times New Roman"/>
                <w:color w:val="auto"/>
                <w:spacing w:val="6"/>
                <w:sz w:val="21"/>
                <w:szCs w:val="21"/>
              </w:rPr>
              <w:t>7</w:t>
            </w:r>
            <w:r>
              <w:rPr>
                <w:rFonts w:hint="default" w:ascii="Times New Roman" w:hAnsi="Times New Roman" w:eastAsia="Calibri" w:cs="Times New Roman"/>
                <w:color w:val="auto"/>
                <w:sz w:val="21"/>
                <w:szCs w:val="21"/>
              </w:rPr>
              <w:t>UN</w:t>
            </w:r>
            <w:r>
              <w:rPr>
                <w:rFonts w:hint="default" w:ascii="Times New Roman" w:hAnsi="Times New Roman" w:cs="Times New Roman"/>
                <w:color w:val="auto"/>
                <w:spacing w:val="6"/>
                <w:sz w:val="21"/>
                <w:szCs w:val="21"/>
              </w:rPr>
              <w:t>编号：</w:t>
            </w:r>
            <w:r>
              <w:rPr>
                <w:rFonts w:hint="default" w:ascii="Times New Roman" w:hAnsi="Times New Roman" w:eastAsia="Calibri" w:cs="Times New Roman"/>
                <w:color w:val="auto"/>
                <w:spacing w:val="6"/>
                <w:sz w:val="21"/>
                <w:szCs w:val="21"/>
              </w:rPr>
              <w:t>1173</w:t>
            </w:r>
            <w:r>
              <w:rPr>
                <w:rFonts w:hint="default" w:ascii="Times New Roman" w:hAnsi="Times New Roman" w:cs="Times New Roman"/>
                <w:color w:val="auto"/>
                <w:spacing w:val="6"/>
                <w:sz w:val="21"/>
                <w:szCs w:val="21"/>
              </w:rPr>
              <w:t>包装分类：Ⅱ包装方法：小</w:t>
            </w:r>
            <w:r>
              <w:rPr>
                <w:rFonts w:hint="default" w:ascii="Times New Roman" w:hAnsi="Times New Roman" w:cs="Times New Roman"/>
                <w:color w:val="auto"/>
                <w:spacing w:val="5"/>
                <w:sz w:val="21"/>
                <w:szCs w:val="21"/>
              </w:rPr>
              <w:t>开口钢桶；螺纹口玻璃瓶、铁盖压口玻璃瓶、塑料瓶或金属桶外木板箱。</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储运条件：储存于阴凉、通风的仓间内。远离火种、热源。仓间内温度不宜超过</w:t>
            </w:r>
            <w:r>
              <w:rPr>
                <w:rFonts w:hint="default" w:ascii="Times New Roman" w:hAnsi="Times New Roman" w:eastAsia="Calibri" w:cs="Times New Roman"/>
                <w:color w:val="auto"/>
                <w:spacing w:val="6"/>
                <w:sz w:val="21"/>
                <w:szCs w:val="21"/>
              </w:rPr>
              <w:t>30</w:t>
            </w:r>
            <w:r>
              <w:rPr>
                <w:rFonts w:hint="default" w:ascii="Times New Roman" w:hAnsi="Times New Roman" w:cs="Times New Roman"/>
                <w:color w:val="auto"/>
                <w:spacing w:val="6"/>
                <w:sz w:val="21"/>
                <w:szCs w:val="21"/>
              </w:rPr>
              <w:t>℃。防止阳光</w:t>
            </w:r>
            <w:r>
              <w:rPr>
                <w:rFonts w:hint="default" w:ascii="Times New Roman" w:hAnsi="Times New Roman" w:cs="Times New Roman"/>
                <w:color w:val="auto"/>
                <w:spacing w:val="7"/>
                <w:sz w:val="21"/>
                <w:szCs w:val="21"/>
              </w:rPr>
              <w:t>直射。保持容器密封。应与氧化剂分开存放。仓间内的照明、通风等设施的消防器</w:t>
            </w:r>
            <w:r>
              <w:rPr>
                <w:rFonts w:hint="default" w:ascii="Times New Roman" w:hAnsi="Times New Roman" w:cs="Times New Roman"/>
                <w:color w:val="auto"/>
                <w:spacing w:val="6"/>
                <w:sz w:val="21"/>
                <w:szCs w:val="21"/>
              </w:rPr>
              <w:t>材。禁止使用</w:t>
            </w:r>
            <w:r>
              <w:rPr>
                <w:rFonts w:hint="default" w:ascii="Times New Roman" w:hAnsi="Times New Roman" w:cs="Times New Roman"/>
                <w:color w:val="auto"/>
                <w:spacing w:val="7"/>
                <w:sz w:val="21"/>
                <w:szCs w:val="21"/>
              </w:rPr>
              <w:t>易产生火花的机械设备和工具。定期检查是否有泄漏现象。灌装时应注意流速（不超过</w:t>
            </w:r>
            <w:r>
              <w:rPr>
                <w:rFonts w:hint="default" w:ascii="Times New Roman" w:hAnsi="Times New Roman" w:eastAsia="Calibri" w:cs="Times New Roman"/>
                <w:color w:val="auto"/>
                <w:spacing w:val="7"/>
                <w:sz w:val="21"/>
                <w:szCs w:val="21"/>
              </w:rPr>
              <w:t>3m/s</w:t>
            </w:r>
            <w:r>
              <w:rPr>
                <w:rFonts w:hint="default" w:ascii="Times New Roman" w:hAnsi="Times New Roman" w:cs="Times New Roman"/>
                <w:color w:val="auto"/>
                <w:spacing w:val="-16"/>
                <w:sz w:val="21"/>
                <w:szCs w:val="21"/>
              </w:rPr>
              <w:t>），</w:t>
            </w:r>
            <w:r>
              <w:rPr>
                <w:rFonts w:hint="default" w:ascii="Times New Roman" w:hAnsi="Times New Roman" w:cs="Times New Roman"/>
                <w:color w:val="auto"/>
                <w:spacing w:val="7"/>
                <w:sz w:val="21"/>
                <w:szCs w:val="21"/>
              </w:rPr>
              <w:t>且有接地装置，防止静电积聚。搬运时轻装轻卸，防止包装及容器损坏。</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正丙酯理化性质和危险特性</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81"/>
        <w:gridCol w:w="2320"/>
        <w:gridCol w:w="2229"/>
        <w:gridCol w:w="718"/>
        <w:gridCol w:w="267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标识</w:t>
            </w: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中文名：正丙酯</w:t>
            </w:r>
          </w:p>
        </w:tc>
        <w:tc>
          <w:tcPr>
            <w:tcW w:w="3377"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英文名：</w:t>
            </w:r>
            <w:r>
              <w:rPr>
                <w:rFonts w:hint="default" w:ascii="Times New Roman" w:hAnsi="Times New Roman" w:eastAsia="Calibri" w:cs="Times New Roman"/>
                <w:color w:val="auto"/>
                <w:spacing w:val="0"/>
                <w:position w:val="0"/>
                <w:sz w:val="21"/>
                <w:szCs w:val="21"/>
              </w:rPr>
              <w:t>n-Propylacetate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分子式：</w:t>
            </w:r>
            <w:r>
              <w:rPr>
                <w:rFonts w:hint="default" w:ascii="Times New Roman" w:hAnsi="Times New Roman" w:eastAsia="Calibri" w:cs="Times New Roman"/>
                <w:color w:val="auto"/>
                <w:spacing w:val="0"/>
                <w:position w:val="0"/>
                <w:sz w:val="21"/>
                <w:szCs w:val="21"/>
              </w:rPr>
              <w:t>C</w:t>
            </w:r>
            <w:r>
              <w:rPr>
                <w:rFonts w:hint="default" w:ascii="Times New Roman" w:hAnsi="Times New Roman" w:eastAsia="Calibri" w:cs="Times New Roman"/>
                <w:color w:val="auto"/>
                <w:spacing w:val="0"/>
                <w:position w:val="0"/>
                <w:sz w:val="21"/>
                <w:szCs w:val="21"/>
                <w:vertAlign w:val="subscript"/>
              </w:rPr>
              <w:t>5</w:t>
            </w:r>
            <w:r>
              <w:rPr>
                <w:rFonts w:hint="default" w:ascii="Times New Roman" w:hAnsi="Times New Roman" w:eastAsia="Calibri" w:cs="Times New Roman"/>
                <w:color w:val="auto"/>
                <w:spacing w:val="0"/>
                <w:position w:val="0"/>
                <w:sz w:val="21"/>
                <w:szCs w:val="21"/>
              </w:rPr>
              <w:t>H</w:t>
            </w:r>
            <w:r>
              <w:rPr>
                <w:rFonts w:hint="default" w:ascii="Times New Roman" w:hAnsi="Times New Roman" w:eastAsia="Calibri" w:cs="Times New Roman"/>
                <w:color w:val="auto"/>
                <w:spacing w:val="0"/>
                <w:position w:val="0"/>
                <w:sz w:val="21"/>
                <w:szCs w:val="21"/>
                <w:vertAlign w:val="subscript"/>
              </w:rPr>
              <w:t>10</w:t>
            </w:r>
            <w:r>
              <w:rPr>
                <w:rFonts w:hint="default" w:ascii="Times New Roman" w:hAnsi="Times New Roman" w:eastAsia="Calibri" w:cs="Times New Roman"/>
                <w:color w:val="auto"/>
                <w:spacing w:val="0"/>
                <w:position w:val="0"/>
                <w:sz w:val="21"/>
                <w:szCs w:val="21"/>
              </w:rPr>
              <w:t>O</w:t>
            </w:r>
            <w:r>
              <w:rPr>
                <w:rFonts w:hint="default" w:ascii="Times New Roman" w:hAnsi="Times New Roman" w:eastAsia="Calibri" w:cs="Times New Roman"/>
                <w:color w:val="auto"/>
                <w:spacing w:val="0"/>
                <w:position w:val="0"/>
                <w:sz w:val="21"/>
                <w:szCs w:val="21"/>
                <w:vertAlign w:val="subscript"/>
              </w:rPr>
              <w:t>2</w:t>
            </w:r>
          </w:p>
        </w:tc>
        <w:tc>
          <w:tcPr>
            <w:tcW w:w="1769"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分子量：</w:t>
            </w:r>
            <w:r>
              <w:rPr>
                <w:rFonts w:hint="default" w:ascii="Times New Roman" w:hAnsi="Times New Roman" w:eastAsia="Calibri" w:cs="Times New Roman"/>
                <w:color w:val="auto"/>
                <w:spacing w:val="0"/>
                <w:position w:val="0"/>
                <w:sz w:val="21"/>
                <w:szCs w:val="21"/>
              </w:rPr>
              <w:t>102.1317</w:t>
            </w:r>
          </w:p>
        </w:tc>
        <w:tc>
          <w:tcPr>
            <w:tcW w:w="160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eastAsia="Calibri" w:cs="Times New Roman"/>
                <w:color w:val="auto"/>
                <w:spacing w:val="0"/>
                <w:position w:val="0"/>
                <w:sz w:val="21"/>
                <w:szCs w:val="21"/>
              </w:rPr>
              <w:t>CAS</w:t>
            </w:r>
            <w:r>
              <w:rPr>
                <w:rFonts w:hint="default" w:ascii="Times New Roman" w:hAnsi="Times New Roman" w:cs="Times New Roman"/>
                <w:color w:val="auto"/>
                <w:spacing w:val="0"/>
                <w:position w:val="0"/>
                <w:sz w:val="21"/>
                <w:szCs w:val="21"/>
              </w:rPr>
              <w:t>号：</w:t>
            </w:r>
            <w:r>
              <w:rPr>
                <w:rFonts w:hint="default" w:ascii="Times New Roman" w:hAnsi="Times New Roman" w:eastAsia="Calibri" w:cs="Times New Roman"/>
                <w:color w:val="auto"/>
                <w:spacing w:val="0"/>
                <w:position w:val="0"/>
                <w:sz w:val="21"/>
                <w:szCs w:val="21"/>
              </w:rPr>
              <w:t>109-06-4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4770"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危规号：</w:t>
            </w:r>
            <w:r>
              <w:rPr>
                <w:rFonts w:hint="default" w:ascii="Times New Roman" w:hAnsi="Times New Roman" w:eastAsia="Calibri" w:cs="Times New Roman"/>
                <w:color w:val="auto"/>
                <w:spacing w:val="0"/>
                <w:position w:val="0"/>
                <w:sz w:val="21"/>
                <w:szCs w:val="21"/>
              </w:rPr>
              <w:t>32128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理化性质</w:t>
            </w:r>
          </w:p>
        </w:tc>
        <w:tc>
          <w:tcPr>
            <w:tcW w:w="4770"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性状：无色液体，具有柔和的水果</w:t>
            </w:r>
            <w:r>
              <w:rPr>
                <w:rFonts w:hint="default" w:ascii="Times New Roman" w:hAnsi="Times New Roman" w:cs="Times New Roman"/>
                <w:color w:val="auto"/>
                <w:spacing w:val="0"/>
                <w:position w:val="0"/>
                <w:sz w:val="21"/>
                <w:szCs w:val="21"/>
              </w:rPr>
              <w:fldChar w:fldCharType="begin"/>
            </w:r>
            <w:r>
              <w:rPr>
                <w:rFonts w:hint="default" w:ascii="Times New Roman" w:hAnsi="Times New Roman" w:cs="Times New Roman"/>
                <w:color w:val="auto"/>
                <w:spacing w:val="0"/>
                <w:position w:val="0"/>
                <w:sz w:val="21"/>
                <w:szCs w:val="21"/>
              </w:rPr>
              <w:instrText xml:space="preserve"> HYPERLINK "http://baike.baidu.com/view/1018635.htm" </w:instrText>
            </w:r>
            <w:r>
              <w:rPr>
                <w:rFonts w:hint="default" w:ascii="Times New Roman" w:hAnsi="Times New Roman" w:cs="Times New Roman"/>
                <w:color w:val="auto"/>
                <w:spacing w:val="0"/>
                <w:position w:val="0"/>
                <w:sz w:val="21"/>
                <w:szCs w:val="21"/>
              </w:rPr>
              <w:fldChar w:fldCharType="separate"/>
            </w:r>
            <w:r>
              <w:rPr>
                <w:rFonts w:hint="default" w:ascii="Times New Roman" w:hAnsi="Times New Roman" w:cs="Times New Roman"/>
                <w:color w:val="auto"/>
                <w:spacing w:val="0"/>
                <w:position w:val="0"/>
                <w:sz w:val="21"/>
                <w:szCs w:val="21"/>
              </w:rPr>
              <w:t>香味</w:t>
            </w:r>
            <w:r>
              <w:rPr>
                <w:rFonts w:hint="default" w:ascii="Times New Roman" w:hAnsi="Times New Roman" w:cs="Times New Roman"/>
                <w:color w:val="auto"/>
                <w:spacing w:val="0"/>
                <w:position w:val="0"/>
                <w:sz w:val="21"/>
                <w:szCs w:val="21"/>
              </w:rPr>
              <w:fldChar w:fldCharType="end"/>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4770"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溶解性：微溶于水，溶于醇、酮、醚、氯仿等多数有机溶剂。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熔点</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92.5</w:t>
            </w:r>
          </w:p>
        </w:tc>
        <w:tc>
          <w:tcPr>
            <w:tcW w:w="133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沸点</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101.6</w:t>
            </w:r>
          </w:p>
        </w:tc>
        <w:tc>
          <w:tcPr>
            <w:tcW w:w="2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相对密度（水＝</w:t>
            </w:r>
            <w:r>
              <w:rPr>
                <w:rFonts w:hint="default" w:ascii="Times New Roman" w:hAnsi="Times New Roman" w:eastAsia="Calibri" w:cs="Times New Roman"/>
                <w:color w:val="auto"/>
                <w:spacing w:val="0"/>
                <w:position w:val="0"/>
                <w:sz w:val="21"/>
                <w:szCs w:val="21"/>
              </w:rPr>
              <w:t>1</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0.88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临界温度</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276.2</w:t>
            </w:r>
          </w:p>
        </w:tc>
        <w:tc>
          <w:tcPr>
            <w:tcW w:w="133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临界压力（</w:t>
            </w:r>
            <w:r>
              <w:rPr>
                <w:rFonts w:hint="default" w:ascii="Times New Roman" w:hAnsi="Times New Roman" w:eastAsia="Calibri" w:cs="Times New Roman"/>
                <w:color w:val="auto"/>
                <w:spacing w:val="0"/>
                <w:position w:val="0"/>
                <w:sz w:val="21"/>
                <w:szCs w:val="21"/>
              </w:rPr>
              <w:t>MPa</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3.33</w:t>
            </w:r>
          </w:p>
        </w:tc>
        <w:tc>
          <w:tcPr>
            <w:tcW w:w="2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相对密度（空气＝</w:t>
            </w:r>
            <w:r>
              <w:rPr>
                <w:rFonts w:hint="default" w:ascii="Times New Roman" w:hAnsi="Times New Roman" w:eastAsia="Calibri" w:cs="Times New Roman"/>
                <w:color w:val="auto"/>
                <w:spacing w:val="0"/>
                <w:position w:val="0"/>
                <w:sz w:val="21"/>
                <w:szCs w:val="21"/>
              </w:rPr>
              <w:t>1</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3.52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燃烧热（</w:t>
            </w:r>
            <w:r>
              <w:rPr>
                <w:rFonts w:hint="default" w:ascii="Times New Roman" w:hAnsi="Times New Roman" w:eastAsia="Calibri" w:cs="Times New Roman"/>
                <w:color w:val="auto"/>
                <w:spacing w:val="0"/>
                <w:position w:val="0"/>
                <w:sz w:val="21"/>
                <w:szCs w:val="21"/>
              </w:rPr>
              <w:t>KJ/mol</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2890.5</w:t>
            </w:r>
          </w:p>
        </w:tc>
        <w:tc>
          <w:tcPr>
            <w:tcW w:w="133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最小点火能（</w:t>
            </w:r>
            <w:r>
              <w:rPr>
                <w:rFonts w:hint="default" w:ascii="Times New Roman" w:hAnsi="Times New Roman" w:eastAsia="Calibri" w:cs="Times New Roman"/>
                <w:color w:val="auto"/>
                <w:spacing w:val="0"/>
                <w:position w:val="0"/>
                <w:sz w:val="21"/>
                <w:szCs w:val="21"/>
              </w:rPr>
              <w:t>mJ</w:t>
            </w:r>
            <w:r>
              <w:rPr>
                <w:rFonts w:hint="default" w:ascii="Times New Roman" w:hAnsi="Times New Roman" w:cs="Times New Roman"/>
                <w:color w:val="auto"/>
                <w:spacing w:val="0"/>
                <w:position w:val="0"/>
                <w:sz w:val="21"/>
                <w:szCs w:val="21"/>
              </w:rPr>
              <w:t>）：</w:t>
            </w:r>
          </w:p>
        </w:tc>
        <w:tc>
          <w:tcPr>
            <w:tcW w:w="2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cs="Times New Roman"/>
                <w:color w:val="auto"/>
                <w:spacing w:val="0"/>
                <w:position w:val="0"/>
                <w:sz w:val="21"/>
                <w:szCs w:val="21"/>
              </w:rPr>
              <w:t>饱和蒸汽压（</w:t>
            </w:r>
            <w:r>
              <w:rPr>
                <w:rFonts w:hint="default" w:ascii="Times New Roman" w:hAnsi="Times New Roman" w:eastAsia="Calibri" w:cs="Times New Roman"/>
                <w:color w:val="auto"/>
                <w:spacing w:val="0"/>
                <w:position w:val="0"/>
                <w:sz w:val="21"/>
                <w:szCs w:val="21"/>
              </w:rPr>
              <w:t>5.33KPa</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28.8</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燃烧</w:t>
            </w: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燃烧性：易燃</w:t>
            </w:r>
          </w:p>
        </w:tc>
        <w:tc>
          <w:tcPr>
            <w:tcW w:w="3377"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燃烧分解产物：一氧化碳、二氧化碳。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闪点</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10</w:t>
            </w:r>
          </w:p>
        </w:tc>
        <w:tc>
          <w:tcPr>
            <w:tcW w:w="3377"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聚合危害：不聚合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爆炸危险性</w:t>
            </w: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爆炸下限（</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1.7</w:t>
            </w:r>
          </w:p>
        </w:tc>
        <w:tc>
          <w:tcPr>
            <w:tcW w:w="3377"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稳定性：稳定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爆炸上限（</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8.0</w:t>
            </w:r>
          </w:p>
        </w:tc>
        <w:tc>
          <w:tcPr>
            <w:tcW w:w="3377"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最大爆炸压力（</w:t>
            </w:r>
            <w:r>
              <w:rPr>
                <w:rFonts w:hint="default" w:ascii="Times New Roman" w:hAnsi="Times New Roman" w:eastAsia="Calibri" w:cs="Times New Roman"/>
                <w:color w:val="auto"/>
                <w:spacing w:val="0"/>
                <w:position w:val="0"/>
                <w:sz w:val="21"/>
                <w:szCs w:val="21"/>
              </w:rPr>
              <w:t>MPa</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0.850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39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引燃温度</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445</w:t>
            </w:r>
          </w:p>
        </w:tc>
        <w:tc>
          <w:tcPr>
            <w:tcW w:w="3377"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禁忌物：强氧化剂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危险特性：易燃，</w:t>
            </w:r>
            <w:r>
              <w:rPr>
                <w:rFonts w:hint="default" w:ascii="Times New Roman" w:hAnsi="Times New Roman" w:cs="Times New Roman"/>
                <w:color w:val="auto"/>
                <w:spacing w:val="0"/>
                <w:position w:val="0"/>
                <w:sz w:val="21"/>
                <w:szCs w:val="21"/>
              </w:rPr>
              <w:fldChar w:fldCharType="begin"/>
            </w:r>
            <w:r>
              <w:rPr>
                <w:rFonts w:hint="default" w:ascii="Times New Roman" w:hAnsi="Times New Roman" w:cs="Times New Roman"/>
                <w:color w:val="auto"/>
                <w:spacing w:val="0"/>
                <w:position w:val="0"/>
                <w:sz w:val="21"/>
                <w:szCs w:val="21"/>
              </w:rPr>
              <w:instrText xml:space="preserve"> HYPERLINK "http://baike.baidu.com/view/3847193.htm" </w:instrText>
            </w:r>
            <w:r>
              <w:rPr>
                <w:rFonts w:hint="default" w:ascii="Times New Roman" w:hAnsi="Times New Roman" w:cs="Times New Roman"/>
                <w:color w:val="auto"/>
                <w:spacing w:val="0"/>
                <w:position w:val="0"/>
                <w:sz w:val="21"/>
                <w:szCs w:val="21"/>
              </w:rPr>
              <w:fldChar w:fldCharType="separate"/>
            </w:r>
            <w:r>
              <w:rPr>
                <w:rFonts w:hint="default" w:ascii="Times New Roman" w:hAnsi="Times New Roman" w:cs="Times New Roman"/>
                <w:color w:val="auto"/>
                <w:spacing w:val="0"/>
                <w:position w:val="0"/>
                <w:sz w:val="21"/>
                <w:szCs w:val="21"/>
              </w:rPr>
              <w:t>其蒸气与空气可形成爆炸性混合物</w:t>
            </w:r>
            <w:r>
              <w:rPr>
                <w:rFonts w:hint="default" w:ascii="Times New Roman" w:hAnsi="Times New Roman" w:cs="Times New Roman"/>
                <w:color w:val="auto"/>
                <w:spacing w:val="0"/>
                <w:position w:val="0"/>
                <w:sz w:val="21"/>
                <w:szCs w:val="21"/>
              </w:rPr>
              <w:fldChar w:fldCharType="end"/>
            </w:r>
            <w:r>
              <w:rPr>
                <w:rFonts w:hint="default" w:ascii="Times New Roman" w:hAnsi="Times New Roman" w:cs="Times New Roman"/>
                <w:color w:val="auto"/>
                <w:spacing w:val="0"/>
                <w:position w:val="0"/>
                <w:sz w:val="21"/>
                <w:szCs w:val="21"/>
              </w:rPr>
              <w:t>。遇明火、高热能引起燃烧爆炸。与氧化剂能发生强烈反应。其蒸气比空气重，能在较低处扩散到相当远的地方，遇明火会引着回燃。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灭火方法：灭火剂：抗溶性泡沫、</w:t>
            </w:r>
            <w:r>
              <w:rPr>
                <w:rFonts w:hint="default" w:ascii="Times New Roman" w:hAnsi="Times New Roman" w:cs="Times New Roman"/>
                <w:color w:val="auto"/>
                <w:spacing w:val="0"/>
                <w:position w:val="0"/>
                <w:sz w:val="21"/>
                <w:szCs w:val="21"/>
              </w:rPr>
              <w:fldChar w:fldCharType="begin"/>
            </w:r>
            <w:r>
              <w:rPr>
                <w:rFonts w:hint="default" w:ascii="Times New Roman" w:hAnsi="Times New Roman" w:cs="Times New Roman"/>
                <w:color w:val="auto"/>
                <w:spacing w:val="0"/>
                <w:position w:val="0"/>
                <w:sz w:val="21"/>
                <w:szCs w:val="21"/>
              </w:rPr>
              <w:instrText xml:space="preserve"> HYPERLINK "http://baike.baidu.com/view/17816.htm" </w:instrText>
            </w:r>
            <w:r>
              <w:rPr>
                <w:rFonts w:hint="default" w:ascii="Times New Roman" w:hAnsi="Times New Roman" w:cs="Times New Roman"/>
                <w:color w:val="auto"/>
                <w:spacing w:val="0"/>
                <w:position w:val="0"/>
                <w:sz w:val="21"/>
                <w:szCs w:val="21"/>
              </w:rPr>
              <w:fldChar w:fldCharType="separate"/>
            </w:r>
            <w:r>
              <w:rPr>
                <w:rFonts w:hint="default" w:ascii="Times New Roman" w:hAnsi="Times New Roman" w:cs="Times New Roman"/>
                <w:color w:val="auto"/>
                <w:spacing w:val="0"/>
                <w:position w:val="0"/>
                <w:sz w:val="21"/>
                <w:szCs w:val="21"/>
              </w:rPr>
              <w:t>二氧化碳</w:t>
            </w:r>
            <w:r>
              <w:rPr>
                <w:rFonts w:hint="default" w:ascii="Times New Roman" w:hAnsi="Times New Roman" w:cs="Times New Roman"/>
                <w:color w:val="auto"/>
                <w:spacing w:val="0"/>
                <w:position w:val="0"/>
                <w:sz w:val="21"/>
                <w:szCs w:val="21"/>
              </w:rPr>
              <w:fldChar w:fldCharType="end"/>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rPr>
              <w:fldChar w:fldCharType="begin"/>
            </w:r>
            <w:r>
              <w:rPr>
                <w:rFonts w:hint="default" w:ascii="Times New Roman" w:hAnsi="Times New Roman" w:cs="Times New Roman"/>
                <w:color w:val="auto"/>
                <w:spacing w:val="0"/>
                <w:position w:val="0"/>
                <w:sz w:val="21"/>
                <w:szCs w:val="21"/>
              </w:rPr>
              <w:instrText xml:space="preserve"> HYPERLINK "http://baike.baidu.com/view/1047143.htm" </w:instrText>
            </w:r>
            <w:r>
              <w:rPr>
                <w:rFonts w:hint="default" w:ascii="Times New Roman" w:hAnsi="Times New Roman" w:cs="Times New Roman"/>
                <w:color w:val="auto"/>
                <w:spacing w:val="0"/>
                <w:position w:val="0"/>
                <w:sz w:val="21"/>
                <w:szCs w:val="21"/>
              </w:rPr>
              <w:fldChar w:fldCharType="separate"/>
            </w:r>
            <w:r>
              <w:rPr>
                <w:rFonts w:hint="default" w:ascii="Times New Roman" w:hAnsi="Times New Roman" w:cs="Times New Roman"/>
                <w:color w:val="auto"/>
                <w:spacing w:val="0"/>
                <w:position w:val="0"/>
                <w:sz w:val="21"/>
                <w:szCs w:val="21"/>
              </w:rPr>
              <w:t>干粉</w:t>
            </w:r>
            <w:r>
              <w:rPr>
                <w:rFonts w:hint="default" w:ascii="Times New Roman" w:hAnsi="Times New Roman" w:cs="Times New Roman"/>
                <w:color w:val="auto"/>
                <w:spacing w:val="0"/>
                <w:position w:val="0"/>
                <w:sz w:val="21"/>
                <w:szCs w:val="21"/>
              </w:rPr>
              <w:fldChar w:fldCharType="end"/>
            </w:r>
            <w:r>
              <w:rPr>
                <w:rFonts w:hint="default" w:ascii="Times New Roman" w:hAnsi="Times New Roman" w:cs="Times New Roman"/>
                <w:color w:val="auto"/>
                <w:spacing w:val="0"/>
                <w:position w:val="0"/>
                <w:sz w:val="21"/>
                <w:szCs w:val="21"/>
              </w:rPr>
              <w:t>、砂土。用水灭火无效，但可用水保持火场中容器冷却。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毒性</w:t>
            </w: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接触限值：中国</w:t>
            </w:r>
            <w:r>
              <w:rPr>
                <w:rFonts w:hint="default" w:ascii="Times New Roman" w:hAnsi="Times New Roman" w:eastAsia="Calibri" w:cs="Times New Roman"/>
                <w:color w:val="auto"/>
                <w:spacing w:val="0"/>
                <w:position w:val="0"/>
                <w:sz w:val="21"/>
                <w:szCs w:val="21"/>
              </w:rPr>
              <w:t>MAC</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mg/m</w:t>
            </w:r>
            <w:r>
              <w:rPr>
                <w:rFonts w:hint="default" w:ascii="Times New Roman" w:hAnsi="Times New Roman" w:eastAsia="Calibri" w:cs="Times New Roman"/>
                <w:color w:val="auto"/>
                <w:spacing w:val="0"/>
                <w:position w:val="0"/>
                <w:sz w:val="21"/>
                <w:szCs w:val="21"/>
                <w:vertAlign w:val="superscript"/>
              </w:rPr>
              <w:t>3</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300</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LD509370mg/kg</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大鼠经口</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6640mg/kg</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兔经口</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LC509800mg/kg</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大鼠吸入</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；人吸入</w:t>
            </w:r>
            <w:r>
              <w:rPr>
                <w:rFonts w:hint="default" w:ascii="Times New Roman" w:hAnsi="Times New Roman" w:eastAsia="Calibri" w:cs="Times New Roman"/>
                <w:color w:val="auto"/>
                <w:spacing w:val="0"/>
                <w:position w:val="0"/>
                <w:sz w:val="21"/>
                <w:szCs w:val="21"/>
              </w:rPr>
              <w:t>1000mg/m</w:t>
            </w:r>
            <w:r>
              <w:rPr>
                <w:rFonts w:hint="default" w:ascii="Times New Roman" w:hAnsi="Times New Roman" w:eastAsia="Calibri" w:cs="Times New Roman"/>
                <w:color w:val="auto"/>
                <w:spacing w:val="0"/>
                <w:position w:val="0"/>
                <w:sz w:val="21"/>
                <w:szCs w:val="21"/>
                <w:vertAlign w:val="superscript"/>
              </w:rPr>
              <w:t>3</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rPr>
              <w:fldChar w:fldCharType="begin"/>
            </w:r>
            <w:r>
              <w:rPr>
                <w:rFonts w:hint="default" w:ascii="Times New Roman" w:hAnsi="Times New Roman" w:cs="Times New Roman"/>
                <w:color w:val="auto"/>
                <w:spacing w:val="0"/>
                <w:position w:val="0"/>
                <w:sz w:val="21"/>
                <w:szCs w:val="21"/>
              </w:rPr>
              <w:instrText xml:space="preserve"> HYPERLINK "http://baike.baidu.com/view/1603729.htm" </w:instrText>
            </w:r>
            <w:r>
              <w:rPr>
                <w:rFonts w:hint="default" w:ascii="Times New Roman" w:hAnsi="Times New Roman" w:cs="Times New Roman"/>
                <w:color w:val="auto"/>
                <w:spacing w:val="0"/>
                <w:position w:val="0"/>
                <w:sz w:val="21"/>
                <w:szCs w:val="21"/>
              </w:rPr>
              <w:fldChar w:fldCharType="separate"/>
            </w:r>
            <w:r>
              <w:rPr>
                <w:rFonts w:hint="default" w:ascii="Times New Roman" w:hAnsi="Times New Roman" w:cs="Times New Roman"/>
                <w:color w:val="auto"/>
                <w:spacing w:val="0"/>
                <w:position w:val="0"/>
                <w:sz w:val="21"/>
                <w:szCs w:val="21"/>
              </w:rPr>
              <w:t>最小致死浓度</w:t>
            </w:r>
            <w:r>
              <w:rPr>
                <w:rFonts w:hint="default" w:ascii="Times New Roman" w:hAnsi="Times New Roman" w:cs="Times New Roman"/>
                <w:color w:val="auto"/>
                <w:spacing w:val="0"/>
                <w:position w:val="0"/>
                <w:sz w:val="21"/>
                <w:szCs w:val="21"/>
              </w:rPr>
              <w:fldChar w:fldCharType="end"/>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对人体危害</w:t>
            </w: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侵入途径：吸入、食入、经皮吸收。</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健康危害：对眼和上呼吸道粘膜有刺激作用。吸入高浓度时，感恶心、眼部灼热感、胸闷、疲乏无力，并可引起麻醉。误服者可产生恶心、呕吐、腹痛、腹泻等。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急救</w:t>
            </w: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皮肤接触：</w:t>
            </w:r>
            <w:r>
              <w:rPr>
                <w:rFonts w:hint="eastAsia" w:ascii="Times New Roman" w:hAnsi="Times New Roman" w:cs="Times New Roman"/>
                <w:color w:val="auto"/>
                <w:spacing w:val="0"/>
                <w:position w:val="0"/>
                <w:sz w:val="21"/>
                <w:szCs w:val="21"/>
                <w:lang w:eastAsia="zh-CN"/>
              </w:rPr>
              <w:t>脱去</w:t>
            </w:r>
            <w:r>
              <w:rPr>
                <w:rFonts w:hint="default" w:ascii="Times New Roman" w:hAnsi="Times New Roman" w:cs="Times New Roman"/>
                <w:color w:val="auto"/>
                <w:spacing w:val="0"/>
                <w:position w:val="0"/>
                <w:sz w:val="21"/>
                <w:szCs w:val="21"/>
              </w:rPr>
              <w:t>被污染的衣着，用肥皂水和清水彻底冲洗皮肤。</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眼睛接触：提起眼睑，用流动清水或生理盐水冲洗。就医。</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吸入：迅速脱离现场至空气新鲜处，保持呼吸道通畅。如呼吸困难，给输氧。如呼吸停止，立即进行人工呼吸。就医。</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食入：饮足量温水，催吐。就医。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防护</w:t>
            </w: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工程防护：生产过程密闭，加强通风。</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个人防护：空气中浓度超标时，佩戴自吸过滤式防毒面具（半面罩）。紧急事态抢救或撤离时，应该佩戴空气呼吸器或氧气呼吸器；戴化学安全防护眼镜；穿防毒物渗透工作服；戴乳胶手套。工作现场禁止吸烟、进食和饮水。工作毕，淋浴更衣。保持良好的卫生习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泄漏处理</w:t>
            </w: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迅速撤离泄漏污染区人员至安全区，并进行隔离，严格限制出入。切断火源。建议应急处理人员戴自给正压式呼吸器，穿消防防护服。尽可能切断泄漏源，防止进入下水道、排洪沟等限制性空间。小量泄漏：用活性炭或</w:t>
            </w:r>
            <w:r>
              <w:rPr>
                <w:rFonts w:hint="eastAsia" w:ascii="Times New Roman" w:hAnsi="Times New Roman" w:cs="Times New Roman"/>
                <w:color w:val="auto"/>
                <w:spacing w:val="0"/>
                <w:position w:val="0"/>
                <w:sz w:val="21"/>
                <w:szCs w:val="21"/>
                <w:lang w:eastAsia="zh-CN"/>
              </w:rPr>
              <w:t>其他</w:t>
            </w:r>
            <w:r>
              <w:rPr>
                <w:rFonts w:hint="default" w:ascii="Times New Roman" w:hAnsi="Times New Roman" w:cs="Times New Roman"/>
                <w:color w:val="auto"/>
                <w:spacing w:val="0"/>
                <w:position w:val="0"/>
                <w:sz w:val="21"/>
                <w:szCs w:val="21"/>
              </w:rPr>
              <w:t>惰性材料吸收。也可以用不燃性分散剂制成的乳液刷洗，洗液稀释后放入废水系统。大量泄漏：构筑围堤或挖坑收容；用泡沫覆盖，降低蒸气灾害。用防爆泵转移至槽车或专用收集器内，回收或运至废物处理场所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贮运</w:t>
            </w:r>
          </w:p>
        </w:tc>
        <w:tc>
          <w:tcPr>
            <w:tcW w:w="4770" w:type="pct"/>
            <w:gridSpan w:val="4"/>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包装标志：</w:t>
            </w:r>
            <w:r>
              <w:rPr>
                <w:rFonts w:hint="default" w:ascii="Times New Roman" w:hAnsi="Times New Roman" w:eastAsia="Calibri" w:cs="Times New Roman"/>
                <w:color w:val="auto"/>
                <w:spacing w:val="0"/>
                <w:position w:val="0"/>
                <w:sz w:val="21"/>
                <w:szCs w:val="21"/>
              </w:rPr>
              <w:t>UN</w:t>
            </w:r>
            <w:r>
              <w:rPr>
                <w:rFonts w:hint="default" w:ascii="Times New Roman" w:hAnsi="Times New Roman" w:cs="Times New Roman"/>
                <w:color w:val="auto"/>
                <w:spacing w:val="0"/>
                <w:position w:val="0"/>
                <w:sz w:val="21"/>
                <w:szCs w:val="21"/>
              </w:rPr>
              <w:t>编号：</w:t>
            </w:r>
            <w:r>
              <w:rPr>
                <w:rFonts w:hint="default" w:ascii="Times New Roman" w:hAnsi="Times New Roman" w:eastAsia="Calibri" w:cs="Times New Roman"/>
                <w:color w:val="auto"/>
                <w:spacing w:val="0"/>
                <w:position w:val="0"/>
                <w:sz w:val="21"/>
                <w:szCs w:val="21"/>
              </w:rPr>
              <w:t>1276</w:t>
            </w:r>
            <w:r>
              <w:rPr>
                <w:rFonts w:hint="default" w:ascii="Times New Roman" w:hAnsi="Times New Roman" w:cs="Times New Roman"/>
                <w:color w:val="auto"/>
                <w:spacing w:val="0"/>
                <w:position w:val="0"/>
                <w:sz w:val="21"/>
                <w:szCs w:val="21"/>
              </w:rPr>
              <w:t>包装分类：</w:t>
            </w:r>
            <w:r>
              <w:rPr>
                <w:rFonts w:hint="default" w:ascii="Times New Roman" w:hAnsi="Times New Roman" w:eastAsia="Calibri" w:cs="Times New Roman"/>
                <w:color w:val="auto"/>
                <w:spacing w:val="0"/>
                <w:position w:val="0"/>
                <w:sz w:val="21"/>
                <w:szCs w:val="21"/>
              </w:rPr>
              <w:t>052</w:t>
            </w:r>
            <w:r>
              <w:rPr>
                <w:rFonts w:hint="default" w:ascii="Times New Roman" w:hAnsi="Times New Roman" w:cs="Times New Roman"/>
                <w:color w:val="auto"/>
                <w:spacing w:val="0"/>
                <w:position w:val="0"/>
                <w:sz w:val="21"/>
                <w:szCs w:val="21"/>
              </w:rPr>
              <w:t>包装方法：小开口钢桶，螺纹口玻璃瓶、铁盖压口玻璃瓶、塑料瓶或金属桶（罐）外木板箱。</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储运条件：储存于阴凉、通风</w:t>
            </w:r>
            <w:r>
              <w:rPr>
                <w:rFonts w:hint="eastAsia" w:ascii="Times New Roman" w:hAnsi="Times New Roman" w:cs="Times New Roman"/>
                <w:color w:val="auto"/>
                <w:spacing w:val="0"/>
                <w:position w:val="0"/>
                <w:sz w:val="21"/>
                <w:szCs w:val="21"/>
                <w:lang w:val="en-US" w:eastAsia="zh-CN"/>
              </w:rPr>
              <w:t>房屋</w:t>
            </w:r>
            <w:r>
              <w:rPr>
                <w:rFonts w:hint="default" w:ascii="Times New Roman" w:hAnsi="Times New Roman" w:cs="Times New Roman"/>
                <w:color w:val="auto"/>
                <w:spacing w:val="0"/>
                <w:position w:val="0"/>
                <w:sz w:val="21"/>
                <w:szCs w:val="21"/>
              </w:rPr>
              <w:t>内。远离火种、热源。仓内温度不宜超过</w:t>
            </w:r>
            <w:r>
              <w:rPr>
                <w:rFonts w:hint="default" w:ascii="Times New Roman" w:hAnsi="Times New Roman" w:eastAsia="Calibri" w:cs="Times New Roman"/>
                <w:color w:val="auto"/>
                <w:spacing w:val="0"/>
                <w:position w:val="0"/>
                <w:sz w:val="21"/>
                <w:szCs w:val="21"/>
              </w:rPr>
              <w:t>30</w:t>
            </w:r>
            <w:r>
              <w:rPr>
                <w:rFonts w:hint="default" w:ascii="Times New Roman" w:hAnsi="Times New Roman" w:cs="Times New Roman"/>
                <w:color w:val="auto"/>
                <w:spacing w:val="0"/>
                <w:position w:val="0"/>
                <w:sz w:val="21"/>
                <w:szCs w:val="21"/>
              </w:rPr>
              <w:t>℃。防止阳光直射。保持容器密封。应与氧化剂、酸碱类分开存放。仓间内的照明、通风等设施应采用防爆型，开关设在仓外。配备相应品种和数量的消防器材。桶装堆垛不可过大，应留墙距、顶距、柱距及必要的防火检查</w:t>
            </w:r>
            <w:r>
              <w:rPr>
                <w:rFonts w:hint="eastAsia" w:ascii="Times New Roman" w:hAnsi="Times New Roman" w:cs="Times New Roman"/>
                <w:color w:val="auto"/>
                <w:spacing w:val="0"/>
                <w:position w:val="0"/>
                <w:sz w:val="21"/>
                <w:szCs w:val="21"/>
                <w:lang w:eastAsia="zh-CN"/>
              </w:rPr>
              <w:t>通道</w:t>
            </w:r>
            <w:r>
              <w:rPr>
                <w:rFonts w:hint="default" w:ascii="Times New Roman" w:hAnsi="Times New Roman" w:cs="Times New Roman"/>
                <w:color w:val="auto"/>
                <w:spacing w:val="0"/>
                <w:position w:val="0"/>
                <w:sz w:val="21"/>
                <w:szCs w:val="21"/>
              </w:rPr>
              <w:t>。</w:t>
            </w:r>
            <w:r>
              <w:rPr>
                <w:rFonts w:hint="eastAsia" w:ascii="Times New Roman" w:hAnsi="Times New Roman" w:cs="Times New Roman"/>
                <w:color w:val="auto"/>
                <w:spacing w:val="0"/>
                <w:position w:val="0"/>
                <w:sz w:val="21"/>
                <w:szCs w:val="21"/>
                <w:lang w:eastAsia="zh-CN"/>
              </w:rPr>
              <w:t>灌注</w:t>
            </w:r>
            <w:r>
              <w:rPr>
                <w:rFonts w:hint="default" w:ascii="Times New Roman" w:hAnsi="Times New Roman" w:cs="Times New Roman"/>
                <w:color w:val="auto"/>
                <w:spacing w:val="0"/>
                <w:position w:val="0"/>
                <w:sz w:val="21"/>
                <w:szCs w:val="21"/>
              </w:rPr>
              <w:t>时要有防火防爆技术措施。禁止使用易产生火花的机械设备和工具。灌装时应注意流速（不超过</w:t>
            </w:r>
            <w:r>
              <w:rPr>
                <w:rFonts w:hint="default" w:ascii="Times New Roman" w:hAnsi="Times New Roman" w:eastAsia="Calibri" w:cs="Times New Roman"/>
                <w:color w:val="auto"/>
                <w:spacing w:val="0"/>
                <w:position w:val="0"/>
                <w:sz w:val="21"/>
                <w:szCs w:val="21"/>
              </w:rPr>
              <w:t>3m/s</w:t>
            </w:r>
            <w:r>
              <w:rPr>
                <w:rFonts w:hint="default" w:ascii="Times New Roman" w:hAnsi="Times New Roman" w:cs="Times New Roman"/>
                <w:color w:val="auto"/>
                <w:spacing w:val="0"/>
                <w:position w:val="0"/>
                <w:sz w:val="21"/>
                <w:szCs w:val="21"/>
              </w:rPr>
              <w:t>），且有接地装置，防止静电积聚。搬运时要轻装轻卸，防止包装及容器损坏。</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异丙醇理化性质和危险特性</w:t>
      </w: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94"/>
        <w:gridCol w:w="2588"/>
        <w:gridCol w:w="786"/>
        <w:gridCol w:w="1583"/>
        <w:gridCol w:w="518"/>
        <w:gridCol w:w="24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标识</w:t>
            </w:r>
          </w:p>
        </w:tc>
        <w:tc>
          <w:tcPr>
            <w:tcW w:w="201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中文名：</w:t>
            </w:r>
            <w:r>
              <w:rPr>
                <w:rFonts w:hint="default" w:ascii="Times New Roman" w:hAnsi="Times New Roman" w:eastAsia="Calibri" w:cs="Times New Roman"/>
                <w:color w:val="auto"/>
                <w:spacing w:val="4"/>
                <w:sz w:val="21"/>
                <w:szCs w:val="21"/>
              </w:rPr>
              <w:t>2-</w:t>
            </w:r>
            <w:r>
              <w:rPr>
                <w:rFonts w:hint="default" w:ascii="Times New Roman" w:hAnsi="Times New Roman" w:cs="Times New Roman"/>
                <w:color w:val="auto"/>
                <w:spacing w:val="4"/>
                <w:sz w:val="21"/>
                <w:szCs w:val="21"/>
              </w:rPr>
              <w:t>丙醇；异丙醇</w:t>
            </w:r>
          </w:p>
        </w:tc>
        <w:tc>
          <w:tcPr>
            <w:tcW w:w="274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3"/>
                <w:sz w:val="21"/>
                <w:szCs w:val="21"/>
              </w:rPr>
              <w:t>英文名：</w:t>
            </w:r>
            <w:r>
              <w:rPr>
                <w:rFonts w:hint="default" w:ascii="Times New Roman" w:hAnsi="Times New Roman" w:eastAsia="Calibri" w:cs="Times New Roman"/>
                <w:color w:val="auto"/>
                <w:spacing w:val="13"/>
                <w:sz w:val="21"/>
                <w:szCs w:val="21"/>
              </w:rPr>
              <w:t>2-</w:t>
            </w:r>
            <w:r>
              <w:rPr>
                <w:rFonts w:hint="default" w:ascii="Times New Roman" w:hAnsi="Times New Roman" w:eastAsia="Calibri" w:cs="Times New Roman"/>
                <w:color w:val="auto"/>
                <w:sz w:val="21"/>
                <w:szCs w:val="21"/>
              </w:rPr>
              <w:t>propanol</w:t>
            </w:r>
            <w:r>
              <w:rPr>
                <w:rFonts w:hint="default" w:ascii="Times New Roman" w:hAnsi="Times New Roman" w:cs="Times New Roman"/>
                <w:color w:val="auto"/>
                <w:spacing w:val="13"/>
                <w:sz w:val="21"/>
                <w:szCs w:val="21"/>
              </w:rPr>
              <w:t>；</w:t>
            </w:r>
            <w:r>
              <w:rPr>
                <w:rFonts w:hint="default" w:ascii="Times New Roman" w:hAnsi="Times New Roman" w:eastAsia="Calibri" w:cs="Times New Roman"/>
                <w:color w:val="auto"/>
                <w:sz w:val="21"/>
                <w:szCs w:val="21"/>
              </w:rPr>
              <w:t>isopropylalcohol</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分子式：</w:t>
            </w:r>
            <w:r>
              <w:rPr>
                <w:rFonts w:hint="default" w:ascii="Times New Roman" w:hAnsi="Times New Roman" w:eastAsia="Calibri" w:cs="Times New Roman"/>
                <w:color w:val="auto"/>
                <w:spacing w:val="2"/>
                <w:sz w:val="21"/>
                <w:szCs w:val="21"/>
              </w:rPr>
              <w:t>C</w:t>
            </w:r>
            <w:r>
              <w:rPr>
                <w:rFonts w:hint="default" w:ascii="Times New Roman" w:hAnsi="Times New Roman" w:eastAsia="Calibri" w:cs="Times New Roman"/>
                <w:color w:val="auto"/>
                <w:spacing w:val="2"/>
                <w:position w:val="-1"/>
                <w:sz w:val="21"/>
                <w:szCs w:val="21"/>
                <w:vertAlign w:val="subscript"/>
              </w:rPr>
              <w:t>3</w:t>
            </w:r>
            <w:r>
              <w:rPr>
                <w:rFonts w:hint="default" w:ascii="Times New Roman" w:hAnsi="Times New Roman" w:eastAsia="Calibri" w:cs="Times New Roman"/>
                <w:color w:val="auto"/>
                <w:spacing w:val="2"/>
                <w:sz w:val="21"/>
                <w:szCs w:val="21"/>
              </w:rPr>
              <w:t>H</w:t>
            </w:r>
            <w:r>
              <w:rPr>
                <w:rFonts w:hint="default" w:ascii="Times New Roman" w:hAnsi="Times New Roman" w:eastAsia="Calibri" w:cs="Times New Roman"/>
                <w:color w:val="auto"/>
                <w:spacing w:val="2"/>
                <w:position w:val="-1"/>
                <w:sz w:val="21"/>
                <w:szCs w:val="21"/>
                <w:vertAlign w:val="subscript"/>
              </w:rPr>
              <w:t>8</w:t>
            </w:r>
            <w:r>
              <w:rPr>
                <w:rFonts w:hint="default" w:ascii="Times New Roman" w:hAnsi="Times New Roman" w:eastAsia="Calibri" w:cs="Times New Roman"/>
                <w:color w:val="auto"/>
                <w:spacing w:val="2"/>
                <w:sz w:val="21"/>
                <w:szCs w:val="21"/>
              </w:rPr>
              <w:t>O</w:t>
            </w:r>
          </w:p>
        </w:tc>
        <w:tc>
          <w:tcPr>
            <w:tcW w:w="1727"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分子量：</w:t>
            </w:r>
            <w:r>
              <w:rPr>
                <w:rFonts w:hint="default" w:ascii="Times New Roman" w:hAnsi="Times New Roman" w:eastAsia="Calibri" w:cs="Times New Roman"/>
                <w:color w:val="auto"/>
                <w:spacing w:val="4"/>
                <w:sz w:val="21"/>
                <w:szCs w:val="21"/>
              </w:rPr>
              <w:t>60.10</w:t>
            </w:r>
          </w:p>
        </w:tc>
        <w:tc>
          <w:tcPr>
            <w:tcW w:w="148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CAS</w:t>
            </w:r>
            <w:r>
              <w:rPr>
                <w:rFonts w:hint="default" w:ascii="Times New Roman" w:hAnsi="Times New Roman" w:cs="Times New Roman"/>
                <w:color w:val="auto"/>
                <w:spacing w:val="4"/>
                <w:sz w:val="21"/>
                <w:szCs w:val="21"/>
              </w:rPr>
              <w:t>号：</w:t>
            </w:r>
            <w:r>
              <w:rPr>
                <w:rFonts w:hint="default" w:ascii="Times New Roman" w:hAnsi="Times New Roman" w:eastAsia="Calibri" w:cs="Times New Roman"/>
                <w:color w:val="auto"/>
                <w:spacing w:val="4"/>
                <w:sz w:val="21"/>
                <w:szCs w:val="21"/>
              </w:rPr>
              <w:t>67</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63</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危规号：</w:t>
            </w:r>
            <w:r>
              <w:rPr>
                <w:rFonts w:hint="default" w:ascii="Times New Roman" w:hAnsi="Times New Roman" w:eastAsia="Calibri" w:cs="Times New Roman"/>
                <w:color w:val="auto"/>
                <w:spacing w:val="4"/>
                <w:sz w:val="21"/>
                <w:szCs w:val="21"/>
              </w:rPr>
              <w:t>32064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理化性质</w:t>
            </w: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性状：无色透明液体，有似乙醇和丙酮混合物的气味。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溶解性：溶于水、醇、醚、苯、氯仿等多数有机溶剂。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熔点</w:t>
            </w:r>
            <w:r>
              <w:rPr>
                <w:rFonts w:hint="default"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w:t>
            </w:r>
            <w:r>
              <w:rPr>
                <w:rFonts w:hint="default"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88.5</w:t>
            </w:r>
          </w:p>
        </w:tc>
        <w:tc>
          <w:tcPr>
            <w:tcW w:w="1417"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沸点</w:t>
            </w:r>
            <w:r>
              <w:rPr>
                <w:rFonts w:hint="default"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w:t>
            </w:r>
            <w:r>
              <w:rPr>
                <w:rFonts w:hint="default"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80.3</w:t>
            </w:r>
          </w:p>
        </w:tc>
        <w:tc>
          <w:tcPr>
            <w:tcW w:w="179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相对密度（水＝</w:t>
            </w:r>
            <w:r>
              <w:rPr>
                <w:rFonts w:hint="default" w:ascii="Times New Roman" w:hAnsi="Times New Roman" w:eastAsia="Calibri" w:cs="Times New Roman"/>
                <w:color w:val="auto"/>
                <w:spacing w:val="0"/>
                <w:sz w:val="21"/>
                <w:szCs w:val="21"/>
              </w:rPr>
              <w:t>1</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0.79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临界温度</w:t>
            </w:r>
            <w:r>
              <w:rPr>
                <w:rFonts w:hint="default"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w:t>
            </w:r>
            <w:r>
              <w:rPr>
                <w:rFonts w:hint="default"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275.2</w:t>
            </w:r>
          </w:p>
        </w:tc>
        <w:tc>
          <w:tcPr>
            <w:tcW w:w="1417"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临界压力（</w:t>
            </w:r>
            <w:r>
              <w:rPr>
                <w:rFonts w:hint="default" w:ascii="Times New Roman" w:hAnsi="Times New Roman" w:eastAsia="Calibri" w:cs="Times New Roman"/>
                <w:color w:val="auto"/>
                <w:spacing w:val="0"/>
                <w:sz w:val="21"/>
                <w:szCs w:val="21"/>
              </w:rPr>
              <w:t>MPa</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4.76</w:t>
            </w:r>
          </w:p>
        </w:tc>
        <w:tc>
          <w:tcPr>
            <w:tcW w:w="179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相对密度（空气＝</w:t>
            </w:r>
            <w:r>
              <w:rPr>
                <w:rFonts w:hint="default" w:ascii="Times New Roman" w:hAnsi="Times New Roman" w:eastAsia="Calibri" w:cs="Times New Roman"/>
                <w:color w:val="auto"/>
                <w:spacing w:val="0"/>
                <w:sz w:val="21"/>
                <w:szCs w:val="21"/>
              </w:rPr>
              <w:t>1</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2.07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position w:val="2"/>
                <w:sz w:val="21"/>
                <w:szCs w:val="21"/>
              </w:rPr>
              <w:t>燃烧热（</w:t>
            </w:r>
            <w:r>
              <w:rPr>
                <w:rFonts w:hint="default" w:ascii="Times New Roman" w:hAnsi="Times New Roman" w:eastAsia="Calibri" w:cs="Times New Roman"/>
                <w:color w:val="auto"/>
                <w:spacing w:val="0"/>
                <w:position w:val="2"/>
                <w:sz w:val="21"/>
                <w:szCs w:val="21"/>
              </w:rPr>
              <w:t>KJ/mol</w:t>
            </w:r>
            <w:r>
              <w:rPr>
                <w:rFonts w:hint="default" w:ascii="Times New Roman" w:hAnsi="Times New Roman" w:cs="Times New Roman"/>
                <w:color w:val="auto"/>
                <w:spacing w:val="0"/>
                <w:position w:val="2"/>
                <w:sz w:val="21"/>
                <w:szCs w:val="21"/>
              </w:rPr>
              <w:t>）：</w:t>
            </w:r>
            <w:r>
              <w:rPr>
                <w:rFonts w:hint="default" w:ascii="Times New Roman" w:hAnsi="Times New Roman" w:eastAsia="Calibri" w:cs="Times New Roman"/>
                <w:color w:val="auto"/>
                <w:spacing w:val="0"/>
                <w:position w:val="2"/>
                <w:sz w:val="21"/>
                <w:szCs w:val="21"/>
              </w:rPr>
              <w:t>1984.7</w:t>
            </w:r>
          </w:p>
        </w:tc>
        <w:tc>
          <w:tcPr>
            <w:tcW w:w="1417"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0"/>
                <w:sz w:val="21"/>
                <w:szCs w:val="21"/>
              </w:rPr>
            </w:pPr>
            <w:r>
              <w:rPr>
                <w:rFonts w:hint="default" w:ascii="Times New Roman" w:hAnsi="Times New Roman" w:cs="Times New Roman"/>
                <w:color w:val="auto"/>
                <w:spacing w:val="0"/>
                <w:sz w:val="21"/>
                <w:szCs w:val="21"/>
              </w:rPr>
              <w:t>最小点火能（</w:t>
            </w:r>
            <w:r>
              <w:rPr>
                <w:rFonts w:hint="default" w:ascii="Times New Roman" w:hAnsi="Times New Roman" w:eastAsia="Calibri" w:cs="Times New Roman"/>
                <w:color w:val="auto"/>
                <w:spacing w:val="0"/>
                <w:sz w:val="21"/>
                <w:szCs w:val="21"/>
              </w:rPr>
              <w:t>mJ</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0.65</w:t>
            </w:r>
          </w:p>
        </w:tc>
        <w:tc>
          <w:tcPr>
            <w:tcW w:w="179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cs="Times New Roman"/>
                <w:color w:val="auto"/>
                <w:spacing w:val="0"/>
                <w:sz w:val="21"/>
                <w:szCs w:val="21"/>
              </w:rPr>
              <w:t>饱和蒸汽压（</w:t>
            </w:r>
            <w:r>
              <w:rPr>
                <w:rFonts w:hint="default" w:ascii="Times New Roman" w:hAnsi="Times New Roman" w:eastAsia="Calibri" w:cs="Times New Roman"/>
                <w:color w:val="auto"/>
                <w:spacing w:val="0"/>
                <w:sz w:val="21"/>
                <w:szCs w:val="21"/>
              </w:rPr>
              <w:t>UPa</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4.40</w:t>
            </w:r>
            <w:r>
              <w:rPr>
                <w:rFonts w:hint="default" w:ascii="Times New Roman" w:hAnsi="Times New Roman" w:cs="Times New Roman"/>
                <w:color w:val="auto"/>
                <w:spacing w:val="0"/>
                <w:sz w:val="21"/>
                <w:szCs w:val="21"/>
              </w:rPr>
              <w:t>（</w:t>
            </w:r>
            <w:r>
              <w:rPr>
                <w:rFonts w:hint="default" w:ascii="Times New Roman" w:hAnsi="Times New Roman" w:eastAsia="Calibri" w:cs="Times New Roman"/>
                <w:color w:val="auto"/>
                <w:spacing w:val="0"/>
                <w:sz w:val="21"/>
                <w:szCs w:val="21"/>
              </w:rPr>
              <w:t>20</w:t>
            </w:r>
            <w:r>
              <w:rPr>
                <w:rFonts w:hint="default" w:ascii="Times New Roman" w:hAnsi="Times New Roman" w:cs="Times New Roman"/>
                <w:color w:val="auto"/>
                <w:spacing w:val="0"/>
                <w:sz w:val="21"/>
                <w:szCs w:val="21"/>
              </w:rPr>
              <w:t>℃</w:t>
            </w:r>
            <w:r>
              <w:rPr>
                <w:rFonts w:hint="default" w:ascii="Times New Roman" w:hAnsi="Times New Roman" w:cs="Times New Roman"/>
                <w:color w:val="auto"/>
                <w:spacing w:val="0"/>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燃烧爆炸危险性</w:t>
            </w: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燃烧性：易燃</w:t>
            </w:r>
          </w:p>
        </w:tc>
        <w:tc>
          <w:tcPr>
            <w:tcW w:w="3215"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燃烧分解产物：一氧化碳、二氧化碳。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闪点</w:t>
            </w:r>
            <w:r>
              <w:rPr>
                <w:rFonts w:hint="default"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default"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12</w:t>
            </w:r>
          </w:p>
        </w:tc>
        <w:tc>
          <w:tcPr>
            <w:tcW w:w="3215"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聚合危害：不聚合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爆炸下限</w:t>
            </w:r>
            <w:r>
              <w:rPr>
                <w:rFonts w:hint="default" w:ascii="Times New Roman" w:hAnsi="Times New Roman" w:cs="Times New Roman"/>
                <w:color w:val="auto"/>
                <w:spacing w:val="-5"/>
                <w:sz w:val="21"/>
                <w:szCs w:val="21"/>
              </w:rPr>
              <w:t>（</w:t>
            </w:r>
            <w:r>
              <w:rPr>
                <w:rFonts w:hint="default"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3"/>
                <w:sz w:val="21"/>
                <w:szCs w:val="21"/>
              </w:rPr>
              <w:t>2.0</w:t>
            </w:r>
          </w:p>
        </w:tc>
        <w:tc>
          <w:tcPr>
            <w:tcW w:w="3215"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稳定性：稳定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爆炸上限</w:t>
            </w:r>
            <w:r>
              <w:rPr>
                <w:rFonts w:hint="default" w:ascii="Times New Roman" w:hAnsi="Times New Roman" w:cs="Times New Roman"/>
                <w:color w:val="auto"/>
                <w:spacing w:val="-3"/>
                <w:sz w:val="21"/>
                <w:szCs w:val="21"/>
              </w:rPr>
              <w:t>（</w:t>
            </w:r>
            <w:r>
              <w:rPr>
                <w:rFonts w:hint="default"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w:t>
            </w:r>
            <w:r>
              <w:rPr>
                <w:rFonts w:hint="default" w:ascii="Times New Roman" w:hAnsi="Times New Roman" w:eastAsia="Calibri" w:cs="Times New Roman"/>
                <w:color w:val="auto"/>
                <w:spacing w:val="2"/>
                <w:sz w:val="21"/>
                <w:szCs w:val="21"/>
              </w:rPr>
              <w:t>12.7</w:t>
            </w:r>
          </w:p>
        </w:tc>
        <w:tc>
          <w:tcPr>
            <w:tcW w:w="3215"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最大爆炸压力（</w:t>
            </w:r>
            <w:r>
              <w:rPr>
                <w:rFonts w:hint="default" w:ascii="Times New Roman" w:hAnsi="Times New Roman" w:eastAsia="Calibri" w:cs="Times New Roman"/>
                <w:color w:val="auto"/>
                <w:sz w:val="21"/>
                <w:szCs w:val="21"/>
              </w:rPr>
              <w:t>MPa</w:t>
            </w:r>
            <w:r>
              <w:rPr>
                <w:rFonts w:hint="default" w:ascii="Times New Roman" w:hAnsi="Times New Roman" w:cs="Times New Roman"/>
                <w:color w:val="auto"/>
                <w:spacing w:val="13"/>
                <w:sz w:val="21"/>
                <w:szCs w:val="21"/>
              </w:rPr>
              <w:t>）：</w:t>
            </w:r>
            <w:r>
              <w:rPr>
                <w:rFonts w:hint="default" w:ascii="Times New Roman" w:hAnsi="Times New Roman" w:cs="Times New Roman"/>
                <w:color w:val="auto"/>
                <w:spacing w:val="7"/>
                <w:sz w:val="21"/>
                <w:szCs w:val="21"/>
              </w:rPr>
              <w:t>无资料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548"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引燃温度</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eastAsia="Calibri" w:cs="Times New Roman"/>
                <w:color w:val="auto"/>
                <w:spacing w:val="-1"/>
                <w:sz w:val="21"/>
                <w:szCs w:val="21"/>
              </w:rPr>
              <w:t>399</w:t>
            </w:r>
          </w:p>
        </w:tc>
        <w:tc>
          <w:tcPr>
            <w:tcW w:w="3215" w:type="pct"/>
            <w:gridSpan w:val="4"/>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禁忌物：强氧化剂、酸类、酸酐、卤素。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危险特性：易燃，其蒸气与空气可形成爆炸</w:t>
            </w:r>
            <w:r>
              <w:rPr>
                <w:rFonts w:hint="default" w:ascii="Times New Roman" w:hAnsi="Times New Roman" w:cs="Times New Roman"/>
                <w:color w:val="auto"/>
                <w:spacing w:val="6"/>
                <w:sz w:val="21"/>
                <w:szCs w:val="21"/>
              </w:rPr>
              <w:t>性混合物。遇明火、高热能引起燃烧爆炸。与氧化剂</w:t>
            </w:r>
            <w:r>
              <w:rPr>
                <w:rFonts w:hint="default" w:ascii="Times New Roman" w:hAnsi="Times New Roman" w:cs="Times New Roman"/>
                <w:color w:val="auto"/>
                <w:spacing w:val="7"/>
                <w:sz w:val="21"/>
                <w:szCs w:val="21"/>
              </w:rPr>
              <w:t>接触会猛烈反应。在火场中，受热的容器有爆</w:t>
            </w:r>
            <w:r>
              <w:rPr>
                <w:rFonts w:hint="default" w:ascii="Times New Roman" w:hAnsi="Times New Roman" w:cs="Times New Roman"/>
                <w:color w:val="auto"/>
                <w:spacing w:val="6"/>
                <w:sz w:val="21"/>
                <w:szCs w:val="21"/>
              </w:rPr>
              <w:t>炸危险。其蒸气比空气重，能在较低处扩散到相当远的地方，遇明火会引着回燃。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3" w:type="pct"/>
            <w:gridSpan w:val="5"/>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灭火方法：尽可能将容器从火场移至空旷处。喷水保持火场容器冷却，直至灭火结束。处在火场</w:t>
            </w:r>
            <w:r>
              <w:rPr>
                <w:rFonts w:hint="default" w:ascii="Times New Roman" w:hAnsi="Times New Roman" w:cs="Times New Roman"/>
                <w:color w:val="auto"/>
                <w:spacing w:val="7"/>
                <w:sz w:val="21"/>
                <w:szCs w:val="21"/>
              </w:rPr>
              <w:t>中的容器若已变色或从安全泄压装置中产生声音，必须马上撤离。灭火剂：抗溶性</w:t>
            </w:r>
            <w:r>
              <w:rPr>
                <w:rFonts w:hint="default" w:ascii="Times New Roman" w:hAnsi="Times New Roman" w:cs="Times New Roman"/>
                <w:color w:val="auto"/>
                <w:spacing w:val="6"/>
                <w:sz w:val="21"/>
                <w:szCs w:val="21"/>
              </w:rPr>
              <w:t>泡沫、干粉、</w:t>
            </w:r>
            <w:r>
              <w:rPr>
                <w:rFonts w:hint="default" w:ascii="Times New Roman" w:hAnsi="Times New Roman" w:cs="Times New Roman"/>
                <w:color w:val="auto"/>
                <w:spacing w:val="5"/>
                <w:sz w:val="21"/>
                <w:szCs w:val="21"/>
              </w:rPr>
              <w:t>二氧化碳、砂土。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对人体危害</w:t>
            </w: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侵入途径：吸入、食入、经皮吸收。</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健康危害：接触高浓度蒸气出现头痛、倦睡、共济失调以及眼、鼻、喉刺</w:t>
            </w:r>
            <w:r>
              <w:rPr>
                <w:rFonts w:hint="default" w:ascii="Times New Roman" w:hAnsi="Times New Roman" w:cs="Times New Roman"/>
                <w:color w:val="auto"/>
                <w:spacing w:val="7"/>
                <w:sz w:val="21"/>
                <w:szCs w:val="21"/>
              </w:rPr>
              <w:t>激症状。口服可致恶心、呕吐、腹痛、腹泻、倦睡、昏迷甚至死亡。长期皮肤接触可致皮肤干燥、皲裂。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急救</w:t>
            </w: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皮肤接触：脱去被污染的衣着，用肥皂水和清水彻底冲洗皮肤。</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眼睛接触：提起眼睑，用流动清水或生理盐水冲洗。就医。吸入：迅速脱离现场至空气新鲜处。</w:t>
            </w:r>
            <w:r>
              <w:rPr>
                <w:rFonts w:hint="default" w:ascii="Times New Roman" w:hAnsi="Times New Roman" w:cs="Times New Roman"/>
                <w:color w:val="auto"/>
                <w:spacing w:val="8"/>
                <w:sz w:val="21"/>
                <w:szCs w:val="21"/>
              </w:rPr>
              <w:t>保持呼吸道畅通。如呼吸困难，给输氧。如</w:t>
            </w:r>
            <w:r>
              <w:rPr>
                <w:rFonts w:hint="default" w:ascii="Times New Roman" w:hAnsi="Times New Roman" w:cs="Times New Roman"/>
                <w:color w:val="auto"/>
                <w:spacing w:val="7"/>
                <w:sz w:val="21"/>
                <w:szCs w:val="21"/>
              </w:rPr>
              <w:t>呼吸停止，立即进行人工呼吸。就医。</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食入：洗胃。就医。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防护</w:t>
            </w: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工程控制：生产过程密闭，全面通风。提供安全淋浴和洗眼设备。</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呼吸系统防护：一般不需要特殊防护，高浓度接触时可佩戴过滤式防毒面具（半面罩）。眼睛防</w:t>
            </w:r>
            <w:r>
              <w:rPr>
                <w:rFonts w:hint="default" w:ascii="Times New Roman" w:hAnsi="Times New Roman" w:cs="Times New Roman"/>
                <w:color w:val="auto"/>
                <w:spacing w:val="7"/>
                <w:sz w:val="21"/>
                <w:szCs w:val="21"/>
              </w:rPr>
              <w:t>护：一般不需要特殊防护，高浓度接触时可戴安全防</w:t>
            </w:r>
            <w:r>
              <w:rPr>
                <w:rFonts w:hint="default" w:ascii="Times New Roman" w:hAnsi="Times New Roman" w:cs="Times New Roman"/>
                <w:color w:val="auto"/>
                <w:spacing w:val="6"/>
                <w:sz w:val="21"/>
                <w:szCs w:val="21"/>
              </w:rPr>
              <w:t>护眼镜。身体防护：穿防静电工作服。手防</w:t>
            </w:r>
            <w:r>
              <w:rPr>
                <w:rFonts w:hint="default" w:ascii="Times New Roman" w:hAnsi="Times New Roman" w:cs="Times New Roman"/>
                <w:color w:val="auto"/>
                <w:spacing w:val="7"/>
                <w:sz w:val="21"/>
                <w:szCs w:val="21"/>
              </w:rPr>
              <w:t>护：戴乳胶手套。其他防护：工作场所严禁吸烟。保持良好的卫生习惯。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泄漏处理</w:t>
            </w: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迅速撤离泄漏污染区人员至安全区，并进行</w:t>
            </w:r>
            <w:r>
              <w:rPr>
                <w:rFonts w:hint="default" w:ascii="Times New Roman" w:hAnsi="Times New Roman" w:cs="Times New Roman"/>
                <w:color w:val="auto"/>
                <w:spacing w:val="6"/>
                <w:sz w:val="21"/>
                <w:szCs w:val="21"/>
              </w:rPr>
              <w:t>隔离，严格限制出入。切断火源。建议应急处理人员戴自给正压式呼吸器，穿消防防护服。尽可能切断泄漏源，防止进入下水道、排洪沟等限制性空间。小量泄漏：用砂土或</w:t>
            </w:r>
            <w:r>
              <w:rPr>
                <w:rFonts w:hint="eastAsia" w:ascii="Times New Roman" w:hAnsi="Times New Roman" w:cs="Times New Roman"/>
                <w:color w:val="auto"/>
                <w:spacing w:val="6"/>
                <w:sz w:val="21"/>
                <w:szCs w:val="21"/>
                <w:lang w:eastAsia="zh-CN"/>
              </w:rPr>
              <w:t>其他</w:t>
            </w:r>
            <w:r>
              <w:rPr>
                <w:rFonts w:hint="default" w:ascii="Times New Roman" w:hAnsi="Times New Roman" w:cs="Times New Roman"/>
                <w:color w:val="auto"/>
                <w:spacing w:val="6"/>
                <w:sz w:val="21"/>
                <w:szCs w:val="21"/>
              </w:rPr>
              <w:t>不燃材料吸附或吸收。也可以用大量水冲洗，洗水稀释后放入废水</w:t>
            </w:r>
            <w:r>
              <w:rPr>
                <w:rFonts w:hint="default" w:ascii="Times New Roman" w:hAnsi="Times New Roman" w:cs="Times New Roman"/>
                <w:color w:val="auto"/>
                <w:spacing w:val="7"/>
                <w:sz w:val="21"/>
                <w:szCs w:val="21"/>
              </w:rPr>
              <w:t>系统。大量泄漏：构筑围堤或挖坑收容；用泡沫覆</w:t>
            </w:r>
            <w:r>
              <w:rPr>
                <w:rFonts w:hint="default" w:ascii="Times New Roman" w:hAnsi="Times New Roman" w:cs="Times New Roman"/>
                <w:color w:val="auto"/>
                <w:spacing w:val="6"/>
                <w:sz w:val="21"/>
                <w:szCs w:val="21"/>
              </w:rPr>
              <w:t>盖，降低蒸气灾害。用防爆泵转移至槽车或专</w:t>
            </w:r>
            <w:r>
              <w:rPr>
                <w:rFonts w:hint="default" w:ascii="Times New Roman" w:hAnsi="Times New Roman" w:cs="Times New Roman"/>
                <w:color w:val="auto"/>
                <w:spacing w:val="7"/>
                <w:sz w:val="21"/>
                <w:szCs w:val="21"/>
              </w:rPr>
              <w:t>用收集器内，回收或运至废物处理场所处置。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贮运</w:t>
            </w:r>
          </w:p>
        </w:tc>
        <w:tc>
          <w:tcPr>
            <w:tcW w:w="4763" w:type="pct"/>
            <w:gridSpan w:val="5"/>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包装标志：</w:t>
            </w:r>
            <w:r>
              <w:rPr>
                <w:rFonts w:hint="default" w:ascii="Times New Roman" w:hAnsi="Times New Roman" w:eastAsia="Calibri" w:cs="Times New Roman"/>
                <w:color w:val="auto"/>
                <w:spacing w:val="4"/>
                <w:sz w:val="21"/>
                <w:szCs w:val="21"/>
              </w:rPr>
              <w:t>7</w:t>
            </w:r>
            <w:r>
              <w:rPr>
                <w:rFonts w:hint="default" w:ascii="Times New Roman" w:hAnsi="Times New Roman" w:eastAsia="Calibri" w:cs="Times New Roman"/>
                <w:color w:val="auto"/>
                <w:sz w:val="21"/>
                <w:szCs w:val="21"/>
              </w:rPr>
              <w:t>UN</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cs="Times New Roman"/>
                <w:color w:val="auto"/>
                <w:spacing w:val="4"/>
                <w:sz w:val="21"/>
                <w:szCs w:val="21"/>
              </w:rPr>
              <w:t>编号：</w:t>
            </w:r>
            <w:r>
              <w:rPr>
                <w:rFonts w:hint="default" w:ascii="Times New Roman" w:hAnsi="Times New Roman" w:eastAsia="Calibri" w:cs="Times New Roman"/>
                <w:color w:val="auto"/>
                <w:spacing w:val="4"/>
                <w:sz w:val="21"/>
                <w:szCs w:val="21"/>
              </w:rPr>
              <w:t>1219</w:t>
            </w:r>
            <w:r>
              <w:rPr>
                <w:rFonts w:hint="eastAsia" w:ascii="Times New Roman" w:hAnsi="Times New Roman" w:eastAsia="宋体" w:cs="Times New Roman"/>
                <w:color w:val="auto"/>
                <w:spacing w:val="4"/>
                <w:sz w:val="21"/>
                <w:szCs w:val="21"/>
                <w:lang w:val="en-US" w:eastAsia="zh-CN"/>
              </w:rPr>
              <w:t xml:space="preserve">  </w:t>
            </w:r>
            <w:r>
              <w:rPr>
                <w:rFonts w:hint="default" w:ascii="Times New Roman" w:hAnsi="Times New Roman" w:cs="Times New Roman"/>
                <w:color w:val="auto"/>
                <w:spacing w:val="4"/>
                <w:sz w:val="21"/>
                <w:szCs w:val="21"/>
              </w:rPr>
              <w:t>包装分</w:t>
            </w:r>
            <w:r>
              <w:rPr>
                <w:rFonts w:hint="default" w:ascii="Times New Roman" w:hAnsi="Times New Roman" w:cs="Times New Roman"/>
                <w:color w:val="auto"/>
                <w:spacing w:val="3"/>
                <w:sz w:val="21"/>
                <w:szCs w:val="21"/>
              </w:rPr>
              <w:t>类：Ⅱ</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包装方法：小开口钢桶；螺纹口玻璃瓶、铁</w:t>
            </w:r>
            <w:r>
              <w:rPr>
                <w:rFonts w:hint="default" w:ascii="Times New Roman" w:hAnsi="Times New Roman" w:cs="Times New Roman"/>
                <w:color w:val="auto"/>
                <w:spacing w:val="6"/>
                <w:sz w:val="21"/>
                <w:szCs w:val="21"/>
              </w:rPr>
              <w:t>盖压口玻璃瓶、塑料瓶或金属桶（罐）外木板箱。储运条件：储存在阴凉、通风仓间内。远离火种、热源。仓内温度不宜超过</w:t>
            </w:r>
            <w:r>
              <w:rPr>
                <w:rFonts w:hint="default" w:ascii="Times New Roman" w:hAnsi="Times New Roman" w:eastAsia="Calibri" w:cs="Times New Roman"/>
                <w:color w:val="auto"/>
                <w:spacing w:val="6"/>
                <w:sz w:val="21"/>
                <w:szCs w:val="21"/>
              </w:rPr>
              <w:t>30</w:t>
            </w:r>
            <w:r>
              <w:rPr>
                <w:rFonts w:hint="default" w:ascii="Times New Roman" w:hAnsi="Times New Roman" w:cs="Times New Roman"/>
                <w:color w:val="auto"/>
                <w:spacing w:val="6"/>
                <w:sz w:val="21"/>
                <w:szCs w:val="21"/>
              </w:rPr>
              <w:t>℃。防止</w:t>
            </w:r>
            <w:r>
              <w:rPr>
                <w:rFonts w:hint="default" w:ascii="Times New Roman" w:hAnsi="Times New Roman" w:cs="Times New Roman"/>
                <w:color w:val="auto"/>
                <w:spacing w:val="5"/>
                <w:sz w:val="21"/>
                <w:szCs w:val="21"/>
              </w:rPr>
              <w:t>阳光直射。</w:t>
            </w:r>
            <w:r>
              <w:rPr>
                <w:rFonts w:hint="default" w:ascii="Times New Roman" w:hAnsi="Times New Roman" w:cs="Times New Roman"/>
                <w:color w:val="auto"/>
                <w:spacing w:val="7"/>
                <w:sz w:val="21"/>
                <w:szCs w:val="21"/>
              </w:rPr>
              <w:t>保持容器密封。应与氧化剂分开存放。储存</w:t>
            </w:r>
            <w:r>
              <w:rPr>
                <w:rFonts w:hint="default" w:ascii="Times New Roman" w:hAnsi="Times New Roman" w:cs="Times New Roman"/>
                <w:color w:val="auto"/>
                <w:spacing w:val="6"/>
                <w:sz w:val="21"/>
                <w:szCs w:val="21"/>
              </w:rPr>
              <w:t>间内的照明、通风等设施应采用防爆型，开关设在仓</w:t>
            </w:r>
            <w:r>
              <w:rPr>
                <w:rFonts w:hint="default" w:ascii="Times New Roman" w:hAnsi="Times New Roman" w:cs="Times New Roman"/>
                <w:color w:val="auto"/>
                <w:spacing w:val="7"/>
                <w:sz w:val="21"/>
                <w:szCs w:val="21"/>
              </w:rPr>
              <w:t>外。配备相应品种和数量的消防器材。桶装堆垛不可过</w:t>
            </w:r>
            <w:r>
              <w:rPr>
                <w:rFonts w:hint="default" w:ascii="Times New Roman" w:hAnsi="Times New Roman" w:cs="Times New Roman"/>
                <w:color w:val="auto"/>
                <w:spacing w:val="6"/>
                <w:sz w:val="21"/>
                <w:szCs w:val="21"/>
              </w:rPr>
              <w:t>大，应留墙距、顶距、柱距及必要的防火</w:t>
            </w:r>
            <w:r>
              <w:rPr>
                <w:rFonts w:hint="default" w:ascii="Times New Roman" w:hAnsi="Times New Roman" w:cs="Times New Roman"/>
                <w:color w:val="auto"/>
                <w:spacing w:val="7"/>
                <w:sz w:val="21"/>
                <w:szCs w:val="21"/>
              </w:rPr>
              <w:t>检查走道。罐储时要有防火防爆技术措施。</w:t>
            </w:r>
            <w:r>
              <w:rPr>
                <w:rFonts w:hint="default" w:ascii="Times New Roman" w:hAnsi="Times New Roman" w:cs="Times New Roman"/>
                <w:color w:val="auto"/>
                <w:spacing w:val="6"/>
                <w:sz w:val="21"/>
                <w:szCs w:val="21"/>
              </w:rPr>
              <w:t>禁止使用易产生火花的机械设备工具。灌装时应注意</w:t>
            </w:r>
            <w:r>
              <w:rPr>
                <w:rFonts w:hint="default" w:ascii="Times New Roman" w:hAnsi="Times New Roman" w:cs="Times New Roman"/>
                <w:color w:val="auto"/>
                <w:spacing w:val="9"/>
                <w:sz w:val="21"/>
                <w:szCs w:val="21"/>
              </w:rPr>
              <w:t>流速（不超过</w:t>
            </w:r>
            <w:r>
              <w:rPr>
                <w:rFonts w:hint="default" w:ascii="Times New Roman" w:hAnsi="Times New Roman" w:eastAsia="Calibri" w:cs="Times New Roman"/>
                <w:color w:val="auto"/>
                <w:spacing w:val="9"/>
                <w:sz w:val="21"/>
                <w:szCs w:val="21"/>
              </w:rPr>
              <w:t>3m/s</w:t>
            </w:r>
            <w:r>
              <w:rPr>
                <w:rFonts w:hint="default" w:ascii="Times New Roman" w:hAnsi="Times New Roman" w:cs="Times New Roman"/>
                <w:color w:val="auto"/>
                <w:spacing w:val="13"/>
                <w:sz w:val="21"/>
                <w:szCs w:val="21"/>
              </w:rPr>
              <w:t>），</w:t>
            </w:r>
            <w:r>
              <w:rPr>
                <w:rFonts w:hint="default" w:ascii="Times New Roman" w:hAnsi="Times New Roman" w:cs="Times New Roman"/>
                <w:color w:val="auto"/>
                <w:spacing w:val="9"/>
                <w:sz w:val="21"/>
                <w:szCs w:val="21"/>
              </w:rPr>
              <w:t>且有接地装置，防止静电积聚。搬运时要轻装轻卸，防止包装及</w:t>
            </w:r>
            <w:r>
              <w:rPr>
                <w:rFonts w:hint="default" w:ascii="Times New Roman" w:hAnsi="Times New Roman" w:cs="Times New Roman"/>
                <w:color w:val="auto"/>
                <w:spacing w:val="8"/>
                <w:sz w:val="21"/>
                <w:szCs w:val="21"/>
              </w:rPr>
              <w:t>容器损</w:t>
            </w:r>
            <w:r>
              <w:rPr>
                <w:rFonts w:hint="default" w:ascii="Times New Roman" w:hAnsi="Times New Roman" w:cs="Times New Roman"/>
                <w:color w:val="auto"/>
                <w:sz w:val="21"/>
                <w:szCs w:val="21"/>
              </w:rPr>
              <w:t>坏。</w:t>
            </w:r>
          </w:p>
        </w:tc>
      </w:tr>
    </w:tbl>
    <w:p>
      <w:pPr>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br w:type="page"/>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油墨理化性质和危险特性</w:t>
      </w:r>
    </w:p>
    <w:tbl>
      <w:tblPr>
        <w:tblStyle w:val="29"/>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86"/>
        <w:gridCol w:w="2786"/>
        <w:gridCol w:w="2221"/>
        <w:gridCol w:w="29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标识</w:t>
            </w: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中文名：环保复合油墨</w:t>
            </w:r>
          </w:p>
        </w:tc>
        <w:tc>
          <w:tcPr>
            <w:tcW w:w="3107"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position w:val="2"/>
                <w:sz w:val="21"/>
                <w:szCs w:val="21"/>
              </w:rPr>
              <w:t>英文名：</w:t>
            </w:r>
            <w:r>
              <w:rPr>
                <w:rFonts w:hint="default" w:ascii="Times New Roman" w:hAnsi="Times New Roman" w:eastAsia="Calibri" w:cs="Times New Roman"/>
                <w:color w:val="auto"/>
                <w:spacing w:val="4"/>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restar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理化性质</w:t>
            </w: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性状：彩色液体及无色液体，有脂类香味。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溶解性：不溶于水，溶于醇、醚等多数有机溶剂。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熔点</w:t>
            </w:r>
            <w:r>
              <w:rPr>
                <w:rFonts w:hint="default"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rPr>
              <w:t>℃</w:t>
            </w:r>
            <w:r>
              <w:rPr>
                <w:rFonts w:hint="default"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rPr>
              <w:t>-</w:t>
            </w:r>
            <w:r>
              <w:rPr>
                <w:rFonts w:hint="default" w:ascii="Times New Roman" w:hAnsi="Times New Roman" w:eastAsia="Calibri" w:cs="Times New Roman"/>
                <w:color w:val="auto"/>
                <w:spacing w:val="2"/>
                <w:sz w:val="21"/>
                <w:szCs w:val="21"/>
              </w:rPr>
              <w:t>83.8</w:t>
            </w:r>
          </w:p>
        </w:tc>
        <w:tc>
          <w:tcPr>
            <w:tcW w:w="1324"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沸点</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eastAsia="Calibri" w:cs="Times New Roman"/>
                <w:color w:val="auto"/>
                <w:spacing w:val="-1"/>
                <w:sz w:val="21"/>
                <w:szCs w:val="21"/>
              </w:rPr>
              <w:t>77.1</w:t>
            </w:r>
          </w:p>
        </w:tc>
        <w:tc>
          <w:tcPr>
            <w:tcW w:w="1783"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相对密度（水＝</w:t>
            </w:r>
            <w:r>
              <w:rPr>
                <w:rFonts w:hint="default" w:ascii="Times New Roman" w:hAnsi="Times New Roman" w:eastAsia="Calibri" w:cs="Times New Roman"/>
                <w:color w:val="auto"/>
                <w:spacing w:val="4"/>
                <w:sz w:val="21"/>
                <w:szCs w:val="21"/>
              </w:rPr>
              <w:t>1</w:t>
            </w:r>
            <w:r>
              <w:rPr>
                <w:rFonts w:hint="default" w:ascii="Times New Roman" w:hAnsi="Times New Roman" w:cs="Times New Roman"/>
                <w:color w:val="auto"/>
                <w:spacing w:val="13"/>
                <w:sz w:val="21"/>
                <w:szCs w:val="21"/>
              </w:rPr>
              <w:t>）：</w:t>
            </w:r>
            <w:r>
              <w:rPr>
                <w:rFonts w:hint="default" w:ascii="Times New Roman" w:hAnsi="Times New Roman" w:eastAsia="Calibri" w:cs="Times New Roman"/>
                <w:color w:val="auto"/>
                <w:spacing w:val="4"/>
                <w:sz w:val="21"/>
                <w:szCs w:val="21"/>
              </w:rPr>
              <w:t>0.8-1.24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饱和蒸汽压（</w:t>
            </w:r>
            <w:r>
              <w:rPr>
                <w:rFonts w:hint="default" w:ascii="Times New Roman" w:hAnsi="Times New Roman" w:eastAsia="Calibri" w:cs="Times New Roman"/>
                <w:color w:val="auto"/>
                <w:sz w:val="21"/>
                <w:szCs w:val="21"/>
              </w:rPr>
              <w:t>kPa</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4"/>
                <w:sz w:val="21"/>
                <w:szCs w:val="21"/>
              </w:rPr>
              <w:t>9.71</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20</w:t>
            </w:r>
            <w:r>
              <w:rPr>
                <w:rFonts w:hint="default" w:ascii="Times New Roman" w:hAnsi="Times New Roman" w:cs="Times New Roman"/>
                <w:color w:val="auto"/>
                <w:spacing w:val="4"/>
                <w:sz w:val="21"/>
                <w:szCs w:val="21"/>
              </w:rPr>
              <w:t>℃</w:t>
            </w:r>
            <w:r>
              <w:rPr>
                <w:rFonts w:hint="default" w:ascii="Times New Roman" w:hAnsi="Times New Roman" w:cs="Times New Roman"/>
                <w:color w:val="auto"/>
                <w:spacing w:val="4"/>
                <w:sz w:val="21"/>
                <w:szCs w:val="21"/>
                <w:lang w:eastAsia="zh-CN"/>
              </w:rPr>
              <w:t>）</w:t>
            </w:r>
          </w:p>
        </w:tc>
        <w:tc>
          <w:tcPr>
            <w:tcW w:w="1324"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position w:val="2"/>
                <w:sz w:val="21"/>
                <w:szCs w:val="21"/>
              </w:rPr>
              <w:t>最小点火能（</w:t>
            </w:r>
            <w:r>
              <w:rPr>
                <w:rFonts w:hint="default" w:ascii="Times New Roman" w:hAnsi="Times New Roman" w:eastAsia="Calibri" w:cs="Times New Roman"/>
                <w:color w:val="auto"/>
                <w:position w:val="2"/>
                <w:sz w:val="21"/>
                <w:szCs w:val="21"/>
              </w:rPr>
              <w:t>mJ</w:t>
            </w:r>
            <w:r>
              <w:rPr>
                <w:rFonts w:hint="default" w:ascii="Times New Roman" w:hAnsi="Times New Roman" w:cs="Times New Roman"/>
                <w:color w:val="auto"/>
                <w:spacing w:val="9"/>
                <w:position w:val="2"/>
                <w:sz w:val="21"/>
                <w:szCs w:val="21"/>
              </w:rPr>
              <w:t>）：</w:t>
            </w:r>
            <w:r>
              <w:rPr>
                <w:rFonts w:hint="default" w:ascii="Times New Roman" w:hAnsi="Times New Roman" w:eastAsia="Calibri" w:cs="Times New Roman"/>
                <w:color w:val="auto"/>
                <w:position w:val="2"/>
                <w:sz w:val="21"/>
                <w:szCs w:val="21"/>
              </w:rPr>
              <w:t>/</w:t>
            </w:r>
          </w:p>
        </w:tc>
        <w:tc>
          <w:tcPr>
            <w:tcW w:w="1783"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restar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燃烧爆炸危险性</w:t>
            </w: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燃烧性：易燃</w:t>
            </w:r>
          </w:p>
        </w:tc>
        <w:tc>
          <w:tcPr>
            <w:tcW w:w="3107"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燃烧分解产物：一氧化碳、二氧化碳。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闪点</w:t>
            </w:r>
            <w:r>
              <w:rPr>
                <w:rFonts w:hint="default"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default"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-4</w:t>
            </w:r>
          </w:p>
        </w:tc>
        <w:tc>
          <w:tcPr>
            <w:tcW w:w="3107"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聚合危害：不聚合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爆炸下限</w:t>
            </w:r>
            <w:r>
              <w:rPr>
                <w:rFonts w:hint="default" w:ascii="Times New Roman" w:hAnsi="Times New Roman" w:cs="Times New Roman"/>
                <w:color w:val="auto"/>
                <w:spacing w:val="-3"/>
                <w:sz w:val="21"/>
                <w:szCs w:val="21"/>
              </w:rPr>
              <w:t>（</w:t>
            </w:r>
            <w:r>
              <w:rPr>
                <w:rFonts w:hint="default"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w:t>
            </w:r>
            <w:r>
              <w:rPr>
                <w:rFonts w:hint="default" w:ascii="Times New Roman" w:hAnsi="Times New Roman" w:eastAsia="Calibri" w:cs="Times New Roman"/>
                <w:color w:val="auto"/>
                <w:spacing w:val="2"/>
                <w:sz w:val="21"/>
                <w:szCs w:val="21"/>
              </w:rPr>
              <w:t>1.2</w:t>
            </w:r>
          </w:p>
        </w:tc>
        <w:tc>
          <w:tcPr>
            <w:tcW w:w="3107"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稳定性：</w:t>
            </w:r>
            <w:r>
              <w:rPr>
                <w:rFonts w:hint="default" w:ascii="Times New Roman" w:hAnsi="Times New Roman" w:eastAsia="Calibri" w:cs="Times New Roman"/>
                <w:color w:val="auto"/>
                <w:spacing w:val="6"/>
                <w:sz w:val="21"/>
                <w:szCs w:val="21"/>
              </w:rPr>
              <w:t>30</w:t>
            </w:r>
            <w:r>
              <w:rPr>
                <w:rFonts w:hint="default" w:ascii="Times New Roman" w:hAnsi="Times New Roman" w:cs="Times New Roman"/>
                <w:color w:val="auto"/>
                <w:spacing w:val="6"/>
                <w:sz w:val="21"/>
                <w:szCs w:val="21"/>
              </w:rPr>
              <w:t>摄氏度以下稳定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爆炸上限</w:t>
            </w:r>
            <w:r>
              <w:rPr>
                <w:rFonts w:hint="default" w:ascii="Times New Roman" w:hAnsi="Times New Roman" w:cs="Times New Roman"/>
                <w:color w:val="auto"/>
                <w:spacing w:val="-5"/>
                <w:sz w:val="21"/>
                <w:szCs w:val="21"/>
              </w:rPr>
              <w:t>（</w:t>
            </w:r>
            <w:r>
              <w:rPr>
                <w:rFonts w:hint="default"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3"/>
                <w:sz w:val="21"/>
                <w:szCs w:val="21"/>
              </w:rPr>
              <w:t>7.5</w:t>
            </w:r>
          </w:p>
        </w:tc>
        <w:tc>
          <w:tcPr>
            <w:tcW w:w="3107"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7"/>
                <w:position w:val="2"/>
                <w:sz w:val="21"/>
                <w:szCs w:val="21"/>
              </w:rPr>
              <w:t>最大爆炸压力（</w:t>
            </w:r>
            <w:r>
              <w:rPr>
                <w:rFonts w:hint="default" w:ascii="Times New Roman" w:hAnsi="Times New Roman" w:eastAsia="Calibri" w:cs="Times New Roman"/>
                <w:color w:val="auto"/>
                <w:position w:val="2"/>
                <w:sz w:val="21"/>
                <w:szCs w:val="21"/>
              </w:rPr>
              <w:t>MPa</w:t>
            </w:r>
            <w:r>
              <w:rPr>
                <w:rFonts w:hint="default" w:ascii="Times New Roman" w:hAnsi="Times New Roman" w:cs="Times New Roman"/>
                <w:color w:val="auto"/>
                <w:spacing w:val="9"/>
                <w:position w:val="2"/>
                <w:sz w:val="21"/>
                <w:szCs w:val="21"/>
              </w:rPr>
              <w:t>）：</w:t>
            </w:r>
            <w:r>
              <w:rPr>
                <w:rFonts w:hint="default" w:ascii="Times New Roman" w:hAnsi="Times New Roman" w:eastAsia="Calibri" w:cs="Times New Roman"/>
                <w:color w:val="auto"/>
                <w:spacing w:val="7"/>
                <w:position w:val="2"/>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661"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引燃温度</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w:t>
            </w:r>
            <w:r>
              <w:rPr>
                <w:rFonts w:hint="default" w:ascii="Times New Roman" w:hAnsi="Times New Roman" w:eastAsia="Calibri" w:cs="Times New Roman"/>
                <w:color w:val="auto"/>
                <w:spacing w:val="-1"/>
                <w:sz w:val="21"/>
                <w:szCs w:val="21"/>
              </w:rPr>
              <w:t>370</w:t>
            </w:r>
          </w:p>
        </w:tc>
        <w:tc>
          <w:tcPr>
            <w:tcW w:w="3107" w:type="pct"/>
            <w:gridSpan w:val="2"/>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禁忌物：强氧化剂、酸类、碱类。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危险特性：易燃，其蒸气与空气可形成爆炸性混合物。遇明火、高热能引起燃烧爆炸。与氧化</w:t>
            </w:r>
            <w:r>
              <w:rPr>
                <w:rFonts w:hint="default" w:ascii="Times New Roman" w:hAnsi="Times New Roman" w:cs="Times New Roman"/>
                <w:color w:val="auto"/>
                <w:spacing w:val="8"/>
                <w:sz w:val="21"/>
                <w:szCs w:val="21"/>
              </w:rPr>
              <w:t>剂接触发生化学强烈反应。其蒸气比空气重，能在较低处扩散到相</w:t>
            </w:r>
            <w:r>
              <w:rPr>
                <w:rFonts w:hint="default" w:ascii="Times New Roman" w:hAnsi="Times New Roman" w:cs="Times New Roman"/>
                <w:color w:val="auto"/>
                <w:spacing w:val="7"/>
                <w:sz w:val="21"/>
                <w:szCs w:val="21"/>
              </w:rPr>
              <w:t>当远的地方，遇明火会</w:t>
            </w:r>
            <w:r>
              <w:rPr>
                <w:rFonts w:hint="default" w:ascii="Times New Roman" w:hAnsi="Times New Roman" w:cs="Times New Roman"/>
                <w:color w:val="auto"/>
                <w:spacing w:val="1"/>
                <w:sz w:val="21"/>
                <w:szCs w:val="21"/>
              </w:rPr>
              <w:t>引着回燃。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灭火方法：可用二氧化碳，泡沫，干粉，砂土</w:t>
            </w:r>
            <w:r>
              <w:rPr>
                <w:rFonts w:hint="default" w:ascii="Times New Roman" w:hAnsi="Times New Roman" w:cs="Times New Roman"/>
                <w:color w:val="auto"/>
                <w:spacing w:val="3"/>
                <w:sz w:val="21"/>
                <w:szCs w:val="21"/>
              </w:rPr>
              <w:t>进行灭火。切断燃烧源，使用灭火剂顺着风向灭火，</w:t>
            </w:r>
            <w:r>
              <w:rPr>
                <w:rFonts w:hint="default" w:ascii="Times New Roman" w:hAnsi="Times New Roman" w:cs="Times New Roman"/>
                <w:color w:val="auto"/>
                <w:spacing w:val="6"/>
                <w:sz w:val="21"/>
                <w:szCs w:val="21"/>
              </w:rPr>
              <w:t>避免使用水。为防止受热燃烧，向建筑物洒水冷却，迅速转移可移动的容</w:t>
            </w:r>
            <w:r>
              <w:rPr>
                <w:rFonts w:hint="default" w:ascii="Times New Roman" w:hAnsi="Times New Roman" w:cs="Times New Roman"/>
                <w:color w:val="auto"/>
                <w:spacing w:val="5"/>
                <w:sz w:val="21"/>
                <w:szCs w:val="21"/>
              </w:rPr>
              <w:t>器至安全场所</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不能移动</w:t>
            </w:r>
            <w:r>
              <w:rPr>
                <w:rFonts w:hint="default" w:ascii="Times New Roman" w:hAnsi="Times New Roman" w:cs="Times New Roman"/>
                <w:color w:val="auto"/>
                <w:spacing w:val="7"/>
                <w:sz w:val="21"/>
                <w:szCs w:val="21"/>
              </w:rPr>
              <w:t>的场合向容器及周围洒水</w:t>
            </w:r>
            <w:r>
              <w:rPr>
                <w:rFonts w:hint="eastAsia" w:ascii="Times New Roman" w:hAnsi="Times New Roman" w:cs="Times New Roman"/>
                <w:color w:val="auto"/>
                <w:spacing w:val="7"/>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对人体危害</w:t>
            </w:r>
          </w:p>
        </w:tc>
        <w:tc>
          <w:tcPr>
            <w:tcW w:w="4769" w:type="pct"/>
            <w:gridSpan w:val="3"/>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p>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其蒸汽对眼，喉有刺激；对中枢神经系统有抑制作用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急救</w:t>
            </w: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进入眼睛：立刻用大量的水清洗至少</w:t>
            </w:r>
            <w:r>
              <w:rPr>
                <w:rFonts w:hint="default" w:ascii="Times New Roman" w:hAnsi="Times New Roman" w:eastAsia="Calibri" w:cs="Times New Roman"/>
                <w:color w:val="auto"/>
                <w:spacing w:val="9"/>
                <w:sz w:val="21"/>
                <w:szCs w:val="21"/>
              </w:rPr>
              <w:t>15</w:t>
            </w:r>
            <w:r>
              <w:rPr>
                <w:rFonts w:hint="default" w:ascii="Times New Roman" w:hAnsi="Times New Roman" w:cs="Times New Roman"/>
                <w:color w:val="auto"/>
                <w:spacing w:val="9"/>
                <w:sz w:val="21"/>
                <w:szCs w:val="21"/>
              </w:rPr>
              <w:t>分钟，速</w:t>
            </w:r>
            <w:r>
              <w:rPr>
                <w:rFonts w:hint="default" w:ascii="Times New Roman" w:hAnsi="Times New Roman" w:cs="Times New Roman"/>
                <w:color w:val="auto"/>
                <w:spacing w:val="8"/>
                <w:sz w:val="21"/>
                <w:szCs w:val="21"/>
              </w:rPr>
              <w:t>送往专科医生诊治；附着在皮肤：用大量温水</w:t>
            </w:r>
            <w:r>
              <w:rPr>
                <w:rFonts w:hint="default" w:ascii="Times New Roman" w:hAnsi="Times New Roman" w:cs="Times New Roman"/>
                <w:color w:val="auto"/>
                <w:spacing w:val="7"/>
                <w:sz w:val="21"/>
                <w:szCs w:val="21"/>
              </w:rPr>
              <w:t>冲洗，并用肥皂洗净皮肤；吸入：立刻把受害人移至</w:t>
            </w:r>
            <w:r>
              <w:rPr>
                <w:rFonts w:hint="eastAsia" w:ascii="Times New Roman" w:hAnsi="Times New Roman" w:cs="Times New Roman"/>
                <w:color w:val="auto"/>
                <w:spacing w:val="7"/>
                <w:sz w:val="21"/>
                <w:szCs w:val="21"/>
                <w:lang w:eastAsia="zh-CN"/>
              </w:rPr>
              <w:t>空气清新</w:t>
            </w:r>
            <w:r>
              <w:rPr>
                <w:rFonts w:hint="default" w:ascii="Times New Roman" w:hAnsi="Times New Roman" w:cs="Times New Roman"/>
                <w:color w:val="auto"/>
                <w:spacing w:val="7"/>
                <w:sz w:val="21"/>
                <w:szCs w:val="21"/>
              </w:rPr>
              <w:t>场所，用毛巾被覆盖身体保温，保</w:t>
            </w:r>
            <w:r>
              <w:rPr>
                <w:rFonts w:hint="default" w:ascii="Times New Roman" w:hAnsi="Times New Roman" w:cs="Times New Roman"/>
                <w:color w:val="auto"/>
                <w:spacing w:val="2"/>
                <w:sz w:val="21"/>
                <w:szCs w:val="21"/>
              </w:rPr>
              <w:t>持安定。呼吸困难时候，输氧并立刻送专科医生诊治；喝入：用水洗净口舌</w:t>
            </w:r>
            <w:r>
              <w:rPr>
                <w:rFonts w:hint="eastAsia" w:ascii="Times New Roman" w:hAnsi="Times New Roman" w:eastAsia="宋体" w:cs="Times New Roman"/>
                <w:color w:val="auto"/>
                <w:spacing w:val="2"/>
                <w:sz w:val="21"/>
                <w:szCs w:val="21"/>
                <w:lang w:eastAsia="zh-CN"/>
              </w:rPr>
              <w:t>，</w:t>
            </w:r>
            <w:r>
              <w:rPr>
                <w:rFonts w:hint="default" w:ascii="Times New Roman" w:hAnsi="Times New Roman" w:cs="Times New Roman"/>
                <w:color w:val="auto"/>
                <w:spacing w:val="2"/>
                <w:sz w:val="21"/>
                <w:szCs w:val="21"/>
              </w:rPr>
              <w:t>吐出后反而危险增加，</w:t>
            </w:r>
            <w:r>
              <w:rPr>
                <w:rFonts w:hint="default" w:ascii="Times New Roman" w:hAnsi="Times New Roman" w:cs="Times New Roman"/>
                <w:color w:val="auto"/>
                <w:spacing w:val="6"/>
                <w:sz w:val="21"/>
                <w:szCs w:val="21"/>
              </w:rPr>
              <w:t>立刻送专科医生诊治。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防护</w:t>
            </w: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整理防护用具。实施关于使用上的安全卫生教育。公告使用上的注意事项，对人体的作用，</w:t>
            </w:r>
            <w:r>
              <w:rPr>
                <w:rFonts w:hint="default" w:ascii="Times New Roman" w:hAnsi="Times New Roman" w:cs="Times New Roman"/>
                <w:color w:val="auto"/>
                <w:spacing w:val="6"/>
                <w:sz w:val="21"/>
                <w:szCs w:val="21"/>
              </w:rPr>
              <w:t>发生</w:t>
            </w:r>
            <w:r>
              <w:rPr>
                <w:rFonts w:hint="default" w:ascii="Times New Roman" w:hAnsi="Times New Roman" w:cs="Times New Roman"/>
                <w:color w:val="auto"/>
                <w:spacing w:val="5"/>
                <w:sz w:val="21"/>
                <w:szCs w:val="21"/>
              </w:rPr>
              <w:t>中毒时的应急措施。避免皮肤接触。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泄漏处理</w:t>
            </w: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少量的场合：迅速去除附近的着火源</w:t>
            </w:r>
            <w:r>
              <w:rPr>
                <w:rFonts w:hint="eastAsia" w:ascii="Times New Roman" w:hAnsi="Times New Roman" w:eastAsia="宋体" w:cs="Times New Roman"/>
                <w:color w:val="auto"/>
                <w:spacing w:val="9"/>
                <w:sz w:val="21"/>
                <w:szCs w:val="21"/>
                <w:lang w:eastAsia="zh-CN"/>
              </w:rPr>
              <w:t>，</w:t>
            </w:r>
            <w:r>
              <w:rPr>
                <w:rFonts w:hint="default" w:ascii="Times New Roman" w:hAnsi="Times New Roman" w:cs="Times New Roman"/>
                <w:color w:val="auto"/>
                <w:spacing w:val="9"/>
                <w:sz w:val="21"/>
                <w:szCs w:val="21"/>
              </w:rPr>
              <w:t>用碎布等</w:t>
            </w:r>
            <w:r>
              <w:rPr>
                <w:rFonts w:hint="default" w:ascii="Times New Roman" w:hAnsi="Times New Roman" w:cs="Times New Roman"/>
                <w:color w:val="auto"/>
                <w:spacing w:val="8"/>
                <w:sz w:val="21"/>
                <w:szCs w:val="21"/>
              </w:rPr>
              <w:t>非活性吸附剂吸附</w:t>
            </w:r>
            <w:r>
              <w:rPr>
                <w:rFonts w:hint="default" w:ascii="Times New Roman" w:hAnsi="Times New Roman" w:cs="Times New Roman"/>
                <w:color w:val="auto"/>
                <w:spacing w:val="8"/>
                <w:sz w:val="21"/>
                <w:szCs w:val="21"/>
                <w:lang w:eastAsia="zh-CN"/>
              </w:rPr>
              <w:t>，</w:t>
            </w:r>
            <w:r>
              <w:rPr>
                <w:rFonts w:hint="default" w:ascii="Times New Roman" w:hAnsi="Times New Roman" w:cs="Times New Roman"/>
                <w:color w:val="auto"/>
                <w:spacing w:val="8"/>
                <w:sz w:val="21"/>
                <w:szCs w:val="21"/>
              </w:rPr>
              <w:t>回收到可密封的容器。大量的</w:t>
            </w:r>
            <w:r>
              <w:rPr>
                <w:rFonts w:hint="default" w:ascii="Times New Roman" w:hAnsi="Times New Roman" w:cs="Times New Roman"/>
                <w:color w:val="auto"/>
                <w:spacing w:val="7"/>
                <w:sz w:val="21"/>
                <w:szCs w:val="21"/>
              </w:rPr>
              <w:t>场合：逆风的人赶快逃离，泄漏场所的周边拉起绳子圈起来，禁止人进入。迅速去除附近的着火源。漏出液用密闭的容器收集起来，残留液用土，砂，硅藻土，木屑等非活性吸附剂吸附。防止泄漏物流入河流，水沟，作业中</w:t>
            </w:r>
            <w:r>
              <w:rPr>
                <w:rFonts w:hint="eastAsia" w:ascii="Times New Roman" w:hAnsi="Times New Roman" w:cs="Times New Roman"/>
                <w:color w:val="auto"/>
                <w:spacing w:val="7"/>
                <w:sz w:val="21"/>
                <w:szCs w:val="21"/>
                <w:lang w:eastAsia="zh-CN"/>
              </w:rPr>
              <w:t>使用</w:t>
            </w:r>
            <w:r>
              <w:rPr>
                <w:rFonts w:hint="default" w:ascii="Times New Roman" w:hAnsi="Times New Roman" w:cs="Times New Roman"/>
                <w:color w:val="auto"/>
                <w:spacing w:val="7"/>
                <w:sz w:val="21"/>
                <w:szCs w:val="21"/>
              </w:rPr>
              <w:t>保护用具。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0" w:type="pct"/>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运输</w:t>
            </w:r>
          </w:p>
        </w:tc>
        <w:tc>
          <w:tcPr>
            <w:tcW w:w="4769" w:type="pct"/>
            <w:gridSpan w:val="3"/>
            <w:tcBorders>
              <w:tl2br w:val="nil"/>
              <w:tr2bl w:val="nil"/>
            </w:tcBorders>
            <w:vAlign w:val="center"/>
          </w:tcPr>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1.</w:t>
            </w:r>
            <w:r>
              <w:rPr>
                <w:rFonts w:hint="default" w:ascii="Times New Roman" w:hAnsi="Times New Roman" w:cs="Times New Roman"/>
                <w:color w:val="auto"/>
                <w:sz w:val="21"/>
                <w:szCs w:val="21"/>
              </w:rPr>
              <w:t>陆上运输</w:t>
            </w:r>
          </w:p>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危险物第四类第一石油类</w:t>
            </w:r>
            <w:r>
              <w:rPr>
                <w:rFonts w:hint="default"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非水性溶液体</w:t>
            </w:r>
            <w:r>
              <w:rPr>
                <w:rFonts w:hint="default"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危险等级Ⅱ</w:t>
            </w:r>
            <w:r>
              <w:rPr>
                <w:rFonts w:hint="default"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；堆积方法</w:t>
            </w:r>
            <w:r>
              <w:rPr>
                <w:rFonts w:hint="default"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堆积高度</w:t>
            </w:r>
            <w:r>
              <w:rPr>
                <w:rFonts w:hint="default" w:ascii="Times New Roman" w:hAnsi="Times New Roman" w:eastAsia="Calibri" w:cs="Times New Roman"/>
                <w:color w:val="auto"/>
                <w:spacing w:val="6"/>
                <w:sz w:val="21"/>
                <w:szCs w:val="21"/>
              </w:rPr>
              <w:t>&lt;3m</w:t>
            </w:r>
            <w:r>
              <w:rPr>
                <w:rFonts w:hint="default" w:ascii="Times New Roman" w:hAnsi="Times New Roman" w:cs="Times New Roman"/>
                <w:color w:val="auto"/>
                <w:spacing w:val="6"/>
                <w:sz w:val="21"/>
                <w:szCs w:val="21"/>
              </w:rPr>
              <w:t>；容器：采用符</w:t>
            </w:r>
            <w:r>
              <w:rPr>
                <w:rFonts w:hint="default" w:ascii="Times New Roman" w:hAnsi="Times New Roman" w:cs="Times New Roman"/>
                <w:color w:val="auto"/>
                <w:spacing w:val="7"/>
                <w:sz w:val="21"/>
                <w:szCs w:val="21"/>
              </w:rPr>
              <w:t>合消防法危险等级Ⅱ的容器；容器标识：制品名，成分，第四类第一石油类，数量，严禁烟火。</w:t>
            </w:r>
          </w:p>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禁止混载：第一类及第六类危险物，高压气体。</w:t>
            </w:r>
          </w:p>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4"/>
                <w:sz w:val="21"/>
                <w:szCs w:val="21"/>
              </w:rPr>
              <w:t>2.</w:t>
            </w:r>
            <w:r>
              <w:rPr>
                <w:rFonts w:hint="default" w:ascii="Times New Roman" w:hAnsi="Times New Roman" w:cs="Times New Roman"/>
                <w:color w:val="auto"/>
                <w:spacing w:val="4"/>
                <w:sz w:val="21"/>
                <w:szCs w:val="21"/>
              </w:rPr>
              <w:t>海上运输</w:t>
            </w:r>
          </w:p>
          <w:p>
            <w:pPr>
              <w:pStyle w:val="30"/>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危险物船舶运输及存贮规则个品运输：危险物，中</w:t>
            </w:r>
            <w:r>
              <w:rPr>
                <w:rFonts w:hint="default" w:ascii="Times New Roman" w:hAnsi="Times New Roman" w:cs="Times New Roman"/>
                <w:color w:val="auto"/>
                <w:spacing w:val="8"/>
                <w:sz w:val="21"/>
                <w:szCs w:val="21"/>
              </w:rPr>
              <w:t>闪点易燃性液体类，容器等级</w:t>
            </w:r>
            <w:r>
              <w:rPr>
                <w:rFonts w:hint="default" w:ascii="Times New Roman" w:hAnsi="Times New Roman" w:eastAsia="Calibri" w:cs="Times New Roman"/>
                <w:color w:val="auto"/>
                <w:spacing w:val="8"/>
                <w:sz w:val="21"/>
                <w:szCs w:val="21"/>
              </w:rPr>
              <w:t>2</w:t>
            </w:r>
            <w:r>
              <w:rPr>
                <w:rFonts w:hint="default" w:ascii="Times New Roman" w:hAnsi="Times New Roman" w:cs="Times New Roman"/>
                <w:color w:val="auto"/>
                <w:spacing w:val="8"/>
                <w:sz w:val="21"/>
                <w:szCs w:val="21"/>
              </w:rPr>
              <w:t>容器：船舶</w:t>
            </w:r>
            <w:r>
              <w:rPr>
                <w:rFonts w:hint="default" w:ascii="Times New Roman" w:hAnsi="Times New Roman" w:cs="Times New Roman"/>
                <w:color w:val="auto"/>
                <w:spacing w:val="6"/>
                <w:sz w:val="21"/>
                <w:szCs w:val="21"/>
              </w:rPr>
              <w:t>危告示别表第</w:t>
            </w:r>
            <w:r>
              <w:rPr>
                <w:rFonts w:hint="default" w:ascii="Times New Roman" w:hAnsi="Times New Roman" w:eastAsia="Calibri" w:cs="Times New Roman"/>
                <w:color w:val="auto"/>
                <w:spacing w:val="6"/>
                <w:sz w:val="21"/>
                <w:szCs w:val="21"/>
              </w:rPr>
              <w:t>5</w:t>
            </w:r>
            <w:r>
              <w:rPr>
                <w:rFonts w:hint="default" w:ascii="Times New Roman" w:hAnsi="Times New Roman" w:cs="Times New Roman"/>
                <w:color w:val="auto"/>
                <w:spacing w:val="6"/>
                <w:sz w:val="21"/>
                <w:szCs w:val="21"/>
              </w:rPr>
              <w:t>页规定的小型容器</w:t>
            </w:r>
            <w:r>
              <w:rPr>
                <w:rFonts w:hint="default" w:ascii="Times New Roman" w:hAnsi="Times New Roman" w:eastAsia="Calibri" w:cs="Times New Roman"/>
                <w:color w:val="auto"/>
                <w:spacing w:val="6"/>
                <w:sz w:val="21"/>
                <w:szCs w:val="21"/>
              </w:rPr>
              <w:t>2</w:t>
            </w:r>
            <w:r>
              <w:rPr>
                <w:rFonts w:hint="default" w:ascii="Times New Roman" w:hAnsi="Times New Roman" w:cs="Times New Roman"/>
                <w:color w:val="auto"/>
                <w:spacing w:val="6"/>
                <w:sz w:val="21"/>
                <w:szCs w:val="21"/>
              </w:rPr>
              <w:t>，或大型金属容器。容器标</w:t>
            </w:r>
            <w:r>
              <w:rPr>
                <w:rFonts w:hint="default" w:ascii="Times New Roman" w:hAnsi="Times New Roman" w:cs="Times New Roman"/>
                <w:color w:val="auto"/>
                <w:spacing w:val="5"/>
                <w:sz w:val="21"/>
                <w:szCs w:val="21"/>
              </w:rPr>
              <w:t>识：正标签，负标签。</w:t>
            </w:r>
          </w:p>
        </w:tc>
      </w:tr>
    </w:tbl>
    <w:p>
      <w:pPr>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br w:type="page"/>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聚氨酯胶水危险特性</w:t>
      </w:r>
    </w:p>
    <w:tbl>
      <w:tblPr>
        <w:tblStyle w:val="29"/>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68"/>
        <w:gridCol w:w="2864"/>
        <w:gridCol w:w="2045"/>
        <w:gridCol w:w="310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标识</w:t>
            </w: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中文名：聚氨酯胶水</w:t>
            </w:r>
          </w:p>
        </w:tc>
        <w:tc>
          <w:tcPr>
            <w:tcW w:w="3072"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6"/>
                <w:sz w:val="21"/>
                <w:szCs w:val="21"/>
              </w:rPr>
              <w:t>英文名：</w:t>
            </w:r>
            <w:r>
              <w:rPr>
                <w:rFonts w:hint="default" w:ascii="Times New Roman" w:hAnsi="Times New Roman" w:eastAsia="Calibri" w:cs="Times New Roman"/>
                <w:color w:val="auto"/>
                <w:sz w:val="21"/>
                <w:szCs w:val="21"/>
              </w:rPr>
              <w:t>PolyurethaneAdhesive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理化性质</w:t>
            </w: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性状：无色透明液体。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溶解性：不溶于水，溶于醇、醚等多数有机溶剂。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position w:val="2"/>
                <w:sz w:val="21"/>
                <w:szCs w:val="21"/>
              </w:rPr>
              <w:t>熔点</w:t>
            </w:r>
            <w:r>
              <w:rPr>
                <w:rFonts w:hint="default" w:ascii="Times New Roman" w:hAnsi="Times New Roman" w:cs="Times New Roman"/>
                <w:color w:val="auto"/>
                <w:spacing w:val="-3"/>
                <w:position w:val="2"/>
                <w:sz w:val="21"/>
                <w:szCs w:val="21"/>
                <w:lang w:eastAsia="zh-CN"/>
              </w:rPr>
              <w:t>（</w:t>
            </w:r>
            <w:r>
              <w:rPr>
                <w:rFonts w:hint="default" w:ascii="Times New Roman" w:hAnsi="Times New Roman" w:cs="Times New Roman"/>
                <w:color w:val="auto"/>
                <w:spacing w:val="-3"/>
                <w:position w:val="2"/>
                <w:sz w:val="21"/>
                <w:szCs w:val="21"/>
              </w:rPr>
              <w:t>℃</w:t>
            </w:r>
            <w:r>
              <w:rPr>
                <w:rFonts w:hint="default" w:ascii="Times New Roman" w:hAnsi="Times New Roman" w:cs="Times New Roman"/>
                <w:color w:val="auto"/>
                <w:spacing w:val="-3"/>
                <w:position w:val="2"/>
                <w:sz w:val="21"/>
                <w:szCs w:val="21"/>
                <w:lang w:eastAsia="zh-CN"/>
              </w:rPr>
              <w:t>）</w:t>
            </w:r>
            <w:r>
              <w:rPr>
                <w:rFonts w:hint="default" w:ascii="Times New Roman" w:hAnsi="Times New Roman" w:cs="Times New Roman"/>
                <w:color w:val="auto"/>
                <w:spacing w:val="-3"/>
                <w:position w:val="2"/>
                <w:sz w:val="21"/>
                <w:szCs w:val="21"/>
              </w:rPr>
              <w:t>：</w:t>
            </w:r>
            <w:r>
              <w:rPr>
                <w:rFonts w:hint="default" w:ascii="Times New Roman" w:hAnsi="Times New Roman" w:eastAsia="Calibri" w:cs="Times New Roman"/>
                <w:color w:val="auto"/>
                <w:spacing w:val="-3"/>
                <w:position w:val="2"/>
                <w:sz w:val="21"/>
                <w:szCs w:val="21"/>
              </w:rPr>
              <w:t>/</w:t>
            </w:r>
          </w:p>
        </w:tc>
        <w:tc>
          <w:tcPr>
            <w:tcW w:w="121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position w:val="2"/>
                <w:sz w:val="21"/>
                <w:szCs w:val="21"/>
              </w:rPr>
              <w:t>沸点</w:t>
            </w:r>
            <w:r>
              <w:rPr>
                <w:rFonts w:hint="default" w:ascii="Times New Roman" w:hAnsi="Times New Roman" w:cs="Times New Roman"/>
                <w:color w:val="auto"/>
                <w:spacing w:val="-3"/>
                <w:position w:val="2"/>
                <w:sz w:val="21"/>
                <w:szCs w:val="21"/>
                <w:lang w:eastAsia="zh-CN"/>
              </w:rPr>
              <w:t>（</w:t>
            </w:r>
            <w:r>
              <w:rPr>
                <w:rFonts w:hint="default" w:ascii="Times New Roman" w:hAnsi="Times New Roman" w:cs="Times New Roman"/>
                <w:color w:val="auto"/>
                <w:spacing w:val="-3"/>
                <w:position w:val="2"/>
                <w:sz w:val="21"/>
                <w:szCs w:val="21"/>
              </w:rPr>
              <w:t>℃</w:t>
            </w:r>
            <w:r>
              <w:rPr>
                <w:rFonts w:hint="default" w:ascii="Times New Roman" w:hAnsi="Times New Roman" w:cs="Times New Roman"/>
                <w:color w:val="auto"/>
                <w:spacing w:val="-3"/>
                <w:position w:val="2"/>
                <w:sz w:val="21"/>
                <w:szCs w:val="21"/>
                <w:lang w:eastAsia="zh-CN"/>
              </w:rPr>
              <w:t>）</w:t>
            </w:r>
            <w:r>
              <w:rPr>
                <w:rFonts w:hint="default" w:ascii="Times New Roman" w:hAnsi="Times New Roman" w:cs="Times New Roman"/>
                <w:color w:val="auto"/>
                <w:spacing w:val="-3"/>
                <w:position w:val="2"/>
                <w:sz w:val="21"/>
                <w:szCs w:val="21"/>
              </w:rPr>
              <w:t>：</w:t>
            </w:r>
            <w:r>
              <w:rPr>
                <w:rFonts w:hint="default" w:ascii="Times New Roman" w:hAnsi="Times New Roman" w:eastAsia="Calibri" w:cs="Times New Roman"/>
                <w:color w:val="auto"/>
                <w:spacing w:val="-3"/>
                <w:position w:val="2"/>
                <w:sz w:val="21"/>
                <w:szCs w:val="21"/>
              </w:rPr>
              <w:t>/</w:t>
            </w:r>
          </w:p>
        </w:tc>
        <w:tc>
          <w:tcPr>
            <w:tcW w:w="185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相对密度（水＝</w:t>
            </w:r>
            <w:r>
              <w:rPr>
                <w:rFonts w:hint="default" w:ascii="Times New Roman" w:hAnsi="Times New Roman" w:eastAsia="Calibri" w:cs="Times New Roman"/>
                <w:color w:val="auto"/>
                <w:spacing w:val="5"/>
                <w:sz w:val="21"/>
                <w:szCs w:val="21"/>
              </w:rPr>
              <w:t>1</w:t>
            </w:r>
            <w:r>
              <w:rPr>
                <w:rFonts w:hint="default" w:ascii="Times New Roman" w:hAnsi="Times New Roman" w:cs="Times New Roman"/>
                <w:color w:val="auto"/>
                <w:spacing w:val="11"/>
                <w:sz w:val="21"/>
                <w:szCs w:val="21"/>
              </w:rPr>
              <w:t>）：</w:t>
            </w:r>
            <w:r>
              <w:rPr>
                <w:rFonts w:hint="default" w:ascii="Times New Roman" w:hAnsi="Times New Roman" w:eastAsia="Calibri" w:cs="Times New Roman"/>
                <w:color w:val="auto"/>
                <w:spacing w:val="5"/>
                <w:sz w:val="21"/>
                <w:szCs w:val="21"/>
              </w:rPr>
              <w:t>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饱和蒸汽压（</w:t>
            </w:r>
            <w:r>
              <w:rPr>
                <w:rFonts w:hint="default" w:ascii="Times New Roman" w:hAnsi="Times New Roman" w:eastAsia="Calibri" w:cs="Times New Roman"/>
                <w:color w:val="auto"/>
                <w:sz w:val="21"/>
                <w:szCs w:val="21"/>
              </w:rPr>
              <w:t>kPa</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4"/>
                <w:sz w:val="21"/>
                <w:szCs w:val="21"/>
              </w:rPr>
              <w:t>6.21</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20</w:t>
            </w:r>
            <w:r>
              <w:rPr>
                <w:rFonts w:hint="default" w:ascii="Times New Roman" w:hAnsi="Times New Roman" w:cs="Times New Roman"/>
                <w:color w:val="auto"/>
                <w:spacing w:val="4"/>
                <w:sz w:val="21"/>
                <w:szCs w:val="21"/>
              </w:rPr>
              <w:t>℃</w:t>
            </w:r>
            <w:r>
              <w:rPr>
                <w:rFonts w:hint="default" w:ascii="Times New Roman" w:hAnsi="Times New Roman" w:cs="Times New Roman"/>
                <w:color w:val="auto"/>
                <w:spacing w:val="4"/>
                <w:sz w:val="21"/>
                <w:szCs w:val="21"/>
                <w:lang w:eastAsia="zh-CN"/>
              </w:rPr>
              <w:t>）</w:t>
            </w:r>
          </w:p>
        </w:tc>
        <w:tc>
          <w:tcPr>
            <w:tcW w:w="1219"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临界压力（</w:t>
            </w:r>
            <w:r>
              <w:rPr>
                <w:rFonts w:hint="default" w:ascii="Times New Roman" w:hAnsi="Times New Roman" w:eastAsia="Calibri" w:cs="Times New Roman"/>
                <w:color w:val="auto"/>
                <w:sz w:val="21"/>
                <w:szCs w:val="21"/>
              </w:rPr>
              <w:t>MPa</w:t>
            </w:r>
            <w:r>
              <w:rPr>
                <w:rFonts w:hint="default" w:ascii="Times New Roman" w:hAnsi="Times New Roman" w:cs="Times New Roman"/>
                <w:color w:val="auto"/>
                <w:spacing w:val="-1"/>
                <w:sz w:val="21"/>
                <w:szCs w:val="21"/>
              </w:rPr>
              <w:t>）：</w:t>
            </w:r>
          </w:p>
        </w:tc>
        <w:tc>
          <w:tcPr>
            <w:tcW w:w="1853"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相对密度（空气＝</w:t>
            </w:r>
            <w:r>
              <w:rPr>
                <w:rFonts w:hint="default" w:ascii="Times New Roman" w:hAnsi="Times New Roman" w:eastAsia="Calibri" w:cs="Times New Roman"/>
                <w:color w:val="auto"/>
                <w:spacing w:val="5"/>
                <w:sz w:val="21"/>
                <w:szCs w:val="21"/>
              </w:rPr>
              <w:t>1</w:t>
            </w:r>
            <w:r>
              <w:rPr>
                <w:rFonts w:hint="default" w:ascii="Times New Roman" w:hAnsi="Times New Roman" w:cs="Times New Roman"/>
                <w:color w:val="auto"/>
                <w:spacing w:val="11"/>
                <w:sz w:val="21"/>
                <w:szCs w:val="21"/>
              </w:rPr>
              <w:t>）：</w:t>
            </w:r>
            <w:r>
              <w:rPr>
                <w:rFonts w:hint="default" w:ascii="Times New Roman" w:hAnsi="Times New Roman" w:eastAsia="Calibri" w:cs="Times New Roman"/>
                <w:color w:val="auto"/>
                <w:spacing w:val="5"/>
                <w:sz w:val="21"/>
                <w:szCs w:val="21"/>
              </w:rPr>
              <w:t>43.04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燃烧爆炸危险性</w:t>
            </w: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燃烧性：易燃</w:t>
            </w:r>
          </w:p>
        </w:tc>
        <w:tc>
          <w:tcPr>
            <w:tcW w:w="3072"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燃烧分解产物：一氧化碳、二氧化碳。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闪点</w:t>
            </w:r>
            <w:r>
              <w:rPr>
                <w:rFonts w:hint="default"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default"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-4</w:t>
            </w:r>
          </w:p>
        </w:tc>
        <w:tc>
          <w:tcPr>
            <w:tcW w:w="3072"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聚合危害：不聚合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爆炸下限</w:t>
            </w:r>
            <w:r>
              <w:rPr>
                <w:rFonts w:hint="default" w:ascii="Times New Roman" w:hAnsi="Times New Roman" w:cs="Times New Roman"/>
                <w:color w:val="auto"/>
                <w:spacing w:val="-5"/>
                <w:sz w:val="21"/>
                <w:szCs w:val="21"/>
              </w:rPr>
              <w:t>（</w:t>
            </w:r>
            <w:r>
              <w:rPr>
                <w:rFonts w:hint="default"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3"/>
                <w:sz w:val="21"/>
                <w:szCs w:val="21"/>
              </w:rPr>
              <w:t>2.2</w:t>
            </w:r>
          </w:p>
        </w:tc>
        <w:tc>
          <w:tcPr>
            <w:tcW w:w="3072"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稳定性：稳定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爆炸上限</w:t>
            </w:r>
            <w:r>
              <w:rPr>
                <w:rFonts w:hint="default" w:ascii="Times New Roman" w:hAnsi="Times New Roman" w:cs="Times New Roman"/>
                <w:color w:val="auto"/>
                <w:spacing w:val="-5"/>
                <w:sz w:val="21"/>
                <w:szCs w:val="21"/>
              </w:rPr>
              <w:t>（</w:t>
            </w:r>
            <w:r>
              <w:rPr>
                <w:rFonts w:hint="default"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3"/>
                <w:sz w:val="21"/>
                <w:szCs w:val="21"/>
              </w:rPr>
              <w:t>711.5</w:t>
            </w:r>
          </w:p>
        </w:tc>
        <w:tc>
          <w:tcPr>
            <w:tcW w:w="3072"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最大爆炸压力（</w:t>
            </w:r>
            <w:r>
              <w:rPr>
                <w:rFonts w:hint="default" w:ascii="Times New Roman" w:hAnsi="Times New Roman" w:eastAsia="Calibri" w:cs="Times New Roman"/>
                <w:color w:val="auto"/>
                <w:sz w:val="21"/>
                <w:szCs w:val="21"/>
              </w:rPr>
              <w:t>MPa</w:t>
            </w:r>
            <w:r>
              <w:rPr>
                <w:rFonts w:hint="default" w:ascii="Times New Roman" w:hAnsi="Times New Roman" w:cs="Times New Roman"/>
                <w:color w:val="auto"/>
                <w:spacing w:val="1"/>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70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rPr>
              <w:t>引燃温度</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w:t>
            </w:r>
            <w:r>
              <w:rPr>
                <w:rFonts w:hint="default" w:ascii="Times New Roman" w:hAnsi="Times New Roman" w:eastAsia="Calibri" w:cs="Times New Roman"/>
                <w:color w:val="auto"/>
                <w:sz w:val="21"/>
                <w:szCs w:val="21"/>
              </w:rPr>
              <w:t>427</w:t>
            </w:r>
          </w:p>
        </w:tc>
        <w:tc>
          <w:tcPr>
            <w:tcW w:w="3072"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禁忌物：强氧化剂、酸类、碱类。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危险特性：易燃，其蒸气与空气可形成爆炸性混合物。遇明火、高热能引起燃烧爆炸。与氧化</w:t>
            </w:r>
            <w:r>
              <w:rPr>
                <w:rFonts w:hint="default" w:ascii="Times New Roman" w:hAnsi="Times New Roman" w:cs="Times New Roman"/>
                <w:color w:val="auto"/>
                <w:spacing w:val="8"/>
                <w:sz w:val="21"/>
                <w:szCs w:val="21"/>
              </w:rPr>
              <w:t>剂接触发生化学强烈反应。其蒸气比空气重，能在较低处扩散到相</w:t>
            </w:r>
            <w:r>
              <w:rPr>
                <w:rFonts w:hint="default" w:ascii="Times New Roman" w:hAnsi="Times New Roman" w:cs="Times New Roman"/>
                <w:color w:val="auto"/>
                <w:spacing w:val="7"/>
                <w:sz w:val="21"/>
                <w:szCs w:val="21"/>
              </w:rPr>
              <w:t>当远的地方，遇明火会</w:t>
            </w:r>
            <w:r>
              <w:rPr>
                <w:rFonts w:hint="default" w:ascii="Times New Roman" w:hAnsi="Times New Roman" w:cs="Times New Roman"/>
                <w:color w:val="auto"/>
                <w:spacing w:val="1"/>
                <w:sz w:val="21"/>
                <w:szCs w:val="21"/>
              </w:rPr>
              <w:t>引着回燃。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0" w:hRule="atLeast"/>
        </w:trPr>
        <w:tc>
          <w:tcPr>
            <w:tcW w:w="220"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灭火方法：用泡沫、二氧化碳、干粉、砂土扑救。人员应站在上风向，避免吸入烟气或被灼</w:t>
            </w:r>
            <w:r>
              <w:rPr>
                <w:rFonts w:hint="default" w:ascii="Times New Roman" w:hAnsi="Times New Roman" w:cs="Times New Roman"/>
                <w:color w:val="auto"/>
                <w:spacing w:val="6"/>
                <w:sz w:val="21"/>
                <w:szCs w:val="21"/>
              </w:rPr>
              <w:t>伤，</w:t>
            </w:r>
            <w:r>
              <w:rPr>
                <w:rFonts w:hint="default" w:ascii="Times New Roman" w:hAnsi="Times New Roman" w:cs="Times New Roman"/>
                <w:color w:val="auto"/>
                <w:spacing w:val="7"/>
                <w:sz w:val="21"/>
                <w:szCs w:val="21"/>
              </w:rPr>
              <w:t>灭火时尽可能将容器从火场转移至空旷处并对其进行冷却，也可以通过雾状水降低环境温度。设置警戒线，尽可能疏散下风向可能受影响的人员。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对人体危害</w:t>
            </w:r>
          </w:p>
        </w:tc>
        <w:tc>
          <w:tcPr>
            <w:tcW w:w="4779" w:type="pct"/>
            <w:gridSpan w:val="3"/>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高度易燃液体和蒸汽造成严重眼刺激；对器官引起损害</w:t>
            </w:r>
            <w:r>
              <w:rPr>
                <w:rFonts w:hint="default" w:ascii="Times New Roman" w:hAnsi="Times New Roman" w:cs="Times New Roman"/>
                <w:color w:val="auto"/>
                <w:spacing w:val="7"/>
                <w:sz w:val="21"/>
                <w:szCs w:val="21"/>
              </w:rPr>
              <w:t>：呼吸系统；可能导致嗜睡或头晕</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急救</w:t>
            </w: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0"/>
                <w:sz w:val="21"/>
                <w:szCs w:val="21"/>
              </w:rPr>
              <w:t>如皮肤沾染：用大量水清洗。如皮肤（或头发）沾染：立即去除</w:t>
            </w:r>
            <w:r>
              <w:rPr>
                <w:rFonts w:hint="default" w:ascii="Times New Roman" w:hAnsi="Times New Roman" w:eastAsia="Calibri" w:cs="Times New Roman"/>
                <w:color w:val="auto"/>
                <w:spacing w:val="10"/>
                <w:sz w:val="21"/>
                <w:szCs w:val="21"/>
              </w:rPr>
              <w:t>/</w:t>
            </w:r>
            <w:r>
              <w:rPr>
                <w:rFonts w:hint="default" w:ascii="Times New Roman" w:hAnsi="Times New Roman" w:cs="Times New Roman"/>
                <w:color w:val="auto"/>
                <w:spacing w:val="10"/>
                <w:sz w:val="21"/>
                <w:szCs w:val="21"/>
              </w:rPr>
              <w:t>脱掉所</w:t>
            </w:r>
            <w:r>
              <w:rPr>
                <w:rFonts w:hint="default" w:ascii="Times New Roman" w:hAnsi="Times New Roman" w:cs="Times New Roman"/>
                <w:color w:val="auto"/>
                <w:spacing w:val="9"/>
                <w:sz w:val="21"/>
                <w:szCs w:val="21"/>
              </w:rPr>
              <w:t>有沾染的衣服。用水清</w:t>
            </w:r>
            <w:r>
              <w:rPr>
                <w:rFonts w:hint="default" w:ascii="Times New Roman" w:hAnsi="Times New Roman" w:cs="Times New Roman"/>
                <w:color w:val="auto"/>
                <w:spacing w:val="10"/>
                <w:sz w:val="21"/>
                <w:szCs w:val="21"/>
              </w:rPr>
              <w:t>洗皮肤</w:t>
            </w:r>
            <w:r>
              <w:rPr>
                <w:rFonts w:hint="default" w:ascii="Times New Roman" w:hAnsi="Times New Roman" w:eastAsia="Calibri" w:cs="Times New Roman"/>
                <w:color w:val="auto"/>
                <w:spacing w:val="10"/>
                <w:sz w:val="21"/>
                <w:szCs w:val="21"/>
              </w:rPr>
              <w:t>/</w:t>
            </w:r>
            <w:r>
              <w:rPr>
                <w:rFonts w:hint="default" w:ascii="Times New Roman" w:hAnsi="Times New Roman" w:cs="Times New Roman"/>
                <w:color w:val="auto"/>
                <w:spacing w:val="10"/>
                <w:sz w:val="21"/>
                <w:szCs w:val="21"/>
              </w:rPr>
              <w:t>淋浴。如误吸入：将受害人转移至空气新鲜处，保持呼吸舒适。如进入眼睛：</w:t>
            </w:r>
            <w:r>
              <w:rPr>
                <w:rFonts w:hint="default" w:ascii="Times New Roman" w:hAnsi="Times New Roman" w:cs="Times New Roman"/>
                <w:color w:val="auto"/>
                <w:spacing w:val="9"/>
                <w:sz w:val="21"/>
                <w:szCs w:val="21"/>
              </w:rPr>
              <w:t>用水小心</w:t>
            </w:r>
            <w:r>
              <w:rPr>
                <w:rFonts w:hint="default" w:ascii="Times New Roman" w:hAnsi="Times New Roman" w:cs="Times New Roman"/>
                <w:color w:val="auto"/>
                <w:spacing w:val="10"/>
                <w:sz w:val="21"/>
                <w:szCs w:val="21"/>
              </w:rPr>
              <w:t>冲洗几分钟，如戴隐形眼镜并方便取出，取出隐形眼镜，继续冲洗。如接触到或有疑</w:t>
            </w:r>
            <w:r>
              <w:rPr>
                <w:rFonts w:hint="default" w:ascii="Times New Roman" w:hAnsi="Times New Roman" w:cs="Times New Roman"/>
                <w:color w:val="auto"/>
                <w:spacing w:val="9"/>
                <w:sz w:val="21"/>
                <w:szCs w:val="21"/>
              </w:rPr>
              <w:t>虑：求医</w:t>
            </w:r>
            <w:r>
              <w:rPr>
                <w:rFonts w:hint="default" w:ascii="Times New Roman" w:hAnsi="Times New Roman" w:eastAsia="Calibri" w:cs="Times New Roman"/>
                <w:color w:val="auto"/>
                <w:spacing w:val="9"/>
                <w:sz w:val="21"/>
                <w:szCs w:val="21"/>
              </w:rPr>
              <w:t>/</w:t>
            </w:r>
            <w:r>
              <w:rPr>
                <w:rFonts w:hint="default" w:ascii="Times New Roman" w:hAnsi="Times New Roman" w:cs="Times New Roman"/>
                <w:color w:val="auto"/>
                <w:spacing w:val="6"/>
                <w:sz w:val="21"/>
                <w:szCs w:val="21"/>
              </w:rPr>
              <w:t>就诊。如感觉不适应，呼叫解毒中心或医生。如仍觉得刺痛，求医</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pacing w:val="6"/>
                <w:sz w:val="21"/>
                <w:szCs w:val="21"/>
              </w:rPr>
              <w:t>就诊。立即脱掉沾染的衣服，</w:t>
            </w:r>
            <w:r>
              <w:rPr>
                <w:rFonts w:hint="default" w:ascii="Times New Roman" w:hAnsi="Times New Roman" w:cs="Times New Roman"/>
                <w:color w:val="auto"/>
                <w:spacing w:val="7"/>
                <w:sz w:val="21"/>
                <w:szCs w:val="21"/>
              </w:rPr>
              <w:t>清洗后方可重新使用。火灾时：使用灭火器灭火。</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防护</w:t>
            </w: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使用前索取专用说明书。在读懂所有安全防范措施之前切勿搬动。</w:t>
            </w:r>
            <w:r>
              <w:rPr>
                <w:rFonts w:hint="default" w:ascii="Times New Roman" w:hAnsi="Times New Roman" w:cs="Times New Roman"/>
                <w:color w:val="auto"/>
                <w:spacing w:val="6"/>
                <w:sz w:val="21"/>
                <w:szCs w:val="21"/>
              </w:rPr>
              <w:t>远离热源</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pacing w:val="6"/>
                <w:sz w:val="21"/>
                <w:szCs w:val="21"/>
              </w:rPr>
              <w:t>火花</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pacing w:val="6"/>
                <w:sz w:val="21"/>
                <w:szCs w:val="21"/>
              </w:rPr>
              <w:t>明火</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pacing w:val="6"/>
                <w:sz w:val="21"/>
                <w:szCs w:val="21"/>
              </w:rPr>
              <w:t>热表面。</w:t>
            </w:r>
            <w:r>
              <w:rPr>
                <w:rFonts w:hint="default" w:ascii="Times New Roman" w:hAnsi="Times New Roman" w:cs="Times New Roman"/>
                <w:color w:val="auto"/>
                <w:spacing w:val="9"/>
                <w:sz w:val="21"/>
                <w:szCs w:val="21"/>
              </w:rPr>
              <w:t>禁止吸烟。保持容器密闭。容器和</w:t>
            </w:r>
            <w:r>
              <w:rPr>
                <w:rFonts w:hint="eastAsia" w:ascii="Times New Roman" w:hAnsi="Times New Roman" w:cs="Times New Roman"/>
                <w:color w:val="auto"/>
                <w:spacing w:val="9"/>
                <w:sz w:val="21"/>
                <w:szCs w:val="21"/>
                <w:lang w:eastAsia="zh-CN"/>
              </w:rPr>
              <w:t>接收</w:t>
            </w:r>
            <w:r>
              <w:rPr>
                <w:rFonts w:hint="default" w:ascii="Times New Roman" w:hAnsi="Times New Roman" w:cs="Times New Roman"/>
                <w:color w:val="auto"/>
                <w:spacing w:val="9"/>
                <w:sz w:val="21"/>
                <w:szCs w:val="21"/>
              </w:rPr>
              <w:t>设备接地</w:t>
            </w:r>
            <w:r>
              <w:rPr>
                <w:rFonts w:hint="default" w:ascii="Times New Roman" w:hAnsi="Times New Roman" w:eastAsia="Calibri" w:cs="Times New Roman"/>
                <w:color w:val="auto"/>
                <w:spacing w:val="9"/>
                <w:sz w:val="21"/>
                <w:szCs w:val="21"/>
              </w:rPr>
              <w:t>/</w:t>
            </w:r>
            <w:r>
              <w:rPr>
                <w:rFonts w:hint="default" w:ascii="Times New Roman" w:hAnsi="Times New Roman" w:cs="Times New Roman"/>
                <w:color w:val="auto"/>
                <w:spacing w:val="9"/>
                <w:sz w:val="21"/>
                <w:szCs w:val="21"/>
              </w:rPr>
              <w:t>等势</w:t>
            </w:r>
            <w:r>
              <w:rPr>
                <w:rFonts w:hint="eastAsia" w:ascii="Times New Roman" w:hAnsi="Times New Roman" w:cs="Times New Roman"/>
                <w:color w:val="auto"/>
                <w:spacing w:val="9"/>
                <w:sz w:val="21"/>
                <w:szCs w:val="21"/>
                <w:lang w:eastAsia="zh-CN"/>
              </w:rPr>
              <w:t>连接</w:t>
            </w:r>
            <w:r>
              <w:rPr>
                <w:rFonts w:hint="default" w:ascii="Times New Roman" w:hAnsi="Times New Roman" w:cs="Times New Roman"/>
                <w:color w:val="auto"/>
                <w:spacing w:val="9"/>
                <w:sz w:val="21"/>
                <w:szCs w:val="21"/>
              </w:rPr>
              <w:t>。使用防爆的电气</w:t>
            </w:r>
            <w:r>
              <w:rPr>
                <w:rFonts w:hint="default" w:ascii="Times New Roman" w:hAnsi="Times New Roman" w:eastAsia="Calibri" w:cs="Times New Roman"/>
                <w:color w:val="auto"/>
                <w:spacing w:val="9"/>
                <w:sz w:val="21"/>
                <w:szCs w:val="21"/>
              </w:rPr>
              <w:t>/</w:t>
            </w:r>
            <w:r>
              <w:rPr>
                <w:rFonts w:hint="default" w:ascii="Times New Roman" w:hAnsi="Times New Roman" w:cs="Times New Roman"/>
                <w:color w:val="auto"/>
                <w:spacing w:val="9"/>
                <w:sz w:val="21"/>
                <w:szCs w:val="21"/>
              </w:rPr>
              <w:t>通风</w:t>
            </w:r>
            <w:r>
              <w:rPr>
                <w:rFonts w:hint="default" w:ascii="Times New Roman" w:hAnsi="Times New Roman" w:eastAsia="Calibri" w:cs="Times New Roman"/>
                <w:color w:val="auto"/>
                <w:spacing w:val="9"/>
                <w:sz w:val="21"/>
                <w:szCs w:val="21"/>
              </w:rPr>
              <w:t>/</w:t>
            </w:r>
            <w:r>
              <w:rPr>
                <w:rFonts w:hint="default" w:ascii="Times New Roman" w:hAnsi="Times New Roman" w:cs="Times New Roman"/>
                <w:color w:val="auto"/>
                <w:spacing w:val="9"/>
                <w:sz w:val="21"/>
                <w:szCs w:val="21"/>
              </w:rPr>
              <w:t>照明</w:t>
            </w:r>
            <w:r>
              <w:rPr>
                <w:rFonts w:hint="default" w:ascii="Times New Roman" w:hAnsi="Times New Roman" w:eastAsia="Calibri" w:cs="Times New Roman"/>
                <w:color w:val="auto"/>
                <w:spacing w:val="9"/>
                <w:sz w:val="21"/>
                <w:szCs w:val="21"/>
              </w:rPr>
              <w:t>/</w:t>
            </w:r>
            <w:r>
              <w:rPr>
                <w:rFonts w:hint="default" w:ascii="Times New Roman" w:hAnsi="Times New Roman" w:cs="Times New Roman"/>
                <w:color w:val="auto"/>
                <w:spacing w:val="9"/>
                <w:sz w:val="21"/>
                <w:szCs w:val="21"/>
              </w:rPr>
              <w:t>设备。</w:t>
            </w:r>
            <w:r>
              <w:rPr>
                <w:rFonts w:hint="default" w:ascii="Times New Roman" w:hAnsi="Times New Roman" w:cs="Times New Roman"/>
                <w:color w:val="auto"/>
                <w:spacing w:val="7"/>
                <w:sz w:val="21"/>
                <w:szCs w:val="21"/>
              </w:rPr>
              <w:t>只能使用不产生火花的工具。采取防止静电放电的措施。只能在室外或通风良好处使用。使用本</w:t>
            </w:r>
            <w:r>
              <w:rPr>
                <w:rFonts w:hint="default" w:ascii="Times New Roman" w:hAnsi="Times New Roman" w:cs="Times New Roman"/>
                <w:color w:val="auto"/>
                <w:spacing w:val="6"/>
                <w:sz w:val="21"/>
                <w:szCs w:val="21"/>
              </w:rPr>
              <w:t>品时切勿吃东西，喝水或吸烟。处理后要彻底清洗双手。戴防护手套</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pacing w:val="6"/>
                <w:sz w:val="21"/>
                <w:szCs w:val="21"/>
              </w:rPr>
              <w:t>穿防护服</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pacing w:val="6"/>
                <w:sz w:val="21"/>
                <w:szCs w:val="21"/>
              </w:rPr>
              <w:t>戴防护眼罩</w:t>
            </w:r>
            <w:r>
              <w:rPr>
                <w:rFonts w:hint="default" w:ascii="Times New Roman" w:hAnsi="Times New Roman" w:eastAsia="Calibri" w:cs="Times New Roman"/>
                <w:color w:val="auto"/>
                <w:spacing w:val="6"/>
                <w:sz w:val="21"/>
                <w:szCs w:val="21"/>
              </w:rPr>
              <w:t>/</w:t>
            </w:r>
            <w:r>
              <w:rPr>
                <w:rFonts w:hint="default" w:ascii="Times New Roman" w:hAnsi="Times New Roman" w:cs="Times New Roman"/>
                <w:color w:val="auto"/>
                <w:spacing w:val="6"/>
                <w:sz w:val="21"/>
                <w:szCs w:val="21"/>
              </w:rPr>
              <w:t>戴防</w:t>
            </w:r>
            <w:r>
              <w:rPr>
                <w:rFonts w:hint="default" w:ascii="Times New Roman" w:hAnsi="Times New Roman" w:cs="Times New Roman"/>
                <w:color w:val="auto"/>
                <w:spacing w:val="4"/>
                <w:sz w:val="21"/>
                <w:szCs w:val="21"/>
              </w:rPr>
              <w:t>护面具。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泄漏处理</w:t>
            </w: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小量泄漏：用砂土、活性</w:t>
            </w:r>
            <w:r>
              <w:rPr>
                <w:rFonts w:hint="eastAsia" w:ascii="Times New Roman" w:hAnsi="Times New Roman" w:cs="Times New Roman"/>
                <w:color w:val="auto"/>
                <w:spacing w:val="7"/>
                <w:sz w:val="21"/>
                <w:szCs w:val="21"/>
                <w:lang w:eastAsia="zh-CN"/>
              </w:rPr>
              <w:t>炭</w:t>
            </w:r>
            <w:r>
              <w:rPr>
                <w:rFonts w:hint="default" w:ascii="Times New Roman" w:hAnsi="Times New Roman" w:cs="Times New Roman"/>
                <w:color w:val="auto"/>
                <w:spacing w:val="7"/>
                <w:sz w:val="21"/>
                <w:szCs w:val="21"/>
              </w:rPr>
              <w:t>或</w:t>
            </w:r>
            <w:r>
              <w:rPr>
                <w:rFonts w:hint="eastAsia" w:ascii="Times New Roman" w:hAnsi="Times New Roman" w:cs="Times New Roman"/>
                <w:color w:val="auto"/>
                <w:spacing w:val="7"/>
                <w:sz w:val="21"/>
                <w:szCs w:val="21"/>
                <w:lang w:eastAsia="zh-CN"/>
              </w:rPr>
              <w:t>其他</w:t>
            </w:r>
            <w:r>
              <w:rPr>
                <w:rFonts w:hint="default" w:ascii="Times New Roman" w:hAnsi="Times New Roman" w:cs="Times New Roman"/>
                <w:color w:val="auto"/>
                <w:spacing w:val="7"/>
                <w:sz w:val="21"/>
                <w:szCs w:val="21"/>
              </w:rPr>
              <w:t>惰性材料吸收残液，也可以用不燃性分散剂制</w:t>
            </w:r>
            <w:r>
              <w:rPr>
                <w:rFonts w:hint="default" w:ascii="Times New Roman" w:hAnsi="Times New Roman" w:cs="Times New Roman"/>
                <w:color w:val="auto"/>
                <w:spacing w:val="6"/>
                <w:sz w:val="21"/>
                <w:szCs w:val="21"/>
              </w:rPr>
              <w:t>成的乳液刷洗，</w:t>
            </w:r>
            <w:r>
              <w:rPr>
                <w:rFonts w:hint="default" w:ascii="Times New Roman" w:hAnsi="Times New Roman" w:cs="Times New Roman"/>
                <w:color w:val="auto"/>
                <w:spacing w:val="7"/>
                <w:sz w:val="21"/>
                <w:szCs w:val="21"/>
              </w:rPr>
              <w:t>洗液稀释后放入废水系统。大量泄漏：构筑围堤或挖坑收容。用泡沫覆盖，降低蒸汽灾害。喷雾状水冷却和稀释蒸汽、保护现场人员。用防爆泵转移至槽车或专用收集器内，回收或运至废物处</w:t>
            </w:r>
            <w:r>
              <w:rPr>
                <w:rFonts w:hint="default" w:ascii="Times New Roman" w:hAnsi="Times New Roman" w:cs="Times New Roman"/>
                <w:color w:val="auto"/>
                <w:spacing w:val="6"/>
                <w:sz w:val="21"/>
                <w:szCs w:val="21"/>
              </w:rPr>
              <w:t>理场所处理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20"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贮运</w:t>
            </w:r>
          </w:p>
        </w:tc>
        <w:tc>
          <w:tcPr>
            <w:tcW w:w="4779"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安全存储的条件：储存于阴凉、通风库房；避免雨淋、阳光直晒；远离火种、热源。</w:t>
            </w:r>
            <w:r>
              <w:rPr>
                <w:rFonts w:hint="default" w:ascii="Times New Roman" w:hAnsi="Times New Roman" w:cs="Times New Roman"/>
                <w:color w:val="auto"/>
                <w:spacing w:val="6"/>
                <w:sz w:val="21"/>
                <w:szCs w:val="21"/>
              </w:rPr>
              <w:t>仓温不宜超</w:t>
            </w:r>
            <w:r>
              <w:rPr>
                <w:rFonts w:hint="default" w:ascii="Times New Roman" w:hAnsi="Times New Roman" w:cs="Times New Roman"/>
                <w:color w:val="auto"/>
                <w:sz w:val="21"/>
                <w:szCs w:val="21"/>
              </w:rPr>
              <w:t>过</w:t>
            </w:r>
            <w:r>
              <w:rPr>
                <w:rFonts w:hint="default" w:ascii="Times New Roman" w:hAnsi="Times New Roman" w:eastAsia="Calibri" w:cs="Times New Roman"/>
                <w:color w:val="auto"/>
                <w:sz w:val="21"/>
                <w:szCs w:val="21"/>
              </w:rPr>
              <w:t>30</w:t>
            </w:r>
            <w:r>
              <w:rPr>
                <w:rFonts w:hint="default" w:ascii="Times New Roman" w:hAnsi="Times New Roman" w:cs="Times New Roman"/>
                <w:color w:val="auto"/>
                <w:sz w:val="21"/>
                <w:szCs w:val="21"/>
              </w:rPr>
              <w:t>℃。</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安全技术措施：保持容器密封。应与氧化剂、食用化学品分开存</w:t>
            </w:r>
            <w:r>
              <w:rPr>
                <w:rFonts w:hint="default" w:ascii="Times New Roman" w:hAnsi="Times New Roman" w:cs="Times New Roman"/>
                <w:color w:val="auto"/>
                <w:spacing w:val="3"/>
                <w:sz w:val="21"/>
                <w:szCs w:val="21"/>
              </w:rPr>
              <w:t>放，切忌混储。采用防爆型照明、</w:t>
            </w:r>
            <w:r>
              <w:rPr>
                <w:rFonts w:hint="default" w:ascii="Times New Roman" w:hAnsi="Times New Roman" w:cs="Times New Roman"/>
                <w:color w:val="auto"/>
                <w:spacing w:val="7"/>
                <w:sz w:val="21"/>
                <w:szCs w:val="21"/>
              </w:rPr>
              <w:t>通风设施。禁止使用易产生火花的机械设备和工具。储区应备有泄漏应急处理设备和合适的收容</w:t>
            </w:r>
            <w:r>
              <w:rPr>
                <w:rFonts w:hint="default" w:ascii="Times New Roman" w:hAnsi="Times New Roman" w:cs="Times New Roman"/>
                <w:color w:val="auto"/>
                <w:spacing w:val="4"/>
                <w:sz w:val="21"/>
                <w:szCs w:val="21"/>
              </w:rPr>
              <w:t>材料</w:t>
            </w:r>
            <w:r>
              <w:rPr>
                <w:rFonts w:hint="default" w:ascii="Times New Roman" w:hAnsi="Times New Roman" w:cs="Times New Roman"/>
                <w:color w:val="auto"/>
                <w:spacing w:val="6"/>
                <w:sz w:val="21"/>
                <w:szCs w:val="21"/>
              </w:rPr>
              <w:t>包装材料：采用洁净、干燥，容器为Ⅱ类、</w:t>
            </w:r>
            <w:r>
              <w:rPr>
                <w:rFonts w:hint="eastAsia" w:ascii="Times New Roman" w:hAnsi="Times New Roman" w:cs="Times New Roman"/>
                <w:color w:val="auto"/>
                <w:spacing w:val="6"/>
                <w:sz w:val="21"/>
                <w:szCs w:val="21"/>
                <w:lang w:eastAsia="zh-CN"/>
              </w:rPr>
              <w:t>铁桶</w:t>
            </w:r>
            <w:r>
              <w:rPr>
                <w:rFonts w:hint="default" w:ascii="Times New Roman" w:hAnsi="Times New Roman" w:cs="Times New Roman"/>
                <w:color w:val="auto"/>
                <w:spacing w:val="6"/>
                <w:sz w:val="21"/>
                <w:szCs w:val="21"/>
              </w:rPr>
              <w:t>、钢制提桶。</w:t>
            </w:r>
            <w:r>
              <w:rPr>
                <w:rFonts w:hint="default" w:ascii="Times New Roman" w:hAnsi="Times New Roman" w:cs="Times New Roman"/>
                <w:color w:val="auto"/>
                <w:spacing w:val="7"/>
                <w:sz w:val="21"/>
                <w:szCs w:val="21"/>
              </w:rPr>
              <w:t>存放于凉爽</w:t>
            </w:r>
            <w:r>
              <w:rPr>
                <w:rFonts w:hint="default" w:ascii="Times New Roman" w:hAnsi="Times New Roman" w:eastAsia="Calibri" w:cs="Times New Roman"/>
                <w:color w:val="auto"/>
                <w:spacing w:val="7"/>
                <w:sz w:val="21"/>
                <w:szCs w:val="21"/>
              </w:rPr>
              <w:t>/</w:t>
            </w:r>
            <w:r>
              <w:rPr>
                <w:rFonts w:hint="default" w:ascii="Times New Roman" w:hAnsi="Times New Roman" w:cs="Times New Roman"/>
                <w:color w:val="auto"/>
                <w:spacing w:val="7"/>
                <w:sz w:val="21"/>
                <w:szCs w:val="21"/>
              </w:rPr>
              <w:t>通风处。存放处需加锁</w:t>
            </w:r>
          </w:p>
        </w:tc>
      </w:tr>
    </w:tbl>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eastAsia" w:ascii="Times New Roman" w:hAnsi="Times New Roman" w:eastAsia="宋体" w:cs="Times New Roman"/>
          <w:b/>
          <w:bCs/>
          <w:color w:val="auto"/>
          <w:spacing w:val="5"/>
          <w:sz w:val="24"/>
          <w:szCs w:val="24"/>
          <w:lang w:val="en-US" w:eastAsia="zh-CN"/>
        </w:rPr>
        <w:t>液化天然气</w:t>
      </w:r>
      <w:r>
        <w:rPr>
          <w:rFonts w:hint="default" w:ascii="Times New Roman" w:hAnsi="Times New Roman" w:eastAsia="宋体" w:cs="Times New Roman"/>
          <w:b/>
          <w:bCs/>
          <w:color w:val="auto"/>
          <w:spacing w:val="5"/>
          <w:sz w:val="24"/>
          <w:szCs w:val="24"/>
        </w:rPr>
        <w:t>危险特性</w:t>
      </w: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91"/>
        <w:gridCol w:w="2887"/>
        <w:gridCol w:w="1981"/>
        <w:gridCol w:w="309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标识</w:t>
            </w: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中文名：液化天然气</w:t>
            </w:r>
          </w:p>
        </w:tc>
        <w:tc>
          <w:tcPr>
            <w:tcW w:w="3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英文名：Liquefied Natural Gas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理化性质</w:t>
            </w:r>
          </w:p>
        </w:tc>
        <w:tc>
          <w:tcPr>
            <w:tcW w:w="476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性状：</w:t>
            </w:r>
            <w:r>
              <w:rPr>
                <w:rFonts w:hint="default" w:ascii="Times New Roman" w:hAnsi="Times New Roman" w:eastAsia="宋体" w:cs="Times New Roman"/>
                <w:color w:val="auto"/>
                <w:spacing w:val="0"/>
                <w:position w:val="0"/>
                <w:sz w:val="21"/>
                <w:szCs w:val="21"/>
              </w:rPr>
              <w:t>无色、无臭气体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476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溶解性：</w:t>
            </w:r>
            <w:r>
              <w:rPr>
                <w:rFonts w:hint="default" w:ascii="Times New Roman" w:hAnsi="Times New Roman" w:eastAsia="宋体" w:cs="Times New Roman"/>
                <w:color w:val="auto"/>
                <w:spacing w:val="0"/>
                <w:position w:val="0"/>
                <w:sz w:val="21"/>
                <w:szCs w:val="21"/>
              </w:rPr>
              <w:t>微溶于水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熔点</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Calibri" w:cs="Times New Roman"/>
                <w:color w:val="auto"/>
                <w:spacing w:val="0"/>
                <w:position w:val="0"/>
                <w:sz w:val="21"/>
                <w:szCs w:val="21"/>
              </w:rPr>
              <w:t>/</w:t>
            </w:r>
          </w:p>
        </w:tc>
        <w:tc>
          <w:tcPr>
            <w:tcW w:w="118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沸点</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eastAsia="宋体" w:cs="Times New Roman"/>
                <w:color w:val="auto"/>
                <w:spacing w:val="0"/>
                <w:position w:val="0"/>
                <w:sz w:val="21"/>
                <w:szCs w:val="21"/>
              </w:rPr>
              <w:t>-160</w:t>
            </w:r>
          </w:p>
        </w:tc>
        <w:tc>
          <w:tcPr>
            <w:tcW w:w="1852"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相对密度（水＝</w:t>
            </w:r>
            <w:r>
              <w:rPr>
                <w:rFonts w:hint="default" w:ascii="Times New Roman" w:hAnsi="Times New Roman" w:eastAsia="Calibri" w:cs="Times New Roman"/>
                <w:color w:val="auto"/>
                <w:spacing w:val="0"/>
                <w:position w:val="0"/>
                <w:sz w:val="21"/>
                <w:szCs w:val="21"/>
              </w:rPr>
              <w:t>1</w:t>
            </w:r>
            <w:r>
              <w:rPr>
                <w:rFonts w:hint="default" w:ascii="Times New Roman" w:hAnsi="Times New Roman" w:cs="Times New Roman"/>
                <w:color w:val="auto"/>
                <w:spacing w:val="0"/>
                <w:position w:val="0"/>
                <w:sz w:val="21"/>
                <w:szCs w:val="21"/>
              </w:rPr>
              <w:t>）：</w:t>
            </w:r>
            <w:r>
              <w:rPr>
                <w:rFonts w:hint="default" w:ascii="Times New Roman" w:hAnsi="Times New Roman" w:eastAsia="宋体" w:cs="Times New Roman"/>
                <w:color w:val="auto"/>
                <w:spacing w:val="0"/>
                <w:position w:val="0"/>
                <w:sz w:val="21"/>
                <w:szCs w:val="21"/>
              </w:rPr>
              <w:t>约0.42(-164℃)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cs="Times New Roman"/>
                <w:color w:val="auto"/>
                <w:spacing w:val="0"/>
                <w:position w:val="0"/>
                <w:sz w:val="21"/>
                <w:szCs w:val="21"/>
              </w:rPr>
              <w:t>饱和蒸汽压（</w:t>
            </w:r>
            <w:r>
              <w:rPr>
                <w:rFonts w:hint="default" w:ascii="Times New Roman" w:hAnsi="Times New Roman" w:eastAsia="Calibri" w:cs="Times New Roman"/>
                <w:color w:val="auto"/>
                <w:spacing w:val="0"/>
                <w:position w:val="0"/>
                <w:sz w:val="21"/>
                <w:szCs w:val="21"/>
              </w:rPr>
              <w:t>kPa</w:t>
            </w:r>
            <w:r>
              <w:rPr>
                <w:rFonts w:hint="default" w:ascii="Times New Roman" w:hAnsi="Times New Roman" w:cs="Times New Roman"/>
                <w:color w:val="auto"/>
                <w:spacing w:val="0"/>
                <w:position w:val="0"/>
                <w:sz w:val="21"/>
                <w:szCs w:val="21"/>
              </w:rPr>
              <w:t>）：</w:t>
            </w:r>
          </w:p>
        </w:tc>
        <w:tc>
          <w:tcPr>
            <w:tcW w:w="1185"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临界压力（</w:t>
            </w:r>
            <w:r>
              <w:rPr>
                <w:rFonts w:hint="default" w:ascii="Times New Roman" w:hAnsi="Times New Roman" w:eastAsia="Calibri" w:cs="Times New Roman"/>
                <w:color w:val="auto"/>
                <w:spacing w:val="0"/>
                <w:position w:val="0"/>
                <w:sz w:val="21"/>
                <w:szCs w:val="21"/>
              </w:rPr>
              <w:t>MPa</w:t>
            </w:r>
            <w:r>
              <w:rPr>
                <w:rFonts w:hint="default" w:ascii="Times New Roman" w:hAnsi="Times New Roman" w:cs="Times New Roman"/>
                <w:color w:val="auto"/>
                <w:spacing w:val="0"/>
                <w:position w:val="0"/>
                <w:sz w:val="21"/>
                <w:szCs w:val="21"/>
              </w:rPr>
              <w:t>）：</w:t>
            </w:r>
          </w:p>
        </w:tc>
        <w:tc>
          <w:tcPr>
            <w:tcW w:w="1852"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position w:val="0"/>
                <w:sz w:val="21"/>
                <w:szCs w:val="21"/>
                <w:lang w:eastAsia="zh-CN"/>
              </w:rPr>
            </w:pPr>
            <w:r>
              <w:rPr>
                <w:rFonts w:hint="default" w:ascii="Times New Roman" w:hAnsi="Times New Roman" w:cs="Times New Roman"/>
                <w:color w:val="auto"/>
                <w:spacing w:val="0"/>
                <w:position w:val="0"/>
                <w:sz w:val="21"/>
                <w:szCs w:val="21"/>
              </w:rPr>
              <w:t>相对密度（空气＝</w:t>
            </w:r>
            <w:r>
              <w:rPr>
                <w:rFonts w:hint="default" w:ascii="Times New Roman" w:hAnsi="Times New Roman" w:eastAsia="Calibri" w:cs="Times New Roman"/>
                <w:color w:val="auto"/>
                <w:spacing w:val="0"/>
                <w:position w:val="0"/>
                <w:sz w:val="21"/>
                <w:szCs w:val="21"/>
              </w:rPr>
              <w:t>1</w:t>
            </w:r>
            <w:r>
              <w:rPr>
                <w:rFonts w:hint="default" w:ascii="Times New Roman" w:hAnsi="Times New Roman" w:cs="Times New Roman"/>
                <w:color w:val="auto"/>
                <w:spacing w:val="0"/>
                <w:position w:val="0"/>
                <w:sz w:val="21"/>
                <w:szCs w:val="21"/>
              </w:rPr>
              <w:t>）：</w:t>
            </w:r>
            <w:r>
              <w:rPr>
                <w:rFonts w:hint="eastAsia" w:ascii="Times New Roman" w:hAnsi="Times New Roman" w:eastAsia="宋体" w:cs="Times New Roman"/>
                <w:color w:val="auto"/>
                <w:spacing w:val="0"/>
                <w:position w:val="0"/>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燃烧爆炸危险性</w:t>
            </w: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燃烧性：易燃</w:t>
            </w:r>
          </w:p>
        </w:tc>
        <w:tc>
          <w:tcPr>
            <w:tcW w:w="3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燃烧分解产物：一氧化碳、二氧化碳。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cs="Times New Roman"/>
                <w:color w:val="auto"/>
                <w:spacing w:val="0"/>
                <w:position w:val="0"/>
                <w:sz w:val="21"/>
                <w:szCs w:val="21"/>
              </w:rPr>
              <w:t>闪点</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p>
        </w:tc>
        <w:tc>
          <w:tcPr>
            <w:tcW w:w="3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聚合危害：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position w:val="0"/>
                <w:sz w:val="21"/>
                <w:szCs w:val="21"/>
                <w:lang w:eastAsia="zh-CN"/>
              </w:rPr>
            </w:pPr>
            <w:r>
              <w:rPr>
                <w:rFonts w:hint="default" w:ascii="Times New Roman" w:hAnsi="Times New Roman" w:cs="Times New Roman"/>
                <w:color w:val="auto"/>
                <w:spacing w:val="0"/>
                <w:position w:val="0"/>
                <w:sz w:val="21"/>
                <w:szCs w:val="21"/>
              </w:rPr>
              <w:t>爆炸下限（</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eastAsia" w:ascii="Times New Roman" w:hAnsi="Times New Roman" w:eastAsia="宋体" w:cs="Times New Roman"/>
                <w:color w:val="auto"/>
                <w:spacing w:val="0"/>
                <w:position w:val="0"/>
                <w:sz w:val="21"/>
                <w:szCs w:val="21"/>
                <w:lang w:val="en-US" w:eastAsia="zh-CN"/>
              </w:rPr>
              <w:t>5</w:t>
            </w:r>
          </w:p>
        </w:tc>
        <w:tc>
          <w:tcPr>
            <w:tcW w:w="3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稳定性：稳定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cs="Times New Roman"/>
                <w:color w:val="auto"/>
                <w:spacing w:val="0"/>
                <w:position w:val="0"/>
                <w:sz w:val="21"/>
                <w:szCs w:val="21"/>
              </w:rPr>
              <w:t>爆炸上限（</w:t>
            </w:r>
            <w:r>
              <w:rPr>
                <w:rFonts w:hint="default" w:ascii="Times New Roman" w:hAnsi="Times New Roman" w:cs="Times New Roman"/>
                <w:color w:val="auto"/>
                <w:spacing w:val="0"/>
                <w:position w:val="0"/>
                <w:sz w:val="21"/>
                <w:szCs w:val="21"/>
                <w:lang w:eastAsia="zh-CN"/>
              </w:rPr>
              <w:t>%</w:t>
            </w:r>
            <w:r>
              <w:rPr>
                <w:rFonts w:hint="default" w:ascii="Times New Roman" w:hAnsi="Times New Roman" w:cs="Times New Roman"/>
                <w:color w:val="auto"/>
                <w:spacing w:val="0"/>
                <w:position w:val="0"/>
                <w:sz w:val="21"/>
                <w:szCs w:val="21"/>
              </w:rPr>
              <w:t>）：</w:t>
            </w:r>
            <w:r>
              <w:rPr>
                <w:rFonts w:hint="eastAsia" w:ascii="Times New Roman" w:hAnsi="Times New Roman" w:eastAsia="宋体" w:cs="Times New Roman"/>
                <w:color w:val="auto"/>
                <w:spacing w:val="0"/>
                <w:position w:val="0"/>
                <w:sz w:val="21"/>
                <w:szCs w:val="21"/>
                <w:lang w:val="en-US" w:eastAsia="zh-CN"/>
              </w:rPr>
              <w:t>14</w:t>
            </w:r>
          </w:p>
        </w:tc>
        <w:tc>
          <w:tcPr>
            <w:tcW w:w="3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最大爆炸压力（</w:t>
            </w:r>
            <w:r>
              <w:rPr>
                <w:rFonts w:hint="default" w:ascii="Times New Roman" w:hAnsi="Times New Roman" w:eastAsia="Calibri" w:cs="Times New Roman"/>
                <w:color w:val="auto"/>
                <w:spacing w:val="0"/>
                <w:position w:val="0"/>
                <w:sz w:val="21"/>
                <w:szCs w:val="21"/>
              </w:rPr>
              <w:t>MPa</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1727"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自燃温度</w:t>
            </w:r>
            <w:r>
              <w:rPr>
                <w:rFonts w:hint="eastAsia" w:ascii="Times New Roman" w:hAnsi="Times New Roman" w:eastAsia="宋体" w:cs="Times New Roman"/>
                <w:color w:val="auto"/>
                <w:spacing w:val="0"/>
                <w:position w:val="0"/>
                <w:sz w:val="21"/>
                <w:szCs w:val="21"/>
                <w:lang w:eastAsia="zh-CN"/>
              </w:rPr>
              <w:t>（</w:t>
            </w:r>
            <w:r>
              <w:rPr>
                <w:rFonts w:hint="default" w:ascii="Times New Roman" w:hAnsi="Times New Roman" w:eastAsia="宋体" w:cs="Times New Roman"/>
                <w:color w:val="auto"/>
                <w:spacing w:val="0"/>
                <w:position w:val="0"/>
                <w:sz w:val="21"/>
                <w:szCs w:val="21"/>
              </w:rPr>
              <w:t>℃</w:t>
            </w:r>
            <w:r>
              <w:rPr>
                <w:rFonts w:hint="eastAsia" w:ascii="Times New Roman" w:hAnsi="Times New Roman" w:eastAsia="宋体" w:cs="Times New Roman"/>
                <w:color w:val="auto"/>
                <w:spacing w:val="0"/>
                <w:position w:val="0"/>
                <w:sz w:val="21"/>
                <w:szCs w:val="21"/>
                <w:lang w:eastAsia="zh-CN"/>
              </w:rPr>
              <w:t>）</w:t>
            </w:r>
            <w:r>
              <w:rPr>
                <w:rFonts w:hint="default" w:ascii="Times New Roman" w:hAnsi="Times New Roman" w:eastAsia="宋体" w:cs="Times New Roman"/>
                <w:color w:val="auto"/>
                <w:spacing w:val="0"/>
                <w:position w:val="0"/>
                <w:sz w:val="21"/>
                <w:szCs w:val="21"/>
              </w:rPr>
              <w:t>：482～632</w:t>
            </w:r>
          </w:p>
        </w:tc>
        <w:tc>
          <w:tcPr>
            <w:tcW w:w="3038" w:type="pct"/>
            <w:gridSpan w:val="2"/>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禁忌物：</w:t>
            </w:r>
            <w:r>
              <w:rPr>
                <w:rFonts w:hint="default" w:ascii="Times New Roman" w:hAnsi="Times New Roman" w:eastAsia="宋体" w:cs="Times New Roman"/>
                <w:color w:val="auto"/>
                <w:spacing w:val="0"/>
                <w:position w:val="0"/>
                <w:sz w:val="21"/>
                <w:szCs w:val="21"/>
              </w:rPr>
              <w:t>强氧化剂、卤素</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476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危险特性：</w:t>
            </w:r>
            <w:r>
              <w:rPr>
                <w:rFonts w:hint="default" w:ascii="Times New Roman" w:hAnsi="Times New Roman" w:eastAsia="宋体" w:cs="Times New Roman"/>
                <w:color w:val="auto"/>
                <w:spacing w:val="0"/>
                <w:position w:val="0"/>
                <w:sz w:val="21"/>
                <w:szCs w:val="21"/>
              </w:rPr>
              <w:t>与空气混合能形成爆炸性混合物，遇明火、高热极易燃烧爆炸。与氟、氯等能发生剧烈的化学反应。其蒸气比空气重，能在较低处扩散到相当远的地方，遇明火会引着回燃。若遇高热，容器内压增大，有开裂和爆炸的危险</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position w:val="0"/>
                <w:sz w:val="21"/>
                <w:szCs w:val="21"/>
              </w:rPr>
            </w:pPr>
          </w:p>
        </w:tc>
        <w:tc>
          <w:tcPr>
            <w:tcW w:w="476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pacing w:val="0"/>
                <w:position w:val="0"/>
                <w:sz w:val="21"/>
                <w:szCs w:val="21"/>
              </w:rPr>
            </w:pPr>
            <w:r>
              <w:rPr>
                <w:rFonts w:hint="default" w:ascii="Times New Roman" w:hAnsi="Times New Roman" w:cs="Times New Roman"/>
                <w:color w:val="auto"/>
                <w:spacing w:val="0"/>
                <w:position w:val="0"/>
                <w:sz w:val="21"/>
                <w:szCs w:val="21"/>
              </w:rPr>
              <w:t>灭火方法：</w:t>
            </w:r>
            <w:r>
              <w:rPr>
                <w:rFonts w:hint="default" w:ascii="Calibri" w:hAnsi="Calibri" w:eastAsia="宋体" w:cs="Calibri"/>
                <w:color w:val="auto"/>
                <w:spacing w:val="0"/>
                <w:position w:val="0"/>
                <w:sz w:val="21"/>
                <w:szCs w:val="21"/>
              </w:rPr>
              <w:t>切断气源。若不能立即切断气源，则不允许熄灭正在燃烧的气体，喷水冷却容器。雾状水、泡沫、二氧化碳</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对人体危害</w:t>
            </w:r>
          </w:p>
        </w:tc>
        <w:tc>
          <w:tcPr>
            <w:tcW w:w="476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急性中毒时，可有头昏、头痛、呕吐、乏力甚至昏迷。病程中尚可出现精神症状，步态不稳，昏迷过程久者，醒后可有运动性失语及偏瘫。长期接触天然气者可出现神经衰弱综合征。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急救</w:t>
            </w:r>
          </w:p>
        </w:tc>
        <w:tc>
          <w:tcPr>
            <w:tcW w:w="476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吸入：迅速脱离现场至空气新鲜处。呼吸困难时给输氧。对症治疗。注意防治脑水肿。</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防护</w:t>
            </w:r>
          </w:p>
        </w:tc>
        <w:tc>
          <w:tcPr>
            <w:tcW w:w="4765" w:type="pct"/>
            <w:gridSpan w:val="3"/>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工程控制：密闭操作。提供良好的自然通风条件。</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呼吸系统防护：高浓度环境中，佩戴供气式呼吸器。</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眼睛防护：一般不需要特殊防护，高浓度接触时可戴化学安全防护眼镜。</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防护服：穿工作服。</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手防护：必要时戴防护手套。</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Calibri" w:hAnsi="Calibri" w:eastAsia="宋体" w:cs="Calibri"/>
                <w:color w:val="auto"/>
                <w:spacing w:val="0"/>
                <w:position w:val="0"/>
                <w:sz w:val="21"/>
                <w:szCs w:val="21"/>
              </w:rPr>
            </w:pPr>
            <w:r>
              <w:rPr>
                <w:rFonts w:hint="eastAsia" w:ascii="Calibri" w:hAnsi="Calibri" w:cs="Calibri"/>
                <w:color w:val="auto"/>
                <w:spacing w:val="0"/>
                <w:position w:val="0"/>
                <w:sz w:val="21"/>
                <w:szCs w:val="21"/>
                <w:lang w:eastAsia="zh-CN"/>
              </w:rPr>
              <w:t>其他</w:t>
            </w:r>
            <w:r>
              <w:rPr>
                <w:rFonts w:hint="default" w:ascii="Calibri" w:hAnsi="Calibri" w:eastAsia="宋体" w:cs="Calibri"/>
                <w:color w:val="auto"/>
                <w:spacing w:val="0"/>
                <w:position w:val="0"/>
                <w:sz w:val="21"/>
                <w:szCs w:val="21"/>
              </w:rPr>
              <w:t>：工作现场严禁吸烟。避免高浓度吸入;进入罐或</w:t>
            </w:r>
            <w:r>
              <w:rPr>
                <w:rFonts w:hint="eastAsia" w:ascii="Calibri" w:hAnsi="Calibri" w:cs="Calibri"/>
                <w:color w:val="auto"/>
                <w:spacing w:val="0"/>
                <w:position w:val="0"/>
                <w:sz w:val="21"/>
                <w:szCs w:val="21"/>
                <w:lang w:eastAsia="zh-CN"/>
              </w:rPr>
              <w:t>其他</w:t>
            </w:r>
            <w:r>
              <w:rPr>
                <w:rFonts w:hint="default" w:ascii="Calibri" w:hAnsi="Calibri" w:eastAsia="宋体" w:cs="Calibri"/>
                <w:color w:val="auto"/>
                <w:spacing w:val="0"/>
                <w:position w:val="0"/>
                <w:sz w:val="21"/>
                <w:szCs w:val="21"/>
              </w:rPr>
              <w:t>高浓度区作业，须有人监护。</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23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Calibri" w:hAnsi="Calibri" w:eastAsia="宋体" w:cs="Calibri"/>
                <w:color w:val="auto"/>
                <w:spacing w:val="0"/>
                <w:position w:val="0"/>
                <w:sz w:val="21"/>
                <w:szCs w:val="21"/>
              </w:rPr>
            </w:pPr>
            <w:r>
              <w:rPr>
                <w:rFonts w:hint="default" w:ascii="Calibri" w:hAnsi="Calibri" w:eastAsia="宋体" w:cs="Calibri"/>
                <w:color w:val="auto"/>
                <w:spacing w:val="0"/>
                <w:position w:val="0"/>
                <w:sz w:val="21"/>
                <w:szCs w:val="21"/>
              </w:rPr>
              <w:t>泄漏处理</w:t>
            </w:r>
          </w:p>
        </w:tc>
        <w:tc>
          <w:tcPr>
            <w:tcW w:w="476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Calibri" w:hAnsi="Calibri" w:eastAsia="宋体" w:cs="Calibri"/>
                <w:color w:val="auto"/>
                <w:spacing w:val="0"/>
                <w:position w:val="0"/>
                <w:sz w:val="21"/>
                <w:szCs w:val="21"/>
                <w:lang w:eastAsia="zh-CN"/>
              </w:rPr>
            </w:pPr>
            <w:r>
              <w:rPr>
                <w:rFonts w:hint="default" w:ascii="Calibri" w:hAnsi="Calibri" w:eastAsia="宋体" w:cs="Calibri"/>
                <w:color w:val="auto"/>
                <w:spacing w:val="0"/>
                <w:position w:val="0"/>
                <w:sz w:val="21"/>
                <w:szCs w:val="21"/>
              </w:rPr>
              <w:t>迅速撤离泄漏污染区人员至上风处，并隔离直至气体散尽，切断火源。应急处理人员戴自给式呼吸器，穿化学防护服。合理通风，禁止泄漏物进入受限制的空间（如下水道等），以避免发生爆炸。切断气源，喷洒雾状水稀释，抽排（室内）或强力通风（室外）。漏气容器不能再用，且要经过技术处理以清除可能剩下的气体</w:t>
            </w:r>
            <w:r>
              <w:rPr>
                <w:rFonts w:hint="eastAsia" w:ascii="Calibri" w:hAnsi="Calibri" w:eastAsia="宋体" w:cs="Calibri"/>
                <w:color w:val="auto"/>
                <w:spacing w:val="0"/>
                <w:position w:val="0"/>
                <w:sz w:val="21"/>
                <w:szCs w:val="21"/>
                <w:lang w:eastAsia="zh-CN"/>
              </w:rPr>
              <w:t>。</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本项目物质风险性识别结果如下</w:t>
      </w:r>
      <w:r>
        <w:rPr>
          <w:rFonts w:hint="eastAsia" w:ascii="Times New Roman" w:hAnsi="Times New Roman" w:eastAsia="宋体" w:cs="Times New Roman"/>
          <w:color w:val="auto"/>
          <w:szCs w:val="28"/>
          <w:u w:val="none" w:color="auto"/>
          <w:lang w:val="en-US" w:eastAsia="zh-CN"/>
        </w:rPr>
        <w:t>表</w:t>
      </w:r>
      <w:r>
        <w:rPr>
          <w:rFonts w:hint="default" w:ascii="Times New Roman" w:hAnsi="Times New Roman" w:cs="Times New Roman"/>
          <w:color w:val="auto"/>
          <w:szCs w:val="28"/>
          <w:u w:val="none" w:color="auto"/>
        </w:rPr>
        <w:t>：</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本项目风险物质一览表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21"/>
        <w:gridCol w:w="1508"/>
        <w:gridCol w:w="823"/>
        <w:gridCol w:w="1302"/>
        <w:gridCol w:w="1345"/>
        <w:gridCol w:w="1192"/>
        <w:gridCol w:w="103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7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危险单元</w:t>
            </w:r>
          </w:p>
        </w:tc>
        <w:tc>
          <w:tcPr>
            <w:tcW w:w="9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物质性质用</w:t>
            </w:r>
            <w:r>
              <w:rPr>
                <w:rFonts w:hint="default" w:ascii="Times New Roman" w:hAnsi="Times New Roman" w:cs="Times New Roman"/>
                <w:b/>
                <w:bCs/>
                <w:color w:val="auto"/>
                <w:spacing w:val="-2"/>
                <w:sz w:val="21"/>
                <w:szCs w:val="21"/>
              </w:rPr>
              <w:t>途</w:t>
            </w:r>
          </w:p>
        </w:tc>
        <w:tc>
          <w:tcPr>
            <w:tcW w:w="4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物态</w:t>
            </w:r>
          </w:p>
        </w:tc>
        <w:tc>
          <w:tcPr>
            <w:tcW w:w="7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风险源</w:t>
            </w:r>
          </w:p>
        </w:tc>
        <w:tc>
          <w:tcPr>
            <w:tcW w:w="80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主要化学</w:t>
            </w:r>
            <w:r>
              <w:rPr>
                <w:rFonts w:hint="default" w:ascii="Times New Roman" w:hAnsi="Times New Roman" w:cs="Times New Roman"/>
                <w:b/>
                <w:bCs/>
                <w:color w:val="auto"/>
                <w:spacing w:val="3"/>
                <w:sz w:val="21"/>
                <w:szCs w:val="21"/>
              </w:rPr>
              <w:t>物质</w:t>
            </w:r>
          </w:p>
        </w:tc>
        <w:tc>
          <w:tcPr>
            <w:tcW w:w="71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z w:val="21"/>
                <w:szCs w:val="21"/>
              </w:rPr>
            </w:pPr>
            <w:r>
              <w:rPr>
                <w:rFonts w:hint="default" w:ascii="Times New Roman" w:hAnsi="Times New Roman" w:eastAsia="Calibri" w:cs="Times New Roman"/>
                <w:b/>
                <w:bCs/>
                <w:color w:val="auto"/>
                <w:sz w:val="21"/>
                <w:szCs w:val="21"/>
              </w:rPr>
              <w:t>CAS</w:t>
            </w:r>
            <w:r>
              <w:rPr>
                <w:rFonts w:hint="default" w:ascii="Times New Roman" w:hAnsi="Times New Roman" w:cs="Times New Roman"/>
                <w:b/>
                <w:bCs/>
                <w:color w:val="auto"/>
                <w:spacing w:val="1"/>
                <w:sz w:val="21"/>
                <w:szCs w:val="21"/>
              </w:rPr>
              <w:t>号</w:t>
            </w:r>
          </w:p>
        </w:tc>
        <w:tc>
          <w:tcPr>
            <w:tcW w:w="6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b/>
                <w:bCs/>
                <w:color w:val="auto"/>
                <w:sz w:val="21"/>
                <w:szCs w:val="21"/>
              </w:rPr>
            </w:pPr>
            <w:r>
              <w:rPr>
                <w:rFonts w:hint="default" w:ascii="Times New Roman" w:hAnsi="Times New Roman" w:cs="Times New Roman"/>
                <w:b/>
                <w:bCs/>
                <w:color w:val="auto"/>
                <w:sz w:val="21"/>
                <w:szCs w:val="21"/>
                <w:u w:val="none"/>
              </w:rPr>
              <w:t>最大贮存量（t）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7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VOCs</w:t>
            </w:r>
            <w:r>
              <w:rPr>
                <w:rFonts w:hint="default" w:ascii="Times New Roman" w:hAnsi="Times New Roman" w:cs="Times New Roman"/>
                <w:color w:val="auto"/>
                <w:spacing w:val="9"/>
                <w:sz w:val="21"/>
                <w:szCs w:val="21"/>
              </w:rPr>
              <w:t>物料贮存</w:t>
            </w:r>
            <w:r>
              <w:rPr>
                <w:rFonts w:hint="default" w:ascii="Times New Roman" w:hAnsi="Times New Roman" w:cs="Times New Roman"/>
                <w:color w:val="auto"/>
                <w:spacing w:val="-2"/>
                <w:sz w:val="21"/>
                <w:szCs w:val="21"/>
              </w:rPr>
              <w:t>区（原料库）、</w:t>
            </w:r>
            <w:r>
              <w:rPr>
                <w:rFonts w:hint="default" w:ascii="Times New Roman" w:hAnsi="Times New Roman" w:cs="Times New Roman"/>
                <w:color w:val="auto"/>
                <w:spacing w:val="-1"/>
                <w:sz w:val="21"/>
                <w:szCs w:val="21"/>
              </w:rPr>
              <w:t>危废暂存区（危废间）、生产车</w:t>
            </w:r>
            <w:r>
              <w:rPr>
                <w:rFonts w:hint="default" w:ascii="Times New Roman" w:hAnsi="Times New Roman" w:cs="Times New Roman"/>
                <w:color w:val="auto"/>
                <w:sz w:val="21"/>
                <w:szCs w:val="21"/>
              </w:rPr>
              <w:t>间</w:t>
            </w:r>
          </w:p>
        </w:tc>
        <w:tc>
          <w:tcPr>
            <w:tcW w:w="9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油墨稀释剂</w:t>
            </w:r>
          </w:p>
        </w:tc>
        <w:tc>
          <w:tcPr>
            <w:tcW w:w="4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position w:val="2"/>
                <w:sz w:val="21"/>
                <w:szCs w:val="21"/>
              </w:rPr>
              <w:t>液</w:t>
            </w:r>
            <w:r>
              <w:rPr>
                <w:rFonts w:hint="default" w:ascii="Times New Roman" w:hAnsi="Times New Roman" w:eastAsia="Calibri" w:cs="Times New Roman"/>
                <w:color w:val="auto"/>
                <w:spacing w:val="4"/>
                <w:position w:val="2"/>
                <w:sz w:val="21"/>
                <w:szCs w:val="21"/>
              </w:rPr>
              <w:t>/</w:t>
            </w:r>
            <w:r>
              <w:rPr>
                <w:rFonts w:hint="default" w:ascii="Times New Roman" w:hAnsi="Times New Roman" w:cs="Times New Roman"/>
                <w:color w:val="auto"/>
                <w:spacing w:val="4"/>
                <w:position w:val="2"/>
                <w:sz w:val="21"/>
                <w:szCs w:val="21"/>
              </w:rPr>
              <w:t>气</w:t>
            </w:r>
          </w:p>
        </w:tc>
        <w:tc>
          <w:tcPr>
            <w:tcW w:w="7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异丙醇</w:t>
            </w:r>
          </w:p>
        </w:tc>
        <w:tc>
          <w:tcPr>
            <w:tcW w:w="80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C</w:t>
            </w:r>
            <w:r>
              <w:rPr>
                <w:rFonts w:hint="default" w:ascii="Times New Roman" w:hAnsi="Times New Roman" w:eastAsia="Calibri" w:cs="Times New Roman"/>
                <w:color w:val="auto"/>
                <w:spacing w:val="-3"/>
                <w:position w:val="-1"/>
                <w:sz w:val="21"/>
                <w:szCs w:val="21"/>
                <w:vertAlign w:val="subscript"/>
              </w:rPr>
              <w:t>3</w:t>
            </w:r>
            <w:r>
              <w:rPr>
                <w:rFonts w:hint="default" w:ascii="Times New Roman" w:hAnsi="Times New Roman" w:eastAsia="Calibri" w:cs="Times New Roman"/>
                <w:color w:val="auto"/>
                <w:spacing w:val="-16"/>
                <w:sz w:val="21"/>
                <w:szCs w:val="21"/>
              </w:rPr>
              <w:t>H</w:t>
            </w:r>
            <w:r>
              <w:rPr>
                <w:rFonts w:hint="default" w:ascii="Times New Roman" w:hAnsi="Times New Roman" w:eastAsia="Calibri" w:cs="Times New Roman"/>
                <w:color w:val="auto"/>
                <w:spacing w:val="1"/>
                <w:position w:val="-1"/>
                <w:sz w:val="21"/>
                <w:szCs w:val="21"/>
                <w:vertAlign w:val="subscript"/>
              </w:rPr>
              <w:t>8</w:t>
            </w:r>
            <w:r>
              <w:rPr>
                <w:rFonts w:hint="default" w:ascii="Times New Roman" w:hAnsi="Times New Roman" w:eastAsia="Calibri" w:cs="Times New Roman"/>
                <w:color w:val="auto"/>
                <w:spacing w:val="1"/>
                <w:sz w:val="21"/>
                <w:szCs w:val="21"/>
              </w:rPr>
              <w:t>O</w:t>
            </w:r>
          </w:p>
        </w:tc>
        <w:tc>
          <w:tcPr>
            <w:tcW w:w="71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67-63-0</w:t>
            </w:r>
          </w:p>
        </w:tc>
        <w:tc>
          <w:tcPr>
            <w:tcW w:w="6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7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油墨、聚氨酯</w:t>
            </w:r>
            <w:r>
              <w:rPr>
                <w:rFonts w:hint="default" w:ascii="Times New Roman" w:hAnsi="Times New Roman" w:cs="Times New Roman"/>
                <w:color w:val="auto"/>
                <w:spacing w:val="8"/>
                <w:sz w:val="21"/>
                <w:szCs w:val="21"/>
              </w:rPr>
              <w:t>胶水稀释剂</w:t>
            </w:r>
          </w:p>
        </w:tc>
        <w:tc>
          <w:tcPr>
            <w:tcW w:w="4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position w:val="2"/>
                <w:sz w:val="21"/>
                <w:szCs w:val="21"/>
              </w:rPr>
              <w:t>液</w:t>
            </w:r>
            <w:r>
              <w:rPr>
                <w:rFonts w:hint="default" w:ascii="Times New Roman" w:hAnsi="Times New Roman" w:eastAsia="Calibri" w:cs="Times New Roman"/>
                <w:color w:val="auto"/>
                <w:spacing w:val="4"/>
                <w:position w:val="2"/>
                <w:sz w:val="21"/>
                <w:szCs w:val="21"/>
              </w:rPr>
              <w:t>/</w:t>
            </w:r>
            <w:r>
              <w:rPr>
                <w:rFonts w:hint="default" w:ascii="Times New Roman" w:hAnsi="Times New Roman" w:cs="Times New Roman"/>
                <w:color w:val="auto"/>
                <w:spacing w:val="4"/>
                <w:position w:val="2"/>
                <w:sz w:val="21"/>
                <w:szCs w:val="21"/>
              </w:rPr>
              <w:t>气</w:t>
            </w:r>
          </w:p>
        </w:tc>
        <w:tc>
          <w:tcPr>
            <w:tcW w:w="7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乙酸乙酯</w:t>
            </w:r>
          </w:p>
        </w:tc>
        <w:tc>
          <w:tcPr>
            <w:tcW w:w="80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C</w:t>
            </w:r>
            <w:r>
              <w:rPr>
                <w:rFonts w:hint="default" w:ascii="Times New Roman" w:hAnsi="Times New Roman" w:eastAsia="Calibri" w:cs="Times New Roman"/>
                <w:color w:val="auto"/>
                <w:spacing w:val="-1"/>
                <w:position w:val="-1"/>
                <w:sz w:val="21"/>
                <w:szCs w:val="21"/>
                <w:vertAlign w:val="subscript"/>
              </w:rPr>
              <w:t>4</w:t>
            </w:r>
            <w:r>
              <w:rPr>
                <w:rFonts w:hint="default" w:ascii="Times New Roman" w:hAnsi="Times New Roman" w:eastAsia="Calibri" w:cs="Times New Roman"/>
                <w:color w:val="auto"/>
                <w:spacing w:val="-1"/>
                <w:sz w:val="21"/>
                <w:szCs w:val="21"/>
              </w:rPr>
              <w:t>H</w:t>
            </w:r>
            <w:r>
              <w:rPr>
                <w:rFonts w:hint="default" w:ascii="Times New Roman" w:hAnsi="Times New Roman" w:eastAsia="Calibri" w:cs="Times New Roman"/>
                <w:color w:val="auto"/>
                <w:spacing w:val="-1"/>
                <w:position w:val="-1"/>
                <w:sz w:val="21"/>
                <w:szCs w:val="21"/>
                <w:vertAlign w:val="subscript"/>
              </w:rPr>
              <w:t>8</w:t>
            </w:r>
            <w:r>
              <w:rPr>
                <w:rFonts w:hint="default" w:ascii="Times New Roman" w:hAnsi="Times New Roman" w:eastAsia="Calibri" w:cs="Times New Roman"/>
                <w:color w:val="auto"/>
                <w:spacing w:val="-1"/>
                <w:sz w:val="21"/>
                <w:szCs w:val="21"/>
              </w:rPr>
              <w:t>O</w:t>
            </w:r>
            <w:r>
              <w:rPr>
                <w:rFonts w:hint="default" w:ascii="Times New Roman" w:hAnsi="Times New Roman" w:eastAsia="Calibri" w:cs="Times New Roman"/>
                <w:color w:val="auto"/>
                <w:spacing w:val="-1"/>
                <w:position w:val="-1"/>
                <w:sz w:val="21"/>
                <w:szCs w:val="21"/>
                <w:vertAlign w:val="subscript"/>
              </w:rPr>
              <w:t>2</w:t>
            </w:r>
          </w:p>
        </w:tc>
        <w:tc>
          <w:tcPr>
            <w:tcW w:w="71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141-78-6</w:t>
            </w:r>
          </w:p>
        </w:tc>
        <w:tc>
          <w:tcPr>
            <w:tcW w:w="6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7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油墨稀释剂</w:t>
            </w:r>
          </w:p>
        </w:tc>
        <w:tc>
          <w:tcPr>
            <w:tcW w:w="4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position w:val="2"/>
                <w:sz w:val="21"/>
                <w:szCs w:val="21"/>
              </w:rPr>
              <w:t>液</w:t>
            </w:r>
            <w:r>
              <w:rPr>
                <w:rFonts w:hint="default" w:ascii="Times New Roman" w:hAnsi="Times New Roman" w:eastAsia="Calibri" w:cs="Times New Roman"/>
                <w:color w:val="auto"/>
                <w:spacing w:val="4"/>
                <w:position w:val="2"/>
                <w:sz w:val="21"/>
                <w:szCs w:val="21"/>
              </w:rPr>
              <w:t>/</w:t>
            </w:r>
            <w:r>
              <w:rPr>
                <w:rFonts w:hint="default" w:ascii="Times New Roman" w:hAnsi="Times New Roman" w:cs="Times New Roman"/>
                <w:color w:val="auto"/>
                <w:spacing w:val="4"/>
                <w:position w:val="2"/>
                <w:sz w:val="21"/>
                <w:szCs w:val="21"/>
              </w:rPr>
              <w:t>气</w:t>
            </w:r>
          </w:p>
        </w:tc>
        <w:tc>
          <w:tcPr>
            <w:tcW w:w="7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正丙酯</w:t>
            </w:r>
          </w:p>
        </w:tc>
        <w:tc>
          <w:tcPr>
            <w:tcW w:w="80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C</w:t>
            </w:r>
            <w:r>
              <w:rPr>
                <w:rFonts w:hint="default" w:ascii="Times New Roman" w:hAnsi="Times New Roman" w:eastAsia="Calibri" w:cs="Times New Roman"/>
                <w:color w:val="auto"/>
                <w:position w:val="-1"/>
                <w:sz w:val="21"/>
                <w:szCs w:val="21"/>
                <w:vertAlign w:val="subscript"/>
              </w:rPr>
              <w:t>5</w:t>
            </w:r>
            <w:r>
              <w:rPr>
                <w:rFonts w:hint="default" w:ascii="Times New Roman" w:hAnsi="Times New Roman" w:eastAsia="Calibri" w:cs="Times New Roman"/>
                <w:color w:val="auto"/>
                <w:sz w:val="21"/>
                <w:szCs w:val="21"/>
              </w:rPr>
              <w:t>H</w:t>
            </w:r>
            <w:r>
              <w:rPr>
                <w:rFonts w:hint="default" w:ascii="Times New Roman" w:hAnsi="Times New Roman" w:eastAsia="Calibri" w:cs="Times New Roman"/>
                <w:color w:val="auto"/>
                <w:position w:val="-1"/>
                <w:sz w:val="21"/>
                <w:szCs w:val="21"/>
                <w:vertAlign w:val="subscript"/>
              </w:rPr>
              <w:t>10</w:t>
            </w:r>
            <w:r>
              <w:rPr>
                <w:rFonts w:hint="default" w:ascii="Times New Roman" w:hAnsi="Times New Roman" w:eastAsia="Calibri" w:cs="Times New Roman"/>
                <w:color w:val="auto"/>
                <w:sz w:val="21"/>
                <w:szCs w:val="21"/>
              </w:rPr>
              <w:t>O</w:t>
            </w:r>
            <w:r>
              <w:rPr>
                <w:rFonts w:hint="default" w:ascii="Times New Roman" w:hAnsi="Times New Roman" w:eastAsia="Calibri" w:cs="Times New Roman"/>
                <w:color w:val="auto"/>
                <w:position w:val="-1"/>
                <w:sz w:val="21"/>
                <w:szCs w:val="21"/>
                <w:vertAlign w:val="subscript"/>
              </w:rPr>
              <w:t>2</w:t>
            </w:r>
          </w:p>
        </w:tc>
        <w:tc>
          <w:tcPr>
            <w:tcW w:w="71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1"/>
                <w:sz w:val="21"/>
                <w:szCs w:val="21"/>
              </w:rPr>
              <w:t>109-06-4</w:t>
            </w:r>
          </w:p>
        </w:tc>
        <w:tc>
          <w:tcPr>
            <w:tcW w:w="6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7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印刷</w:t>
            </w:r>
          </w:p>
        </w:tc>
        <w:tc>
          <w:tcPr>
            <w:tcW w:w="4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position w:val="2"/>
                <w:sz w:val="21"/>
                <w:szCs w:val="21"/>
              </w:rPr>
              <w:t>液</w:t>
            </w:r>
            <w:r>
              <w:rPr>
                <w:rFonts w:hint="default" w:ascii="Times New Roman" w:hAnsi="Times New Roman" w:eastAsia="Calibri" w:cs="Times New Roman"/>
                <w:color w:val="auto"/>
                <w:spacing w:val="4"/>
                <w:position w:val="2"/>
                <w:sz w:val="21"/>
                <w:szCs w:val="21"/>
              </w:rPr>
              <w:t>/</w:t>
            </w:r>
            <w:r>
              <w:rPr>
                <w:rFonts w:hint="default" w:ascii="Times New Roman" w:hAnsi="Times New Roman" w:cs="Times New Roman"/>
                <w:color w:val="auto"/>
                <w:spacing w:val="4"/>
                <w:position w:val="2"/>
                <w:sz w:val="21"/>
                <w:szCs w:val="21"/>
              </w:rPr>
              <w:t>气</w:t>
            </w:r>
          </w:p>
        </w:tc>
        <w:tc>
          <w:tcPr>
            <w:tcW w:w="7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油墨</w:t>
            </w:r>
          </w:p>
        </w:tc>
        <w:tc>
          <w:tcPr>
            <w:tcW w:w="80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乙酸乙酯、正丙</w:t>
            </w:r>
            <w:r>
              <w:rPr>
                <w:rFonts w:hint="default" w:ascii="Times New Roman" w:hAnsi="Times New Roman" w:cs="Times New Roman"/>
                <w:color w:val="auto"/>
                <w:spacing w:val="3"/>
                <w:sz w:val="21"/>
                <w:szCs w:val="21"/>
              </w:rPr>
              <w:t>醇等</w:t>
            </w:r>
          </w:p>
        </w:tc>
        <w:tc>
          <w:tcPr>
            <w:tcW w:w="71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6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position w:val="3"/>
                <w:sz w:val="21"/>
                <w:szCs w:val="21"/>
                <w:lang w:val="en-US" w:eastAsia="zh-CN"/>
              </w:rPr>
            </w:pPr>
            <w:r>
              <w:rPr>
                <w:rFonts w:hint="eastAsia" w:ascii="Times New Roman" w:hAnsi="Times New Roman" w:eastAsia="宋体" w:cs="Times New Roman"/>
                <w:color w:val="auto"/>
                <w:spacing w:val="3"/>
                <w:position w:val="3"/>
                <w:sz w:val="21"/>
                <w:szCs w:val="21"/>
                <w:lang w:val="en-US" w:eastAsia="zh-CN"/>
              </w:rPr>
              <w: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7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复合</w:t>
            </w:r>
          </w:p>
        </w:tc>
        <w:tc>
          <w:tcPr>
            <w:tcW w:w="4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position w:val="2"/>
                <w:sz w:val="21"/>
                <w:szCs w:val="21"/>
              </w:rPr>
              <w:t>液</w:t>
            </w:r>
            <w:r>
              <w:rPr>
                <w:rFonts w:hint="default" w:ascii="Times New Roman" w:hAnsi="Times New Roman" w:eastAsia="Calibri" w:cs="Times New Roman"/>
                <w:color w:val="auto"/>
                <w:spacing w:val="4"/>
                <w:position w:val="2"/>
                <w:sz w:val="21"/>
                <w:szCs w:val="21"/>
              </w:rPr>
              <w:t>/</w:t>
            </w:r>
            <w:r>
              <w:rPr>
                <w:rFonts w:hint="default" w:ascii="Times New Roman" w:hAnsi="Times New Roman" w:cs="Times New Roman"/>
                <w:color w:val="auto"/>
                <w:spacing w:val="4"/>
                <w:position w:val="2"/>
                <w:sz w:val="21"/>
                <w:szCs w:val="21"/>
              </w:rPr>
              <w:t>气</w:t>
            </w:r>
          </w:p>
        </w:tc>
        <w:tc>
          <w:tcPr>
            <w:tcW w:w="7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聚氨酯胶水</w:t>
            </w:r>
          </w:p>
        </w:tc>
        <w:tc>
          <w:tcPr>
            <w:tcW w:w="80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乙酸乙酯</w:t>
            </w:r>
          </w:p>
        </w:tc>
        <w:tc>
          <w:tcPr>
            <w:tcW w:w="71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62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position w:val="3"/>
                <w:sz w:val="21"/>
                <w:szCs w:val="21"/>
                <w:lang w:val="en-US" w:eastAsia="zh-CN"/>
              </w:rPr>
            </w:pPr>
            <w:r>
              <w:rPr>
                <w:rFonts w:hint="eastAsia" w:ascii="Times New Roman" w:hAnsi="Times New Roman" w:eastAsia="宋体" w:cs="Times New Roman"/>
                <w:color w:val="auto"/>
                <w:spacing w:val="3"/>
                <w:position w:val="3"/>
                <w:sz w:val="21"/>
                <w:szCs w:val="21"/>
                <w:lang w:val="en-US" w:eastAsia="zh-CN"/>
              </w:rPr>
              <w: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highlight w:val="none"/>
              </w:rPr>
              <w:t>RTO</w:t>
            </w:r>
            <w:r>
              <w:rPr>
                <w:rFonts w:hint="eastAsia" w:ascii="Times New Roman" w:hAnsi="Times New Roman" w:eastAsia="宋体" w:cs="Times New Roman"/>
                <w:color w:val="auto"/>
                <w:sz w:val="21"/>
                <w:szCs w:val="21"/>
                <w:highlight w:val="none"/>
                <w:lang w:val="en-US" w:eastAsia="zh-CN"/>
              </w:rPr>
              <w:t>天然气储罐区</w:t>
            </w:r>
          </w:p>
        </w:tc>
        <w:tc>
          <w:tcPr>
            <w:tcW w:w="90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default" w:ascii="Times New Roman" w:hAnsi="Times New Roman" w:eastAsia="Calibri" w:cs="Times New Roman"/>
                <w:color w:val="auto"/>
                <w:sz w:val="21"/>
                <w:szCs w:val="21"/>
                <w:highlight w:val="none"/>
              </w:rPr>
              <w:t>RTO</w:t>
            </w:r>
            <w:r>
              <w:rPr>
                <w:rFonts w:hint="default" w:ascii="Times New Roman" w:hAnsi="Times New Roman" w:cs="Times New Roman"/>
                <w:color w:val="auto"/>
                <w:spacing w:val="7"/>
                <w:sz w:val="21"/>
                <w:szCs w:val="21"/>
                <w:highlight w:val="none"/>
              </w:rPr>
              <w:t>蓄热燃烧装置，</w:t>
            </w:r>
            <w:r>
              <w:rPr>
                <w:rFonts w:hint="default" w:ascii="Times New Roman" w:hAnsi="Times New Roman" w:cs="Times New Roman"/>
                <w:color w:val="auto"/>
                <w:spacing w:val="3"/>
                <w:sz w:val="21"/>
                <w:szCs w:val="21"/>
                <w:highlight w:val="none"/>
              </w:rPr>
              <w:t>助燃</w:t>
            </w:r>
          </w:p>
        </w:tc>
        <w:tc>
          <w:tcPr>
            <w:tcW w:w="4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4"/>
                <w:position w:val="2"/>
                <w:sz w:val="21"/>
                <w:szCs w:val="21"/>
              </w:rPr>
            </w:pPr>
            <w:r>
              <w:rPr>
                <w:rFonts w:hint="default" w:ascii="Times New Roman" w:hAnsi="Times New Roman" w:cs="Times New Roman"/>
                <w:color w:val="auto"/>
                <w:spacing w:val="4"/>
                <w:position w:val="2"/>
                <w:sz w:val="21"/>
                <w:szCs w:val="21"/>
              </w:rPr>
              <w:t>液</w:t>
            </w:r>
            <w:r>
              <w:rPr>
                <w:rFonts w:hint="default" w:ascii="Times New Roman" w:hAnsi="Times New Roman" w:eastAsia="Calibri" w:cs="Times New Roman"/>
                <w:color w:val="auto"/>
                <w:spacing w:val="4"/>
                <w:position w:val="2"/>
                <w:sz w:val="21"/>
                <w:szCs w:val="21"/>
              </w:rPr>
              <w:t>/</w:t>
            </w:r>
            <w:r>
              <w:rPr>
                <w:rFonts w:hint="default" w:ascii="Times New Roman" w:hAnsi="Times New Roman" w:cs="Times New Roman"/>
                <w:color w:val="auto"/>
                <w:spacing w:val="4"/>
                <w:position w:val="2"/>
                <w:sz w:val="21"/>
                <w:szCs w:val="21"/>
              </w:rPr>
              <w:t>气</w:t>
            </w:r>
          </w:p>
        </w:tc>
        <w:tc>
          <w:tcPr>
            <w:tcW w:w="7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rPr>
            </w:pPr>
            <w:r>
              <w:rPr>
                <w:rFonts w:hint="eastAsia" w:ascii="Times New Roman" w:hAnsi="Times New Roman" w:cs="Times New Roman"/>
                <w:color w:val="auto"/>
                <w:spacing w:val="6"/>
                <w:sz w:val="21"/>
                <w:szCs w:val="21"/>
                <w:lang w:val="en-US" w:eastAsia="zh-CN"/>
              </w:rPr>
              <w:t>液化天然气</w:t>
            </w:r>
          </w:p>
        </w:tc>
        <w:tc>
          <w:tcPr>
            <w:tcW w:w="80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fldChar w:fldCharType="begin"/>
            </w:r>
            <w:r>
              <w:rPr>
                <w:rFonts w:hint="default" w:ascii="Times New Roman" w:hAnsi="Times New Roman" w:cs="Times New Roman"/>
                <w:color w:val="auto"/>
                <w:spacing w:val="2"/>
                <w:sz w:val="21"/>
                <w:szCs w:val="21"/>
              </w:rPr>
              <w:instrText xml:space="preserve"> HYPERLINK "https://baike.baidu.com/item/%E7%94%B2%E7%83%B7/634659?fromModule=lemma_inlink" \t "https://baike.baidu.com/item/%E6%B6%B2%E5%8C%96%E5%A4%A9%E7%84%B6%E6%B0%94/_blank" </w:instrText>
            </w:r>
            <w:r>
              <w:rPr>
                <w:rFonts w:hint="default" w:ascii="Times New Roman" w:hAnsi="Times New Roman" w:cs="Times New Roman"/>
                <w:color w:val="auto"/>
                <w:spacing w:val="2"/>
                <w:sz w:val="21"/>
                <w:szCs w:val="21"/>
              </w:rPr>
              <w:fldChar w:fldCharType="separate"/>
            </w:r>
            <w:r>
              <w:rPr>
                <w:rFonts w:hint="default" w:ascii="Times New Roman" w:hAnsi="Times New Roman" w:cs="Times New Roman"/>
                <w:color w:val="auto"/>
                <w:spacing w:val="2"/>
                <w:sz w:val="21"/>
                <w:szCs w:val="21"/>
              </w:rPr>
              <w:t>甲烷</w:t>
            </w:r>
            <w:r>
              <w:rPr>
                <w:rFonts w:hint="default" w:ascii="Times New Roman" w:hAnsi="Times New Roman" w:cs="Times New Roman"/>
                <w:color w:val="auto"/>
                <w:spacing w:val="2"/>
                <w:sz w:val="21"/>
                <w:szCs w:val="21"/>
              </w:rPr>
              <w:fldChar w:fldCharType="end"/>
            </w:r>
          </w:p>
        </w:tc>
        <w:tc>
          <w:tcPr>
            <w:tcW w:w="71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8006-14-2</w:t>
            </w:r>
          </w:p>
        </w:tc>
        <w:tc>
          <w:tcPr>
            <w:tcW w:w="62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2"/>
                <w:sz w:val="21"/>
                <w:szCs w:val="21"/>
              </w:rPr>
            </w:pPr>
            <w:r>
              <w:rPr>
                <w:rFonts w:hint="eastAsia" w:ascii="Times New Roman" w:hAnsi="Times New Roman" w:eastAsia="宋体" w:cs="Times New Roman"/>
                <w:color w:val="auto"/>
                <w:sz w:val="21"/>
                <w:szCs w:val="21"/>
                <w:highlight w:val="none"/>
                <w:lang w:val="en-US" w:eastAsia="zh-CN"/>
              </w:rPr>
              <w:t>1.71</w:t>
            </w:r>
          </w:p>
        </w:tc>
      </w:tr>
    </w:tbl>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9</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重大危险源判别</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29"/>
        <w:gridCol w:w="1389"/>
        <w:gridCol w:w="2115"/>
        <w:gridCol w:w="1721"/>
        <w:gridCol w:w="14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危险物质名</w:t>
            </w:r>
            <w:r>
              <w:rPr>
                <w:rFonts w:hint="default" w:ascii="Times New Roman" w:hAnsi="Times New Roman" w:cs="Times New Roman"/>
                <w:b/>
                <w:bCs/>
                <w:color w:val="auto"/>
                <w:spacing w:val="-1"/>
                <w:sz w:val="21"/>
                <w:szCs w:val="21"/>
              </w:rPr>
              <w:t>称</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危险类别</w:t>
            </w:r>
          </w:p>
        </w:tc>
        <w:tc>
          <w:tcPr>
            <w:tcW w:w="127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贮存临界量</w:t>
            </w:r>
            <w:r>
              <w:rPr>
                <w:rFonts w:hint="default" w:ascii="Times New Roman" w:hAnsi="Times New Roman" w:eastAsia="Calibri" w:cs="Times New Roman"/>
                <w:b/>
                <w:bCs/>
                <w:color w:val="auto"/>
                <w:spacing w:val="3"/>
                <w:sz w:val="21"/>
                <w:szCs w:val="21"/>
              </w:rPr>
              <w:t>Q</w:t>
            </w:r>
            <w:r>
              <w:rPr>
                <w:rFonts w:hint="default" w:ascii="Times New Roman" w:hAnsi="Times New Roman" w:cs="Times New Roman"/>
                <w:b/>
                <w:bCs/>
                <w:color w:val="auto"/>
                <w:spacing w:val="3"/>
                <w:sz w:val="21"/>
                <w:szCs w:val="21"/>
              </w:rPr>
              <w:t>（</w:t>
            </w:r>
            <w:r>
              <w:rPr>
                <w:rFonts w:hint="default" w:ascii="Times New Roman" w:hAnsi="Times New Roman" w:eastAsia="Calibri" w:cs="Times New Roman"/>
                <w:b/>
                <w:bCs/>
                <w:color w:val="auto"/>
                <w:spacing w:val="3"/>
                <w:sz w:val="21"/>
                <w:szCs w:val="21"/>
              </w:rPr>
              <w:t>t</w:t>
            </w:r>
            <w:r>
              <w:rPr>
                <w:rFonts w:hint="default" w:ascii="Times New Roman" w:hAnsi="Times New Roman" w:cs="Times New Roman"/>
                <w:b/>
                <w:bCs/>
                <w:color w:val="auto"/>
                <w:spacing w:val="3"/>
                <w:sz w:val="21"/>
                <w:szCs w:val="21"/>
              </w:rPr>
              <w:t>）</w:t>
            </w:r>
          </w:p>
        </w:tc>
        <w:tc>
          <w:tcPr>
            <w:tcW w:w="103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储存量</w:t>
            </w:r>
            <w:r>
              <w:rPr>
                <w:rFonts w:hint="default" w:ascii="Times New Roman" w:hAnsi="Times New Roman" w:eastAsia="Calibri" w:cs="Times New Roman"/>
                <w:b/>
                <w:bCs/>
                <w:color w:val="auto"/>
                <w:spacing w:val="3"/>
                <w:sz w:val="21"/>
                <w:szCs w:val="21"/>
              </w:rPr>
              <w:t>q</w:t>
            </w:r>
            <w:r>
              <w:rPr>
                <w:rFonts w:hint="default" w:ascii="Times New Roman" w:hAnsi="Times New Roman" w:cs="Times New Roman"/>
                <w:b/>
                <w:bCs/>
                <w:color w:val="auto"/>
                <w:spacing w:val="3"/>
                <w:sz w:val="21"/>
                <w:szCs w:val="21"/>
              </w:rPr>
              <w:t>（</w:t>
            </w:r>
            <w:r>
              <w:rPr>
                <w:rFonts w:hint="default" w:ascii="Times New Roman" w:hAnsi="Times New Roman" w:eastAsia="Calibri" w:cs="Times New Roman"/>
                <w:b/>
                <w:bCs/>
                <w:color w:val="auto"/>
                <w:spacing w:val="3"/>
                <w:sz w:val="21"/>
                <w:szCs w:val="21"/>
              </w:rPr>
              <w:t>t</w:t>
            </w:r>
            <w:r>
              <w:rPr>
                <w:rFonts w:hint="default" w:ascii="Times New Roman" w:hAnsi="Times New Roman" w:cs="Times New Roman"/>
                <w:b/>
                <w:bCs/>
                <w:color w:val="auto"/>
                <w:spacing w:val="3"/>
                <w:sz w:val="21"/>
                <w:szCs w:val="21"/>
              </w:rPr>
              <w:t>）</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3"/>
                <w:position w:val="3"/>
                <w:sz w:val="21"/>
                <w:szCs w:val="21"/>
              </w:rPr>
              <w:t>q/Q</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异丙醇</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pacing w:val="-5"/>
                <w:sz w:val="21"/>
                <w:szCs w:val="21"/>
              </w:rPr>
              <w:t>10</w:t>
            </w:r>
            <w:r>
              <w:rPr>
                <w:rFonts w:hint="eastAsia" w:ascii="Times New Roman" w:hAnsi="Times New Roman" w:eastAsia="宋体" w:cs="Times New Roman"/>
                <w:color w:val="auto"/>
                <w:spacing w:val="-5"/>
                <w:sz w:val="21"/>
                <w:szCs w:val="21"/>
                <w:lang w:val="en-US" w:eastAsia="zh-CN"/>
              </w:rPr>
              <w:t>00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cs="Times New Roman"/>
                <w:b w:val="0"/>
                <w:bCs w:val="0"/>
                <w:color w:val="auto"/>
                <w:szCs w:val="21"/>
                <w:lang w:val="en-US" w:eastAsia="zh-CN"/>
              </w:rPr>
              <w:t>2.5</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乙酸乙酯</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5"/>
                <w:sz w:val="21"/>
                <w:szCs w:val="21"/>
                <w:lang w:val="en-US" w:eastAsia="zh-CN"/>
              </w:rPr>
              <w:t>50</w:t>
            </w:r>
            <w:r>
              <w:rPr>
                <w:rFonts w:hint="default" w:ascii="Times New Roman" w:hAnsi="Times New Roman" w:eastAsia="Calibri" w:cs="Times New Roman"/>
                <w:color w:val="auto"/>
                <w:spacing w:val="-5"/>
                <w:sz w:val="21"/>
                <w:szCs w:val="21"/>
              </w:rPr>
              <w:t>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cs="Times New Roman"/>
                <w:b w:val="0"/>
                <w:bCs w:val="0"/>
                <w:color w:val="auto"/>
                <w:szCs w:val="21"/>
                <w:lang w:val="en-US" w:eastAsia="zh-CN"/>
              </w:rPr>
              <w:t>30</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正丙酯</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Calibri" w:cs="Times New Roman"/>
                <w:color w:val="auto"/>
                <w:sz w:val="21"/>
                <w:szCs w:val="21"/>
              </w:rPr>
              <w:t>000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1"/>
                <w:sz w:val="21"/>
                <w:szCs w:val="21"/>
                <w:lang w:val="en-US" w:eastAsia="zh-CN"/>
              </w:rPr>
              <w:t>30</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油墨</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Calibri" w:cs="Times New Roman"/>
                <w:color w:val="auto"/>
                <w:sz w:val="21"/>
                <w:szCs w:val="21"/>
              </w:rPr>
              <w:t>000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2"/>
                <w:sz w:val="21"/>
                <w:szCs w:val="21"/>
                <w:lang w:val="en-US" w:eastAsia="zh-CN"/>
              </w:rPr>
              <w:t>4</w:t>
            </w:r>
            <w:r>
              <w:rPr>
                <w:rFonts w:hint="default" w:ascii="Times New Roman" w:hAnsi="Times New Roman" w:eastAsia="Calibri" w:cs="Times New Roman"/>
                <w:color w:val="auto"/>
                <w:spacing w:val="-2"/>
                <w:sz w:val="21"/>
                <w:szCs w:val="21"/>
              </w:rPr>
              <w:t>0</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shd w:val="clear" w:color="auto" w:fill="auto"/>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聚氨酯胶水</w:t>
            </w:r>
          </w:p>
        </w:tc>
        <w:tc>
          <w:tcPr>
            <w:tcW w:w="834" w:type="pct"/>
            <w:tcBorders>
              <w:tl2br w:val="nil"/>
              <w:tr2bl w:val="nil"/>
            </w:tcBorders>
            <w:shd w:val="clear" w:color="auto" w:fill="auto"/>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易燃</w:t>
            </w:r>
          </w:p>
        </w:tc>
        <w:tc>
          <w:tcPr>
            <w:tcW w:w="1270" w:type="pct"/>
            <w:tcBorders>
              <w:tl2br w:val="nil"/>
              <w:tr2bl w:val="nil"/>
            </w:tcBorders>
            <w:shd w:val="clear" w:color="auto" w:fill="auto"/>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Calibri" w:cs="Times New Roman"/>
                <w:color w:val="auto"/>
                <w:sz w:val="21"/>
                <w:szCs w:val="21"/>
              </w:rPr>
              <w:t>000</w:t>
            </w:r>
          </w:p>
        </w:tc>
        <w:tc>
          <w:tcPr>
            <w:tcW w:w="1032" w:type="pct"/>
            <w:tcBorders>
              <w:tl2br w:val="nil"/>
              <w:tr2bl w:val="nil"/>
            </w:tcBorders>
            <w:shd w:val="clear" w:color="auto" w:fill="auto"/>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w:t>
            </w:r>
          </w:p>
        </w:tc>
        <w:tc>
          <w:tcPr>
            <w:tcW w:w="884" w:type="pct"/>
            <w:tcBorders>
              <w:tl2br w:val="nil"/>
              <w:tr2bl w:val="nil"/>
            </w:tcBorders>
            <w:shd w:val="clear" w:color="auto" w:fill="auto"/>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0.0024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液化天然气</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1.71</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0.0342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5" w:type="pct"/>
            <w:gridSpan w:val="4"/>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2"/>
                <w:sz w:val="21"/>
                <w:szCs w:val="21"/>
                <w:lang w:val="en-US" w:eastAsia="zh-CN"/>
              </w:rPr>
              <w:t>0.113</w:t>
            </w:r>
          </w:p>
        </w:tc>
      </w:tr>
    </w:tbl>
    <w:p>
      <w:pPr>
        <w:keepNext w:val="0"/>
        <w:keepLines w:val="0"/>
        <w:pageBreakBefore w:val="0"/>
        <w:widowControl/>
        <w:kinsoku w:val="0"/>
        <w:wordWrap/>
        <w:overflowPunct/>
        <w:topLinePunct w:val="0"/>
        <w:autoSpaceDE w:val="0"/>
        <w:autoSpaceDN w:val="0"/>
        <w:bidi w:val="0"/>
        <w:adjustRightInd w:val="0"/>
        <w:snapToGrid w:val="0"/>
        <w:spacing w:before="0" w:beforeLines="50" w:line="240" w:lineRule="auto"/>
        <w:ind w:left="0" w:firstLine="457" w:firstLineChars="200"/>
        <w:textAlignment w:val="baseline"/>
        <w:rPr>
          <w:rFonts w:hint="default" w:ascii="Times New Roman" w:hAnsi="Times New Roman" w:eastAsia="宋体" w:cs="Times New Roman"/>
          <w:b/>
          <w:bCs/>
          <w:color w:val="auto"/>
          <w:spacing w:val="9"/>
          <w:sz w:val="21"/>
          <w:szCs w:val="21"/>
          <w:lang w:eastAsia="zh-CN"/>
        </w:rPr>
      </w:pPr>
      <w:r>
        <w:rPr>
          <w:rFonts w:hint="eastAsia" w:ascii="Times New Roman" w:hAnsi="Times New Roman" w:eastAsia="宋体" w:cs="Times New Roman"/>
          <w:b/>
          <w:bCs/>
          <w:color w:val="auto"/>
          <w:spacing w:val="9"/>
          <w:sz w:val="21"/>
          <w:szCs w:val="21"/>
          <w:lang w:val="en-US" w:eastAsia="zh-CN"/>
        </w:rPr>
        <w:t>注：</w:t>
      </w:r>
      <w:r>
        <w:rPr>
          <w:rFonts w:hint="default" w:ascii="Times New Roman" w:hAnsi="Times New Roman" w:cs="Times New Roman"/>
          <w:b/>
          <w:bCs/>
          <w:color w:val="auto"/>
          <w:szCs w:val="28"/>
          <w:u w:val="none" w:color="auto"/>
        </w:rPr>
        <w:t>①</w:t>
      </w:r>
      <w:r>
        <w:rPr>
          <w:rFonts w:hint="default" w:ascii="Times New Roman" w:hAnsi="Times New Roman" w:eastAsia="宋体" w:cs="Times New Roman"/>
          <w:b/>
          <w:bCs/>
          <w:color w:val="auto"/>
          <w:spacing w:val="9"/>
          <w:sz w:val="21"/>
          <w:szCs w:val="21"/>
        </w:rPr>
        <w:t>为保证生产有效进行，项目每两周进行一次原料采购</w:t>
      </w:r>
      <w:r>
        <w:rPr>
          <w:rFonts w:hint="default" w:ascii="Times New Roman" w:hAnsi="Times New Roman" w:eastAsia="宋体" w:cs="Times New Roman"/>
          <w:b/>
          <w:bCs/>
          <w:color w:val="auto"/>
          <w:spacing w:val="9"/>
          <w:sz w:val="21"/>
          <w:szCs w:val="21"/>
          <w:lang w:eastAsia="zh-CN"/>
        </w:rPr>
        <w:t>；</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0" w:beforeLines="50" w:line="240" w:lineRule="auto"/>
        <w:ind w:firstLine="945" w:firstLineChars="450"/>
        <w:textAlignment w:val="baseline"/>
        <w:rPr>
          <w:rFonts w:hint="default" w:ascii="Times New Roman" w:hAnsi="Times New Roman" w:eastAsia="宋体" w:cs="Times New Roman"/>
          <w:b/>
          <w:bCs/>
          <w:color w:val="auto"/>
          <w:spacing w:val="9"/>
          <w:sz w:val="21"/>
          <w:szCs w:val="21"/>
        </w:rPr>
      </w:pPr>
      <w:r>
        <w:rPr>
          <w:rFonts w:hint="default" w:ascii="Times New Roman" w:hAnsi="Times New Roman" w:cs="Times New Roman"/>
          <w:b/>
          <w:bCs/>
          <w:color w:val="auto"/>
          <w:szCs w:val="28"/>
          <w:u w:val="none" w:color="auto"/>
        </w:rPr>
        <w:t>②</w:t>
      </w:r>
      <w:r>
        <w:rPr>
          <w:rFonts w:hint="default" w:ascii="Times New Roman" w:hAnsi="Times New Roman" w:eastAsia="宋体" w:cs="Times New Roman"/>
          <w:b/>
          <w:bCs/>
          <w:color w:val="auto"/>
          <w:spacing w:val="9"/>
          <w:sz w:val="21"/>
          <w:szCs w:val="21"/>
          <w:lang w:val="en-US" w:eastAsia="zh-CN"/>
        </w:rPr>
        <w:t>液化天然气按1t可气化为1400立方米天然气计</w:t>
      </w:r>
      <w:r>
        <w:rPr>
          <w:rFonts w:hint="default" w:ascii="Times New Roman" w:hAnsi="Times New Roman" w:eastAsia="宋体" w:cs="Times New Roman"/>
          <w:b/>
          <w:bCs/>
          <w:color w:val="auto"/>
          <w:spacing w:val="9"/>
          <w:sz w:val="21"/>
          <w:szCs w:val="21"/>
        </w:rPr>
        <w:t>。</w:t>
      </w:r>
    </w:p>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eastAsia="宋体" w:cs="Times New Roman"/>
          <w:color w:val="auto"/>
          <w:szCs w:val="28"/>
          <w:u w:val="none" w:color="auto"/>
          <w:lang w:val="en-US" w:eastAsia="zh-CN"/>
        </w:rPr>
      </w:pPr>
      <w:r>
        <w:rPr>
          <w:rFonts w:hint="eastAsia" w:ascii="Times New Roman" w:hAnsi="Times New Roman" w:eastAsia="宋体" w:cs="Times New Roman"/>
          <w:color w:val="auto"/>
          <w:szCs w:val="28"/>
          <w:u w:val="none" w:color="auto"/>
          <w:lang w:val="en-US" w:eastAsia="zh-CN"/>
        </w:rPr>
        <w:t>根据上表，本项目</w:t>
      </w:r>
      <w:r>
        <w:rPr>
          <w:rFonts w:hint="default" w:ascii="Times New Roman" w:hAnsi="Times New Roman" w:eastAsia="宋体" w:cs="Times New Roman"/>
          <w:color w:val="auto"/>
          <w:szCs w:val="28"/>
          <w:u w:val="none" w:color="auto"/>
          <w:lang w:val="en-US" w:eastAsia="zh-CN"/>
        </w:rPr>
        <w:t>Q</w:t>
      </w:r>
      <w:r>
        <w:rPr>
          <w:rFonts w:hint="eastAsia" w:ascii="Times New Roman" w:hAnsi="Times New Roman" w:eastAsia="宋体" w:cs="Times New Roman"/>
          <w:color w:val="auto"/>
          <w:szCs w:val="28"/>
          <w:u w:val="none" w:color="auto"/>
          <w:lang w:val="en-US" w:eastAsia="zh-CN"/>
        </w:rPr>
        <w:t>值=0.113＜1，则本项目未构成重大危险源项。</w:t>
      </w:r>
    </w:p>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（2）生产系统危险性识别</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①生产系统危险性识别范围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生产系统危险性识别，包括主要生产装置、储运设施、公用工程和辅助生产设施，以及环境保护设施等。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②主要危险部位分析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根据工艺流程和生产特点并结合物质风险性识别结果，项目生产过程主要危险部位为原料库、危废暂存间、</w:t>
      </w:r>
      <w:r>
        <w:rPr>
          <w:rFonts w:hint="eastAsia" w:ascii="Times New Roman" w:hAnsi="Times New Roman" w:eastAsia="宋体" w:cs="Times New Roman"/>
          <w:color w:val="auto"/>
          <w:szCs w:val="28"/>
          <w:u w:val="none" w:color="auto"/>
          <w:lang w:val="en-US" w:eastAsia="zh-CN"/>
        </w:rPr>
        <w:t>天然气储气罐、</w:t>
      </w:r>
      <w:r>
        <w:rPr>
          <w:rFonts w:hint="default" w:ascii="Times New Roman" w:hAnsi="Times New Roman" w:cs="Times New Roman"/>
          <w:color w:val="auto"/>
          <w:szCs w:val="28"/>
          <w:u w:val="none" w:color="auto"/>
        </w:rPr>
        <w:t>废气处理系统。风险类型包括危险物质泄漏，以及火灾、爆炸等引发的伴生/次生污染物排放。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③运输过程危险性分析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建设项目原料均采用汽车运输，本项目危险物质的运输全部委托有资质的单位运输。</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汽车运输时，如不按照有关规范、要求包装危险废物，或不用专用危险废物运输车运输，如装车或运输途中发生包装破损导致漏液，进入河道会引起水体污染，并对周围人群造成潜在威胁。</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运输车辆发生交通事故与各种因素有关，这些因素包括：驾驶员个人因素、运输量、车次、车速、交通量、道路状况等交通条件、道路所在地区气候条件等。危险物质运输必须严格按一定方式进行，同时应有固定的运输路线。随着运输方式、操作方法的不同，运输危险性程度不同。废物运输过程中可能出现的环境风险情况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.2-</w:t>
      </w:r>
      <w:r>
        <w:rPr>
          <w:rFonts w:hint="eastAsia" w:ascii="Times New Roman" w:hAnsi="Times New Roman" w:eastAsia="宋体" w:cs="Times New Roman"/>
          <w:color w:val="auto"/>
          <w:szCs w:val="28"/>
          <w:u w:val="none" w:color="auto"/>
          <w:lang w:val="en-US" w:eastAsia="zh-CN"/>
        </w:rPr>
        <w:t>10</w:t>
      </w:r>
      <w:r>
        <w:rPr>
          <w:rFonts w:hint="default" w:ascii="Times New Roman" w:hAnsi="Times New Roman" w:cs="Times New Roman"/>
          <w:color w:val="auto"/>
          <w:szCs w:val="28"/>
          <w:u w:val="none" w:color="auto"/>
        </w:rPr>
        <w:t>。</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10</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运输过程风险性识别情况表</w:t>
      </w:r>
    </w:p>
    <w:tbl>
      <w:tblPr>
        <w:tblStyle w:val="29"/>
        <w:tblW w:w="502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38"/>
        <w:gridCol w:w="1317"/>
        <w:gridCol w:w="532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3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5"/>
                <w:sz w:val="21"/>
                <w:szCs w:val="21"/>
              </w:rPr>
              <w:t>风险源</w:t>
            </w:r>
          </w:p>
        </w:tc>
        <w:tc>
          <w:tcPr>
            <w:tcW w:w="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6"/>
                <w:sz w:val="21"/>
                <w:szCs w:val="21"/>
              </w:rPr>
              <w:t>事故类型</w:t>
            </w:r>
          </w:p>
        </w:tc>
        <w:tc>
          <w:tcPr>
            <w:tcW w:w="317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6"/>
                <w:sz w:val="21"/>
                <w:szCs w:val="21"/>
              </w:rPr>
              <w:t>风险因素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3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0"/>
                <w:sz w:val="21"/>
                <w:szCs w:val="21"/>
              </w:rPr>
              <w:t>人口集中区（村、镇、</w:t>
            </w:r>
            <w:r>
              <w:rPr>
                <w:color w:val="auto"/>
                <w:spacing w:val="6"/>
                <w:sz w:val="21"/>
                <w:szCs w:val="21"/>
              </w:rPr>
              <w:t>集市或学校）</w:t>
            </w:r>
          </w:p>
        </w:tc>
        <w:tc>
          <w:tcPr>
            <w:tcW w:w="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交通事故</w:t>
            </w:r>
          </w:p>
        </w:tc>
        <w:tc>
          <w:tcPr>
            <w:tcW w:w="317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危险物质散落地面，引起废物四处流动，蒸发扩散，污染土</w:t>
            </w:r>
            <w:r>
              <w:rPr>
                <w:color w:val="auto"/>
                <w:spacing w:val="8"/>
                <w:sz w:val="21"/>
                <w:szCs w:val="21"/>
              </w:rPr>
              <w:t>壤、空气，威胁周围人群安全。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3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水域敏感区</w:t>
            </w:r>
          </w:p>
        </w:tc>
        <w:tc>
          <w:tcPr>
            <w:tcW w:w="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交通事故</w:t>
            </w:r>
          </w:p>
        </w:tc>
        <w:tc>
          <w:tcPr>
            <w:tcW w:w="317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危险物质进入水中，废物中的有毒有害物质污染水体。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3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车辆易坠落区</w:t>
            </w:r>
          </w:p>
        </w:tc>
        <w:tc>
          <w:tcPr>
            <w:tcW w:w="78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运输车辆坠落</w:t>
            </w:r>
          </w:p>
        </w:tc>
        <w:tc>
          <w:tcPr>
            <w:tcW w:w="317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危险物质散落地面，引起废物中的有毒有害物质污染水体、</w:t>
            </w:r>
            <w:r>
              <w:rPr>
                <w:color w:val="auto"/>
                <w:spacing w:val="7"/>
                <w:sz w:val="21"/>
                <w:szCs w:val="21"/>
              </w:rPr>
              <w:t>土壤、空气</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（3）危险物质向环境转移的途径识别</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有毒有害物质放散起因，分为泄漏、火灾和爆炸三种类型。本项目生产过程中泄漏事故出现的可能性较大，因此考虑由此造成的污染物事故排放。空气、水体和土壤等环境要素是危险性物质向环境转移的最基本的途径，同时这三种要素之间又随时发生着物质和能量的传递，污染物进入环境后，随着空气和水体环境发生推流迁移、分散稀释和降解转化运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本项目危险物质扩散途径主要有如下几个方面：</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大气扩散：项目风险物质泄漏后经挥发直接进入大气环境可造成窒息或中毒事故；易燃易爆物质泄漏，遇明火发生火灾爆炸事故时伴生污染物进入大气环境，通过大气扩散对周围环境和敏感目标造成危害；废气处理装置因法兰、阀门、密封不严或者管道破裂致使废气泄漏或者因装置故障造成事故性排放或爆炸等情况；废气处理装置集气装置堵塞或其他原因引起车间内或装置内浓度过高引起火灾、爆炸等情况，由此造成的污染事故。</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地表水扩散：本项目周边500m范围内无地表水体，</w:t>
      </w:r>
      <w:r>
        <w:rPr>
          <w:rFonts w:hint="eastAsia" w:ascii="Times New Roman" w:hAnsi="Times New Roman" w:eastAsia="宋体" w:cs="Times New Roman"/>
          <w:color w:val="auto"/>
          <w:szCs w:val="28"/>
          <w:u w:val="none" w:color="auto"/>
          <w:lang w:eastAsia="zh-CN"/>
        </w:rPr>
        <w:t>地表水</w:t>
      </w:r>
      <w:r>
        <w:rPr>
          <w:rFonts w:hint="default" w:ascii="Times New Roman" w:hAnsi="Times New Roman" w:cs="Times New Roman"/>
          <w:color w:val="auto"/>
          <w:szCs w:val="28"/>
          <w:u w:val="none" w:color="auto"/>
        </w:rPr>
        <w:t>扩散途径主要为项目易燃易爆物质发生火灾事故时产生的消防废水或者泄漏的液态危险物质未能得到及时有效收集而漫流出厂界，通过市政雨水管网排放入</w:t>
      </w:r>
      <w:r>
        <w:rPr>
          <w:rFonts w:hint="eastAsia" w:ascii="Times New Roman" w:hAnsi="Times New Roman" w:eastAsia="宋体" w:cs="Times New Roman"/>
          <w:color w:val="auto"/>
          <w:szCs w:val="28"/>
          <w:u w:val="none" w:color="auto"/>
          <w:lang w:val="en-US" w:eastAsia="zh-CN"/>
        </w:rPr>
        <w:t>愚溪河</w:t>
      </w:r>
      <w:r>
        <w:rPr>
          <w:rFonts w:hint="default" w:ascii="Times New Roman" w:hAnsi="Times New Roman" w:cs="Times New Roman"/>
          <w:color w:val="auto"/>
          <w:szCs w:val="28"/>
          <w:u w:val="none" w:color="auto"/>
        </w:rPr>
        <w:t>，对纳污水体环境造成影响。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地下水、土壤扩散：项目液态危险物质泄漏或事故废水，通过厂区地面下渗至土壤</w:t>
      </w:r>
      <w:r>
        <w:rPr>
          <w:rFonts w:hint="eastAsia" w:ascii="Times New Roman" w:hAnsi="Times New Roman" w:eastAsia="宋体" w:cs="Times New Roman"/>
          <w:color w:val="auto"/>
          <w:szCs w:val="28"/>
          <w:u w:val="none" w:color="auto"/>
          <w:lang w:eastAsia="zh-CN"/>
        </w:rPr>
        <w:t>及</w:t>
      </w:r>
      <w:r>
        <w:rPr>
          <w:rFonts w:hint="default" w:ascii="Times New Roman" w:hAnsi="Times New Roman" w:cs="Times New Roman"/>
          <w:color w:val="auto"/>
          <w:szCs w:val="28"/>
          <w:u w:val="none" w:color="auto"/>
        </w:rPr>
        <w:t>地下含水层并向下游运移，对土壤以及地下水环境敏感目标造成风险事故。</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风险识别情况一览表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11"/>
        <w:gridCol w:w="1359"/>
        <w:gridCol w:w="1834"/>
        <w:gridCol w:w="1353"/>
        <w:gridCol w:w="1381"/>
        <w:gridCol w:w="198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 w:type="pct"/>
            <w:vMerge w:val="restart"/>
            <w:tcBorders>
              <w:tl2br w:val="nil"/>
              <w:tr2bl w:val="nil"/>
            </w:tcBorders>
            <w:textDirection w:val="tbRlV"/>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序号</w:t>
            </w:r>
          </w:p>
        </w:tc>
        <w:tc>
          <w:tcPr>
            <w:tcW w:w="816"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主要危险部位</w:t>
            </w:r>
          </w:p>
        </w:tc>
        <w:tc>
          <w:tcPr>
            <w:tcW w:w="1101"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主要危险物质</w:t>
            </w:r>
          </w:p>
        </w:tc>
        <w:tc>
          <w:tcPr>
            <w:tcW w:w="2834"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可能发生的事故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 w:type="pct"/>
            <w:vMerge w:val="continue"/>
            <w:tcBorders>
              <w:tl2br w:val="nil"/>
              <w:tr2bl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16"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10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原因</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事故类型</w:t>
            </w:r>
          </w:p>
        </w:tc>
        <w:tc>
          <w:tcPr>
            <w:tcW w:w="11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后果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8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VOCs</w:t>
            </w:r>
            <w:r>
              <w:rPr>
                <w:rFonts w:hint="default" w:ascii="Times New Roman" w:hAnsi="Times New Roman" w:cs="Times New Roman"/>
                <w:color w:val="auto"/>
                <w:spacing w:val="10"/>
                <w:sz w:val="21"/>
                <w:szCs w:val="21"/>
              </w:rPr>
              <w:t>原料库</w:t>
            </w:r>
          </w:p>
        </w:tc>
        <w:tc>
          <w:tcPr>
            <w:tcW w:w="11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异丙醇、乙酸乙酯、正丙酯、油</w:t>
            </w:r>
            <w:r>
              <w:rPr>
                <w:rFonts w:hint="default" w:ascii="Times New Roman" w:hAnsi="Times New Roman" w:cs="Times New Roman"/>
                <w:color w:val="auto"/>
                <w:spacing w:val="7"/>
                <w:sz w:val="21"/>
                <w:szCs w:val="21"/>
              </w:rPr>
              <w:t>墨、聚氨酯胶水</w:t>
            </w:r>
            <w:r>
              <w:rPr>
                <w:rFonts w:hint="default" w:ascii="Times New Roman" w:hAnsi="Times New Roman" w:cs="Times New Roman"/>
                <w:color w:val="auto"/>
                <w:spacing w:val="2"/>
                <w:sz w:val="21"/>
                <w:szCs w:val="21"/>
              </w:rPr>
              <w:t>原料</w:t>
            </w:r>
          </w:p>
        </w:tc>
        <w:tc>
          <w:tcPr>
            <w:tcW w:w="8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操作不当</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原料泄漏</w:t>
            </w:r>
          </w:p>
        </w:tc>
        <w:tc>
          <w:tcPr>
            <w:tcW w:w="11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泄漏，污染地表水、地下水、土</w:t>
            </w:r>
            <w:r>
              <w:rPr>
                <w:rFonts w:hint="default" w:ascii="Times New Roman" w:hAnsi="Times New Roman" w:cs="Times New Roman"/>
                <w:color w:val="auto"/>
                <w:spacing w:val="5"/>
                <w:sz w:val="21"/>
                <w:szCs w:val="21"/>
              </w:rPr>
              <w:t>壤、大气环境；人员窒息事故；</w:t>
            </w:r>
            <w:r>
              <w:rPr>
                <w:rFonts w:hint="default" w:ascii="Times New Roman" w:hAnsi="Times New Roman" w:cs="Times New Roman"/>
                <w:color w:val="auto"/>
                <w:spacing w:val="6"/>
                <w:sz w:val="21"/>
                <w:szCs w:val="21"/>
              </w:rPr>
              <w:t>引发火灾或爆炸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8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危废暂存间</w:t>
            </w:r>
          </w:p>
        </w:tc>
        <w:tc>
          <w:tcPr>
            <w:tcW w:w="11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异丙醇、乙酸乙酯、正丙酯、油</w:t>
            </w:r>
            <w:r>
              <w:rPr>
                <w:rFonts w:hint="default" w:ascii="Times New Roman" w:hAnsi="Times New Roman" w:cs="Times New Roman"/>
                <w:color w:val="auto"/>
                <w:spacing w:val="7"/>
                <w:sz w:val="21"/>
                <w:szCs w:val="21"/>
              </w:rPr>
              <w:t>墨、聚氨酯胶水</w:t>
            </w:r>
            <w:r>
              <w:rPr>
                <w:rFonts w:hint="default" w:ascii="Times New Roman" w:hAnsi="Times New Roman" w:cs="Times New Roman"/>
                <w:color w:val="auto"/>
                <w:spacing w:val="5"/>
                <w:sz w:val="21"/>
                <w:szCs w:val="21"/>
              </w:rPr>
              <w:t>废液</w:t>
            </w:r>
          </w:p>
        </w:tc>
        <w:tc>
          <w:tcPr>
            <w:tcW w:w="8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维护保养不当</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废弃原料</w:t>
            </w:r>
            <w:r>
              <w:rPr>
                <w:rFonts w:hint="default" w:ascii="Times New Roman" w:hAnsi="Times New Roman" w:cs="Times New Roman"/>
                <w:color w:val="auto"/>
                <w:spacing w:val="3"/>
                <w:sz w:val="21"/>
                <w:szCs w:val="21"/>
              </w:rPr>
              <w:t>泄漏</w:t>
            </w:r>
          </w:p>
        </w:tc>
        <w:tc>
          <w:tcPr>
            <w:tcW w:w="11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泄漏，污染地表水、地下水、土</w:t>
            </w:r>
            <w:r>
              <w:rPr>
                <w:rFonts w:hint="default" w:ascii="Times New Roman" w:hAnsi="Times New Roman" w:cs="Times New Roman"/>
                <w:color w:val="auto"/>
                <w:spacing w:val="5"/>
                <w:sz w:val="21"/>
                <w:szCs w:val="21"/>
              </w:rPr>
              <w:t>壤、大气环境；人员窒息事故；</w:t>
            </w:r>
            <w:r>
              <w:rPr>
                <w:rFonts w:hint="default" w:ascii="Times New Roman" w:hAnsi="Times New Roman" w:cs="Times New Roman"/>
                <w:color w:val="auto"/>
                <w:spacing w:val="6"/>
                <w:sz w:val="21"/>
                <w:szCs w:val="21"/>
              </w:rPr>
              <w:t>引发火灾或爆炸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8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生产车间内</w:t>
            </w:r>
          </w:p>
        </w:tc>
        <w:tc>
          <w:tcPr>
            <w:tcW w:w="11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异丙醇、乙酸乙酯、正丙酯、油墨、聚氨酯胶水</w:t>
            </w:r>
          </w:p>
        </w:tc>
        <w:tc>
          <w:tcPr>
            <w:tcW w:w="8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4"/>
                <w:sz w:val="21"/>
                <w:szCs w:val="21"/>
              </w:rPr>
              <w:t>操作不当、维护</w:t>
            </w:r>
            <w:r>
              <w:rPr>
                <w:rFonts w:hint="default" w:ascii="Times New Roman" w:hAnsi="Times New Roman" w:cs="Times New Roman"/>
                <w:color w:val="auto"/>
                <w:spacing w:val="7"/>
                <w:sz w:val="21"/>
                <w:szCs w:val="21"/>
              </w:rPr>
              <w:t>保养不当</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6"/>
                <w:sz w:val="21"/>
                <w:szCs w:val="21"/>
              </w:rPr>
              <w:t>生产用原</w:t>
            </w:r>
            <w:r>
              <w:rPr>
                <w:rFonts w:hint="default" w:ascii="Times New Roman" w:hAnsi="Times New Roman" w:cs="Times New Roman"/>
                <w:color w:val="auto"/>
                <w:spacing w:val="7"/>
                <w:sz w:val="21"/>
                <w:szCs w:val="21"/>
              </w:rPr>
              <w:t>料泄漏、车间内有机物浓度</w:t>
            </w:r>
            <w:r>
              <w:rPr>
                <w:rFonts w:hint="default" w:ascii="Times New Roman" w:hAnsi="Times New Roman" w:cs="Times New Roman"/>
                <w:color w:val="auto"/>
                <w:spacing w:val="4"/>
                <w:sz w:val="21"/>
                <w:szCs w:val="21"/>
              </w:rPr>
              <w:t>过大</w:t>
            </w:r>
          </w:p>
        </w:tc>
        <w:tc>
          <w:tcPr>
            <w:tcW w:w="11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4"/>
                <w:sz w:val="21"/>
                <w:szCs w:val="21"/>
              </w:rPr>
            </w:pPr>
            <w:r>
              <w:rPr>
                <w:rFonts w:hint="default" w:ascii="Times New Roman" w:hAnsi="Times New Roman" w:cs="Times New Roman"/>
                <w:color w:val="auto"/>
                <w:spacing w:val="6"/>
                <w:sz w:val="21"/>
                <w:szCs w:val="21"/>
              </w:rPr>
              <w:t>引发火灾或爆炸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4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8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8"/>
                <w:sz w:val="21"/>
                <w:szCs w:val="21"/>
              </w:rPr>
              <w:t>废气处置装置</w:t>
            </w:r>
          </w:p>
        </w:tc>
        <w:tc>
          <w:tcPr>
            <w:tcW w:w="11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8"/>
                <w:sz w:val="21"/>
                <w:szCs w:val="21"/>
              </w:rPr>
            </w:pPr>
            <w:r>
              <w:rPr>
                <w:rFonts w:hint="default" w:ascii="Times New Roman" w:hAnsi="Times New Roman" w:eastAsia="Calibri" w:cs="Times New Roman"/>
                <w:color w:val="auto"/>
                <w:sz w:val="21"/>
                <w:szCs w:val="21"/>
              </w:rPr>
              <w:t>VOCs</w:t>
            </w:r>
            <w:r>
              <w:rPr>
                <w:rFonts w:hint="default" w:ascii="Times New Roman" w:hAnsi="Times New Roman" w:cs="Times New Roman"/>
                <w:color w:val="auto"/>
                <w:spacing w:val="12"/>
                <w:sz w:val="21"/>
                <w:szCs w:val="21"/>
              </w:rPr>
              <w:t>废气</w:t>
            </w:r>
          </w:p>
        </w:tc>
        <w:tc>
          <w:tcPr>
            <w:tcW w:w="8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维护保养不当</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6"/>
                <w:sz w:val="21"/>
                <w:szCs w:val="21"/>
              </w:rPr>
              <w:t>事故排</w:t>
            </w:r>
            <w:r>
              <w:rPr>
                <w:rFonts w:hint="default" w:ascii="Times New Roman" w:hAnsi="Times New Roman" w:cs="Times New Roman"/>
                <w:color w:val="auto"/>
                <w:spacing w:val="-4"/>
                <w:sz w:val="21"/>
                <w:szCs w:val="21"/>
              </w:rPr>
              <w:t>放、火灾、</w:t>
            </w:r>
            <w:r>
              <w:rPr>
                <w:rFonts w:hint="default" w:ascii="Times New Roman" w:hAnsi="Times New Roman" w:cs="Times New Roman"/>
                <w:color w:val="auto"/>
                <w:spacing w:val="4"/>
                <w:sz w:val="21"/>
                <w:szCs w:val="21"/>
              </w:rPr>
              <w:t>爆炸</w:t>
            </w:r>
          </w:p>
        </w:tc>
        <w:tc>
          <w:tcPr>
            <w:tcW w:w="119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4"/>
                <w:sz w:val="21"/>
                <w:szCs w:val="21"/>
              </w:rPr>
            </w:pPr>
            <w:r>
              <w:rPr>
                <w:rFonts w:hint="default" w:ascii="Times New Roman" w:hAnsi="Times New Roman" w:cs="Times New Roman"/>
                <w:color w:val="auto"/>
                <w:spacing w:val="7"/>
                <w:sz w:val="21"/>
                <w:szCs w:val="21"/>
              </w:rPr>
              <w:t>污染大气环境</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50" w:line="360" w:lineRule="auto"/>
        <w:ind w:left="567" w:hanging="567"/>
        <w:textAlignment w:val="baseline"/>
        <w:rPr>
          <w:rFonts w:hint="default" w:ascii="Times New Roman" w:hAnsi="Times New Roman" w:cs="Times New Roman"/>
          <w:color w:val="auto"/>
          <w:sz w:val="32"/>
          <w:szCs w:val="32"/>
        </w:rPr>
      </w:pPr>
      <w:bookmarkStart w:id="85" w:name="bookmark86"/>
      <w:bookmarkEnd w:id="85"/>
      <w:bookmarkStart w:id="86" w:name="_Toc23123"/>
      <w:r>
        <w:rPr>
          <w:rFonts w:hint="default" w:ascii="Times New Roman" w:hAnsi="Times New Roman" w:cs="Times New Roman"/>
          <w:color w:val="auto"/>
          <w:sz w:val="32"/>
          <w:szCs w:val="32"/>
        </w:rPr>
        <w:t>危险物质及工艺系统危险性（P）分级</w:t>
      </w:r>
      <w:bookmarkEnd w:id="86"/>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（1）危险物质数量与临界量比值（Q）</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分析建设项目生产、使用、储存过程中涉及的有毒有害、易燃易爆物质，并参见《建设项目环境风险评价技术导则》（HJ169-2018）附录B确定危险物质的临界量。</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计算所涉及的每种危险物质在厂界内的最大存在总量与其在附录B中对应临界量的比值Q。在不同厂区的同一种物质，按其在厂界内的最大存在总量计算。当只涉及一种危险物质时，计算该物质的总量与其临界量比值，即为Q；</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当存在多种危险物质时，则按式（C.1）计算物质总量与其临界量比值（Q）：</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left="0" w:leftChars="0" w:firstLine="0" w:firstLineChars="0"/>
        <w:jc w:val="center"/>
        <w:textAlignment w:val="baseline"/>
        <w:rPr>
          <w:rFonts w:hint="default" w:ascii="Times New Roman" w:hAnsi="Times New Roman" w:cs="Times New Roman"/>
          <w:color w:val="auto"/>
          <w:sz w:val="28"/>
          <w:szCs w:val="28"/>
          <w:u w:val="none" w:color="auto"/>
        </w:rPr>
      </w:pPr>
      <w:r>
        <w:rPr>
          <w:rFonts w:hint="default" w:ascii="Times New Roman" w:hAnsi="Times New Roman" w:cs="Times New Roman"/>
          <w:color w:val="auto"/>
          <w:sz w:val="28"/>
          <w:szCs w:val="28"/>
          <w:u w:val="none" w:color="auto"/>
        </w:rPr>
        <w:t>Q=q</w:t>
      </w:r>
      <w:r>
        <w:rPr>
          <w:rFonts w:hint="default" w:ascii="Times New Roman" w:hAnsi="Times New Roman" w:cs="Times New Roman"/>
          <w:color w:val="auto"/>
          <w:sz w:val="28"/>
          <w:szCs w:val="28"/>
          <w:u w:val="none" w:color="auto"/>
          <w:vertAlign w:val="subscript"/>
        </w:rPr>
        <w:t>1</w:t>
      </w:r>
      <w:r>
        <w:rPr>
          <w:rFonts w:hint="default" w:ascii="Times New Roman" w:hAnsi="Times New Roman" w:cs="Times New Roman"/>
          <w:color w:val="auto"/>
          <w:sz w:val="28"/>
          <w:szCs w:val="28"/>
          <w:u w:val="none" w:color="auto"/>
        </w:rPr>
        <w:t>/Q</w:t>
      </w:r>
      <w:r>
        <w:rPr>
          <w:rFonts w:hint="default" w:ascii="Times New Roman" w:hAnsi="Times New Roman" w:cs="Times New Roman"/>
          <w:color w:val="auto"/>
          <w:sz w:val="28"/>
          <w:szCs w:val="28"/>
          <w:u w:val="none" w:color="auto"/>
          <w:vertAlign w:val="subscript"/>
        </w:rPr>
        <w:t>1</w:t>
      </w:r>
      <w:r>
        <w:rPr>
          <w:rFonts w:hint="default" w:ascii="Times New Roman" w:hAnsi="Times New Roman" w:cs="Times New Roman"/>
          <w:color w:val="auto"/>
          <w:sz w:val="28"/>
          <w:szCs w:val="28"/>
          <w:u w:val="none" w:color="auto"/>
        </w:rPr>
        <w:t>+q</w:t>
      </w:r>
      <w:r>
        <w:rPr>
          <w:rFonts w:hint="default" w:ascii="Times New Roman" w:hAnsi="Times New Roman" w:cs="Times New Roman"/>
          <w:color w:val="auto"/>
          <w:sz w:val="28"/>
          <w:szCs w:val="28"/>
          <w:u w:val="none" w:color="auto"/>
          <w:vertAlign w:val="subscript"/>
        </w:rPr>
        <w:t>2</w:t>
      </w:r>
      <w:r>
        <w:rPr>
          <w:rFonts w:hint="default" w:ascii="Times New Roman" w:hAnsi="Times New Roman" w:cs="Times New Roman"/>
          <w:color w:val="auto"/>
          <w:sz w:val="28"/>
          <w:szCs w:val="28"/>
          <w:u w:val="none" w:color="auto"/>
        </w:rPr>
        <w:t>/Q</w:t>
      </w:r>
      <w:r>
        <w:rPr>
          <w:rFonts w:hint="default" w:ascii="Times New Roman" w:hAnsi="Times New Roman" w:cs="Times New Roman"/>
          <w:color w:val="auto"/>
          <w:sz w:val="28"/>
          <w:szCs w:val="28"/>
          <w:u w:val="none" w:color="auto"/>
          <w:vertAlign w:val="subscript"/>
        </w:rPr>
        <w:t>2</w:t>
      </w:r>
      <w:r>
        <w:rPr>
          <w:rFonts w:hint="default" w:ascii="Times New Roman" w:hAnsi="Times New Roman" w:cs="Times New Roman"/>
          <w:color w:val="auto"/>
          <w:sz w:val="28"/>
          <w:szCs w:val="28"/>
          <w:u w:val="none" w:color="auto"/>
        </w:rPr>
        <w:t>+…+qn/Qn</w:t>
      </w:r>
      <w:r>
        <w:rPr>
          <w:rFonts w:hint="eastAsia" w:ascii="Times New Roman" w:hAnsi="Times New Roman" w:eastAsia="宋体" w:cs="Times New Roman"/>
          <w:color w:val="auto"/>
          <w:sz w:val="28"/>
          <w:szCs w:val="28"/>
          <w:u w:val="none" w:color="auto"/>
          <w:lang w:val="en-US" w:eastAsia="zh-CN"/>
        </w:rPr>
        <w:t xml:space="preserve">         </w:t>
      </w:r>
      <w:r>
        <w:rPr>
          <w:rFonts w:hint="default" w:ascii="Times New Roman" w:hAnsi="Times New Roman" w:cs="Times New Roman"/>
          <w:color w:val="auto"/>
          <w:sz w:val="28"/>
          <w:szCs w:val="28"/>
          <w:u w:val="none" w:color="auto"/>
        </w:rPr>
        <w:t>（C.1）</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式中：q</w:t>
      </w:r>
      <w:r>
        <w:rPr>
          <w:rFonts w:hint="default" w:ascii="Times New Roman" w:hAnsi="Times New Roman" w:cs="Times New Roman"/>
          <w:color w:val="auto"/>
          <w:szCs w:val="28"/>
          <w:u w:val="none" w:color="auto"/>
          <w:vertAlign w:val="subscript"/>
        </w:rPr>
        <w:t>1</w:t>
      </w:r>
      <w:r>
        <w:rPr>
          <w:rFonts w:hint="default" w:ascii="Times New Roman" w:hAnsi="Times New Roman" w:cs="Times New Roman"/>
          <w:color w:val="auto"/>
          <w:szCs w:val="28"/>
          <w:u w:val="none" w:color="auto"/>
        </w:rPr>
        <w:t>，q</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，…qn——每种危险化学品实际存在量，单位为吨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t</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Q</w:t>
      </w:r>
      <w:r>
        <w:rPr>
          <w:rFonts w:hint="default" w:ascii="Times New Roman" w:hAnsi="Times New Roman" w:cs="Times New Roman"/>
          <w:color w:val="auto"/>
          <w:szCs w:val="28"/>
          <w:u w:val="none" w:color="auto"/>
          <w:vertAlign w:val="subscript"/>
        </w:rPr>
        <w:t>1</w:t>
      </w:r>
      <w:r>
        <w:rPr>
          <w:rFonts w:hint="default" w:ascii="Times New Roman" w:hAnsi="Times New Roman" w:cs="Times New Roman"/>
          <w:color w:val="auto"/>
          <w:szCs w:val="28"/>
          <w:u w:val="none" w:color="auto"/>
        </w:rPr>
        <w:t>，Q</w:t>
      </w:r>
      <w:r>
        <w:rPr>
          <w:rFonts w:hint="default" w:ascii="Times New Roman" w:hAnsi="Times New Roman" w:cs="Times New Roman"/>
          <w:color w:val="auto"/>
          <w:szCs w:val="28"/>
          <w:u w:val="none" w:color="auto"/>
          <w:vertAlign w:val="subscript"/>
        </w:rPr>
        <w:t>2</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…Qn——与各危险化学品相对应的临界量，单位为吨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t</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当Q＜1时，该项目环境风险潜势为Ⅰ。</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当Q≥1时，将Q值划分为：（1）1≤Q＜10；（2）10≤Q＜100；（3）Q≥100。</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根据风险调查，本项目的风险物质主要为异丙醇、乙酸乙酯、正丙酯、油墨以及聚氨酯胶水，根据勘查，本项目风险物质贮存量如下表所示，如表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.3-1所示。</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eastAsia" w:ascii="Times New Roman" w:hAnsi="Times New Roman" w:eastAsia="宋体" w:cs="Times New Roman"/>
          <w:b/>
          <w:bCs/>
          <w:color w:val="auto"/>
          <w:spacing w:val="5"/>
          <w:sz w:val="24"/>
          <w:szCs w:val="24"/>
          <w:lang w:val="en-US" w:eastAsia="zh-CN"/>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本项目风险物质贮存量</w:t>
      </w:r>
      <w:r>
        <w:rPr>
          <w:rFonts w:hint="eastAsia" w:ascii="Times New Roman" w:hAnsi="Times New Roman" w:eastAsia="宋体" w:cs="Times New Roman"/>
          <w:b/>
          <w:bCs/>
          <w:color w:val="auto"/>
          <w:spacing w:val="5"/>
          <w:sz w:val="24"/>
          <w:szCs w:val="24"/>
          <w:lang w:val="en-US" w:eastAsia="zh-CN"/>
        </w:rPr>
        <w:t>一览表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29"/>
        <w:gridCol w:w="1389"/>
        <w:gridCol w:w="2115"/>
        <w:gridCol w:w="1721"/>
        <w:gridCol w:w="14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危险物质名</w:t>
            </w:r>
            <w:r>
              <w:rPr>
                <w:rFonts w:hint="default" w:ascii="Times New Roman" w:hAnsi="Times New Roman" w:cs="Times New Roman"/>
                <w:b/>
                <w:bCs/>
                <w:color w:val="auto"/>
                <w:spacing w:val="-1"/>
                <w:sz w:val="21"/>
                <w:szCs w:val="21"/>
              </w:rPr>
              <w:t>称</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危险类别</w:t>
            </w:r>
          </w:p>
        </w:tc>
        <w:tc>
          <w:tcPr>
            <w:tcW w:w="127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贮存临界量</w:t>
            </w:r>
            <w:r>
              <w:rPr>
                <w:rFonts w:hint="default" w:ascii="Times New Roman" w:hAnsi="Times New Roman" w:eastAsia="Calibri" w:cs="Times New Roman"/>
                <w:b/>
                <w:bCs/>
                <w:color w:val="auto"/>
                <w:spacing w:val="3"/>
                <w:sz w:val="21"/>
                <w:szCs w:val="21"/>
              </w:rPr>
              <w:t>Q</w:t>
            </w:r>
            <w:r>
              <w:rPr>
                <w:rFonts w:hint="default" w:ascii="Times New Roman" w:hAnsi="Times New Roman" w:cs="Times New Roman"/>
                <w:b/>
                <w:bCs/>
                <w:color w:val="auto"/>
                <w:spacing w:val="3"/>
                <w:sz w:val="21"/>
                <w:szCs w:val="21"/>
              </w:rPr>
              <w:t>（</w:t>
            </w:r>
            <w:r>
              <w:rPr>
                <w:rFonts w:hint="default" w:ascii="Times New Roman" w:hAnsi="Times New Roman" w:eastAsia="Calibri" w:cs="Times New Roman"/>
                <w:b/>
                <w:bCs/>
                <w:color w:val="auto"/>
                <w:spacing w:val="3"/>
                <w:sz w:val="21"/>
                <w:szCs w:val="21"/>
              </w:rPr>
              <w:t>t</w:t>
            </w:r>
            <w:r>
              <w:rPr>
                <w:rFonts w:hint="default" w:ascii="Times New Roman" w:hAnsi="Times New Roman" w:cs="Times New Roman"/>
                <w:b/>
                <w:bCs/>
                <w:color w:val="auto"/>
                <w:spacing w:val="3"/>
                <w:sz w:val="21"/>
                <w:szCs w:val="21"/>
              </w:rPr>
              <w:t>）</w:t>
            </w:r>
          </w:p>
        </w:tc>
        <w:tc>
          <w:tcPr>
            <w:tcW w:w="103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储存量</w:t>
            </w:r>
            <w:r>
              <w:rPr>
                <w:rFonts w:hint="default" w:ascii="Times New Roman" w:hAnsi="Times New Roman" w:eastAsia="Calibri" w:cs="Times New Roman"/>
                <w:b/>
                <w:bCs/>
                <w:color w:val="auto"/>
                <w:spacing w:val="3"/>
                <w:sz w:val="21"/>
                <w:szCs w:val="21"/>
              </w:rPr>
              <w:t>q</w:t>
            </w:r>
            <w:r>
              <w:rPr>
                <w:rFonts w:hint="default" w:ascii="Times New Roman" w:hAnsi="Times New Roman" w:cs="Times New Roman"/>
                <w:b/>
                <w:bCs/>
                <w:color w:val="auto"/>
                <w:spacing w:val="3"/>
                <w:sz w:val="21"/>
                <w:szCs w:val="21"/>
              </w:rPr>
              <w:t>（</w:t>
            </w:r>
            <w:r>
              <w:rPr>
                <w:rFonts w:hint="default" w:ascii="Times New Roman" w:hAnsi="Times New Roman" w:eastAsia="Calibri" w:cs="Times New Roman"/>
                <w:b/>
                <w:bCs/>
                <w:color w:val="auto"/>
                <w:spacing w:val="3"/>
                <w:sz w:val="21"/>
                <w:szCs w:val="21"/>
              </w:rPr>
              <w:t>t</w:t>
            </w:r>
            <w:r>
              <w:rPr>
                <w:rFonts w:hint="default" w:ascii="Times New Roman" w:hAnsi="Times New Roman" w:cs="Times New Roman"/>
                <w:b/>
                <w:bCs/>
                <w:color w:val="auto"/>
                <w:spacing w:val="3"/>
                <w:sz w:val="21"/>
                <w:szCs w:val="21"/>
              </w:rPr>
              <w:t>）</w:t>
            </w:r>
          </w:p>
        </w:tc>
        <w:tc>
          <w:tcPr>
            <w:tcW w:w="88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3"/>
                <w:position w:val="3"/>
                <w:sz w:val="21"/>
                <w:szCs w:val="21"/>
              </w:rPr>
              <w:t>q/Q</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异丙醇</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cs="Times New Roman"/>
                <w:b w:val="0"/>
                <w:bCs w:val="0"/>
                <w:color w:val="auto"/>
                <w:szCs w:val="21"/>
                <w:lang w:val="en-US" w:eastAsia="zh-CN"/>
              </w:rPr>
              <w:t>2.5</w:t>
            </w:r>
          </w:p>
        </w:tc>
        <w:tc>
          <w:tcPr>
            <w:tcW w:w="884"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0.25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乙酸乙酯</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cs="Times New Roman"/>
                <w:b w:val="0"/>
                <w:bCs w:val="0"/>
                <w:color w:val="auto"/>
                <w:szCs w:val="21"/>
                <w:lang w:val="en-US" w:eastAsia="zh-CN"/>
              </w:rPr>
              <w:t>30</w:t>
            </w:r>
          </w:p>
        </w:tc>
        <w:tc>
          <w:tcPr>
            <w:tcW w:w="884"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正丙酯</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1000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1"/>
                <w:sz w:val="21"/>
                <w:szCs w:val="21"/>
                <w:lang w:val="en-US" w:eastAsia="zh-CN"/>
              </w:rPr>
              <w:t>30</w:t>
            </w:r>
          </w:p>
        </w:tc>
        <w:tc>
          <w:tcPr>
            <w:tcW w:w="884"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0.03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油墨</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易燃</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1000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2"/>
                <w:sz w:val="21"/>
                <w:szCs w:val="21"/>
                <w:lang w:val="en-US" w:eastAsia="zh-CN"/>
              </w:rPr>
              <w:t>4</w:t>
            </w:r>
            <w:r>
              <w:rPr>
                <w:rFonts w:hint="default" w:ascii="Times New Roman" w:hAnsi="Times New Roman" w:eastAsia="Calibri" w:cs="Times New Roman"/>
                <w:color w:val="auto"/>
                <w:spacing w:val="-2"/>
                <w:sz w:val="21"/>
                <w:szCs w:val="21"/>
              </w:rPr>
              <w:t>0</w:t>
            </w:r>
          </w:p>
        </w:tc>
        <w:tc>
          <w:tcPr>
            <w:tcW w:w="884"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0.04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shd w:val="clear" w:color="auto" w:fill="auto"/>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聚氨酯胶水</w:t>
            </w:r>
          </w:p>
        </w:tc>
        <w:tc>
          <w:tcPr>
            <w:tcW w:w="834" w:type="pct"/>
            <w:tcBorders>
              <w:tl2br w:val="nil"/>
              <w:tr2bl w:val="nil"/>
            </w:tcBorders>
            <w:shd w:val="clear" w:color="auto" w:fill="auto"/>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易燃</w:t>
            </w:r>
          </w:p>
        </w:tc>
        <w:tc>
          <w:tcPr>
            <w:tcW w:w="1270" w:type="pct"/>
            <w:tcBorders>
              <w:tl2br w:val="nil"/>
              <w:tr2bl w:val="nil"/>
            </w:tcBorders>
            <w:shd w:val="clear" w:color="auto" w:fill="auto"/>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1000</w:t>
            </w:r>
          </w:p>
        </w:tc>
        <w:tc>
          <w:tcPr>
            <w:tcW w:w="1032" w:type="pct"/>
            <w:tcBorders>
              <w:tl2br w:val="nil"/>
              <w:tr2bl w:val="nil"/>
            </w:tcBorders>
            <w:shd w:val="clear" w:color="auto" w:fill="auto"/>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12</w:t>
            </w:r>
          </w:p>
        </w:tc>
        <w:tc>
          <w:tcPr>
            <w:tcW w:w="884"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0.012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78"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液化天然气</w:t>
            </w:r>
          </w:p>
        </w:tc>
        <w:tc>
          <w:tcPr>
            <w:tcW w:w="83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易燃易爆</w:t>
            </w:r>
          </w:p>
        </w:tc>
        <w:tc>
          <w:tcPr>
            <w:tcW w:w="1270"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103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1.71</w:t>
            </w:r>
          </w:p>
        </w:tc>
        <w:tc>
          <w:tcPr>
            <w:tcW w:w="884"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Calibri"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0.171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115" w:type="pct"/>
            <w:gridSpan w:val="4"/>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884"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Calibri" w:cs="Times New Roman"/>
                <w:color w:val="auto"/>
                <w:spacing w:val="2"/>
                <w:sz w:val="21"/>
                <w:szCs w:val="21"/>
              </w:rPr>
              <w:t>3.</w:t>
            </w:r>
            <w:r>
              <w:rPr>
                <w:rFonts w:hint="eastAsia" w:ascii="Times New Roman" w:hAnsi="Times New Roman" w:eastAsia="宋体" w:cs="Times New Roman"/>
                <w:color w:val="auto"/>
                <w:spacing w:val="2"/>
                <w:sz w:val="21"/>
                <w:szCs w:val="21"/>
                <w:lang w:val="en-US" w:eastAsia="zh-CN"/>
              </w:rPr>
              <w:t>503</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根据《建设项目环境风险评价技术导则》（HJ169-2018），本项目临界量Q=3.</w:t>
      </w:r>
      <w:r>
        <w:rPr>
          <w:rFonts w:hint="eastAsia" w:ascii="Times New Roman" w:hAnsi="Times New Roman" w:eastAsia="宋体" w:cs="Times New Roman"/>
          <w:color w:val="auto"/>
          <w:szCs w:val="28"/>
          <w:u w:val="none" w:color="auto"/>
          <w:lang w:val="en-US" w:eastAsia="zh-CN"/>
        </w:rPr>
        <w:t>503</w:t>
      </w:r>
      <w:r>
        <w:rPr>
          <w:rFonts w:hint="default" w:ascii="Times New Roman" w:hAnsi="Times New Roman" w:cs="Times New Roman"/>
          <w:color w:val="auto"/>
          <w:szCs w:val="28"/>
          <w:u w:val="none" w:color="auto"/>
        </w:rPr>
        <w:t>≤Q＜10。</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（2）行业及生产工艺（M）</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本项目生产工艺较为简单，属于涉及危险物质</w:t>
      </w:r>
      <w:r>
        <w:rPr>
          <w:rFonts w:hint="eastAsia" w:ascii="Times New Roman" w:hAnsi="Times New Roman" w:eastAsia="宋体" w:cs="Times New Roman"/>
          <w:color w:val="auto"/>
          <w:szCs w:val="28"/>
          <w:u w:val="none" w:color="auto"/>
          <w:lang w:eastAsia="zh-CN"/>
        </w:rPr>
        <w:t>使用</w:t>
      </w:r>
      <w:r>
        <w:rPr>
          <w:rFonts w:hint="default" w:ascii="Times New Roman" w:hAnsi="Times New Roman" w:cs="Times New Roman"/>
          <w:color w:val="auto"/>
          <w:szCs w:val="28"/>
          <w:u w:val="none" w:color="auto"/>
        </w:rPr>
        <w:t>、贮存的项目，同时本项目生产工艺过程中反应温度均低于300℃</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容器压力均小于10.0MPa</w:t>
      </w:r>
      <w:r>
        <w:rPr>
          <w:rFonts w:hint="eastAsia" w:ascii="Times New Roman" w:hAnsi="Times New Roman" w:eastAsia="宋体" w:cs="Times New Roman"/>
          <w:color w:val="auto"/>
          <w:szCs w:val="28"/>
          <w:u w:val="none" w:color="auto"/>
          <w:lang w:eastAsia="zh-CN"/>
        </w:rPr>
        <w:t>（</w:t>
      </w:r>
      <w:r>
        <w:rPr>
          <w:rFonts w:hint="eastAsia" w:ascii="Times New Roman" w:hAnsi="Times New Roman" w:cs="Times New Roman"/>
          <w:color w:val="auto"/>
          <w:szCs w:val="28"/>
          <w:u w:val="none" w:color="auto"/>
          <w:lang w:val="en-US" w:eastAsia="zh-CN"/>
        </w:rPr>
        <w:t>液化天然气</w:t>
      </w:r>
      <w:r>
        <w:rPr>
          <w:rFonts w:hint="default" w:ascii="Times New Roman" w:hAnsi="Times New Roman" w:cs="Times New Roman"/>
          <w:color w:val="auto"/>
          <w:szCs w:val="28"/>
          <w:u w:val="none" w:color="auto"/>
        </w:rPr>
        <w:t>储罐压力范围为0.5-1.8MPa</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，不涉及高温或高压工艺过程。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综上所述，本项目M值为5，行业及生产工艺级别为M4。</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（3）危险物质及工艺系统危险性（P）分级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本项目危险物质及工艺系统危险性等级判断见表</w:t>
      </w:r>
      <w:r>
        <w:rPr>
          <w:rFonts w:hint="eastAsia" w:ascii="Times New Roman" w:hAnsi="Times New Roman" w:eastAsia="宋体" w:cs="Times New Roman"/>
          <w:color w:val="auto"/>
          <w:szCs w:val="28"/>
          <w:u w:val="none" w:color="auto"/>
          <w:lang w:val="en-US" w:eastAsia="zh-CN"/>
        </w:rPr>
        <w:t>7.3-3</w:t>
      </w:r>
      <w:r>
        <w:rPr>
          <w:rFonts w:hint="default" w:ascii="Times New Roman" w:hAnsi="Times New Roman" w:cs="Times New Roman"/>
          <w:color w:val="auto"/>
          <w:szCs w:val="28"/>
          <w:u w:val="none" w:color="auto"/>
        </w:rPr>
        <w:t>。</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危险物质及工艺系统危险性等级判断（P）表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69"/>
        <w:gridCol w:w="1519"/>
        <w:gridCol w:w="1659"/>
        <w:gridCol w:w="1661"/>
        <w:gridCol w:w="17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6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危险物质数量与</w:t>
            </w:r>
            <w:r>
              <w:rPr>
                <w:rFonts w:hint="default" w:ascii="Times New Roman" w:hAnsi="Times New Roman" w:cs="Times New Roman"/>
                <w:b/>
                <w:bCs/>
                <w:color w:val="auto"/>
                <w:spacing w:val="3"/>
                <w:sz w:val="21"/>
                <w:szCs w:val="21"/>
              </w:rPr>
              <w:t>临界量比值（</w:t>
            </w:r>
            <w:r>
              <w:rPr>
                <w:rFonts w:hint="default" w:ascii="Times New Roman" w:hAnsi="Times New Roman" w:eastAsia="Calibri" w:cs="Times New Roman"/>
                <w:b/>
                <w:bCs/>
                <w:color w:val="auto"/>
                <w:spacing w:val="3"/>
                <w:sz w:val="21"/>
                <w:szCs w:val="21"/>
              </w:rPr>
              <w:t>Q</w:t>
            </w:r>
            <w:r>
              <w:rPr>
                <w:rFonts w:hint="default" w:ascii="Times New Roman" w:hAnsi="Times New Roman" w:cs="Times New Roman"/>
                <w:b/>
                <w:bCs/>
                <w:color w:val="auto"/>
                <w:spacing w:val="3"/>
                <w:sz w:val="21"/>
                <w:szCs w:val="21"/>
              </w:rPr>
              <w:t>）</w:t>
            </w:r>
          </w:p>
        </w:tc>
        <w:tc>
          <w:tcPr>
            <w:tcW w:w="3937"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行业及生产工艺（</w:t>
            </w:r>
            <w:r>
              <w:rPr>
                <w:rFonts w:hint="default" w:ascii="Times New Roman" w:hAnsi="Times New Roman" w:eastAsia="Calibri" w:cs="Times New Roman"/>
                <w:b/>
                <w:bCs/>
                <w:color w:val="auto"/>
                <w:spacing w:val="6"/>
                <w:sz w:val="21"/>
                <w:szCs w:val="21"/>
              </w:rPr>
              <w:t>M</w:t>
            </w:r>
            <w:r>
              <w:rPr>
                <w:rFonts w:hint="default" w:ascii="Times New Roman" w:hAnsi="Times New Roman" w:cs="Times New Roman"/>
                <w:b/>
                <w:bCs/>
                <w:color w:val="auto"/>
                <w:spacing w:val="6"/>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6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1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M1</w:t>
            </w:r>
          </w:p>
        </w:tc>
        <w:tc>
          <w:tcPr>
            <w:tcW w:w="99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M2</w:t>
            </w:r>
          </w:p>
        </w:tc>
        <w:tc>
          <w:tcPr>
            <w:tcW w:w="99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M3</w:t>
            </w:r>
          </w:p>
        </w:tc>
        <w:tc>
          <w:tcPr>
            <w:tcW w:w="1030" w:type="pct"/>
            <w:tcBorders>
              <w:tl2br w:val="nil"/>
              <w:tr2bl w:val="nil"/>
            </w:tcBorders>
            <w:shd w:val="clear" w:color="auto" w:fill="7E7E7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M4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6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Q≥100</w:t>
            </w:r>
          </w:p>
        </w:tc>
        <w:tc>
          <w:tcPr>
            <w:tcW w:w="91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P1</w:t>
            </w:r>
          </w:p>
        </w:tc>
        <w:tc>
          <w:tcPr>
            <w:tcW w:w="99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P1</w:t>
            </w:r>
          </w:p>
        </w:tc>
        <w:tc>
          <w:tcPr>
            <w:tcW w:w="99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P2</w:t>
            </w:r>
          </w:p>
        </w:tc>
        <w:tc>
          <w:tcPr>
            <w:tcW w:w="103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6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10≤Q</w:t>
            </w:r>
            <w:r>
              <w:rPr>
                <w:rFonts w:hint="eastAsia" w:ascii="Times New Roman" w:hAnsi="Times New Roman" w:eastAsia="宋体" w:cs="Times New Roman"/>
                <w:color w:val="auto"/>
                <w:spacing w:val="3"/>
                <w:sz w:val="21"/>
                <w:szCs w:val="21"/>
                <w:lang w:eastAsia="zh-CN"/>
              </w:rPr>
              <w:t>&lt;</w:t>
            </w:r>
            <w:r>
              <w:rPr>
                <w:rFonts w:hint="default" w:ascii="Times New Roman" w:hAnsi="Times New Roman" w:eastAsia="Calibri" w:cs="Times New Roman"/>
                <w:color w:val="auto"/>
                <w:spacing w:val="3"/>
                <w:sz w:val="21"/>
                <w:szCs w:val="21"/>
              </w:rPr>
              <w:t>100</w:t>
            </w:r>
          </w:p>
        </w:tc>
        <w:tc>
          <w:tcPr>
            <w:tcW w:w="91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P1</w:t>
            </w:r>
          </w:p>
        </w:tc>
        <w:tc>
          <w:tcPr>
            <w:tcW w:w="99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P2</w:t>
            </w:r>
          </w:p>
        </w:tc>
        <w:tc>
          <w:tcPr>
            <w:tcW w:w="99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P3</w:t>
            </w:r>
          </w:p>
        </w:tc>
        <w:tc>
          <w:tcPr>
            <w:tcW w:w="103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62" w:type="pct"/>
            <w:tcBorders>
              <w:tl2br w:val="nil"/>
              <w:tr2bl w:val="nil"/>
            </w:tcBorders>
            <w:shd w:val="clear" w:color="auto" w:fill="7E7E7E"/>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1≤Q</w:t>
            </w:r>
            <w:r>
              <w:rPr>
                <w:rFonts w:hint="eastAsia" w:ascii="Times New Roman" w:hAnsi="Times New Roman" w:eastAsia="宋体" w:cs="Times New Roman"/>
                <w:color w:val="auto"/>
                <w:spacing w:val="2"/>
                <w:sz w:val="21"/>
                <w:szCs w:val="21"/>
                <w:lang w:eastAsia="zh-CN"/>
              </w:rPr>
              <w:t>&lt;</w:t>
            </w:r>
            <w:r>
              <w:rPr>
                <w:rFonts w:hint="default" w:ascii="Times New Roman" w:hAnsi="Times New Roman" w:eastAsia="Calibri" w:cs="Times New Roman"/>
                <w:color w:val="auto"/>
                <w:spacing w:val="2"/>
                <w:sz w:val="21"/>
                <w:szCs w:val="21"/>
              </w:rPr>
              <w:t>10</w:t>
            </w:r>
          </w:p>
        </w:tc>
        <w:tc>
          <w:tcPr>
            <w:tcW w:w="91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P2</w:t>
            </w:r>
          </w:p>
        </w:tc>
        <w:tc>
          <w:tcPr>
            <w:tcW w:w="99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P3</w:t>
            </w:r>
          </w:p>
        </w:tc>
        <w:tc>
          <w:tcPr>
            <w:tcW w:w="99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P4</w:t>
            </w:r>
          </w:p>
        </w:tc>
        <w:tc>
          <w:tcPr>
            <w:tcW w:w="1030" w:type="pct"/>
            <w:tcBorders>
              <w:tl2br w:val="nil"/>
              <w:tr2bl w:val="nil"/>
            </w:tcBorders>
            <w:shd w:val="clear" w:color="auto" w:fill="7E7E7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P4</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本项目Q值划分为1≤Q＜10，M值为M4，根据上表可知，本项目危险物质及工艺系统危险性等级为（P）4。</w:t>
      </w:r>
    </w:p>
    <w:p>
      <w:pPr>
        <w:pStyle w:val="10"/>
        <w:bidi w:val="0"/>
        <w:spacing w:line="360" w:lineRule="auto"/>
        <w:rPr>
          <w:rFonts w:hint="default" w:ascii="Times New Roman" w:hAnsi="Times New Roman" w:cs="Times New Roman"/>
          <w:color w:val="auto"/>
          <w:sz w:val="32"/>
          <w:szCs w:val="32"/>
        </w:rPr>
      </w:pPr>
      <w:bookmarkStart w:id="87" w:name="bookmark88"/>
      <w:bookmarkEnd w:id="87"/>
      <w:bookmarkStart w:id="88" w:name="_Toc32036"/>
      <w:r>
        <w:rPr>
          <w:rFonts w:hint="default" w:ascii="Times New Roman" w:hAnsi="Times New Roman" w:cs="Times New Roman"/>
          <w:color w:val="auto"/>
          <w:sz w:val="32"/>
          <w:szCs w:val="32"/>
        </w:rPr>
        <w:t>环境敏感目标调查</w:t>
      </w:r>
      <w:bookmarkEnd w:id="88"/>
    </w:p>
    <w:p>
      <w:pPr>
        <w:pStyle w:val="11"/>
        <w:bidi w:val="0"/>
        <w:spacing w:line="360" w:lineRule="auto"/>
        <w:ind w:left="851" w:hanging="851"/>
        <w:rPr>
          <w:color w:val="auto"/>
          <w:sz w:val="30"/>
          <w:szCs w:val="30"/>
        </w:rPr>
      </w:pPr>
      <w:r>
        <w:rPr>
          <w:color w:val="auto"/>
          <w:sz w:val="30"/>
          <w:szCs w:val="30"/>
        </w:rPr>
        <w:t>环境敏感特征</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项目周边现状主要为工业企业，周边大气环境、地表水环境、地下水环境敏感特征情况，见表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.4-1。</w:t>
      </w:r>
    </w:p>
    <w:p>
      <w:pPr>
        <w:pStyle w:val="16"/>
        <w:keepNext/>
        <w:keepLines w:val="0"/>
        <w:pageBreakBefore w:val="0"/>
        <w:widowControl w:val="0"/>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项目周围主要环境敏感点排查情况一览表</w:t>
      </w:r>
    </w:p>
    <w:tbl>
      <w:tblPr>
        <w:tblStyle w:val="29"/>
        <w:tblW w:w="510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13"/>
        <w:gridCol w:w="628"/>
        <w:gridCol w:w="2433"/>
        <w:gridCol w:w="989"/>
        <w:gridCol w:w="812"/>
        <w:gridCol w:w="631"/>
        <w:gridCol w:w="427"/>
        <w:gridCol w:w="749"/>
        <w:gridCol w:w="1312"/>
        <w:gridCol w:w="1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类别</w:t>
            </w:r>
          </w:p>
        </w:tc>
        <w:tc>
          <w:tcPr>
            <w:tcW w:w="4697" w:type="pct"/>
            <w:gridSpan w:val="9"/>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环境敏感特征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697" w:type="pct"/>
            <w:gridSpan w:val="9"/>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厂址周边5</w:t>
            </w:r>
            <w:r>
              <w:rPr>
                <w:rFonts w:hint="default" w:ascii="Times New Roman" w:hAnsi="Times New Roman" w:cs="Times New Roman"/>
                <w:b/>
                <w:bCs/>
                <w:color w:val="auto"/>
                <w:sz w:val="21"/>
                <w:szCs w:val="21"/>
              </w:rPr>
              <w:t>km</w:t>
            </w:r>
            <w:r>
              <w:rPr>
                <w:rFonts w:hint="default" w:ascii="Times New Roman" w:hAnsi="Times New Roman" w:cs="Times New Roman"/>
                <w:b/>
                <w:bCs/>
                <w:color w:val="auto"/>
                <w:spacing w:val="7"/>
                <w:sz w:val="21"/>
                <w:szCs w:val="21"/>
              </w:rPr>
              <w:t>范围内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环境空气</w:t>
            </w:r>
          </w:p>
        </w:tc>
        <w:tc>
          <w:tcPr>
            <w:tcW w:w="3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序号</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敏感目标名称</w:t>
            </w:r>
          </w:p>
        </w:tc>
        <w:tc>
          <w:tcPr>
            <w:tcW w:w="1058"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属性</w:t>
            </w:r>
          </w:p>
        </w:tc>
        <w:tc>
          <w:tcPr>
            <w:tcW w:w="622"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规模</w:t>
            </w:r>
          </w:p>
        </w:tc>
        <w:tc>
          <w:tcPr>
            <w:tcW w:w="43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相对厂址方位</w:t>
            </w:r>
          </w:p>
        </w:tc>
        <w:tc>
          <w:tcPr>
            <w:tcW w:w="777"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相对厂址最</w:t>
            </w:r>
            <w:r>
              <w:rPr>
                <w:rFonts w:hint="default" w:ascii="Times New Roman" w:hAnsi="Times New Roman" w:cs="Times New Roman"/>
                <w:b/>
                <w:bCs/>
                <w:color w:val="auto"/>
                <w:spacing w:val="-5"/>
                <w:sz w:val="21"/>
                <w:szCs w:val="21"/>
              </w:rPr>
              <w:t>近距离（</w:t>
            </w:r>
            <w:r>
              <w:rPr>
                <w:rFonts w:hint="default" w:ascii="Times New Roman" w:hAnsi="Times New Roman" w:eastAsia="Calibri" w:cs="Times New Roman"/>
                <w:b/>
                <w:bCs/>
                <w:color w:val="auto"/>
                <w:spacing w:val="-5"/>
                <w:sz w:val="21"/>
                <w:szCs w:val="21"/>
              </w:rPr>
              <w:t>m</w:t>
            </w:r>
            <w:r>
              <w:rPr>
                <w:rFonts w:hint="default" w:ascii="Times New Roman" w:hAnsi="Times New Roman" w:cs="Times New Roman"/>
                <w:b/>
                <w:bCs/>
                <w:color w:val="auto"/>
                <w:spacing w:val="-5"/>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z w:val="21"/>
                <w:szCs w:val="21"/>
              </w:rPr>
              <w:t>瑞祥公租房</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居民区</w:t>
            </w:r>
          </w:p>
        </w:tc>
        <w:tc>
          <w:tcPr>
            <w:tcW w:w="622"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约</w:t>
            </w:r>
            <w:r>
              <w:rPr>
                <w:rFonts w:hint="eastAsia" w:ascii="Times New Roman" w:hAnsi="Times New Roman" w:eastAsia="宋体" w:cs="Times New Roman"/>
                <w:color w:val="auto"/>
                <w:spacing w:val="1"/>
                <w:sz w:val="21"/>
                <w:szCs w:val="21"/>
                <w:lang w:val="en-US" w:eastAsia="zh-CN"/>
              </w:rPr>
              <w:t>30</w:t>
            </w:r>
            <w:r>
              <w:rPr>
                <w:rFonts w:hint="default" w:ascii="Times New Roman" w:hAnsi="Times New Roman" w:eastAsia="Calibri" w:cs="Times New Roman"/>
                <w:color w:val="auto"/>
                <w:spacing w:val="1"/>
                <w:sz w:val="21"/>
                <w:szCs w:val="21"/>
              </w:rPr>
              <w:t>0</w:t>
            </w:r>
            <w:r>
              <w:rPr>
                <w:rFonts w:hint="default" w:ascii="Times New Roman" w:hAnsi="Times New Roman" w:cs="Times New Roman"/>
                <w:color w:val="auto"/>
                <w:spacing w:val="1"/>
                <w:sz w:val="21"/>
                <w:szCs w:val="21"/>
              </w:rPr>
              <w:t>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N</w:t>
            </w:r>
            <w:r>
              <w:rPr>
                <w:rFonts w:hint="default" w:ascii="Times New Roman" w:hAnsi="Times New Roman" w:eastAsia="Calibri" w:cs="Times New Roman"/>
                <w:color w:val="auto"/>
                <w:spacing w:val="1"/>
                <w:sz w:val="21"/>
                <w:szCs w:val="21"/>
              </w:rPr>
              <w:t>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24</w:t>
            </w:r>
            <w:r>
              <w:rPr>
                <w:rFonts w:hint="default" w:ascii="Times New Roman" w:hAnsi="Times New Roman" w:eastAsia="Calibri" w:cs="Times New Roman"/>
                <w:color w:val="auto"/>
                <w:spacing w:val="1"/>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黄泥桥村</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1"/>
                <w:sz w:val="21"/>
                <w:szCs w:val="21"/>
              </w:rPr>
            </w:pPr>
            <w:r>
              <w:rPr>
                <w:rFonts w:hint="eastAsia" w:ascii="Times New Roman" w:hAnsi="Times New Roman" w:cs="Times New Roman"/>
                <w:color w:val="auto"/>
                <w:spacing w:val="1"/>
                <w:sz w:val="21"/>
                <w:szCs w:val="21"/>
                <w:lang w:val="en-US" w:eastAsia="zh-CN"/>
              </w:rPr>
              <w:t>约</w:t>
            </w:r>
            <w:r>
              <w:rPr>
                <w:rFonts w:hint="default" w:ascii="Times New Roman" w:hAnsi="Times New Roman" w:cs="Times New Roman"/>
                <w:color w:val="auto"/>
                <w:spacing w:val="1"/>
                <w:sz w:val="21"/>
                <w:szCs w:val="21"/>
              </w:rPr>
              <w:t>858</w:t>
            </w:r>
            <w:r>
              <w:rPr>
                <w:rFonts w:hint="eastAsia" w:ascii="Times New Roman" w:hAnsi="Times New Roman" w:cs="Times New Roman"/>
                <w:color w:val="auto"/>
                <w:spacing w:val="1"/>
                <w:sz w:val="21"/>
                <w:szCs w:val="21"/>
                <w:lang w:val="en-US" w:eastAsia="zh-CN"/>
              </w:rPr>
              <w:t>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1"/>
                <w:sz w:val="21"/>
                <w:szCs w:val="21"/>
              </w:rPr>
            </w:pPr>
            <w:r>
              <w:rPr>
                <w:rFonts w:hint="eastAsia" w:ascii="Times New Roman" w:hAnsi="Times New Roman" w:eastAsia="宋体" w:cs="Times New Roman"/>
                <w:color w:val="auto"/>
                <w:spacing w:val="1"/>
                <w:sz w:val="21"/>
                <w:szCs w:val="21"/>
                <w:lang w:val="en-US" w:eastAsia="zh-CN"/>
              </w:rPr>
              <w:t>N</w:t>
            </w:r>
            <w:r>
              <w:rPr>
                <w:rFonts w:hint="default" w:ascii="Times New Roman" w:hAnsi="Times New Roman" w:eastAsia="Calibri" w:cs="Times New Roman"/>
                <w:color w:val="auto"/>
                <w:spacing w:val="1"/>
                <w:sz w:val="21"/>
                <w:szCs w:val="21"/>
              </w:rPr>
              <w:t>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古木塘村</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1"/>
                <w:sz w:val="21"/>
                <w:szCs w:val="21"/>
                <w:lang w:val="en-US" w:eastAsia="zh-CN"/>
              </w:rPr>
              <w:t>约430人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pacing w:val="1"/>
                <w:sz w:val="21"/>
                <w:szCs w:val="21"/>
                <w:lang w:val="en-US" w:eastAsia="zh-CN"/>
              </w:rPr>
              <w:t>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20</w:t>
            </w:r>
            <w:r>
              <w:rPr>
                <w:rFonts w:hint="default" w:ascii="Times New Roman" w:hAnsi="Times New Roman" w:eastAsia="Calibri" w:cs="Times New Roman"/>
                <w:color w:val="auto"/>
                <w:sz w:val="21"/>
                <w:szCs w:val="21"/>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蒋家田村</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1"/>
                <w:sz w:val="21"/>
                <w:szCs w:val="21"/>
                <w:lang w:val="en-US" w:eastAsia="zh-CN"/>
              </w:rPr>
              <w:t>约608人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1"/>
                <w:sz w:val="21"/>
                <w:szCs w:val="21"/>
                <w:lang w:val="en-US" w:eastAsia="zh-CN"/>
              </w:rPr>
              <w:t>310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桃江村</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cs="Times New Roman"/>
                <w:color w:val="auto"/>
                <w:spacing w:val="3"/>
                <w:sz w:val="21"/>
                <w:szCs w:val="21"/>
              </w:rPr>
              <w:t>居民</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5"/>
                <w:kern w:val="0"/>
                <w:sz w:val="21"/>
                <w:szCs w:val="21"/>
                <w:lang w:val="en-US" w:eastAsia="en-US" w:bidi="ar-SA"/>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spacing w:val="1"/>
                <w:kern w:val="0"/>
                <w:sz w:val="21"/>
                <w:szCs w:val="21"/>
                <w:lang w:val="en-US" w:eastAsia="en-US" w:bidi="ar-SA"/>
              </w:rPr>
            </w:pPr>
            <w:r>
              <w:rPr>
                <w:rFonts w:hint="eastAsia" w:ascii="Times New Roman" w:hAnsi="Times New Roman" w:cs="Times New Roman"/>
                <w:color w:val="auto"/>
                <w:spacing w:val="1"/>
                <w:sz w:val="21"/>
                <w:szCs w:val="21"/>
                <w:lang w:val="en-US" w:eastAsia="zh-CN"/>
              </w:rPr>
              <w:t>约150人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22</w:t>
            </w:r>
            <w:r>
              <w:rPr>
                <w:rFonts w:hint="default" w:ascii="Times New Roman" w:hAnsi="Times New Roman" w:eastAsia="Calibri" w:cs="Times New Roman"/>
                <w:color w:val="auto"/>
                <w:sz w:val="21"/>
                <w:szCs w:val="21"/>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朝阳社区</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cs="Times New Roman"/>
                <w:color w:val="auto"/>
                <w:spacing w:val="3"/>
                <w:sz w:val="21"/>
                <w:szCs w:val="21"/>
              </w:rPr>
              <w:t>居民</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5"/>
                <w:kern w:val="0"/>
                <w:sz w:val="21"/>
                <w:szCs w:val="21"/>
                <w:lang w:val="en-US" w:eastAsia="en-US" w:bidi="ar-SA"/>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spacing w:val="1"/>
                <w:kern w:val="0"/>
                <w:sz w:val="21"/>
                <w:szCs w:val="21"/>
                <w:lang w:val="en-US" w:eastAsia="en-US" w:bidi="ar-SA"/>
              </w:rPr>
            </w:pPr>
            <w:r>
              <w:rPr>
                <w:rFonts w:hint="eastAsia" w:ascii="Times New Roman" w:hAnsi="Times New Roman" w:cs="Times New Roman"/>
                <w:color w:val="auto"/>
                <w:spacing w:val="1"/>
                <w:sz w:val="21"/>
                <w:szCs w:val="21"/>
                <w:lang w:val="en-US" w:eastAsia="zh-CN"/>
              </w:rPr>
              <w:t>约860人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22</w:t>
            </w:r>
            <w:r>
              <w:rPr>
                <w:rFonts w:hint="default" w:ascii="Times New Roman" w:hAnsi="Times New Roman" w:eastAsia="Calibri" w:cs="Times New Roman"/>
                <w:color w:val="auto"/>
                <w:sz w:val="21"/>
                <w:szCs w:val="21"/>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rPr>
              <w:t>五里堆村</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居民</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居民区</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约460人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S</w:t>
            </w:r>
            <w:r>
              <w:rPr>
                <w:rFonts w:hint="eastAsia" w:ascii="Times New Roman" w:hAnsi="Times New Roman" w:eastAsia="宋体" w:cs="Times New Roman"/>
                <w:color w:val="auto"/>
                <w:sz w:val="21"/>
                <w:szCs w:val="21"/>
                <w:lang w:val="en-US" w:eastAsia="zh-CN"/>
              </w:rPr>
              <w:t>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olor w:val="auto"/>
                <w:sz w:val="21"/>
                <w:szCs w:val="21"/>
              </w:rPr>
              <w:t>腊底村</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color w:val="auto"/>
                <w:sz w:val="21"/>
                <w:szCs w:val="21"/>
              </w:rPr>
              <w:t>约280人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12</w:t>
            </w:r>
            <w:r>
              <w:rPr>
                <w:rFonts w:hint="default" w:ascii="Times New Roman" w:hAnsi="Times New Roman" w:eastAsia="Calibri" w:cs="Times New Roman"/>
                <w:color w:val="auto"/>
                <w:spacing w:val="1"/>
                <w:sz w:val="21"/>
                <w:szCs w:val="21"/>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olor w:val="auto"/>
                <w:sz w:val="21"/>
                <w:szCs w:val="21"/>
              </w:rPr>
              <w:t>石山脚街道</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color w:val="auto"/>
                <w:sz w:val="21"/>
                <w:szCs w:val="21"/>
              </w:rPr>
              <w:t>约1680人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Calibri" w:cs="Times New Roman"/>
                <w:color w:val="auto"/>
                <w:sz w:val="21"/>
                <w:szCs w:val="21"/>
              </w:rPr>
              <w:t>S</w:t>
            </w:r>
            <w:r>
              <w:rPr>
                <w:rFonts w:hint="eastAsia" w:ascii="Times New Roman" w:hAnsi="Times New Roman" w:eastAsia="宋体" w:cs="Times New Roman"/>
                <w:color w:val="auto"/>
                <w:sz w:val="21"/>
                <w:szCs w:val="21"/>
                <w:lang w:val="en-US" w:eastAsia="zh-CN"/>
              </w:rPr>
              <w:t>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430" w:type="pct"/>
            <w:tcBorders>
              <w:tl2br w:val="nil"/>
              <w:tr2bl w:val="nil"/>
            </w:tcBorders>
            <w:shd w:val="clear" w:color="auto" w:fill="auto"/>
            <w:vAlign w:val="center"/>
          </w:tcPr>
          <w:p>
            <w:pPr>
              <w:widowControl/>
              <w:autoSpaceDE w:val="0"/>
              <w:autoSpaceDN w:val="0"/>
              <w:adjustRightInd w:val="0"/>
              <w:snapToGrid w:val="0"/>
              <w:spacing w:line="300" w:lineRule="auto"/>
              <w:jc w:val="center"/>
              <w:rPr>
                <w:rFonts w:hint="default" w:ascii="Times New Roman" w:hAnsi="Times New Roman" w:eastAsia="Arial" w:cs="Arial"/>
                <w:snapToGrid w:val="0"/>
                <w:color w:val="auto"/>
                <w:kern w:val="0"/>
                <w:sz w:val="21"/>
                <w:szCs w:val="21"/>
                <w:lang w:val="en-US" w:eastAsia="zh-CN" w:bidi="ar-SA"/>
              </w:rPr>
            </w:pPr>
            <w:r>
              <w:rPr>
                <w:rFonts w:hint="eastAsia" w:ascii="Times New Roman" w:hAnsi="Times New Roman"/>
                <w:color w:val="auto"/>
                <w:sz w:val="21"/>
                <w:szCs w:val="21"/>
              </w:rPr>
              <w:t>扶塘村</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vAlign w:val="center"/>
          </w:tcPr>
          <w:p>
            <w:pPr>
              <w:widowControl/>
              <w:spacing w:line="300" w:lineRule="auto"/>
              <w:jc w:val="center"/>
              <w:rPr>
                <w:rFonts w:hint="default" w:ascii="Times New Roman" w:hAnsi="Times New Roman" w:cs="Times New Roman"/>
                <w:color w:val="auto"/>
                <w:sz w:val="21"/>
                <w:szCs w:val="21"/>
              </w:rPr>
            </w:pPr>
            <w:r>
              <w:rPr>
                <w:rFonts w:hint="eastAsia" w:ascii="Times New Roman" w:hAnsi="Times New Roman"/>
                <w:color w:val="auto"/>
                <w:sz w:val="21"/>
                <w:szCs w:val="21"/>
              </w:rPr>
              <w:t>约120人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1430" w:type="pct"/>
            <w:tcBorders>
              <w:tl2br w:val="nil"/>
              <w:tr2bl w:val="nil"/>
            </w:tcBorders>
            <w:shd w:val="clear" w:color="auto" w:fill="auto"/>
            <w:vAlign w:val="center"/>
          </w:tcPr>
          <w:p>
            <w:pPr>
              <w:widowControl/>
              <w:autoSpaceDE w:val="0"/>
              <w:autoSpaceDN w:val="0"/>
              <w:adjustRightInd w:val="0"/>
              <w:snapToGrid w:val="0"/>
              <w:spacing w:line="300" w:lineRule="auto"/>
              <w:jc w:val="center"/>
              <w:rPr>
                <w:rFonts w:hint="default" w:ascii="Times New Roman" w:hAnsi="Times New Roman" w:eastAsia="Arial" w:cs="Arial"/>
                <w:snapToGrid w:val="0"/>
                <w:color w:val="auto"/>
                <w:kern w:val="0"/>
                <w:sz w:val="21"/>
                <w:szCs w:val="21"/>
                <w:lang w:val="en-US" w:eastAsia="en-US" w:bidi="ar-SA"/>
              </w:rPr>
            </w:pPr>
            <w:r>
              <w:rPr>
                <w:rFonts w:hint="eastAsia" w:ascii="Times New Roman" w:hAnsi="Times New Roman"/>
                <w:color w:val="auto"/>
                <w:sz w:val="21"/>
                <w:szCs w:val="21"/>
              </w:rPr>
              <w:t>仁田里村</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居民</w:t>
            </w:r>
          </w:p>
        </w:tc>
        <w:tc>
          <w:tcPr>
            <w:tcW w:w="47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vAlign w:val="center"/>
          </w:tcPr>
          <w:p>
            <w:pPr>
              <w:widowControl/>
              <w:spacing w:line="300" w:lineRule="auto"/>
              <w:jc w:val="center"/>
              <w:rPr>
                <w:rFonts w:hint="default" w:ascii="Times New Roman" w:hAnsi="Times New Roman" w:cs="Times New Roman"/>
                <w:color w:val="auto"/>
                <w:sz w:val="21"/>
                <w:szCs w:val="21"/>
              </w:rPr>
            </w:pPr>
            <w:r>
              <w:rPr>
                <w:rFonts w:hint="eastAsia" w:ascii="Times New Roman" w:hAnsi="Times New Roman"/>
                <w:color w:val="auto"/>
                <w:sz w:val="21"/>
                <w:szCs w:val="21"/>
              </w:rPr>
              <w:t>约80人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NW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2000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乌鸦庙村</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居民</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居民区</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约500人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Calibri" w:cs="Times New Roman"/>
                <w:color w:val="auto"/>
                <w:sz w:val="21"/>
                <w:szCs w:val="21"/>
              </w:rPr>
              <w:t>S</w:t>
            </w:r>
            <w:r>
              <w:rPr>
                <w:rFonts w:hint="eastAsia" w:ascii="Times New Roman" w:hAnsi="Times New Roman" w:eastAsia="宋体" w:cs="Times New Roman"/>
                <w:color w:val="auto"/>
                <w:sz w:val="21"/>
                <w:szCs w:val="21"/>
                <w:lang w:val="en-US" w:eastAsia="zh-CN"/>
              </w:rPr>
              <w:t>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3700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华源村</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居民</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5"/>
                <w:sz w:val="21"/>
                <w:szCs w:val="21"/>
              </w:rPr>
              <w:t>散户</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约800人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NW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rPr>
              <w:t>徐家井</w:t>
            </w:r>
            <w:r>
              <w:rPr>
                <w:rFonts w:hint="eastAsia" w:ascii="Times New Roman" w:hAnsi="Times New Roman" w:cs="Times New Roman"/>
                <w:color w:val="auto"/>
                <w:sz w:val="21"/>
                <w:szCs w:val="21"/>
                <w:lang w:val="en-US" w:eastAsia="zh-CN"/>
              </w:rPr>
              <w:t>社区</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居民</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居民区</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约3000人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ascii="Arial" w:hAnsi="Arial" w:eastAsia="宋体" w:cs="Arial"/>
                <w:i w:val="0"/>
                <w:iCs w:val="0"/>
                <w:caps w:val="0"/>
                <w:color w:val="auto"/>
                <w:spacing w:val="0"/>
                <w:sz w:val="21"/>
                <w:szCs w:val="21"/>
                <w:shd w:val="clear" w:fill="FFFFFF"/>
              </w:rPr>
              <w:t>潇湘门社区</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3"/>
                <w:sz w:val="21"/>
                <w:szCs w:val="21"/>
              </w:rPr>
              <w:t>居民</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居民区</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Arial"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约1500人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Arial" w:hAnsi="Arial" w:eastAsia="宋体" w:cs="Arial"/>
                <w:i w:val="0"/>
                <w:iCs w:val="0"/>
                <w:caps w:val="0"/>
                <w:snapToGrid w:val="0"/>
                <w:color w:val="auto"/>
                <w:spacing w:val="0"/>
                <w:kern w:val="0"/>
                <w:sz w:val="21"/>
                <w:szCs w:val="21"/>
                <w:shd w:val="clear" w:fill="FFFFFF"/>
                <w:lang w:val="en-US" w:eastAsia="zh-CN" w:bidi="ar-SA"/>
              </w:rPr>
            </w:pPr>
            <w:r>
              <w:rPr>
                <w:rFonts w:hint="eastAsia" w:ascii="Times New Roman" w:hAnsi="Times New Roman"/>
                <w:color w:val="auto"/>
                <w:sz w:val="21"/>
                <w:szCs w:val="21"/>
              </w:rPr>
              <w:t>东方尚科职业技术学校</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5"/>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约900人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pacing w:val="1"/>
                <w:sz w:val="21"/>
                <w:szCs w:val="21"/>
                <w:lang w:val="en-US" w:eastAsia="zh-CN"/>
              </w:rPr>
              <w:t>N</w:t>
            </w:r>
            <w:r>
              <w:rPr>
                <w:rFonts w:hint="default" w:ascii="Times New Roman" w:hAnsi="Times New Roman" w:eastAsia="Calibri" w:cs="Times New Roman"/>
                <w:color w:val="auto"/>
                <w:spacing w:val="1"/>
                <w:sz w:val="21"/>
                <w:szCs w:val="21"/>
              </w:rPr>
              <w:t>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永州市宗元学校</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约300人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NW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olor w:val="auto"/>
                <w:sz w:val="21"/>
                <w:szCs w:val="21"/>
              </w:rPr>
              <w:t>五里堆小学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约200人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W</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永州市第七中学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约1300人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永州市华阳学校</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约200人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永州市君诚高级中学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约1500人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徐家井小学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约7000人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零陵七层坡小学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约200人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零陵区千秋岭小学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约600人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color w:val="auto"/>
                <w:sz w:val="21"/>
                <w:szCs w:val="21"/>
              </w:rPr>
            </w:pPr>
            <w:r>
              <w:rPr>
                <w:rFonts w:hint="eastAsia" w:ascii="Times New Roman" w:hAnsi="Times New Roman" w:eastAsia="宋体" w:cs="Times New Roman"/>
                <w:color w:val="auto"/>
                <w:sz w:val="21"/>
                <w:szCs w:val="21"/>
                <w:lang w:val="en-US" w:eastAsia="zh-CN"/>
              </w:rPr>
              <w:t>3600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永州市海嘉中等职业技术学校</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约1000人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NE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永州市第五中学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约2500人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永州市第三中学</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约4500人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湖南科技学院</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约17000人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w:t>
            </w:r>
          </w:p>
        </w:tc>
        <w:tc>
          <w:tcPr>
            <w:tcW w:w="1430"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永州市工商职业中等专业学校</w:t>
            </w:r>
          </w:p>
        </w:tc>
        <w:tc>
          <w:tcPr>
            <w:tcW w:w="58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cs="Times New Roman"/>
                <w:color w:val="auto"/>
                <w:spacing w:val="2"/>
                <w:sz w:val="21"/>
                <w:szCs w:val="21"/>
              </w:rPr>
              <w:t>学校</w:t>
            </w:r>
          </w:p>
        </w:tc>
        <w:tc>
          <w:tcPr>
            <w:tcW w:w="477"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师生</w:t>
            </w:r>
          </w:p>
        </w:tc>
        <w:tc>
          <w:tcPr>
            <w:tcW w:w="622" w:type="pct"/>
            <w:gridSpan w:val="2"/>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Arial" w:cs="Times New Roman"/>
                <w:snapToGrid w:val="0"/>
                <w:color w:val="auto"/>
                <w:spacing w:val="1"/>
                <w:kern w:val="0"/>
                <w:sz w:val="21"/>
                <w:szCs w:val="21"/>
                <w:lang w:val="en-US" w:eastAsia="zh-CN" w:bidi="ar-SA"/>
              </w:rPr>
            </w:pPr>
            <w:r>
              <w:rPr>
                <w:rFonts w:hint="eastAsia" w:ascii="Times New Roman" w:hAnsi="Times New Roman" w:cs="Times New Roman"/>
                <w:color w:val="auto"/>
                <w:spacing w:val="1"/>
                <w:sz w:val="21"/>
                <w:szCs w:val="21"/>
                <w:lang w:val="en-US" w:eastAsia="zh-CN"/>
              </w:rPr>
              <w:t>约8000人</w:t>
            </w:r>
          </w:p>
        </w:tc>
        <w:tc>
          <w:tcPr>
            <w:tcW w:w="43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E</w:t>
            </w:r>
          </w:p>
        </w:tc>
        <w:tc>
          <w:tcPr>
            <w:tcW w:w="777"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919" w:type="pct"/>
            <w:gridSpan w:val="7"/>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厂址周边500m范围内人口数小计</w:t>
            </w:r>
          </w:p>
        </w:tc>
        <w:tc>
          <w:tcPr>
            <w:tcW w:w="77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919" w:type="pct"/>
            <w:gridSpan w:val="7"/>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厂址周边5</w:t>
            </w:r>
            <w:r>
              <w:rPr>
                <w:rFonts w:hint="default" w:ascii="Times New Roman" w:hAnsi="Times New Roman" w:cs="Times New Roman"/>
                <w:color w:val="auto"/>
                <w:sz w:val="21"/>
                <w:szCs w:val="21"/>
              </w:rPr>
              <w:t>km</w:t>
            </w:r>
            <w:r>
              <w:rPr>
                <w:rFonts w:hint="default" w:ascii="Times New Roman" w:hAnsi="Times New Roman" w:cs="Times New Roman"/>
                <w:color w:val="auto"/>
                <w:spacing w:val="9"/>
                <w:sz w:val="21"/>
                <w:szCs w:val="21"/>
              </w:rPr>
              <w:t>范围内人口数小计</w:t>
            </w:r>
          </w:p>
        </w:tc>
        <w:tc>
          <w:tcPr>
            <w:tcW w:w="77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pacing w:val="3"/>
                <w:sz w:val="21"/>
                <w:szCs w:val="21"/>
                <w:lang w:val="en-US" w:eastAsia="zh-CN"/>
              </w:rPr>
              <w:t>7</w:t>
            </w:r>
            <w:r>
              <w:rPr>
                <w:rFonts w:hint="eastAsia" w:ascii="Times New Roman" w:hAnsi="Times New Roman" w:cs="Times New Roman"/>
                <w:color w:val="auto"/>
                <w:spacing w:val="3"/>
                <w:sz w:val="21"/>
                <w:szCs w:val="21"/>
                <w:lang w:val="en-US" w:eastAsia="zh-CN"/>
              </w:rPr>
              <w:t>4620</w:t>
            </w:r>
            <w:r>
              <w:rPr>
                <w:rFonts w:hint="default" w:ascii="Times New Roman" w:hAnsi="Times New Roman" w:cs="Times New Roman"/>
                <w:color w:val="auto"/>
                <w:spacing w:val="3"/>
                <w:sz w:val="21"/>
                <w:szCs w:val="21"/>
              </w:rPr>
              <w:t>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919" w:type="pct"/>
            <w:gridSpan w:val="7"/>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大气环境敏感程度E值</w:t>
            </w:r>
          </w:p>
        </w:tc>
        <w:tc>
          <w:tcPr>
            <w:tcW w:w="77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Calibri" w:cs="Times New Roman"/>
                <w:color w:val="auto"/>
                <w:spacing w:val="-6"/>
                <w:sz w:val="21"/>
                <w:szCs w:val="21"/>
              </w:rPr>
              <w:t>E</w:t>
            </w:r>
            <w:r>
              <w:rPr>
                <w:rFonts w:hint="eastAsia" w:ascii="Times New Roman" w:hAnsi="Times New Roman" w:eastAsia="宋体" w:cs="Times New Roman"/>
                <w:color w:val="auto"/>
                <w:spacing w:val="-6"/>
                <w:sz w:val="21"/>
                <w:szCs w:val="21"/>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地表水</w:t>
            </w:r>
          </w:p>
        </w:tc>
        <w:tc>
          <w:tcPr>
            <w:tcW w:w="3919" w:type="pct"/>
            <w:gridSpan w:val="7"/>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受纳水体</w:t>
            </w:r>
          </w:p>
        </w:tc>
        <w:tc>
          <w:tcPr>
            <w:tcW w:w="77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序号</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受纳水体名称</w:t>
            </w:r>
          </w:p>
        </w:tc>
        <w:tc>
          <w:tcPr>
            <w:tcW w:w="1429"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排放点水域环境功能</w:t>
            </w:r>
          </w:p>
        </w:tc>
        <w:tc>
          <w:tcPr>
            <w:tcW w:w="1460"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2"/>
                <w:sz w:val="21"/>
                <w:szCs w:val="21"/>
              </w:rPr>
              <w:t>24h</w:t>
            </w:r>
            <w:r>
              <w:rPr>
                <w:rFonts w:hint="default" w:ascii="Times New Roman" w:hAnsi="Times New Roman" w:cs="Times New Roman"/>
                <w:color w:val="auto"/>
                <w:spacing w:val="3"/>
                <w:position w:val="2"/>
                <w:sz w:val="21"/>
                <w:szCs w:val="21"/>
              </w:rPr>
              <w:t>内流经范围</w:t>
            </w:r>
            <w:r>
              <w:rPr>
                <w:rFonts w:hint="default" w:ascii="Times New Roman" w:hAnsi="Times New Roman" w:eastAsia="Calibri" w:cs="Times New Roman"/>
                <w:color w:val="auto"/>
                <w:spacing w:val="3"/>
                <w:position w:val="2"/>
                <w:sz w:val="21"/>
                <w:szCs w:val="21"/>
              </w:rPr>
              <w:t>/</w:t>
            </w:r>
            <w:r>
              <w:rPr>
                <w:rFonts w:hint="default" w:ascii="Times New Roman" w:hAnsi="Times New Roman" w:eastAsia="Calibri" w:cs="Times New Roman"/>
                <w:color w:val="auto"/>
                <w:position w:val="2"/>
                <w:sz w:val="21"/>
                <w:szCs w:val="21"/>
              </w:rPr>
              <w:t>km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5"/>
                <w:sz w:val="21"/>
                <w:szCs w:val="21"/>
                <w:lang w:val="en-US" w:eastAsia="zh-CN"/>
              </w:rPr>
              <w:t>愚溪河</w:t>
            </w:r>
          </w:p>
        </w:tc>
        <w:tc>
          <w:tcPr>
            <w:tcW w:w="1429" w:type="pct"/>
            <w:gridSpan w:val="3"/>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《地表水环境质量标准》</w:t>
            </w:r>
            <w:r>
              <w:rPr>
                <w:rFonts w:hint="default" w:ascii="Times New Roman" w:hAnsi="Times New Roman" w:cs="Times New Roman"/>
                <w:color w:val="auto"/>
                <w:spacing w:val="6"/>
                <w:sz w:val="21"/>
                <w:szCs w:val="21"/>
              </w:rPr>
              <w:t>（</w:t>
            </w:r>
            <w:r>
              <w:rPr>
                <w:rFonts w:hint="default" w:ascii="Times New Roman" w:hAnsi="Times New Roman" w:eastAsia="Calibri" w:cs="Times New Roman"/>
                <w:color w:val="auto"/>
                <w:sz w:val="21"/>
                <w:szCs w:val="21"/>
              </w:rPr>
              <w:t>GB</w:t>
            </w:r>
            <w:r>
              <w:rPr>
                <w:rFonts w:hint="default" w:ascii="Times New Roman" w:hAnsi="Times New Roman" w:eastAsia="Calibri" w:cs="Times New Roman"/>
                <w:color w:val="auto"/>
                <w:spacing w:val="6"/>
                <w:sz w:val="21"/>
                <w:szCs w:val="21"/>
              </w:rPr>
              <w:t>3838-2002</w:t>
            </w:r>
            <w:r>
              <w:rPr>
                <w:rFonts w:hint="default" w:ascii="Times New Roman" w:hAnsi="Times New Roman" w:cs="Times New Roman"/>
                <w:color w:val="auto"/>
                <w:spacing w:val="6"/>
                <w:sz w:val="21"/>
                <w:szCs w:val="21"/>
              </w:rPr>
              <w:t>）中Ⅲ类</w:t>
            </w:r>
          </w:p>
        </w:tc>
        <w:tc>
          <w:tcPr>
            <w:tcW w:w="1460" w:type="pct"/>
            <w:gridSpan w:val="3"/>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湘江</w:t>
            </w:r>
          </w:p>
        </w:tc>
        <w:tc>
          <w:tcPr>
            <w:tcW w:w="1429"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460" w:type="pct"/>
            <w:gridSpan w:val="3"/>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25.06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地下水</w:t>
            </w:r>
          </w:p>
        </w:tc>
        <w:tc>
          <w:tcPr>
            <w:tcW w:w="3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序号</w:t>
            </w:r>
          </w:p>
        </w:tc>
        <w:tc>
          <w:tcPr>
            <w:tcW w:w="14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环境敏感区名称</w:t>
            </w:r>
          </w:p>
        </w:tc>
        <w:tc>
          <w:tcPr>
            <w:tcW w:w="58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环境敏感特征</w:t>
            </w:r>
          </w:p>
        </w:tc>
        <w:tc>
          <w:tcPr>
            <w:tcW w:w="848"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水质目标</w:t>
            </w:r>
          </w:p>
        </w:tc>
        <w:tc>
          <w:tcPr>
            <w:tcW w:w="689"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包气带防污</w:t>
            </w:r>
            <w:r>
              <w:rPr>
                <w:rFonts w:hint="default" w:ascii="Times New Roman" w:hAnsi="Times New Roman" w:cs="Times New Roman"/>
                <w:color w:val="auto"/>
                <w:spacing w:val="3"/>
                <w:sz w:val="21"/>
                <w:szCs w:val="21"/>
              </w:rPr>
              <w:t>性能</w:t>
            </w:r>
          </w:p>
        </w:tc>
        <w:tc>
          <w:tcPr>
            <w:tcW w:w="77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7"/>
                <w:sz w:val="21"/>
                <w:szCs w:val="21"/>
              </w:rPr>
              <w:t>与下游厂界</w:t>
            </w:r>
            <w:r>
              <w:rPr>
                <w:rFonts w:hint="default" w:ascii="Times New Roman" w:hAnsi="Times New Roman" w:cs="Times New Roman"/>
                <w:color w:val="auto"/>
                <w:spacing w:val="6"/>
                <w:sz w:val="21"/>
                <w:szCs w:val="21"/>
              </w:rPr>
              <w:t>距离</w:t>
            </w:r>
            <w:r>
              <w:rPr>
                <w:rFonts w:hint="default" w:ascii="Times New Roman" w:hAnsi="Times New Roman" w:eastAsia="Calibri" w:cs="Times New Roman"/>
                <w:color w:val="auto"/>
                <w:spacing w:val="6"/>
                <w:sz w:val="21"/>
                <w:szCs w:val="21"/>
              </w:rPr>
              <w:t>/m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690" w:type="pct"/>
            <w:gridSpan w:val="8"/>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7" w:type="pct"/>
          <w:trHeight w:val="397" w:hRule="atLeast"/>
        </w:trPr>
        <w:tc>
          <w:tcPr>
            <w:tcW w:w="30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3919" w:type="pct"/>
            <w:gridSpan w:val="7"/>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地下水环境敏感程度</w:t>
            </w:r>
            <w:r>
              <w:rPr>
                <w:rFonts w:hint="default" w:ascii="Times New Roman" w:hAnsi="Times New Roman" w:eastAsia="Calibri" w:cs="Times New Roman"/>
                <w:color w:val="auto"/>
                <w:spacing w:val="6"/>
                <w:sz w:val="21"/>
                <w:szCs w:val="21"/>
              </w:rPr>
              <w:t>E</w:t>
            </w:r>
            <w:r>
              <w:rPr>
                <w:rFonts w:hint="default" w:ascii="Times New Roman" w:hAnsi="Times New Roman" w:cs="Times New Roman"/>
                <w:color w:val="auto"/>
                <w:spacing w:val="6"/>
                <w:sz w:val="21"/>
                <w:szCs w:val="21"/>
              </w:rPr>
              <w:t>值</w:t>
            </w:r>
          </w:p>
        </w:tc>
        <w:tc>
          <w:tcPr>
            <w:tcW w:w="77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E3</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环境敏感程度（E）分级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按照《建设项目环境风险评价技术导则》（HJ169-2018），项目环境敏感程度（E）分级包括大气环境、地表水环境、地下水环境，分别进行分级判定。</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①大气环境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本项目大气环境敏感性分级判定见表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.4-2。</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大气环境敏感程度分级表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66"/>
        <w:gridCol w:w="5817"/>
        <w:gridCol w:w="18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400" w:type="pct"/>
            <w:tcBorders>
              <w:tl2br w:val="nil"/>
              <w:tr2bl w:val="nil"/>
            </w:tcBorders>
            <w:shd w:val="clear" w:color="auto" w:fill="auto"/>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pacing w:val="-6"/>
                <w:sz w:val="21"/>
                <w:szCs w:val="21"/>
              </w:rPr>
              <w:t>E1</w:t>
            </w:r>
          </w:p>
        </w:tc>
        <w:tc>
          <w:tcPr>
            <w:tcW w:w="3492" w:type="pct"/>
            <w:tcBorders>
              <w:tl2br w:val="nil"/>
              <w:tr2bl w:val="nil"/>
            </w:tcBorders>
            <w:shd w:val="clear" w:color="auto" w:fill="auto"/>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cs="Times New Roman"/>
                <w:color w:val="auto"/>
                <w:spacing w:val="9"/>
                <w:sz w:val="21"/>
                <w:szCs w:val="21"/>
              </w:rPr>
              <w:t>周边</w:t>
            </w:r>
            <w:r>
              <w:rPr>
                <w:rFonts w:hint="default" w:ascii="Times New Roman" w:hAnsi="Times New Roman" w:eastAsia="Calibri" w:cs="Times New Roman"/>
                <w:color w:val="auto"/>
                <w:spacing w:val="9"/>
                <w:sz w:val="21"/>
                <w:szCs w:val="21"/>
              </w:rPr>
              <w:t>5</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9"/>
                <w:sz w:val="21"/>
                <w:szCs w:val="21"/>
              </w:rPr>
              <w:t>范围内居住区、医疗卫生、文化教育、科研、行政</w:t>
            </w:r>
            <w:r>
              <w:rPr>
                <w:rFonts w:hint="default" w:ascii="Times New Roman" w:hAnsi="Times New Roman" w:cs="Times New Roman"/>
                <w:color w:val="auto"/>
                <w:spacing w:val="8"/>
                <w:sz w:val="21"/>
                <w:szCs w:val="21"/>
              </w:rPr>
              <w:t>办公等</w:t>
            </w:r>
            <w:r>
              <w:rPr>
                <w:rFonts w:hint="default" w:ascii="Times New Roman" w:hAnsi="Times New Roman" w:cs="Times New Roman"/>
                <w:color w:val="auto"/>
                <w:spacing w:val="7"/>
                <w:sz w:val="21"/>
                <w:szCs w:val="21"/>
              </w:rPr>
              <w:t>机构人口总数大于</w:t>
            </w:r>
            <w:r>
              <w:rPr>
                <w:rFonts w:hint="default" w:ascii="Times New Roman" w:hAnsi="Times New Roman" w:eastAsia="Calibri" w:cs="Times New Roman"/>
                <w:color w:val="auto"/>
                <w:spacing w:val="7"/>
                <w:sz w:val="21"/>
                <w:szCs w:val="21"/>
              </w:rPr>
              <w:t>5</w:t>
            </w:r>
            <w:r>
              <w:rPr>
                <w:rFonts w:hint="default" w:ascii="Times New Roman" w:hAnsi="Times New Roman" w:cs="Times New Roman"/>
                <w:color w:val="auto"/>
                <w:spacing w:val="7"/>
                <w:sz w:val="21"/>
                <w:szCs w:val="21"/>
              </w:rPr>
              <w:t>万人，或其他需要特殊保护区域；或周边</w:t>
            </w:r>
            <w:r>
              <w:rPr>
                <w:rFonts w:hint="default" w:ascii="Times New Roman" w:hAnsi="Times New Roman" w:eastAsia="Calibri" w:cs="Times New Roman"/>
                <w:color w:val="auto"/>
                <w:spacing w:val="7"/>
                <w:sz w:val="21"/>
                <w:szCs w:val="21"/>
              </w:rPr>
              <w:t>500m</w:t>
            </w:r>
            <w:r>
              <w:rPr>
                <w:rFonts w:hint="default" w:ascii="Times New Roman" w:hAnsi="Times New Roman" w:cs="Times New Roman"/>
                <w:color w:val="auto"/>
                <w:spacing w:val="4"/>
                <w:sz w:val="21"/>
                <w:szCs w:val="21"/>
              </w:rPr>
              <w:t>范围内人口总数大于</w:t>
            </w:r>
            <w:r>
              <w:rPr>
                <w:rFonts w:hint="default" w:ascii="Times New Roman" w:hAnsi="Times New Roman" w:eastAsia="Calibri" w:cs="Times New Roman"/>
                <w:color w:val="auto"/>
                <w:spacing w:val="4"/>
                <w:sz w:val="21"/>
                <w:szCs w:val="21"/>
              </w:rPr>
              <w:t>1000</w:t>
            </w:r>
            <w:r>
              <w:rPr>
                <w:rFonts w:hint="default" w:ascii="Times New Roman" w:hAnsi="Times New Roman" w:cs="Times New Roman"/>
                <w:color w:val="auto"/>
                <w:spacing w:val="4"/>
                <w:sz w:val="21"/>
                <w:szCs w:val="21"/>
              </w:rPr>
              <w:t>人；油气、化学品输送</w:t>
            </w:r>
            <w:r>
              <w:rPr>
                <w:rFonts w:hint="default" w:ascii="Times New Roman" w:hAnsi="Times New Roman" w:cs="Times New Roman"/>
                <w:color w:val="auto"/>
                <w:spacing w:val="3"/>
                <w:sz w:val="21"/>
                <w:szCs w:val="21"/>
              </w:rPr>
              <w:t>管线管段周边</w:t>
            </w:r>
            <w:r>
              <w:rPr>
                <w:rFonts w:hint="default" w:ascii="Times New Roman" w:hAnsi="Times New Roman" w:eastAsia="Calibri" w:cs="Times New Roman"/>
                <w:color w:val="auto"/>
                <w:spacing w:val="3"/>
                <w:sz w:val="21"/>
                <w:szCs w:val="21"/>
              </w:rPr>
              <w:t>200m</w:t>
            </w:r>
            <w:r>
              <w:rPr>
                <w:rFonts w:hint="default" w:ascii="Times New Roman" w:hAnsi="Times New Roman" w:cs="Times New Roman"/>
                <w:color w:val="auto"/>
                <w:spacing w:val="6"/>
                <w:sz w:val="21"/>
                <w:szCs w:val="21"/>
              </w:rPr>
              <w:t>范围内，每千米管段人口数大于</w:t>
            </w:r>
            <w:r>
              <w:rPr>
                <w:rFonts w:hint="default" w:ascii="Times New Roman" w:hAnsi="Times New Roman" w:eastAsia="Calibri" w:cs="Times New Roman"/>
                <w:color w:val="auto"/>
                <w:spacing w:val="6"/>
                <w:sz w:val="21"/>
                <w:szCs w:val="21"/>
              </w:rPr>
              <w:t>200</w:t>
            </w:r>
            <w:r>
              <w:rPr>
                <w:rFonts w:hint="default" w:ascii="Times New Roman" w:hAnsi="Times New Roman" w:cs="Times New Roman"/>
                <w:color w:val="auto"/>
                <w:spacing w:val="6"/>
                <w:sz w:val="21"/>
                <w:szCs w:val="21"/>
              </w:rPr>
              <w:t>人</w:t>
            </w:r>
          </w:p>
        </w:tc>
        <w:tc>
          <w:tcPr>
            <w:tcW w:w="1107" w:type="pct"/>
            <w:vMerge w:val="restar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项目周边</w:t>
            </w:r>
            <w:r>
              <w:rPr>
                <w:rFonts w:hint="default" w:ascii="Times New Roman" w:hAnsi="Times New Roman" w:eastAsia="Calibri" w:cs="Times New Roman"/>
                <w:color w:val="auto"/>
                <w:spacing w:val="6"/>
                <w:sz w:val="21"/>
                <w:szCs w:val="21"/>
              </w:rPr>
              <w:t>5</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6"/>
                <w:sz w:val="21"/>
                <w:szCs w:val="21"/>
              </w:rPr>
              <w:t>范围内</w:t>
            </w:r>
            <w:r>
              <w:rPr>
                <w:rFonts w:hint="default" w:ascii="Times New Roman" w:hAnsi="Times New Roman" w:cs="Times New Roman"/>
                <w:color w:val="auto"/>
                <w:spacing w:val="7"/>
                <w:sz w:val="21"/>
                <w:szCs w:val="21"/>
              </w:rPr>
              <w:t>居住区、医疗卫生、</w:t>
            </w:r>
            <w:r>
              <w:rPr>
                <w:rFonts w:hint="default" w:ascii="Times New Roman" w:hAnsi="Times New Roman" w:cs="Times New Roman"/>
                <w:color w:val="auto"/>
                <w:spacing w:val="8"/>
                <w:sz w:val="21"/>
                <w:szCs w:val="21"/>
              </w:rPr>
              <w:t>文化教育、科研、行</w:t>
            </w:r>
            <w:r>
              <w:rPr>
                <w:rFonts w:hint="default" w:ascii="Times New Roman" w:hAnsi="Times New Roman" w:cs="Times New Roman"/>
                <w:color w:val="auto"/>
                <w:spacing w:val="13"/>
                <w:sz w:val="21"/>
                <w:szCs w:val="21"/>
              </w:rPr>
              <w:t>政办公等机构人口总</w:t>
            </w:r>
            <w:r>
              <w:rPr>
                <w:rFonts w:hint="default" w:ascii="Times New Roman" w:hAnsi="Times New Roman" w:cs="Times New Roman"/>
                <w:color w:val="auto"/>
                <w:spacing w:val="4"/>
                <w:sz w:val="21"/>
                <w:szCs w:val="21"/>
              </w:rPr>
              <w:t>数为</w:t>
            </w:r>
            <w:r>
              <w:rPr>
                <w:rFonts w:hint="eastAsia" w:ascii="Times New Roman" w:hAnsi="Times New Roman" w:eastAsia="宋体" w:cs="Times New Roman"/>
                <w:color w:val="auto"/>
                <w:spacing w:val="4"/>
                <w:sz w:val="21"/>
                <w:szCs w:val="21"/>
                <w:lang w:val="en-US" w:eastAsia="zh-CN"/>
              </w:rPr>
              <w:t>7.18</w:t>
            </w:r>
            <w:r>
              <w:rPr>
                <w:rFonts w:hint="default" w:ascii="Times New Roman" w:hAnsi="Times New Roman" w:cs="Times New Roman"/>
                <w:color w:val="auto"/>
                <w:spacing w:val="4"/>
                <w:sz w:val="21"/>
                <w:szCs w:val="21"/>
              </w:rPr>
              <w:t>万人</w:t>
            </w:r>
            <w:r>
              <w:rPr>
                <w:rFonts w:hint="eastAsia" w:ascii="Times New Roman" w:hAnsi="Times New Roman" w:cs="Times New Roman"/>
                <w:color w:val="auto"/>
                <w:spacing w:val="13"/>
                <w:sz w:val="21"/>
                <w:szCs w:val="21"/>
                <w:lang w:eastAsia="zh-CN"/>
              </w:rPr>
              <w:t>，</w:t>
            </w:r>
            <w:r>
              <w:rPr>
                <w:rFonts w:hint="default" w:ascii="Times New Roman" w:hAnsi="Times New Roman" w:cs="Times New Roman"/>
                <w:color w:val="auto"/>
                <w:spacing w:val="13"/>
                <w:sz w:val="21"/>
                <w:szCs w:val="21"/>
              </w:rPr>
              <w:t>判定本项目大气环境敏感</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分级为</w:t>
            </w:r>
            <w:r>
              <w:rPr>
                <w:rFonts w:hint="default" w:ascii="Times New Roman" w:hAnsi="Times New Roman" w:eastAsia="Calibri" w:cs="Times New Roman"/>
                <w:color w:val="auto"/>
                <w:sz w:val="21"/>
                <w:szCs w:val="21"/>
              </w:rPr>
              <w:t>E</w:t>
            </w:r>
            <w:r>
              <w:rPr>
                <w:rFonts w:hint="eastAsia" w:ascii="Times New Roman" w:hAnsi="Times New Roman" w:eastAsia="宋体" w:cs="Times New Roman"/>
                <w:color w:val="auto"/>
                <w:sz w:val="21"/>
                <w:szCs w:val="21"/>
                <w:lang w:val="en-US" w:eastAsia="zh-CN"/>
              </w:rPr>
              <w:t>1</w:t>
            </w:r>
            <w:r>
              <w:rPr>
                <w:rFonts w:hint="default" w:ascii="Times New Roman" w:hAnsi="Times New Roman" w:cs="Times New Roman"/>
                <w:color w:val="auto"/>
                <w:sz w:val="21"/>
                <w:szCs w:val="21"/>
              </w:rPr>
              <w:t>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47" w:hRule="atLeast"/>
        </w:trPr>
        <w:tc>
          <w:tcPr>
            <w:tcW w:w="40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E2</w:t>
            </w:r>
          </w:p>
        </w:tc>
        <w:tc>
          <w:tcPr>
            <w:tcW w:w="3492" w:type="pct"/>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周边</w:t>
            </w:r>
            <w:r>
              <w:rPr>
                <w:rFonts w:hint="default" w:ascii="Times New Roman" w:hAnsi="Times New Roman" w:eastAsia="Calibri" w:cs="Times New Roman"/>
                <w:color w:val="auto"/>
                <w:spacing w:val="9"/>
                <w:sz w:val="21"/>
                <w:szCs w:val="21"/>
              </w:rPr>
              <w:t>5</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9"/>
                <w:sz w:val="21"/>
                <w:szCs w:val="21"/>
              </w:rPr>
              <w:t>范围内居住区、医疗卫生、文化教育、科研、行政</w:t>
            </w:r>
            <w:r>
              <w:rPr>
                <w:rFonts w:hint="default" w:ascii="Times New Roman" w:hAnsi="Times New Roman" w:cs="Times New Roman"/>
                <w:color w:val="auto"/>
                <w:spacing w:val="8"/>
                <w:sz w:val="21"/>
                <w:szCs w:val="21"/>
              </w:rPr>
              <w:t>办公等</w:t>
            </w:r>
            <w:r>
              <w:rPr>
                <w:rFonts w:hint="default" w:ascii="Times New Roman" w:hAnsi="Times New Roman" w:cs="Times New Roman"/>
                <w:color w:val="auto"/>
                <w:spacing w:val="4"/>
                <w:sz w:val="21"/>
                <w:szCs w:val="21"/>
              </w:rPr>
              <w:t>机构人口总数大于</w:t>
            </w:r>
            <w:r>
              <w:rPr>
                <w:rFonts w:hint="default" w:ascii="Times New Roman" w:hAnsi="Times New Roman" w:eastAsia="Calibri" w:cs="Times New Roman"/>
                <w:color w:val="auto"/>
                <w:spacing w:val="4"/>
                <w:sz w:val="21"/>
                <w:szCs w:val="21"/>
              </w:rPr>
              <w:t>1</w:t>
            </w:r>
            <w:r>
              <w:rPr>
                <w:rFonts w:hint="default" w:ascii="Times New Roman" w:hAnsi="Times New Roman" w:cs="Times New Roman"/>
                <w:color w:val="auto"/>
                <w:spacing w:val="4"/>
                <w:sz w:val="21"/>
                <w:szCs w:val="21"/>
              </w:rPr>
              <w:t>万人，小于</w:t>
            </w:r>
            <w:r>
              <w:rPr>
                <w:rFonts w:hint="default" w:ascii="Times New Roman" w:hAnsi="Times New Roman" w:eastAsia="Calibri" w:cs="Times New Roman"/>
                <w:color w:val="auto"/>
                <w:spacing w:val="4"/>
                <w:sz w:val="21"/>
                <w:szCs w:val="21"/>
              </w:rPr>
              <w:t>5</w:t>
            </w:r>
            <w:r>
              <w:rPr>
                <w:rFonts w:hint="default" w:ascii="Times New Roman" w:hAnsi="Times New Roman" w:cs="Times New Roman"/>
                <w:color w:val="auto"/>
                <w:spacing w:val="4"/>
                <w:sz w:val="21"/>
                <w:szCs w:val="21"/>
              </w:rPr>
              <w:t>万人；或周边</w:t>
            </w:r>
            <w:r>
              <w:rPr>
                <w:rFonts w:hint="default" w:ascii="Times New Roman" w:hAnsi="Times New Roman" w:eastAsia="Calibri" w:cs="Times New Roman"/>
                <w:color w:val="auto"/>
                <w:spacing w:val="4"/>
                <w:sz w:val="21"/>
                <w:szCs w:val="21"/>
              </w:rPr>
              <w:t>500m</w:t>
            </w:r>
            <w:r>
              <w:rPr>
                <w:rFonts w:hint="default" w:ascii="Times New Roman" w:hAnsi="Times New Roman" w:cs="Times New Roman"/>
                <w:color w:val="auto"/>
                <w:spacing w:val="4"/>
                <w:sz w:val="21"/>
                <w:szCs w:val="21"/>
              </w:rPr>
              <w:t>范围内人口总</w:t>
            </w:r>
            <w:r>
              <w:rPr>
                <w:rFonts w:hint="default" w:ascii="Times New Roman" w:hAnsi="Times New Roman" w:cs="Times New Roman"/>
                <w:color w:val="auto"/>
                <w:spacing w:val="6"/>
                <w:sz w:val="21"/>
                <w:szCs w:val="21"/>
              </w:rPr>
              <w:t>数大于</w:t>
            </w:r>
            <w:r>
              <w:rPr>
                <w:rFonts w:hint="default" w:ascii="Times New Roman" w:hAnsi="Times New Roman" w:eastAsia="Calibri" w:cs="Times New Roman"/>
                <w:color w:val="auto"/>
                <w:spacing w:val="6"/>
                <w:sz w:val="21"/>
                <w:szCs w:val="21"/>
              </w:rPr>
              <w:t>500</w:t>
            </w:r>
            <w:r>
              <w:rPr>
                <w:rFonts w:hint="default" w:ascii="Times New Roman" w:hAnsi="Times New Roman" w:cs="Times New Roman"/>
                <w:color w:val="auto"/>
                <w:spacing w:val="6"/>
                <w:sz w:val="21"/>
                <w:szCs w:val="21"/>
              </w:rPr>
              <w:t>人，小于</w:t>
            </w:r>
            <w:r>
              <w:rPr>
                <w:rFonts w:hint="default" w:ascii="Times New Roman" w:hAnsi="Times New Roman" w:eastAsia="Calibri" w:cs="Times New Roman"/>
                <w:color w:val="auto"/>
                <w:spacing w:val="6"/>
                <w:sz w:val="21"/>
                <w:szCs w:val="21"/>
              </w:rPr>
              <w:t>10</w:t>
            </w:r>
            <w:r>
              <w:rPr>
                <w:rFonts w:hint="eastAsia" w:ascii="Times New Roman" w:hAnsi="Times New Roman" w:eastAsia="宋体" w:cs="Times New Roman"/>
                <w:color w:val="auto"/>
                <w:spacing w:val="6"/>
                <w:sz w:val="21"/>
                <w:szCs w:val="21"/>
                <w:lang w:val="en-US" w:eastAsia="zh-CN"/>
              </w:rPr>
              <w:t>0</w:t>
            </w:r>
            <w:r>
              <w:rPr>
                <w:rFonts w:hint="default" w:ascii="Times New Roman" w:hAnsi="Times New Roman" w:eastAsia="Calibri" w:cs="Times New Roman"/>
                <w:color w:val="auto"/>
                <w:spacing w:val="6"/>
                <w:sz w:val="21"/>
                <w:szCs w:val="21"/>
              </w:rPr>
              <w:t>0</w:t>
            </w:r>
            <w:r>
              <w:rPr>
                <w:rFonts w:hint="default" w:ascii="Times New Roman" w:hAnsi="Times New Roman" w:cs="Times New Roman"/>
                <w:color w:val="auto"/>
                <w:spacing w:val="6"/>
                <w:sz w:val="21"/>
                <w:szCs w:val="21"/>
              </w:rPr>
              <w:t>人；油气、化学品输</w:t>
            </w:r>
            <w:r>
              <w:rPr>
                <w:rFonts w:hint="default" w:ascii="Times New Roman" w:hAnsi="Times New Roman" w:cs="Times New Roman"/>
                <w:color w:val="auto"/>
                <w:spacing w:val="5"/>
                <w:sz w:val="21"/>
                <w:szCs w:val="21"/>
              </w:rPr>
              <w:t>送管线管段周边</w:t>
            </w:r>
            <w:r>
              <w:rPr>
                <w:rFonts w:hint="default" w:ascii="Times New Roman" w:hAnsi="Times New Roman" w:eastAsia="Calibri" w:cs="Times New Roman"/>
                <w:color w:val="auto"/>
                <w:spacing w:val="5"/>
                <w:sz w:val="21"/>
                <w:szCs w:val="21"/>
              </w:rPr>
              <w:t>200m</w:t>
            </w:r>
            <w:r>
              <w:rPr>
                <w:rFonts w:hint="default" w:ascii="Times New Roman" w:hAnsi="Times New Roman" w:cs="Times New Roman"/>
                <w:color w:val="auto"/>
                <w:spacing w:val="6"/>
                <w:sz w:val="21"/>
                <w:szCs w:val="21"/>
              </w:rPr>
              <w:t>范围内，每千米管段人口数大于</w:t>
            </w:r>
            <w:r>
              <w:rPr>
                <w:rFonts w:hint="default" w:ascii="Times New Roman" w:hAnsi="Times New Roman" w:eastAsia="Calibri" w:cs="Times New Roman"/>
                <w:color w:val="auto"/>
                <w:spacing w:val="6"/>
                <w:sz w:val="21"/>
                <w:szCs w:val="21"/>
              </w:rPr>
              <w:t>100</w:t>
            </w:r>
            <w:r>
              <w:rPr>
                <w:rFonts w:hint="default" w:ascii="Times New Roman" w:hAnsi="Times New Roman" w:cs="Times New Roman"/>
                <w:color w:val="auto"/>
                <w:spacing w:val="6"/>
                <w:sz w:val="21"/>
                <w:szCs w:val="21"/>
              </w:rPr>
              <w:t>人，小于</w:t>
            </w:r>
            <w:r>
              <w:rPr>
                <w:rFonts w:hint="default" w:ascii="Times New Roman" w:hAnsi="Times New Roman" w:eastAsia="Calibri" w:cs="Times New Roman"/>
                <w:color w:val="auto"/>
                <w:spacing w:val="6"/>
                <w:sz w:val="21"/>
                <w:szCs w:val="21"/>
              </w:rPr>
              <w:t>2</w:t>
            </w:r>
            <w:r>
              <w:rPr>
                <w:rFonts w:hint="default" w:ascii="Times New Roman" w:hAnsi="Times New Roman" w:eastAsia="Calibri" w:cs="Times New Roman"/>
                <w:color w:val="auto"/>
                <w:spacing w:val="5"/>
                <w:sz w:val="21"/>
                <w:szCs w:val="21"/>
              </w:rPr>
              <w:t>00</w:t>
            </w:r>
            <w:r>
              <w:rPr>
                <w:rFonts w:hint="default" w:ascii="Times New Roman" w:hAnsi="Times New Roman" w:cs="Times New Roman"/>
                <w:color w:val="auto"/>
                <w:spacing w:val="5"/>
                <w:sz w:val="21"/>
                <w:szCs w:val="21"/>
              </w:rPr>
              <w:t>人</w:t>
            </w:r>
          </w:p>
        </w:tc>
        <w:tc>
          <w:tcPr>
            <w:tcW w:w="1107"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71" w:hRule="atLeast"/>
        </w:trPr>
        <w:tc>
          <w:tcPr>
            <w:tcW w:w="40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E3</w:t>
            </w:r>
          </w:p>
        </w:tc>
        <w:tc>
          <w:tcPr>
            <w:tcW w:w="3492" w:type="pct"/>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周边</w:t>
            </w:r>
            <w:r>
              <w:rPr>
                <w:rFonts w:hint="default" w:ascii="Times New Roman" w:hAnsi="Times New Roman" w:eastAsia="Calibri" w:cs="Times New Roman"/>
                <w:color w:val="auto"/>
                <w:spacing w:val="9"/>
                <w:sz w:val="21"/>
                <w:szCs w:val="21"/>
              </w:rPr>
              <w:t>5</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9"/>
                <w:sz w:val="21"/>
                <w:szCs w:val="21"/>
              </w:rPr>
              <w:t>范围内居住区、医疗卫生、文化教育、科研、行政</w:t>
            </w:r>
            <w:r>
              <w:rPr>
                <w:rFonts w:hint="default" w:ascii="Times New Roman" w:hAnsi="Times New Roman" w:cs="Times New Roman"/>
                <w:color w:val="auto"/>
                <w:spacing w:val="8"/>
                <w:sz w:val="21"/>
                <w:szCs w:val="21"/>
              </w:rPr>
              <w:t>办公等</w:t>
            </w:r>
            <w:r>
              <w:rPr>
                <w:rFonts w:hint="default" w:ascii="Times New Roman" w:hAnsi="Times New Roman" w:cs="Times New Roman"/>
                <w:color w:val="auto"/>
                <w:spacing w:val="5"/>
                <w:sz w:val="21"/>
                <w:szCs w:val="21"/>
              </w:rPr>
              <w:t>机构人口总数小于</w:t>
            </w:r>
            <w:r>
              <w:rPr>
                <w:rFonts w:hint="default" w:ascii="Times New Roman" w:hAnsi="Times New Roman" w:eastAsia="Calibri" w:cs="Times New Roman"/>
                <w:color w:val="auto"/>
                <w:spacing w:val="5"/>
                <w:sz w:val="21"/>
                <w:szCs w:val="21"/>
              </w:rPr>
              <w:t>1</w:t>
            </w:r>
            <w:r>
              <w:rPr>
                <w:rFonts w:hint="default" w:ascii="Times New Roman" w:hAnsi="Times New Roman" w:cs="Times New Roman"/>
                <w:color w:val="auto"/>
                <w:spacing w:val="5"/>
                <w:sz w:val="21"/>
                <w:szCs w:val="21"/>
              </w:rPr>
              <w:t>万人；或周边</w:t>
            </w:r>
            <w:r>
              <w:rPr>
                <w:rFonts w:hint="default" w:ascii="Times New Roman" w:hAnsi="Times New Roman" w:eastAsia="Calibri" w:cs="Times New Roman"/>
                <w:color w:val="auto"/>
                <w:spacing w:val="5"/>
                <w:sz w:val="21"/>
                <w:szCs w:val="21"/>
              </w:rPr>
              <w:t>500m</w:t>
            </w:r>
            <w:r>
              <w:rPr>
                <w:rFonts w:hint="default" w:ascii="Times New Roman" w:hAnsi="Times New Roman" w:cs="Times New Roman"/>
                <w:color w:val="auto"/>
                <w:spacing w:val="5"/>
                <w:sz w:val="21"/>
                <w:szCs w:val="21"/>
              </w:rPr>
              <w:t>范围内</w:t>
            </w:r>
            <w:r>
              <w:rPr>
                <w:rFonts w:hint="default" w:ascii="Times New Roman" w:hAnsi="Times New Roman" w:cs="Times New Roman"/>
                <w:color w:val="auto"/>
                <w:spacing w:val="4"/>
                <w:sz w:val="21"/>
                <w:szCs w:val="21"/>
              </w:rPr>
              <w:t>人口总数小于</w:t>
            </w:r>
            <w:r>
              <w:rPr>
                <w:rFonts w:hint="default" w:ascii="Times New Roman" w:hAnsi="Times New Roman" w:eastAsia="Calibri" w:cs="Times New Roman"/>
                <w:color w:val="auto"/>
                <w:spacing w:val="4"/>
                <w:sz w:val="21"/>
                <w:szCs w:val="21"/>
              </w:rPr>
              <w:t>500</w:t>
            </w:r>
            <w:r>
              <w:rPr>
                <w:rFonts w:hint="default" w:ascii="Times New Roman" w:hAnsi="Times New Roman" w:cs="Times New Roman"/>
                <w:color w:val="auto"/>
                <w:spacing w:val="4"/>
                <w:sz w:val="21"/>
                <w:szCs w:val="21"/>
              </w:rPr>
              <w:t>人；</w:t>
            </w:r>
          </w:p>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油气、化学品输送管线管段周边</w:t>
            </w:r>
            <w:r>
              <w:rPr>
                <w:rFonts w:hint="default" w:ascii="Times New Roman" w:hAnsi="Times New Roman" w:eastAsia="Calibri" w:cs="Times New Roman"/>
                <w:color w:val="auto"/>
                <w:spacing w:val="6"/>
                <w:sz w:val="21"/>
                <w:szCs w:val="21"/>
              </w:rPr>
              <w:t>200m</w:t>
            </w:r>
            <w:r>
              <w:rPr>
                <w:rFonts w:hint="default" w:ascii="Times New Roman" w:hAnsi="Times New Roman" w:cs="Times New Roman"/>
                <w:color w:val="auto"/>
                <w:spacing w:val="6"/>
                <w:sz w:val="21"/>
                <w:szCs w:val="21"/>
              </w:rPr>
              <w:t>范围内，每千米管段人口数小</w:t>
            </w:r>
            <w:r>
              <w:rPr>
                <w:rFonts w:hint="default" w:ascii="Times New Roman" w:hAnsi="Times New Roman" w:cs="Times New Roman"/>
                <w:color w:val="auto"/>
                <w:spacing w:val="-2"/>
                <w:sz w:val="21"/>
                <w:szCs w:val="21"/>
              </w:rPr>
              <w:t>于</w:t>
            </w:r>
            <w:r>
              <w:rPr>
                <w:rFonts w:hint="default" w:ascii="Times New Roman" w:hAnsi="Times New Roman" w:eastAsia="Calibri" w:cs="Times New Roman"/>
                <w:color w:val="auto"/>
                <w:spacing w:val="-2"/>
                <w:sz w:val="21"/>
                <w:szCs w:val="21"/>
              </w:rPr>
              <w:t>100</w:t>
            </w:r>
            <w:r>
              <w:rPr>
                <w:rFonts w:hint="default" w:ascii="Times New Roman" w:hAnsi="Times New Roman" w:cs="Times New Roman"/>
                <w:color w:val="auto"/>
                <w:spacing w:val="-2"/>
                <w:sz w:val="21"/>
                <w:szCs w:val="21"/>
              </w:rPr>
              <w:t>人</w:t>
            </w:r>
          </w:p>
        </w:tc>
        <w:tc>
          <w:tcPr>
            <w:tcW w:w="1107" w:type="pct"/>
            <w:vMerge w:val="continue"/>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根据上表可知，本项目大气环境敏感分级为E</w:t>
      </w:r>
      <w:r>
        <w:rPr>
          <w:rFonts w:hint="eastAsia" w:ascii="Times New Roman" w:hAnsi="Times New Roman" w:cs="Times New Roman"/>
          <w:color w:val="auto"/>
          <w:szCs w:val="28"/>
          <w:u w:val="none" w:color="auto"/>
          <w:lang w:val="en-US" w:eastAsia="zh-CN"/>
        </w:rPr>
        <w:t>1</w:t>
      </w:r>
      <w:r>
        <w:rPr>
          <w:rFonts w:hint="default" w:ascii="Times New Roman" w:hAnsi="Times New Roman" w:cs="Times New Roman"/>
          <w:color w:val="auto"/>
          <w:szCs w:val="28"/>
          <w:u w:val="none" w:color="auto"/>
        </w:rPr>
        <w:t>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②地表水环境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地表水功能敏感性分区见表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.4-3，环境敏感目标分级见表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.4-4，地表水环境敏感程度分级见表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.4-5。</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地表水功能敏感性分区表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58"/>
        <w:gridCol w:w="5432"/>
        <w:gridCol w:w="173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分级</w:t>
            </w:r>
          </w:p>
        </w:tc>
        <w:tc>
          <w:tcPr>
            <w:tcW w:w="3261"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地表水环境敏感特征判据</w:t>
            </w:r>
          </w:p>
        </w:tc>
        <w:tc>
          <w:tcPr>
            <w:tcW w:w="1042"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本项目判定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敏感</w:t>
            </w:r>
            <w:r>
              <w:rPr>
                <w:rFonts w:hint="default" w:ascii="Times New Roman" w:hAnsi="Times New Roman" w:eastAsia="Calibri" w:cs="Times New Roman"/>
                <w:color w:val="auto"/>
                <w:spacing w:val="-1"/>
                <w:sz w:val="21"/>
                <w:szCs w:val="21"/>
              </w:rPr>
              <w:t>F1</w:t>
            </w:r>
          </w:p>
        </w:tc>
        <w:tc>
          <w:tcPr>
            <w:tcW w:w="3261" w:type="pct"/>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排放点进入地表水水域环境功能为Ⅱ类及以上，或海水水质分类第一类；或以发生事故时，危险物质泄漏</w:t>
            </w:r>
            <w:r>
              <w:rPr>
                <w:rFonts w:hint="default" w:ascii="Times New Roman" w:hAnsi="Times New Roman" w:cs="Times New Roman"/>
                <w:color w:val="auto"/>
                <w:spacing w:val="6"/>
                <w:sz w:val="21"/>
                <w:szCs w:val="21"/>
              </w:rPr>
              <w:t>到水体的排放点算起，排放进入受纳河流最</w:t>
            </w:r>
            <w:r>
              <w:rPr>
                <w:rFonts w:hint="default" w:ascii="Times New Roman" w:hAnsi="Times New Roman" w:cs="Times New Roman"/>
                <w:color w:val="auto"/>
                <w:spacing w:val="5"/>
                <w:sz w:val="21"/>
                <w:szCs w:val="21"/>
              </w:rPr>
              <w:t>大流速时，</w:t>
            </w:r>
            <w:r>
              <w:rPr>
                <w:rFonts w:hint="default" w:ascii="Times New Roman" w:hAnsi="Times New Roman" w:eastAsia="Calibri" w:cs="Times New Roman"/>
                <w:color w:val="auto"/>
                <w:spacing w:val="6"/>
                <w:sz w:val="21"/>
                <w:szCs w:val="21"/>
              </w:rPr>
              <w:t>24h</w:t>
            </w:r>
            <w:r>
              <w:rPr>
                <w:rFonts w:hint="default" w:ascii="Times New Roman" w:hAnsi="Times New Roman" w:cs="Times New Roman"/>
                <w:color w:val="auto"/>
                <w:spacing w:val="6"/>
                <w:sz w:val="21"/>
                <w:szCs w:val="21"/>
              </w:rPr>
              <w:t>流经范围内涉跨国界的</w:t>
            </w:r>
          </w:p>
        </w:tc>
        <w:tc>
          <w:tcPr>
            <w:tcW w:w="1042" w:type="pct"/>
            <w:vMerge w:val="restart"/>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项目周边纳污水体为厂区</w:t>
            </w:r>
            <w:r>
              <w:rPr>
                <w:rFonts w:hint="eastAsia" w:ascii="Times New Roman" w:hAnsi="Times New Roman" w:cs="Times New Roman"/>
                <w:color w:val="auto"/>
                <w:spacing w:val="9"/>
                <w:sz w:val="21"/>
                <w:szCs w:val="21"/>
                <w:lang w:eastAsia="zh-CN"/>
              </w:rPr>
              <w:t>南侧愚溪河</w:t>
            </w:r>
            <w:r>
              <w:rPr>
                <w:rFonts w:hint="default" w:ascii="Times New Roman" w:hAnsi="Times New Roman" w:cs="Times New Roman"/>
                <w:color w:val="auto"/>
                <w:spacing w:val="3"/>
                <w:sz w:val="21"/>
                <w:szCs w:val="21"/>
              </w:rPr>
              <w:t>以及东侧的湘江。</w:t>
            </w:r>
            <w:r>
              <w:rPr>
                <w:rFonts w:hint="default" w:ascii="Times New Roman" w:hAnsi="Times New Roman" w:eastAsia="Calibri" w:cs="Times New Roman"/>
                <w:color w:val="auto"/>
                <w:spacing w:val="3"/>
                <w:sz w:val="21"/>
                <w:szCs w:val="21"/>
              </w:rPr>
              <w:t>24h</w:t>
            </w:r>
            <w:r>
              <w:rPr>
                <w:rFonts w:hint="default" w:ascii="Times New Roman" w:hAnsi="Times New Roman" w:cs="Times New Roman"/>
                <w:color w:val="auto"/>
                <w:spacing w:val="3"/>
                <w:sz w:val="21"/>
                <w:szCs w:val="21"/>
              </w:rPr>
              <w:t>流</w:t>
            </w:r>
            <w:r>
              <w:rPr>
                <w:rFonts w:hint="default" w:ascii="Times New Roman" w:hAnsi="Times New Roman" w:cs="Times New Roman"/>
                <w:color w:val="auto"/>
                <w:spacing w:val="2"/>
                <w:sz w:val="21"/>
                <w:szCs w:val="21"/>
              </w:rPr>
              <w:t>经范围内未涉省界。判定本项目</w:t>
            </w:r>
            <w:r>
              <w:rPr>
                <w:rFonts w:hint="default" w:ascii="Times New Roman" w:hAnsi="Times New Roman" w:cs="Times New Roman"/>
                <w:color w:val="auto"/>
                <w:spacing w:val="5"/>
                <w:sz w:val="21"/>
                <w:szCs w:val="21"/>
              </w:rPr>
              <w:t>地表水环境敏感性为</w:t>
            </w:r>
            <w:r>
              <w:rPr>
                <w:rFonts w:hint="default" w:ascii="Times New Roman" w:hAnsi="Times New Roman" w:eastAsia="Calibri" w:cs="Times New Roman"/>
                <w:color w:val="auto"/>
                <w:spacing w:val="5"/>
                <w:sz w:val="21"/>
                <w:szCs w:val="21"/>
              </w:rPr>
              <w:t>F3</w:t>
            </w:r>
            <w:r>
              <w:rPr>
                <w:rFonts w:hint="default" w:ascii="Times New Roman" w:hAnsi="Times New Roman" w:cs="Times New Roman"/>
                <w:color w:val="auto"/>
                <w:spacing w:val="5"/>
                <w:sz w:val="21"/>
                <w:szCs w:val="21"/>
              </w:rPr>
              <w:t>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较敏感</w:t>
            </w:r>
            <w:r>
              <w:rPr>
                <w:rFonts w:hint="default" w:ascii="Times New Roman" w:hAnsi="Times New Roman" w:eastAsia="Calibri" w:cs="Times New Roman"/>
                <w:color w:val="auto"/>
                <w:spacing w:val="2"/>
                <w:sz w:val="21"/>
                <w:szCs w:val="21"/>
              </w:rPr>
              <w:t>F2</w:t>
            </w:r>
          </w:p>
        </w:tc>
        <w:tc>
          <w:tcPr>
            <w:tcW w:w="3261" w:type="pct"/>
            <w:tcBorders>
              <w:tl2br w:val="nil"/>
              <w:tr2bl w:val="nil"/>
            </w:tcBorders>
            <w:vAlign w:val="top"/>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排放点进入地表水水域环境功能为Ⅲ类，或海水水质分类第二类；或以发生事故时，危险物质泄漏到水体</w:t>
            </w:r>
            <w:r>
              <w:rPr>
                <w:rFonts w:hint="default" w:ascii="Times New Roman" w:hAnsi="Times New Roman" w:cs="Times New Roman"/>
                <w:color w:val="auto"/>
                <w:spacing w:val="8"/>
                <w:sz w:val="21"/>
                <w:szCs w:val="21"/>
              </w:rPr>
              <w:t>的排放点算起，排放进入受纳河流最大流速时，</w:t>
            </w:r>
            <w:r>
              <w:rPr>
                <w:rFonts w:hint="default" w:ascii="Times New Roman" w:hAnsi="Times New Roman" w:eastAsia="Calibri" w:cs="Times New Roman"/>
                <w:color w:val="auto"/>
                <w:spacing w:val="8"/>
                <w:sz w:val="21"/>
                <w:szCs w:val="21"/>
              </w:rPr>
              <w:t>24h</w:t>
            </w:r>
            <w:r>
              <w:rPr>
                <w:rFonts w:hint="default" w:ascii="Times New Roman" w:hAnsi="Times New Roman" w:cs="Times New Roman"/>
                <w:color w:val="auto"/>
                <w:spacing w:val="8"/>
                <w:sz w:val="21"/>
                <w:szCs w:val="21"/>
              </w:rPr>
              <w:t>流经范围内涉跨省界的</w:t>
            </w:r>
          </w:p>
        </w:tc>
        <w:tc>
          <w:tcPr>
            <w:tcW w:w="1042" w:type="pct"/>
            <w:vMerge w:val="continue"/>
            <w:tcBorders>
              <w:tl2br w:val="nil"/>
              <w:tr2bl w:val="nil"/>
            </w:tcBorders>
            <w:vAlign w:val="top"/>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6"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低敏感</w:t>
            </w:r>
            <w:r>
              <w:rPr>
                <w:rFonts w:hint="default" w:ascii="Times New Roman" w:hAnsi="Times New Roman" w:eastAsia="Calibri" w:cs="Times New Roman"/>
                <w:color w:val="auto"/>
                <w:spacing w:val="2"/>
                <w:sz w:val="21"/>
                <w:szCs w:val="21"/>
              </w:rPr>
              <w:t>F3</w:t>
            </w:r>
          </w:p>
        </w:tc>
        <w:tc>
          <w:tcPr>
            <w:tcW w:w="3261" w:type="pct"/>
            <w:tcBorders>
              <w:tl2br w:val="nil"/>
              <w:tr2bl w:val="nil"/>
            </w:tcBorders>
            <w:vAlign w:val="center"/>
          </w:tcPr>
          <w:p>
            <w:pPr>
              <w:pStyle w:val="3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上述地区之外的其他地区</w:t>
            </w:r>
          </w:p>
        </w:tc>
        <w:tc>
          <w:tcPr>
            <w:tcW w:w="1042" w:type="pct"/>
            <w:vMerge w:val="continue"/>
            <w:tcBorders>
              <w:tl2br w:val="nil"/>
              <w:tr2bl w:val="nil"/>
            </w:tcBorders>
            <w:vAlign w:val="top"/>
          </w:tcPr>
          <w:p>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根据上表可知，项目地表水环境敏感特征为低敏感F3级。</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环境敏感目标分级表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59"/>
        <w:gridCol w:w="5790"/>
        <w:gridCol w:w="177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5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S1</w:t>
            </w:r>
          </w:p>
        </w:tc>
        <w:tc>
          <w:tcPr>
            <w:tcW w:w="3476" w:type="pct"/>
            <w:tcBorders>
              <w:tl2br w:val="nil"/>
              <w:tr2bl w:val="nil"/>
            </w:tcBorders>
            <w:vAlign w:val="top"/>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发生事故时，危险物质泄漏到内陆水体的排放点下游（顺</w:t>
            </w:r>
            <w:r>
              <w:rPr>
                <w:rFonts w:hint="default" w:ascii="Times New Roman" w:hAnsi="Times New Roman" w:cs="Times New Roman"/>
                <w:color w:val="auto"/>
                <w:spacing w:val="8"/>
                <w:sz w:val="21"/>
                <w:szCs w:val="21"/>
              </w:rPr>
              <w:t>水流向）</w:t>
            </w:r>
            <w:r>
              <w:rPr>
                <w:rFonts w:hint="default" w:ascii="Times New Roman" w:hAnsi="Times New Roman" w:eastAsia="Calibri" w:cs="Times New Roman"/>
                <w:color w:val="auto"/>
                <w:spacing w:val="8"/>
                <w:sz w:val="21"/>
                <w:szCs w:val="21"/>
              </w:rPr>
              <w:t>10</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8"/>
                <w:sz w:val="21"/>
                <w:szCs w:val="21"/>
              </w:rPr>
              <w:t>范围内、近岸海域一个潮周期水质点可能达到的</w:t>
            </w:r>
            <w:r>
              <w:rPr>
                <w:rFonts w:hint="default" w:ascii="Times New Roman" w:hAnsi="Times New Roman" w:cs="Times New Roman"/>
                <w:color w:val="auto"/>
                <w:spacing w:val="7"/>
                <w:sz w:val="21"/>
                <w:szCs w:val="21"/>
              </w:rPr>
              <w:t>最大水平距离</w:t>
            </w:r>
            <w:r>
              <w:rPr>
                <w:rFonts w:hint="default" w:ascii="Times New Roman" w:hAnsi="Times New Roman" w:cs="Times New Roman"/>
                <w:color w:val="auto"/>
                <w:spacing w:val="11"/>
                <w:sz w:val="21"/>
                <w:szCs w:val="21"/>
              </w:rPr>
              <w:t>的两倍范围内，有如下一类或多类环境风险受</w:t>
            </w:r>
            <w:r>
              <w:rPr>
                <w:rFonts w:hint="default" w:ascii="Times New Roman" w:hAnsi="Times New Roman" w:cs="Times New Roman"/>
                <w:color w:val="auto"/>
                <w:spacing w:val="10"/>
                <w:sz w:val="21"/>
                <w:szCs w:val="21"/>
              </w:rPr>
              <w:t>体：集中式地表水饮用水水源保护区（包括一级保护区、二级保护区及准保护区</w:t>
            </w:r>
            <w:r>
              <w:rPr>
                <w:rFonts w:hint="default" w:ascii="Times New Roman" w:hAnsi="Times New Roman" w:cs="Times New Roman"/>
                <w:color w:val="auto"/>
                <w:spacing w:val="20"/>
                <w:sz w:val="21"/>
                <w:szCs w:val="21"/>
              </w:rPr>
              <w:t>）；</w:t>
            </w:r>
            <w:r>
              <w:rPr>
                <w:rFonts w:hint="default" w:ascii="Times New Roman" w:hAnsi="Times New Roman" w:cs="Times New Roman"/>
                <w:color w:val="auto"/>
                <w:spacing w:val="10"/>
                <w:sz w:val="21"/>
                <w:szCs w:val="21"/>
              </w:rPr>
              <w:t>农</w:t>
            </w:r>
            <w:r>
              <w:rPr>
                <w:rFonts w:hint="default" w:ascii="Times New Roman" w:hAnsi="Times New Roman" w:cs="Times New Roman"/>
                <w:color w:val="auto"/>
                <w:spacing w:val="9"/>
                <w:sz w:val="21"/>
                <w:szCs w:val="21"/>
              </w:rPr>
              <w:t>村及分散式饮用水水源保护区；自然保护区；重要湿地；</w:t>
            </w:r>
            <w:r>
              <w:rPr>
                <w:rFonts w:hint="default" w:ascii="Times New Roman" w:hAnsi="Times New Roman" w:cs="Times New Roman"/>
                <w:color w:val="auto"/>
                <w:spacing w:val="8"/>
                <w:sz w:val="21"/>
                <w:szCs w:val="21"/>
              </w:rPr>
              <w:t>珍稀濒危</w:t>
            </w:r>
            <w:r>
              <w:rPr>
                <w:rFonts w:hint="default" w:ascii="Times New Roman" w:hAnsi="Times New Roman" w:cs="Times New Roman"/>
                <w:color w:val="auto"/>
                <w:spacing w:val="7"/>
                <w:sz w:val="21"/>
                <w:szCs w:val="21"/>
              </w:rPr>
              <w:t>野生动植物天然集中分布区；重要水生生物的自然产卵场及索饵场、</w:t>
            </w:r>
            <w:r>
              <w:rPr>
                <w:rFonts w:hint="default" w:ascii="Times New Roman" w:hAnsi="Times New Roman" w:cs="Times New Roman"/>
                <w:color w:val="auto"/>
                <w:spacing w:val="11"/>
                <w:sz w:val="21"/>
                <w:szCs w:val="21"/>
              </w:rPr>
              <w:t>越冬场和洄游通道；世界文化和自然遗产地；</w:t>
            </w:r>
            <w:r>
              <w:rPr>
                <w:rFonts w:hint="default" w:ascii="Times New Roman" w:hAnsi="Times New Roman" w:cs="Times New Roman"/>
                <w:color w:val="auto"/>
                <w:spacing w:val="10"/>
                <w:sz w:val="21"/>
                <w:szCs w:val="21"/>
              </w:rPr>
              <w:t>红树林、珊瑚礁等滨</w:t>
            </w:r>
            <w:r>
              <w:rPr>
                <w:rFonts w:hint="default" w:ascii="Times New Roman" w:hAnsi="Times New Roman" w:cs="Times New Roman"/>
                <w:color w:val="auto"/>
                <w:spacing w:val="11"/>
                <w:sz w:val="21"/>
                <w:szCs w:val="21"/>
              </w:rPr>
              <w:t>海湿地生态系统；珍稀、濒危海洋生物的天然</w:t>
            </w:r>
            <w:r>
              <w:rPr>
                <w:rFonts w:hint="default" w:ascii="Times New Roman" w:hAnsi="Times New Roman" w:cs="Times New Roman"/>
                <w:color w:val="auto"/>
                <w:spacing w:val="10"/>
                <w:sz w:val="21"/>
                <w:szCs w:val="21"/>
              </w:rPr>
              <w:t>集中分布区；海洋特</w:t>
            </w:r>
            <w:r>
              <w:rPr>
                <w:rFonts w:hint="default" w:ascii="Times New Roman" w:hAnsi="Times New Roman" w:cs="Times New Roman"/>
                <w:color w:val="auto"/>
                <w:spacing w:val="11"/>
                <w:sz w:val="21"/>
                <w:szCs w:val="21"/>
              </w:rPr>
              <w:t>别保护区；海上自然保护区；盐场保护区；海</w:t>
            </w:r>
            <w:r>
              <w:rPr>
                <w:rFonts w:hint="default" w:ascii="Times New Roman" w:hAnsi="Times New Roman" w:cs="Times New Roman"/>
                <w:color w:val="auto"/>
                <w:spacing w:val="10"/>
                <w:sz w:val="21"/>
                <w:szCs w:val="21"/>
              </w:rPr>
              <w:t>水浴场；海洋自然历</w:t>
            </w:r>
            <w:r>
              <w:rPr>
                <w:rFonts w:hint="default" w:ascii="Times New Roman" w:hAnsi="Times New Roman" w:cs="Times New Roman"/>
                <w:color w:val="auto"/>
                <w:spacing w:val="9"/>
                <w:sz w:val="21"/>
                <w:szCs w:val="21"/>
              </w:rPr>
              <w:t>史遗迹；风景名胜区；或其他特殊重要保护区域</w:t>
            </w:r>
          </w:p>
        </w:tc>
        <w:tc>
          <w:tcPr>
            <w:tcW w:w="1067" w:type="pct"/>
            <w:vMerge w:val="restart"/>
            <w:tcBorders>
              <w:tl2br w:val="nil"/>
              <w:tr2bl w:val="nil"/>
            </w:tcBorders>
            <w:vAlign w:val="top"/>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本项目周边无地表水体，危险物质泄漏主要通过市政雨水管网</w:t>
            </w:r>
            <w:r>
              <w:rPr>
                <w:rFonts w:hint="default" w:ascii="Times New Roman" w:hAnsi="Times New Roman" w:cs="Times New Roman"/>
                <w:color w:val="auto"/>
                <w:spacing w:val="9"/>
                <w:sz w:val="21"/>
                <w:szCs w:val="21"/>
              </w:rPr>
              <w:t>排入周边水体内，危</w:t>
            </w:r>
            <w:r>
              <w:rPr>
                <w:rFonts w:hint="default" w:ascii="Times New Roman" w:hAnsi="Times New Roman" w:cs="Times New Roman"/>
                <w:color w:val="auto"/>
                <w:spacing w:val="7"/>
                <w:sz w:val="21"/>
                <w:szCs w:val="21"/>
              </w:rPr>
              <w:t>险排放点下游（顺水</w:t>
            </w:r>
            <w:r>
              <w:rPr>
                <w:rFonts w:hint="default" w:ascii="Times New Roman" w:hAnsi="Times New Roman" w:cs="Times New Roman"/>
                <w:color w:val="auto"/>
                <w:spacing w:val="-3"/>
                <w:sz w:val="21"/>
                <w:szCs w:val="21"/>
              </w:rPr>
              <w:t>流向）</w:t>
            </w:r>
            <w:r>
              <w:rPr>
                <w:rFonts w:hint="default" w:ascii="Times New Roman" w:hAnsi="Times New Roman" w:eastAsia="Calibri" w:cs="Times New Roman"/>
                <w:color w:val="auto"/>
                <w:spacing w:val="-3"/>
                <w:sz w:val="21"/>
                <w:szCs w:val="21"/>
              </w:rPr>
              <w:t>10km</w:t>
            </w:r>
            <w:r>
              <w:rPr>
                <w:rFonts w:hint="default" w:ascii="Times New Roman" w:hAnsi="Times New Roman" w:cs="Times New Roman"/>
                <w:color w:val="auto"/>
                <w:spacing w:val="-3"/>
                <w:sz w:val="21"/>
                <w:szCs w:val="21"/>
              </w:rPr>
              <w:t>范围无类</w:t>
            </w:r>
            <w:r>
              <w:rPr>
                <w:rFonts w:hint="default" w:ascii="Times New Roman" w:hAnsi="Times New Roman" w:cs="Times New Roman"/>
                <w:color w:val="auto"/>
                <w:spacing w:val="1"/>
                <w:sz w:val="21"/>
                <w:szCs w:val="21"/>
              </w:rPr>
              <w:t>型</w:t>
            </w:r>
            <w:r>
              <w:rPr>
                <w:rFonts w:hint="default" w:ascii="Times New Roman" w:hAnsi="Times New Roman" w:eastAsia="Calibri" w:cs="Times New Roman"/>
                <w:color w:val="auto"/>
                <w:spacing w:val="1"/>
                <w:sz w:val="21"/>
                <w:szCs w:val="21"/>
              </w:rPr>
              <w:t>1</w:t>
            </w:r>
            <w:r>
              <w:rPr>
                <w:rFonts w:hint="default" w:ascii="Times New Roman" w:hAnsi="Times New Roman" w:cs="Times New Roman"/>
                <w:color w:val="auto"/>
                <w:spacing w:val="1"/>
                <w:sz w:val="21"/>
                <w:szCs w:val="21"/>
              </w:rPr>
              <w:t>和类型</w:t>
            </w:r>
            <w:r>
              <w:rPr>
                <w:rFonts w:hint="default" w:ascii="Times New Roman" w:hAnsi="Times New Roman" w:eastAsia="Calibri" w:cs="Times New Roman"/>
                <w:color w:val="auto"/>
                <w:spacing w:val="1"/>
                <w:sz w:val="21"/>
                <w:szCs w:val="21"/>
              </w:rPr>
              <w:t>2</w:t>
            </w:r>
            <w:r>
              <w:rPr>
                <w:rFonts w:hint="default" w:ascii="Times New Roman" w:hAnsi="Times New Roman" w:cs="Times New Roman"/>
                <w:color w:val="auto"/>
                <w:spacing w:val="1"/>
                <w:sz w:val="21"/>
                <w:szCs w:val="21"/>
              </w:rPr>
              <w:t>包括的</w:t>
            </w:r>
            <w:r>
              <w:rPr>
                <w:rFonts w:hint="default" w:ascii="Times New Roman" w:hAnsi="Times New Roman" w:cs="Times New Roman"/>
                <w:color w:val="auto"/>
                <w:spacing w:val="8"/>
                <w:sz w:val="21"/>
                <w:szCs w:val="21"/>
              </w:rPr>
              <w:t>敏感目标，判定本项</w:t>
            </w:r>
            <w:r>
              <w:rPr>
                <w:rFonts w:hint="default" w:ascii="Times New Roman" w:hAnsi="Times New Roman" w:cs="Times New Roman"/>
                <w:color w:val="auto"/>
                <w:spacing w:val="4"/>
                <w:sz w:val="21"/>
                <w:szCs w:val="21"/>
              </w:rPr>
              <w:t>目环境敏感目标敏感</w:t>
            </w:r>
            <w:r>
              <w:rPr>
                <w:rFonts w:hint="default" w:ascii="Times New Roman" w:hAnsi="Times New Roman" w:cs="Times New Roman"/>
                <w:color w:val="auto"/>
                <w:spacing w:val="1"/>
                <w:sz w:val="21"/>
                <w:szCs w:val="21"/>
              </w:rPr>
              <w:t>性为</w:t>
            </w:r>
            <w:r>
              <w:rPr>
                <w:rFonts w:hint="default" w:ascii="Times New Roman" w:hAnsi="Times New Roman" w:eastAsia="Calibri" w:cs="Times New Roman"/>
                <w:color w:val="auto"/>
                <w:spacing w:val="1"/>
                <w:sz w:val="21"/>
                <w:szCs w:val="21"/>
              </w:rPr>
              <w:t>S3</w:t>
            </w:r>
            <w:r>
              <w:rPr>
                <w:rFonts w:hint="default" w:ascii="Times New Roman" w:hAnsi="Times New Roman" w:cs="Times New Roman"/>
                <w:color w:val="auto"/>
                <w:spacing w:val="1"/>
                <w:sz w:val="21"/>
                <w:szCs w:val="21"/>
              </w:rPr>
              <w:t>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5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S2</w:t>
            </w:r>
          </w:p>
        </w:tc>
        <w:tc>
          <w:tcPr>
            <w:tcW w:w="3476" w:type="pct"/>
            <w:tcBorders>
              <w:tl2br w:val="nil"/>
              <w:tr2bl w:val="nil"/>
            </w:tcBorders>
            <w:shd w:val="clear" w:color="auto" w:fill="auto"/>
            <w:vAlign w:val="top"/>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9"/>
                <w:sz w:val="21"/>
                <w:szCs w:val="21"/>
              </w:rPr>
              <w:t>发生事故时，危险物质泄漏到内陆水体的排放点下游（顺</w:t>
            </w:r>
            <w:r>
              <w:rPr>
                <w:rFonts w:hint="default" w:ascii="Times New Roman" w:hAnsi="Times New Roman" w:cs="Times New Roman"/>
                <w:color w:val="auto"/>
                <w:spacing w:val="8"/>
                <w:sz w:val="21"/>
                <w:szCs w:val="21"/>
              </w:rPr>
              <w:t>水流向）</w:t>
            </w:r>
            <w:r>
              <w:rPr>
                <w:rFonts w:hint="default" w:ascii="Times New Roman" w:hAnsi="Times New Roman" w:eastAsia="Calibri" w:cs="Times New Roman"/>
                <w:color w:val="auto"/>
                <w:spacing w:val="5"/>
                <w:sz w:val="21"/>
                <w:szCs w:val="21"/>
              </w:rPr>
              <w:t>10</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5"/>
                <w:sz w:val="21"/>
                <w:szCs w:val="21"/>
              </w:rPr>
              <w:t>范围内、近岸海域一个潮周期水质点可能达到的最大水平距离</w:t>
            </w:r>
            <w:r>
              <w:rPr>
                <w:rFonts w:hint="default" w:ascii="Times New Roman" w:hAnsi="Times New Roman" w:cs="Times New Roman"/>
                <w:color w:val="auto"/>
                <w:spacing w:val="10"/>
                <w:sz w:val="21"/>
                <w:szCs w:val="21"/>
              </w:rPr>
              <w:t>的两倍范围内，有如下一类或多类环境风险受体游览区；具有重要</w:t>
            </w:r>
            <w:r>
              <w:rPr>
                <w:rFonts w:hint="default" w:ascii="Times New Roman" w:hAnsi="Times New Roman" w:cs="Times New Roman"/>
                <w:color w:val="auto"/>
                <w:spacing w:val="9"/>
                <w:sz w:val="21"/>
                <w:szCs w:val="21"/>
              </w:rPr>
              <w:t>经济价值的海洋生物生存区域</w:t>
            </w:r>
          </w:p>
        </w:tc>
        <w:tc>
          <w:tcPr>
            <w:tcW w:w="1067" w:type="pct"/>
            <w:vMerge w:val="continue"/>
            <w:tcBorders>
              <w:tl2br w:val="nil"/>
              <w:tr2bl w:val="nil"/>
            </w:tcBorders>
            <w:vAlign w:val="top"/>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1"/>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56"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S3</w:t>
            </w:r>
          </w:p>
        </w:tc>
        <w:tc>
          <w:tcPr>
            <w:tcW w:w="3476" w:type="pct"/>
            <w:tcBorders>
              <w:tl2br w:val="nil"/>
              <w:tr2bl w:val="nil"/>
            </w:tcBorders>
            <w:shd w:val="clear" w:color="auto" w:fill="auto"/>
            <w:vAlign w:val="top"/>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8"/>
                <w:sz w:val="21"/>
                <w:szCs w:val="21"/>
              </w:rPr>
              <w:t>排放点下游（顺水流向）</w:t>
            </w:r>
            <w:r>
              <w:rPr>
                <w:rFonts w:hint="default" w:ascii="Times New Roman" w:hAnsi="Times New Roman" w:eastAsia="Calibri" w:cs="Times New Roman"/>
                <w:color w:val="auto"/>
                <w:spacing w:val="8"/>
                <w:sz w:val="21"/>
                <w:szCs w:val="21"/>
              </w:rPr>
              <w:t>10</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8"/>
                <w:sz w:val="21"/>
                <w:szCs w:val="21"/>
              </w:rPr>
              <w:t>范围、近岸海域一个潮</w:t>
            </w:r>
            <w:r>
              <w:rPr>
                <w:rFonts w:hint="default" w:ascii="Times New Roman" w:hAnsi="Times New Roman" w:cs="Times New Roman"/>
                <w:color w:val="auto"/>
                <w:spacing w:val="7"/>
                <w:sz w:val="21"/>
                <w:szCs w:val="21"/>
              </w:rPr>
              <w:t>周期水质点可能达到的最大水平距离的两倍范围内无上述类型</w:t>
            </w:r>
            <w:r>
              <w:rPr>
                <w:rFonts w:hint="default" w:ascii="Times New Roman" w:hAnsi="Times New Roman" w:eastAsia="Calibri" w:cs="Times New Roman"/>
                <w:color w:val="auto"/>
                <w:spacing w:val="7"/>
                <w:sz w:val="21"/>
                <w:szCs w:val="21"/>
              </w:rPr>
              <w:t>1</w:t>
            </w:r>
            <w:r>
              <w:rPr>
                <w:rFonts w:hint="default" w:ascii="Times New Roman" w:hAnsi="Times New Roman" w:cs="Times New Roman"/>
                <w:color w:val="auto"/>
                <w:spacing w:val="7"/>
                <w:sz w:val="21"/>
                <w:szCs w:val="21"/>
              </w:rPr>
              <w:t>和类型</w:t>
            </w:r>
            <w:r>
              <w:rPr>
                <w:rFonts w:hint="default" w:ascii="Times New Roman" w:hAnsi="Times New Roman" w:eastAsia="Calibri" w:cs="Times New Roman"/>
                <w:color w:val="auto"/>
                <w:spacing w:val="7"/>
                <w:sz w:val="21"/>
                <w:szCs w:val="21"/>
              </w:rPr>
              <w:t>2</w:t>
            </w:r>
            <w:r>
              <w:rPr>
                <w:rFonts w:hint="default" w:ascii="Times New Roman" w:hAnsi="Times New Roman" w:cs="Times New Roman"/>
                <w:color w:val="auto"/>
                <w:spacing w:val="7"/>
                <w:sz w:val="21"/>
                <w:szCs w:val="21"/>
              </w:rPr>
              <w:t>包括的</w:t>
            </w:r>
            <w:r>
              <w:rPr>
                <w:rFonts w:hint="default" w:ascii="Times New Roman" w:hAnsi="Times New Roman" w:cs="Times New Roman"/>
                <w:color w:val="auto"/>
                <w:spacing w:val="8"/>
                <w:sz w:val="21"/>
                <w:szCs w:val="21"/>
              </w:rPr>
              <w:t>敏感保护目标</w:t>
            </w:r>
          </w:p>
        </w:tc>
        <w:tc>
          <w:tcPr>
            <w:tcW w:w="1067" w:type="pct"/>
            <w:vMerge w:val="continue"/>
            <w:tcBorders>
              <w:tl2br w:val="nil"/>
              <w:tr2bl w:val="nil"/>
            </w:tcBorders>
            <w:vAlign w:val="top"/>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hint="default" w:ascii="Times New Roman" w:hAnsi="Times New Roman" w:cs="Times New Roman"/>
                <w:color w:val="auto"/>
                <w:spacing w:val="1"/>
                <w:sz w:val="21"/>
                <w:szCs w:val="21"/>
              </w:rPr>
            </w:pP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根据上表可知，项目环境敏感目标分级为S3级。</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地表水环境敏感程度分级表</w:t>
      </w: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88"/>
        <w:gridCol w:w="2021"/>
        <w:gridCol w:w="2021"/>
        <w:gridCol w:w="202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环境敏感目标</w:t>
            </w:r>
          </w:p>
        </w:tc>
        <w:tc>
          <w:tcPr>
            <w:tcW w:w="3630"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地表水功能敏感性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5"/>
                <w:sz w:val="21"/>
                <w:szCs w:val="21"/>
              </w:rPr>
              <w:t>F1</w:t>
            </w: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5"/>
                <w:sz w:val="21"/>
                <w:szCs w:val="21"/>
              </w:rPr>
              <w:t>F2</w:t>
            </w:r>
          </w:p>
        </w:tc>
        <w:tc>
          <w:tcPr>
            <w:tcW w:w="1210" w:type="pct"/>
            <w:tcBorders>
              <w:tl2br w:val="nil"/>
              <w:tr2bl w:val="nil"/>
            </w:tcBorders>
            <w:shd w:val="clear" w:color="auto" w:fill="A6A6A6"/>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pacing w:val="-5"/>
                <w:sz w:val="21"/>
                <w:szCs w:val="21"/>
              </w:rPr>
              <w:t>F3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S1</w:t>
            </w: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E1</w:t>
            </w: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E1</w:t>
            </w:r>
          </w:p>
        </w:tc>
        <w:tc>
          <w:tcPr>
            <w:tcW w:w="121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S2</w:t>
            </w: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E1</w:t>
            </w: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E2</w:t>
            </w:r>
          </w:p>
        </w:tc>
        <w:tc>
          <w:tcPr>
            <w:tcW w:w="121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tcBorders>
              <w:tl2br w:val="nil"/>
              <w:tr2bl w:val="nil"/>
            </w:tcBorders>
            <w:shd w:val="clear" w:color="auto" w:fill="A6A6A6"/>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S3</w:t>
            </w: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E1</w:t>
            </w:r>
          </w:p>
        </w:tc>
        <w:tc>
          <w:tcPr>
            <w:tcW w:w="120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E2</w:t>
            </w:r>
          </w:p>
        </w:tc>
        <w:tc>
          <w:tcPr>
            <w:tcW w:w="1210" w:type="pct"/>
            <w:tcBorders>
              <w:tl2br w:val="nil"/>
              <w:tr2bl w:val="nil"/>
            </w:tcBorders>
            <w:shd w:val="clear" w:color="auto" w:fill="A6A6A6"/>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E3</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根据上表可知，本项目地表水环境敏感程度分级为E3级。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③地下水环境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项目地下水功能敏感性分区</w:t>
      </w:r>
      <w:r>
        <w:rPr>
          <w:rFonts w:hint="eastAsia" w:ascii="Times New Roman" w:hAnsi="Times New Roman" w:eastAsia="宋体" w:cs="Times New Roman"/>
          <w:color w:val="auto"/>
          <w:szCs w:val="28"/>
          <w:u w:val="none" w:color="auto"/>
          <w:lang w:val="en-US" w:eastAsia="zh-CN"/>
        </w:rPr>
        <w:t>见</w:t>
      </w:r>
      <w:r>
        <w:rPr>
          <w:rFonts w:hint="default" w:ascii="Times New Roman" w:hAnsi="Times New Roman" w:cs="Times New Roman"/>
          <w:color w:val="auto"/>
          <w:szCs w:val="28"/>
          <w:u w:val="none" w:color="auto"/>
        </w:rPr>
        <w:t>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.4-6，包气带防污性能分级见表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.4-7，地下水环境敏感程度分级见表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.4-8。</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地下水功能敏感性分区表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15"/>
        <w:gridCol w:w="5786"/>
        <w:gridCol w:w="132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分级</w:t>
            </w:r>
          </w:p>
        </w:tc>
        <w:tc>
          <w:tcPr>
            <w:tcW w:w="347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地下水环境敏感特征</w:t>
            </w:r>
          </w:p>
        </w:tc>
        <w:tc>
          <w:tcPr>
            <w:tcW w:w="7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本项目判定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sz w:val="21"/>
                <w:szCs w:val="21"/>
              </w:rPr>
              <w:t>敏感</w:t>
            </w:r>
            <w:r>
              <w:rPr>
                <w:rFonts w:hint="default" w:ascii="Times New Roman" w:hAnsi="Times New Roman" w:eastAsia="Calibri" w:cs="Times New Roman"/>
                <w:color w:val="auto"/>
                <w:spacing w:val="2"/>
                <w:sz w:val="21"/>
                <w:szCs w:val="21"/>
              </w:rPr>
              <w:t>G1</w:t>
            </w:r>
          </w:p>
        </w:tc>
        <w:tc>
          <w:tcPr>
            <w:tcW w:w="347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c>
          <w:tcPr>
            <w:tcW w:w="794"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项目位于其他地</w:t>
            </w:r>
            <w:r>
              <w:rPr>
                <w:rFonts w:hint="default" w:ascii="Times New Roman" w:hAnsi="Times New Roman" w:cs="Times New Roman"/>
                <w:color w:val="auto"/>
                <w:spacing w:val="6"/>
                <w:sz w:val="21"/>
                <w:szCs w:val="21"/>
              </w:rPr>
              <w:t>区。判定本项目地</w:t>
            </w:r>
            <w:r>
              <w:rPr>
                <w:rFonts w:hint="default" w:ascii="Times New Roman" w:hAnsi="Times New Roman" w:cs="Times New Roman"/>
                <w:color w:val="auto"/>
                <w:spacing w:val="7"/>
                <w:sz w:val="21"/>
                <w:szCs w:val="21"/>
              </w:rPr>
              <w:t>下水环境敏感特征</w:t>
            </w:r>
            <w:r>
              <w:rPr>
                <w:rFonts w:hint="default" w:ascii="Times New Roman" w:hAnsi="Times New Roman" w:cs="Times New Roman"/>
                <w:color w:val="auto"/>
                <w:spacing w:val="4"/>
                <w:sz w:val="21"/>
                <w:szCs w:val="21"/>
              </w:rPr>
              <w:t>为不敏感</w:t>
            </w:r>
            <w:r>
              <w:rPr>
                <w:rFonts w:hint="default" w:ascii="Times New Roman" w:hAnsi="Times New Roman" w:eastAsia="Calibri" w:cs="Times New Roman"/>
                <w:color w:val="auto"/>
                <w:spacing w:val="4"/>
                <w:sz w:val="21"/>
                <w:szCs w:val="21"/>
              </w:rPr>
              <w:t>G3</w:t>
            </w:r>
            <w:r>
              <w:rPr>
                <w:rFonts w:hint="default" w:ascii="Times New Roman" w:hAnsi="Times New Roman" w:cs="Times New Roman"/>
                <w:color w:val="auto"/>
                <w:spacing w:val="4"/>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4"/>
                <w:sz w:val="21"/>
                <w:szCs w:val="21"/>
              </w:rPr>
              <w:t>较敏感</w:t>
            </w:r>
            <w:r>
              <w:rPr>
                <w:rFonts w:hint="default" w:ascii="Times New Roman" w:hAnsi="Times New Roman" w:eastAsia="Calibri" w:cs="Times New Roman"/>
                <w:color w:val="auto"/>
                <w:spacing w:val="4"/>
                <w:sz w:val="21"/>
                <w:szCs w:val="21"/>
              </w:rPr>
              <w:t>G2</w:t>
            </w:r>
          </w:p>
        </w:tc>
        <w:tc>
          <w:tcPr>
            <w:tcW w:w="347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8"/>
                <w:sz w:val="21"/>
                <w:szCs w:val="21"/>
              </w:rPr>
              <w:t>集中式饮用水水源（包括已建成的在用、备用、应急水源在建和规划的饮用水水源）准保护区以外的补给径流区；未划定准保护区的集中式饮用水水源，其保护区以外的补给径流区；分</w:t>
            </w:r>
            <w:r>
              <w:rPr>
                <w:rFonts w:hint="default" w:ascii="Times New Roman" w:hAnsi="Times New Roman" w:cs="Times New Roman"/>
                <w:color w:val="auto"/>
                <w:spacing w:val="7"/>
                <w:sz w:val="21"/>
                <w:szCs w:val="21"/>
              </w:rPr>
              <w:t>散式饮</w:t>
            </w:r>
            <w:r>
              <w:rPr>
                <w:rFonts w:hint="default" w:ascii="Times New Roman" w:hAnsi="Times New Roman" w:cs="Times New Roman"/>
                <w:color w:val="auto"/>
                <w:spacing w:val="8"/>
                <w:sz w:val="21"/>
                <w:szCs w:val="21"/>
              </w:rPr>
              <w:t>用水水源地；特殊地下水资源（如热水、矿泉水、温泉等）保护区以外的分布区等其他未列入上述敏感分级的环境敏感区</w:t>
            </w:r>
            <w:r>
              <w:rPr>
                <w:rFonts w:hint="default" w:ascii="Times New Roman" w:hAnsi="Times New Roman" w:eastAsia="Calibri" w:cs="Times New Roman"/>
                <w:color w:val="auto"/>
                <w:spacing w:val="8"/>
                <w:position w:val="6"/>
                <w:sz w:val="21"/>
                <w:szCs w:val="21"/>
              </w:rPr>
              <w:t>a</w:t>
            </w:r>
          </w:p>
        </w:tc>
        <w:tc>
          <w:tcPr>
            <w:tcW w:w="79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3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3"/>
                <w:sz w:val="21"/>
                <w:szCs w:val="21"/>
              </w:rPr>
              <w:t>不敏感</w:t>
            </w:r>
            <w:r>
              <w:rPr>
                <w:rFonts w:hint="default" w:ascii="Times New Roman" w:hAnsi="Times New Roman" w:eastAsia="Calibri" w:cs="Times New Roman"/>
                <w:color w:val="auto"/>
                <w:spacing w:val="3"/>
                <w:sz w:val="21"/>
                <w:szCs w:val="21"/>
              </w:rPr>
              <w:t>G3</w:t>
            </w:r>
          </w:p>
        </w:tc>
        <w:tc>
          <w:tcPr>
            <w:tcW w:w="347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上述地区之外的其他地区</w:t>
            </w:r>
          </w:p>
        </w:tc>
        <w:tc>
          <w:tcPr>
            <w:tcW w:w="79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9"/>
                <w:sz w:val="21"/>
                <w:szCs w:val="21"/>
              </w:rPr>
              <w:t>a</w:t>
            </w:r>
            <w:r>
              <w:rPr>
                <w:rFonts w:hint="eastAsia" w:ascii="Times New Roman" w:hAnsi="Times New Roman" w:cs="Times New Roman"/>
                <w:color w:val="auto"/>
                <w:spacing w:val="9"/>
                <w:sz w:val="21"/>
                <w:szCs w:val="21"/>
                <w:lang w:eastAsia="zh-CN"/>
              </w:rPr>
              <w:t>“</w:t>
            </w:r>
            <w:r>
              <w:rPr>
                <w:rFonts w:hint="default" w:ascii="Times New Roman" w:hAnsi="Times New Roman" w:cs="Times New Roman"/>
                <w:color w:val="auto"/>
                <w:spacing w:val="9"/>
                <w:sz w:val="21"/>
                <w:szCs w:val="21"/>
              </w:rPr>
              <w:t>环境敏感区</w:t>
            </w:r>
            <w:r>
              <w:rPr>
                <w:rFonts w:hint="eastAsia" w:ascii="Times New Roman" w:hAnsi="Times New Roman" w:cs="Times New Roman"/>
                <w:color w:val="auto"/>
                <w:spacing w:val="9"/>
                <w:sz w:val="21"/>
                <w:szCs w:val="21"/>
                <w:lang w:eastAsia="zh-CN"/>
              </w:rPr>
              <w:t>”</w:t>
            </w:r>
            <w:r>
              <w:rPr>
                <w:rFonts w:hint="default" w:ascii="Times New Roman" w:hAnsi="Times New Roman" w:cs="Times New Roman"/>
                <w:color w:val="auto"/>
                <w:spacing w:val="9"/>
                <w:sz w:val="21"/>
                <w:szCs w:val="21"/>
              </w:rPr>
              <w:t>是指《建设项目环境影响评价分类管理名录》中所界定的涉及地下水的环</w:t>
            </w:r>
            <w:r>
              <w:rPr>
                <w:rFonts w:hint="default" w:ascii="Times New Roman" w:hAnsi="Times New Roman" w:cs="Times New Roman"/>
                <w:color w:val="auto"/>
                <w:spacing w:val="7"/>
                <w:sz w:val="21"/>
                <w:szCs w:val="21"/>
              </w:rPr>
              <w:t>境敏感区</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根据上表可知，项目地下水环境敏感特征为不敏感G3。</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包气带防污性能分级表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71"/>
        <w:gridCol w:w="4832"/>
        <w:gridCol w:w="282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3"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b/>
                <w:bCs/>
                <w:color w:val="auto"/>
                <w:spacing w:val="2"/>
                <w:sz w:val="21"/>
                <w:szCs w:val="21"/>
              </w:rPr>
              <w:t>分级</w:t>
            </w:r>
          </w:p>
        </w:tc>
        <w:tc>
          <w:tcPr>
            <w:tcW w:w="2901"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b/>
                <w:bCs/>
                <w:color w:val="auto"/>
                <w:spacing w:val="7"/>
                <w:sz w:val="21"/>
                <w:szCs w:val="21"/>
              </w:rPr>
              <w:t>包气带岩土的渗透性能</w:t>
            </w:r>
          </w:p>
        </w:tc>
        <w:tc>
          <w:tcPr>
            <w:tcW w:w="1695" w:type="pct"/>
            <w:tcBorders>
              <w:tl2br w:val="nil"/>
              <w:tr2bl w:val="nil"/>
            </w:tcBorders>
            <w:shd w:val="clear" w:color="auto" w:fill="auto"/>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b/>
                <w:bCs/>
                <w:color w:val="auto"/>
                <w:spacing w:val="6"/>
                <w:sz w:val="21"/>
                <w:szCs w:val="21"/>
              </w:rPr>
              <w:t>本项目判定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D3</w:t>
            </w:r>
          </w:p>
        </w:tc>
        <w:tc>
          <w:tcPr>
            <w:tcW w:w="29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position w:val="2"/>
                <w:sz w:val="21"/>
                <w:szCs w:val="21"/>
              </w:rPr>
              <w:t>Mb</w:t>
            </w:r>
            <w:r>
              <w:rPr>
                <w:rFonts w:hint="default" w:ascii="Times New Roman" w:hAnsi="Times New Roman" w:eastAsia="Calibri" w:cs="Times New Roman"/>
                <w:color w:val="auto"/>
                <w:spacing w:val="4"/>
                <w:position w:val="2"/>
                <w:sz w:val="21"/>
                <w:szCs w:val="21"/>
              </w:rPr>
              <w:t>≥1.0m</w:t>
            </w:r>
            <w:r>
              <w:rPr>
                <w:rFonts w:hint="default" w:ascii="Times New Roman" w:hAnsi="Times New Roman" w:cs="Times New Roman"/>
                <w:color w:val="auto"/>
                <w:spacing w:val="4"/>
                <w:position w:val="2"/>
                <w:sz w:val="21"/>
                <w:szCs w:val="21"/>
              </w:rPr>
              <w:t>，</w:t>
            </w:r>
            <w:r>
              <w:rPr>
                <w:rFonts w:hint="default" w:ascii="Times New Roman" w:hAnsi="Times New Roman" w:eastAsia="Calibri" w:cs="Times New Roman"/>
                <w:color w:val="auto"/>
                <w:spacing w:val="4"/>
                <w:position w:val="2"/>
                <w:sz w:val="21"/>
                <w:szCs w:val="21"/>
              </w:rPr>
              <w:t>K≤1.0×10</w:t>
            </w:r>
            <w:r>
              <w:rPr>
                <w:rFonts w:hint="eastAsia" w:ascii="Times New Roman" w:hAnsi="Times New Roman" w:eastAsia="宋体" w:cs="Times New Roman"/>
                <w:color w:val="auto"/>
                <w:spacing w:val="4"/>
                <w:position w:val="2"/>
                <w:sz w:val="21"/>
                <w:szCs w:val="21"/>
                <w:vertAlign w:val="superscript"/>
                <w:lang w:val="en-US" w:eastAsia="zh-CN"/>
              </w:rPr>
              <w:t>-6</w:t>
            </w:r>
            <w:r>
              <w:rPr>
                <w:rFonts w:hint="default" w:ascii="Times New Roman" w:hAnsi="Times New Roman" w:eastAsia="Calibri" w:cs="Times New Roman"/>
                <w:color w:val="auto"/>
                <w:position w:val="2"/>
                <w:sz w:val="21"/>
                <w:szCs w:val="21"/>
              </w:rPr>
              <w:t>cm</w:t>
            </w:r>
            <w:r>
              <w:rPr>
                <w:rFonts w:hint="default" w:ascii="Times New Roman" w:hAnsi="Times New Roman" w:eastAsia="Calibri" w:cs="Times New Roman"/>
                <w:color w:val="auto"/>
                <w:spacing w:val="4"/>
                <w:position w:val="2"/>
                <w:sz w:val="21"/>
                <w:szCs w:val="21"/>
              </w:rPr>
              <w:t>/s</w:t>
            </w:r>
            <w:r>
              <w:rPr>
                <w:rFonts w:hint="default" w:ascii="Times New Roman" w:hAnsi="Times New Roman" w:cs="Times New Roman"/>
                <w:color w:val="auto"/>
                <w:spacing w:val="4"/>
                <w:position w:val="2"/>
                <w:sz w:val="21"/>
                <w:szCs w:val="21"/>
              </w:rPr>
              <w:t>，且分布连续、稳定</w:t>
            </w:r>
          </w:p>
        </w:tc>
        <w:tc>
          <w:tcPr>
            <w:tcW w:w="1695"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项目厂区均已硬化</w:t>
            </w:r>
            <w:r>
              <w:rPr>
                <w:rFonts w:hint="default" w:ascii="Times New Roman" w:hAnsi="Times New Roman" w:eastAsia="Calibri" w:cs="Times New Roman"/>
                <w:color w:val="auto"/>
                <w:sz w:val="21"/>
                <w:szCs w:val="21"/>
              </w:rPr>
              <w:t>Mb</w:t>
            </w:r>
            <w:r>
              <w:rPr>
                <w:rFonts w:hint="default" w:ascii="Times New Roman" w:hAnsi="Times New Roman" w:eastAsia="Calibri" w:cs="Times New Roman"/>
                <w:color w:val="auto"/>
                <w:spacing w:val="6"/>
                <w:sz w:val="21"/>
                <w:szCs w:val="21"/>
              </w:rPr>
              <w:t>≥1.0m</w:t>
            </w:r>
            <w:r>
              <w:rPr>
                <w:rFonts w:hint="default" w:ascii="Times New Roman" w:hAnsi="Times New Roman" w:cs="Times New Roman"/>
                <w:color w:val="auto"/>
                <w:spacing w:val="6"/>
                <w:sz w:val="21"/>
                <w:szCs w:val="21"/>
              </w:rPr>
              <w:t>，</w:t>
            </w:r>
            <w:r>
              <w:rPr>
                <w:rFonts w:hint="default" w:ascii="Times New Roman" w:hAnsi="Times New Roman" w:eastAsia="Calibri" w:cs="Times New Roman"/>
                <w:color w:val="auto"/>
                <w:spacing w:val="3"/>
                <w:sz w:val="21"/>
                <w:szCs w:val="21"/>
              </w:rPr>
              <w:t>K≤1.0×10</w:t>
            </w:r>
            <w:r>
              <w:rPr>
                <w:rFonts w:hint="eastAsia" w:ascii="Times New Roman" w:hAnsi="Times New Roman" w:eastAsia="宋体" w:cs="Times New Roman"/>
                <w:color w:val="auto"/>
                <w:spacing w:val="4"/>
                <w:position w:val="2"/>
                <w:sz w:val="21"/>
                <w:szCs w:val="21"/>
                <w:vertAlign w:val="superscript"/>
                <w:lang w:val="en-US" w:eastAsia="zh-CN"/>
              </w:rPr>
              <w:t>-6</w:t>
            </w:r>
            <w:r>
              <w:rPr>
                <w:rFonts w:hint="default" w:ascii="Times New Roman" w:hAnsi="Times New Roman" w:eastAsia="Calibri" w:cs="Times New Roman"/>
                <w:color w:val="auto"/>
                <w:sz w:val="21"/>
                <w:szCs w:val="21"/>
              </w:rPr>
              <w:t>cm</w:t>
            </w:r>
            <w:r>
              <w:rPr>
                <w:rFonts w:hint="default" w:ascii="Times New Roman" w:hAnsi="Times New Roman" w:eastAsia="Calibri" w:cs="Times New Roman"/>
                <w:color w:val="auto"/>
                <w:spacing w:val="3"/>
                <w:sz w:val="21"/>
                <w:szCs w:val="21"/>
              </w:rPr>
              <w:t>/s</w:t>
            </w:r>
            <w:r>
              <w:rPr>
                <w:rFonts w:hint="default" w:ascii="Times New Roman" w:hAnsi="Times New Roman" w:cs="Times New Roman"/>
                <w:color w:val="auto"/>
                <w:spacing w:val="3"/>
                <w:sz w:val="21"/>
                <w:szCs w:val="21"/>
              </w:rPr>
              <w:t>，且分布连续、稳</w:t>
            </w:r>
            <w:r>
              <w:rPr>
                <w:rFonts w:hint="default" w:ascii="Times New Roman" w:hAnsi="Times New Roman" w:cs="Times New Roman"/>
                <w:color w:val="auto"/>
                <w:spacing w:val="8"/>
                <w:sz w:val="21"/>
                <w:szCs w:val="21"/>
              </w:rPr>
              <w:t>定。判定本项目包气带防污性能</w:t>
            </w:r>
            <w:r>
              <w:rPr>
                <w:rFonts w:hint="default" w:ascii="Times New Roman" w:hAnsi="Times New Roman" w:cs="Times New Roman"/>
                <w:color w:val="auto"/>
                <w:spacing w:val="1"/>
                <w:sz w:val="21"/>
                <w:szCs w:val="21"/>
              </w:rPr>
              <w:t>分级为</w:t>
            </w:r>
            <w:r>
              <w:rPr>
                <w:rFonts w:hint="default" w:ascii="Times New Roman" w:hAnsi="Times New Roman" w:eastAsia="Calibri" w:cs="Times New Roman"/>
                <w:color w:val="auto"/>
                <w:spacing w:val="1"/>
                <w:sz w:val="21"/>
                <w:szCs w:val="21"/>
              </w:rPr>
              <w:t>D3</w:t>
            </w:r>
            <w:r>
              <w:rPr>
                <w:rFonts w:hint="default" w:ascii="Times New Roman" w:hAnsi="Times New Roman" w:cs="Times New Roman"/>
                <w:color w:val="auto"/>
                <w:spacing w:val="1"/>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D2</w:t>
            </w:r>
          </w:p>
        </w:tc>
        <w:tc>
          <w:tcPr>
            <w:tcW w:w="29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5"/>
                <w:sz w:val="21"/>
                <w:szCs w:val="21"/>
              </w:rPr>
              <w:t>0.5m≤</w:t>
            </w:r>
            <w:r>
              <w:rPr>
                <w:rFonts w:hint="default" w:ascii="Times New Roman" w:hAnsi="Times New Roman" w:eastAsia="Calibri" w:cs="Times New Roman"/>
                <w:color w:val="auto"/>
                <w:sz w:val="21"/>
                <w:szCs w:val="21"/>
              </w:rPr>
              <w:t>Mb</w:t>
            </w:r>
            <w:r>
              <w:rPr>
                <w:rFonts w:hint="default" w:ascii="Times New Roman" w:hAnsi="Times New Roman" w:eastAsia="Calibri" w:cs="Times New Roman"/>
                <w:color w:val="auto"/>
                <w:spacing w:val="5"/>
                <w:sz w:val="21"/>
                <w:szCs w:val="21"/>
              </w:rPr>
              <w:t>&lt;1.0m</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pacing w:val="5"/>
                <w:sz w:val="21"/>
                <w:szCs w:val="21"/>
              </w:rPr>
              <w:t>K≤1.0×10</w:t>
            </w:r>
            <w:r>
              <w:rPr>
                <w:rFonts w:hint="eastAsia" w:ascii="Times New Roman" w:hAnsi="Times New Roman" w:eastAsia="宋体" w:cs="Times New Roman"/>
                <w:color w:val="auto"/>
                <w:spacing w:val="4"/>
                <w:position w:val="2"/>
                <w:sz w:val="21"/>
                <w:szCs w:val="21"/>
                <w:vertAlign w:val="superscript"/>
                <w:lang w:val="en-US" w:eastAsia="zh-CN"/>
              </w:rPr>
              <w:t>-6</w:t>
            </w:r>
            <w:r>
              <w:rPr>
                <w:rFonts w:hint="default" w:ascii="Times New Roman" w:hAnsi="Times New Roman" w:eastAsia="Calibri" w:cs="Times New Roman"/>
                <w:color w:val="auto"/>
                <w:sz w:val="21"/>
                <w:szCs w:val="21"/>
              </w:rPr>
              <w:t>cm</w:t>
            </w:r>
            <w:r>
              <w:rPr>
                <w:rFonts w:hint="default" w:ascii="Times New Roman" w:hAnsi="Times New Roman" w:eastAsia="Calibri" w:cs="Times New Roman"/>
                <w:color w:val="auto"/>
                <w:spacing w:val="5"/>
                <w:sz w:val="21"/>
                <w:szCs w:val="21"/>
              </w:rPr>
              <w:t>/s</w:t>
            </w:r>
            <w:r>
              <w:rPr>
                <w:rFonts w:hint="default" w:ascii="Times New Roman" w:hAnsi="Times New Roman" w:cs="Times New Roman"/>
                <w:color w:val="auto"/>
                <w:spacing w:val="5"/>
                <w:sz w:val="21"/>
                <w:szCs w:val="21"/>
              </w:rPr>
              <w:t>，且分布连续、</w:t>
            </w:r>
            <w:r>
              <w:rPr>
                <w:rFonts w:hint="default" w:ascii="Times New Roman" w:hAnsi="Times New Roman" w:cs="Times New Roman"/>
                <w:color w:val="auto"/>
                <w:spacing w:val="4"/>
                <w:sz w:val="21"/>
                <w:szCs w:val="21"/>
              </w:rPr>
              <w:t>稳定；</w:t>
            </w:r>
            <w:r>
              <w:rPr>
                <w:rFonts w:hint="default" w:ascii="Times New Roman" w:hAnsi="Times New Roman" w:eastAsia="Calibri" w:cs="Times New Roman"/>
                <w:color w:val="auto"/>
                <w:sz w:val="21"/>
                <w:szCs w:val="21"/>
              </w:rPr>
              <w:t>Mb</w:t>
            </w:r>
            <w:r>
              <w:rPr>
                <w:rFonts w:hint="default" w:ascii="Times New Roman" w:hAnsi="Times New Roman" w:eastAsia="Calibri" w:cs="Times New Roman"/>
                <w:color w:val="auto"/>
                <w:spacing w:val="4"/>
                <w:sz w:val="21"/>
                <w:szCs w:val="21"/>
              </w:rPr>
              <w:t>≥1.0m</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1.0×10-6</w:t>
            </w:r>
            <w:r>
              <w:rPr>
                <w:rFonts w:hint="default" w:ascii="Times New Roman" w:hAnsi="Times New Roman" w:eastAsia="Calibri" w:cs="Times New Roman"/>
                <w:color w:val="auto"/>
                <w:sz w:val="21"/>
                <w:szCs w:val="21"/>
              </w:rPr>
              <w:t>cm</w:t>
            </w:r>
            <w:r>
              <w:rPr>
                <w:rFonts w:hint="default" w:ascii="Times New Roman" w:hAnsi="Times New Roman" w:eastAsia="Calibri" w:cs="Times New Roman"/>
                <w:color w:val="auto"/>
                <w:spacing w:val="4"/>
                <w:sz w:val="21"/>
                <w:szCs w:val="21"/>
              </w:rPr>
              <w:t>/s</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4"/>
                <w:sz w:val="21"/>
                <w:szCs w:val="21"/>
              </w:rPr>
              <w:t>K≤1.0×</w:t>
            </w:r>
            <w:r>
              <w:rPr>
                <w:rFonts w:hint="default" w:ascii="Times New Roman" w:hAnsi="Times New Roman" w:eastAsia="Calibri" w:cs="Times New Roman"/>
                <w:color w:val="auto"/>
                <w:spacing w:val="3"/>
                <w:sz w:val="21"/>
                <w:szCs w:val="21"/>
              </w:rPr>
              <w:t>10</w:t>
            </w:r>
            <w:r>
              <w:rPr>
                <w:rFonts w:hint="eastAsia" w:ascii="Times New Roman" w:hAnsi="Times New Roman" w:eastAsia="宋体" w:cs="Times New Roman"/>
                <w:color w:val="auto"/>
                <w:spacing w:val="4"/>
                <w:position w:val="2"/>
                <w:sz w:val="21"/>
                <w:szCs w:val="21"/>
                <w:vertAlign w:val="superscript"/>
                <w:lang w:val="en-US" w:eastAsia="zh-CN"/>
              </w:rPr>
              <w:t>-</w:t>
            </w:r>
            <w:r>
              <w:rPr>
                <w:rFonts w:hint="eastAsia" w:ascii="Times New Roman" w:hAnsi="Times New Roman" w:cs="Times New Roman"/>
                <w:color w:val="auto"/>
                <w:spacing w:val="4"/>
                <w:position w:val="2"/>
                <w:sz w:val="21"/>
                <w:szCs w:val="21"/>
                <w:vertAlign w:val="superscript"/>
                <w:lang w:val="en-US" w:eastAsia="zh-CN"/>
              </w:rPr>
              <w:t>4</w:t>
            </w:r>
            <w:r>
              <w:rPr>
                <w:rFonts w:hint="default" w:ascii="Times New Roman" w:hAnsi="Times New Roman" w:eastAsia="Calibri" w:cs="Times New Roman"/>
                <w:color w:val="auto"/>
                <w:sz w:val="21"/>
                <w:szCs w:val="21"/>
              </w:rPr>
              <w:t>cm</w:t>
            </w:r>
            <w:r>
              <w:rPr>
                <w:rFonts w:hint="default" w:ascii="Times New Roman" w:hAnsi="Times New Roman" w:eastAsia="Calibri" w:cs="Times New Roman"/>
                <w:color w:val="auto"/>
                <w:spacing w:val="3"/>
                <w:sz w:val="21"/>
                <w:szCs w:val="21"/>
              </w:rPr>
              <w:t>/s</w:t>
            </w:r>
            <w:r>
              <w:rPr>
                <w:rFonts w:hint="default" w:ascii="Times New Roman" w:hAnsi="Times New Roman" w:cs="Times New Roman"/>
                <w:color w:val="auto"/>
                <w:spacing w:val="3"/>
                <w:sz w:val="21"/>
                <w:szCs w:val="21"/>
              </w:rPr>
              <w:t>，且分布连续、</w:t>
            </w:r>
            <w:r>
              <w:rPr>
                <w:rFonts w:hint="default" w:ascii="Times New Roman" w:hAnsi="Times New Roman" w:cs="Times New Roman"/>
                <w:color w:val="auto"/>
                <w:spacing w:val="4"/>
                <w:sz w:val="21"/>
                <w:szCs w:val="21"/>
              </w:rPr>
              <w:t>稳定</w:t>
            </w:r>
          </w:p>
        </w:tc>
        <w:tc>
          <w:tcPr>
            <w:tcW w:w="169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D1</w:t>
            </w:r>
          </w:p>
        </w:tc>
        <w:tc>
          <w:tcPr>
            <w:tcW w:w="290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岩（土）层不满足上述</w:t>
            </w:r>
            <w:r>
              <w:rPr>
                <w:rFonts w:hint="eastAsia" w:ascii="Times New Roman" w:hAnsi="Times New Roman" w:cs="Times New Roman"/>
                <w:color w:val="auto"/>
                <w:spacing w:val="7"/>
                <w:sz w:val="21"/>
                <w:szCs w:val="21"/>
                <w:lang w:eastAsia="zh-CN"/>
              </w:rPr>
              <w:t>“</w:t>
            </w:r>
            <w:r>
              <w:rPr>
                <w:rFonts w:hint="default" w:ascii="Times New Roman" w:hAnsi="Times New Roman" w:eastAsia="Calibri" w:cs="Times New Roman"/>
                <w:color w:val="auto"/>
                <w:spacing w:val="7"/>
                <w:sz w:val="21"/>
                <w:szCs w:val="21"/>
              </w:rPr>
              <w:t>D2</w:t>
            </w:r>
            <w:r>
              <w:rPr>
                <w:rFonts w:hint="eastAsia" w:ascii="Times New Roman" w:hAnsi="Times New Roman" w:cs="Times New Roman"/>
                <w:color w:val="auto"/>
                <w:spacing w:val="7"/>
                <w:sz w:val="21"/>
                <w:szCs w:val="21"/>
                <w:lang w:eastAsia="zh-CN"/>
              </w:rPr>
              <w:t>”</w:t>
            </w:r>
            <w:r>
              <w:rPr>
                <w:rFonts w:hint="default" w:ascii="Times New Roman" w:hAnsi="Times New Roman" w:cs="Times New Roman"/>
                <w:color w:val="auto"/>
                <w:spacing w:val="7"/>
                <w:sz w:val="21"/>
                <w:szCs w:val="21"/>
              </w:rPr>
              <w:t>和</w:t>
            </w:r>
            <w:r>
              <w:rPr>
                <w:rFonts w:hint="eastAsia" w:ascii="Times New Roman" w:hAnsi="Times New Roman" w:cs="Times New Roman"/>
                <w:color w:val="auto"/>
                <w:spacing w:val="7"/>
                <w:sz w:val="21"/>
                <w:szCs w:val="21"/>
                <w:lang w:eastAsia="zh-CN"/>
              </w:rPr>
              <w:t>“</w:t>
            </w:r>
            <w:r>
              <w:rPr>
                <w:rFonts w:hint="default" w:ascii="Times New Roman" w:hAnsi="Times New Roman" w:eastAsia="Calibri" w:cs="Times New Roman"/>
                <w:color w:val="auto"/>
                <w:spacing w:val="7"/>
                <w:sz w:val="21"/>
                <w:szCs w:val="21"/>
              </w:rPr>
              <w:t>D3</w:t>
            </w:r>
            <w:r>
              <w:rPr>
                <w:rFonts w:hint="eastAsia" w:ascii="Times New Roman" w:hAnsi="Times New Roman" w:cs="Times New Roman"/>
                <w:color w:val="auto"/>
                <w:spacing w:val="7"/>
                <w:sz w:val="21"/>
                <w:szCs w:val="21"/>
                <w:lang w:eastAsia="zh-CN"/>
              </w:rPr>
              <w:t>”</w:t>
            </w:r>
            <w:r>
              <w:rPr>
                <w:rFonts w:hint="default" w:ascii="Times New Roman" w:hAnsi="Times New Roman" w:cs="Times New Roman"/>
                <w:color w:val="auto"/>
                <w:spacing w:val="7"/>
                <w:sz w:val="21"/>
                <w:szCs w:val="21"/>
              </w:rPr>
              <w:t>条件</w:t>
            </w:r>
          </w:p>
        </w:tc>
        <w:tc>
          <w:tcPr>
            <w:tcW w:w="169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04"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z w:val="21"/>
                <w:szCs w:val="21"/>
              </w:rPr>
              <w:t>Mb</w:t>
            </w:r>
            <w:r>
              <w:rPr>
                <w:rFonts w:hint="default" w:ascii="Times New Roman" w:hAnsi="Times New Roman" w:cs="Times New Roman"/>
                <w:color w:val="auto"/>
                <w:spacing w:val="7"/>
                <w:sz w:val="21"/>
                <w:szCs w:val="21"/>
              </w:rPr>
              <w:t>：岩土层单层厚度；</w:t>
            </w:r>
            <w:r>
              <w:rPr>
                <w:rFonts w:hint="default" w:ascii="Times New Roman" w:hAnsi="Times New Roman" w:eastAsia="Calibri" w:cs="Times New Roman"/>
                <w:color w:val="auto"/>
                <w:spacing w:val="7"/>
                <w:sz w:val="21"/>
                <w:szCs w:val="21"/>
              </w:rPr>
              <w:t>K</w:t>
            </w:r>
            <w:r>
              <w:rPr>
                <w:rFonts w:hint="default" w:ascii="Times New Roman" w:hAnsi="Times New Roman" w:cs="Times New Roman"/>
                <w:color w:val="auto"/>
                <w:spacing w:val="7"/>
                <w:sz w:val="21"/>
                <w:szCs w:val="21"/>
              </w:rPr>
              <w:t>：渗透系数</w:t>
            </w:r>
          </w:p>
        </w:tc>
        <w:tc>
          <w:tcPr>
            <w:tcW w:w="169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根据上表可知，项目包气带防污性能分级为D3。</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地下水环境敏感程度分级表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80"/>
        <w:gridCol w:w="1957"/>
        <w:gridCol w:w="2134"/>
        <w:gridCol w:w="195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包气带防污性能</w:t>
            </w:r>
          </w:p>
        </w:tc>
        <w:tc>
          <w:tcPr>
            <w:tcW w:w="3630"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地下水功能敏感性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17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z w:val="21"/>
                <w:szCs w:val="21"/>
              </w:rPr>
              <w:t>G1</w:t>
            </w:r>
          </w:p>
        </w:tc>
        <w:tc>
          <w:tcPr>
            <w:tcW w:w="12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b/>
                <w:bCs/>
                <w:color w:val="auto"/>
                <w:sz w:val="21"/>
                <w:szCs w:val="21"/>
              </w:rPr>
              <w:t>G2</w:t>
            </w:r>
          </w:p>
        </w:tc>
        <w:tc>
          <w:tcPr>
            <w:tcW w:w="1173" w:type="pct"/>
            <w:tcBorders>
              <w:tl2br w:val="nil"/>
              <w:tr2bl w:val="nil"/>
            </w:tcBorders>
            <w:shd w:val="clear" w:color="auto" w:fill="7F7F7F"/>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G3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D1</w:t>
            </w:r>
          </w:p>
        </w:tc>
        <w:tc>
          <w:tcPr>
            <w:tcW w:w="117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E1</w:t>
            </w:r>
          </w:p>
        </w:tc>
        <w:tc>
          <w:tcPr>
            <w:tcW w:w="12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E1</w:t>
            </w:r>
          </w:p>
        </w:tc>
        <w:tc>
          <w:tcPr>
            <w:tcW w:w="11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D2</w:t>
            </w:r>
          </w:p>
        </w:tc>
        <w:tc>
          <w:tcPr>
            <w:tcW w:w="117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E1</w:t>
            </w:r>
          </w:p>
        </w:tc>
        <w:tc>
          <w:tcPr>
            <w:tcW w:w="12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E2</w:t>
            </w:r>
          </w:p>
        </w:tc>
        <w:tc>
          <w:tcPr>
            <w:tcW w:w="1173"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69" w:type="pct"/>
            <w:tcBorders>
              <w:tl2br w:val="nil"/>
              <w:tr2bl w:val="nil"/>
            </w:tcBorders>
            <w:shd w:val="clear" w:color="auto" w:fill="7F7F7F"/>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4"/>
                <w:sz w:val="21"/>
                <w:szCs w:val="21"/>
              </w:rPr>
              <w:t>D3</w:t>
            </w:r>
          </w:p>
        </w:tc>
        <w:tc>
          <w:tcPr>
            <w:tcW w:w="117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E2</w:t>
            </w:r>
          </w:p>
        </w:tc>
        <w:tc>
          <w:tcPr>
            <w:tcW w:w="128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E3</w:t>
            </w:r>
          </w:p>
        </w:tc>
        <w:tc>
          <w:tcPr>
            <w:tcW w:w="1173" w:type="pct"/>
            <w:tcBorders>
              <w:tl2br w:val="nil"/>
              <w:tr2bl w:val="nil"/>
            </w:tcBorders>
            <w:shd w:val="clear" w:color="auto" w:fill="7F7F7F"/>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6"/>
                <w:sz w:val="21"/>
                <w:szCs w:val="21"/>
              </w:rPr>
              <w:t>E3</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根据上表可知，本项目地下水环境敏感程度分级为E3级。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综上，本项目大气环境、地表水环境、地下水环境敏感程度分别为E</w:t>
      </w: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、E3、E3。</w:t>
      </w:r>
    </w:p>
    <w:p>
      <w:pPr>
        <w:pStyle w:val="10"/>
        <w:bidi w:val="0"/>
        <w:spacing w:line="360" w:lineRule="auto"/>
        <w:rPr>
          <w:rFonts w:hint="default" w:ascii="Times New Roman" w:hAnsi="Times New Roman" w:cs="Times New Roman"/>
          <w:color w:val="auto"/>
          <w:sz w:val="32"/>
          <w:szCs w:val="32"/>
        </w:rPr>
      </w:pPr>
      <w:bookmarkStart w:id="89" w:name="bookmark90"/>
      <w:bookmarkEnd w:id="89"/>
      <w:bookmarkStart w:id="90" w:name="_Toc32101"/>
      <w:r>
        <w:rPr>
          <w:rFonts w:hint="default" w:ascii="Times New Roman" w:hAnsi="Times New Roman" w:cs="Times New Roman"/>
          <w:color w:val="auto"/>
          <w:sz w:val="32"/>
          <w:szCs w:val="32"/>
        </w:rPr>
        <w:t>环境风险潜势划分及评价等级</w:t>
      </w:r>
      <w:bookmarkEnd w:id="90"/>
    </w:p>
    <w:p>
      <w:pPr>
        <w:pStyle w:val="11"/>
        <w:bidi w:val="0"/>
        <w:spacing w:line="360" w:lineRule="auto"/>
        <w:ind w:left="851" w:hanging="851"/>
        <w:rPr>
          <w:color w:val="auto"/>
          <w:sz w:val="30"/>
          <w:szCs w:val="30"/>
        </w:rPr>
      </w:pPr>
      <w:r>
        <w:rPr>
          <w:color w:val="auto"/>
          <w:sz w:val="30"/>
          <w:szCs w:val="30"/>
        </w:rPr>
        <w:t>环境风险潜势划分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按照《建设项目环境风险评价技术导则》（HJ169-2018），建设项目环境风险潜势划分为Ⅰ、Ⅱ、Ⅲ、Ⅳ/Ⅳ+级。建设项目环境风险潜势划分依据，见表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.5-1。</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建设项目环境风险潜势划分表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464"/>
        <w:gridCol w:w="1517"/>
        <w:gridCol w:w="1381"/>
        <w:gridCol w:w="1519"/>
        <w:gridCol w:w="144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0"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环境敏感程度（</w:t>
            </w:r>
            <w:r>
              <w:rPr>
                <w:rFonts w:hint="default" w:ascii="Times New Roman" w:hAnsi="Times New Roman" w:eastAsia="Calibri" w:cs="Times New Roman"/>
                <w:b/>
                <w:bCs/>
                <w:color w:val="auto"/>
                <w:spacing w:val="5"/>
                <w:sz w:val="21"/>
                <w:szCs w:val="21"/>
              </w:rPr>
              <w:t>E</w:t>
            </w:r>
            <w:r>
              <w:rPr>
                <w:rFonts w:hint="default" w:ascii="Times New Roman" w:hAnsi="Times New Roman" w:cs="Times New Roman"/>
                <w:b/>
                <w:bCs/>
                <w:color w:val="auto"/>
                <w:spacing w:val="5"/>
                <w:sz w:val="21"/>
                <w:szCs w:val="21"/>
              </w:rPr>
              <w:t>）</w:t>
            </w:r>
          </w:p>
        </w:tc>
        <w:tc>
          <w:tcPr>
            <w:tcW w:w="3519"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危险物质和工艺系统的危险性（</w:t>
            </w:r>
            <w:r>
              <w:rPr>
                <w:rFonts w:hint="default" w:ascii="Times New Roman" w:hAnsi="Times New Roman" w:eastAsia="Calibri" w:cs="Times New Roman"/>
                <w:b/>
                <w:bCs/>
                <w:color w:val="auto"/>
                <w:spacing w:val="7"/>
                <w:sz w:val="21"/>
                <w:szCs w:val="21"/>
              </w:rPr>
              <w:t>P</w:t>
            </w:r>
            <w:r>
              <w:rPr>
                <w:rFonts w:hint="default" w:ascii="Times New Roman" w:hAnsi="Times New Roman" w:cs="Times New Roman"/>
                <w:b/>
                <w:bCs/>
                <w:color w:val="auto"/>
                <w:spacing w:val="7"/>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91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2"/>
                <w:sz w:val="21"/>
                <w:szCs w:val="21"/>
              </w:rPr>
              <w:t>极度危害</w:t>
            </w:r>
            <w:r>
              <w:rPr>
                <w:rFonts w:hint="default" w:ascii="Times New Roman" w:hAnsi="Times New Roman" w:eastAsia="Calibri" w:cs="Times New Roman"/>
                <w:b/>
                <w:bCs/>
                <w:color w:val="auto"/>
                <w:spacing w:val="2"/>
                <w:sz w:val="21"/>
                <w:szCs w:val="21"/>
              </w:rPr>
              <w:t>P1</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2"/>
                <w:sz w:val="21"/>
                <w:szCs w:val="21"/>
              </w:rPr>
              <w:t>高度危害</w:t>
            </w:r>
            <w:r>
              <w:rPr>
                <w:rFonts w:hint="default" w:ascii="Times New Roman" w:hAnsi="Times New Roman" w:eastAsia="Calibri" w:cs="Times New Roman"/>
                <w:b/>
                <w:bCs/>
                <w:color w:val="auto"/>
                <w:spacing w:val="2"/>
                <w:sz w:val="21"/>
                <w:szCs w:val="21"/>
              </w:rPr>
              <w:t>P2</w:t>
            </w:r>
          </w:p>
        </w:tc>
        <w:tc>
          <w:tcPr>
            <w:tcW w:w="9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z w:val="21"/>
                <w:szCs w:val="21"/>
              </w:rPr>
              <w:t>中度危害</w:t>
            </w:r>
            <w:r>
              <w:rPr>
                <w:rFonts w:hint="default" w:ascii="Times New Roman" w:hAnsi="Times New Roman" w:eastAsia="Calibri" w:cs="Times New Roman"/>
                <w:b/>
                <w:bCs/>
                <w:color w:val="auto"/>
                <w:sz w:val="21"/>
                <w:szCs w:val="21"/>
              </w:rPr>
              <w:t>P3</w:t>
            </w:r>
          </w:p>
        </w:tc>
        <w:tc>
          <w:tcPr>
            <w:tcW w:w="86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b/>
                <w:bCs/>
                <w:color w:val="auto"/>
                <w:spacing w:val="3"/>
                <w:sz w:val="21"/>
                <w:szCs w:val="21"/>
              </w:rPr>
              <w:t>轻度危害</w:t>
            </w:r>
            <w:r>
              <w:rPr>
                <w:rFonts w:hint="default" w:ascii="Times New Roman" w:hAnsi="Times New Roman" w:eastAsia="Calibri" w:cs="Times New Roman"/>
                <w:b/>
                <w:bCs/>
                <w:color w:val="auto"/>
                <w:spacing w:val="3"/>
                <w:sz w:val="21"/>
                <w:szCs w:val="21"/>
              </w:rPr>
              <w:t>P4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环境高度敏感区（</w:t>
            </w:r>
            <w:r>
              <w:rPr>
                <w:rFonts w:hint="default" w:ascii="Times New Roman" w:hAnsi="Times New Roman" w:eastAsia="Calibri" w:cs="Times New Roman"/>
                <w:color w:val="auto"/>
                <w:spacing w:val="7"/>
                <w:sz w:val="21"/>
                <w:szCs w:val="21"/>
              </w:rPr>
              <w:t>E1</w:t>
            </w:r>
            <w:r>
              <w:rPr>
                <w:rFonts w:hint="default" w:ascii="Times New Roman" w:hAnsi="Times New Roman" w:cs="Times New Roman"/>
                <w:color w:val="auto"/>
                <w:spacing w:val="7"/>
                <w:sz w:val="21"/>
                <w:szCs w:val="21"/>
              </w:rPr>
              <w:t>）</w:t>
            </w:r>
          </w:p>
        </w:tc>
        <w:tc>
          <w:tcPr>
            <w:tcW w:w="91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1"/>
                <w:sz w:val="21"/>
                <w:szCs w:val="21"/>
              </w:rPr>
              <w:t>Ⅳ</w:t>
            </w:r>
            <w:r>
              <w:rPr>
                <w:rFonts w:hint="default" w:ascii="Times New Roman" w:hAnsi="Times New Roman" w:eastAsia="Calibri" w:cs="Times New Roman"/>
                <w:color w:val="auto"/>
                <w:spacing w:val="-1"/>
                <w:sz w:val="21"/>
                <w:szCs w:val="21"/>
              </w:rPr>
              <w:t>+</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Ⅳ</w:t>
            </w:r>
          </w:p>
        </w:tc>
        <w:tc>
          <w:tcPr>
            <w:tcW w:w="9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Ⅲ</w:t>
            </w:r>
          </w:p>
        </w:tc>
        <w:tc>
          <w:tcPr>
            <w:tcW w:w="86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Ⅲ</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环境中度敏感区（</w:t>
            </w:r>
            <w:r>
              <w:rPr>
                <w:rFonts w:hint="default" w:ascii="Times New Roman" w:hAnsi="Times New Roman" w:eastAsia="Calibri" w:cs="Times New Roman"/>
                <w:color w:val="auto"/>
                <w:spacing w:val="7"/>
                <w:sz w:val="21"/>
                <w:szCs w:val="21"/>
              </w:rPr>
              <w:t>E2</w:t>
            </w:r>
            <w:r>
              <w:rPr>
                <w:rFonts w:hint="default" w:ascii="Times New Roman" w:hAnsi="Times New Roman" w:cs="Times New Roman"/>
                <w:color w:val="auto"/>
                <w:spacing w:val="7"/>
                <w:sz w:val="21"/>
                <w:szCs w:val="21"/>
              </w:rPr>
              <w:t>）</w:t>
            </w:r>
          </w:p>
        </w:tc>
        <w:tc>
          <w:tcPr>
            <w:tcW w:w="91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Ⅳ</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Ⅲ</w:t>
            </w:r>
          </w:p>
        </w:tc>
        <w:tc>
          <w:tcPr>
            <w:tcW w:w="9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Ⅲ</w:t>
            </w:r>
          </w:p>
        </w:tc>
        <w:tc>
          <w:tcPr>
            <w:tcW w:w="86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Ⅱ</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环境低度敏感区（</w:t>
            </w:r>
            <w:r>
              <w:rPr>
                <w:rFonts w:hint="default" w:ascii="Times New Roman" w:hAnsi="Times New Roman" w:eastAsia="Calibri" w:cs="Times New Roman"/>
                <w:color w:val="auto"/>
                <w:spacing w:val="7"/>
                <w:sz w:val="21"/>
                <w:szCs w:val="21"/>
              </w:rPr>
              <w:t>E3</w:t>
            </w:r>
            <w:r>
              <w:rPr>
                <w:rFonts w:hint="default" w:ascii="Times New Roman" w:hAnsi="Times New Roman" w:cs="Times New Roman"/>
                <w:color w:val="auto"/>
                <w:spacing w:val="7"/>
                <w:sz w:val="21"/>
                <w:szCs w:val="21"/>
              </w:rPr>
              <w:t>）</w:t>
            </w:r>
          </w:p>
        </w:tc>
        <w:tc>
          <w:tcPr>
            <w:tcW w:w="91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Ⅲ</w:t>
            </w:r>
          </w:p>
        </w:tc>
        <w:tc>
          <w:tcPr>
            <w:tcW w:w="82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Ⅲ</w:t>
            </w:r>
          </w:p>
        </w:tc>
        <w:tc>
          <w:tcPr>
            <w:tcW w:w="9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Ⅱ</w:t>
            </w:r>
          </w:p>
        </w:tc>
        <w:tc>
          <w:tcPr>
            <w:tcW w:w="86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5"/>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注：Ⅳ</w:t>
            </w:r>
            <w:r>
              <w:rPr>
                <w:rFonts w:hint="default" w:ascii="Times New Roman" w:hAnsi="Times New Roman" w:eastAsia="Calibri" w:cs="Times New Roman"/>
                <w:color w:val="auto"/>
                <w:spacing w:val="5"/>
                <w:sz w:val="21"/>
                <w:szCs w:val="21"/>
              </w:rPr>
              <w:t>+</w:t>
            </w:r>
            <w:r>
              <w:rPr>
                <w:rFonts w:hint="default" w:ascii="Times New Roman" w:hAnsi="Times New Roman" w:cs="Times New Roman"/>
                <w:color w:val="auto"/>
                <w:spacing w:val="5"/>
                <w:sz w:val="21"/>
                <w:szCs w:val="21"/>
              </w:rPr>
              <w:t>为极高环境风险。</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本项目危险物质和工艺系统的危险性（P）为P4，大气环境、地表水环境、地下水环境敏感程度分别为E2、E3、E3，根据上表可知，本项目大气环境、地表水环境、地下水环境风险潜势分别为Ⅲ、Ⅰ、Ⅰ级。</w:t>
      </w:r>
    </w:p>
    <w:p>
      <w:pPr>
        <w:pStyle w:val="11"/>
        <w:bidi w:val="0"/>
        <w:spacing w:line="360" w:lineRule="auto"/>
        <w:ind w:left="851" w:hanging="851"/>
        <w:rPr>
          <w:color w:val="auto"/>
          <w:sz w:val="30"/>
          <w:szCs w:val="30"/>
        </w:rPr>
      </w:pPr>
      <w:r>
        <w:rPr>
          <w:color w:val="auto"/>
          <w:sz w:val="30"/>
          <w:szCs w:val="30"/>
        </w:rPr>
        <w:t>评价等级判定</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环境风险评价技术导则》（HJ169-2018）规定，环境风险评价工作等级划分为一级、二级、三级。根据建设项目涉及的物质及工艺系统危险性和所在地的环境敏感性确定环境风险潜势，按照表6.5-2确定评价工作等级。风险潜势为IV及以上，进行一级评价；风险潜势为III，进行二级评价；风险潜势为I，进行三级评价；风险潜势为I，可开展简单分析。</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环境风险评价工作等级划分依据表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860"/>
        <w:gridCol w:w="1697"/>
        <w:gridCol w:w="1554"/>
        <w:gridCol w:w="1640"/>
        <w:gridCol w:w="157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1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环境风险潜势</w:t>
            </w:r>
          </w:p>
        </w:tc>
        <w:tc>
          <w:tcPr>
            <w:tcW w:w="10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2"/>
                <w:position w:val="1"/>
                <w:sz w:val="21"/>
                <w:szCs w:val="21"/>
              </w:rPr>
              <w:t>Ⅳ、Ⅳ</w:t>
            </w:r>
            <w:r>
              <w:rPr>
                <w:rFonts w:hint="default" w:ascii="Times New Roman" w:hAnsi="Times New Roman" w:eastAsia="Calibri" w:cs="Times New Roman"/>
                <w:color w:val="auto"/>
                <w:spacing w:val="-2"/>
                <w:position w:val="1"/>
                <w:sz w:val="21"/>
                <w:szCs w:val="21"/>
              </w:rPr>
              <w:t>+</w:t>
            </w:r>
          </w:p>
        </w:tc>
        <w:tc>
          <w:tcPr>
            <w:tcW w:w="9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position w:val="1"/>
                <w:sz w:val="21"/>
                <w:szCs w:val="21"/>
              </w:rPr>
              <w:t>Ⅲ</w:t>
            </w:r>
          </w:p>
        </w:tc>
        <w:tc>
          <w:tcPr>
            <w:tcW w:w="98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position w:val="1"/>
                <w:sz w:val="21"/>
                <w:szCs w:val="21"/>
              </w:rPr>
              <w:t>Ⅱ</w:t>
            </w:r>
          </w:p>
        </w:tc>
        <w:tc>
          <w:tcPr>
            <w:tcW w:w="9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position w:val="1"/>
                <w:sz w:val="21"/>
                <w:szCs w:val="21"/>
              </w:rPr>
              <w:t>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1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评价工作等级</w:t>
            </w:r>
          </w:p>
        </w:tc>
        <w:tc>
          <w:tcPr>
            <w:tcW w:w="101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position w:val="-4"/>
                <w:sz w:val="21"/>
                <w:szCs w:val="21"/>
              </w:rPr>
              <w:t>一</w:t>
            </w:r>
          </w:p>
        </w:tc>
        <w:tc>
          <w:tcPr>
            <w:tcW w:w="93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w:t>
            </w:r>
          </w:p>
        </w:tc>
        <w:tc>
          <w:tcPr>
            <w:tcW w:w="98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w:t>
            </w:r>
          </w:p>
        </w:tc>
        <w:tc>
          <w:tcPr>
            <w:tcW w:w="94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cs="Times New Roman"/>
                <w:color w:val="auto"/>
                <w:spacing w:val="5"/>
                <w:sz w:val="21"/>
                <w:szCs w:val="21"/>
              </w:rPr>
              <w:t>简单分析</w:t>
            </w:r>
            <w:r>
              <w:rPr>
                <w:rFonts w:hint="default" w:ascii="Times New Roman" w:hAnsi="Times New Roman" w:eastAsia="Calibri" w:cs="Times New Roman"/>
                <w:color w:val="auto"/>
                <w:spacing w:val="5"/>
                <w:sz w:val="21"/>
                <w:szCs w:val="21"/>
              </w:rPr>
              <w: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5"/>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10"/>
                <w:sz w:val="21"/>
                <w:szCs w:val="21"/>
              </w:rPr>
              <w:t>a</w:t>
            </w:r>
            <w:r>
              <w:rPr>
                <w:rFonts w:hint="default" w:ascii="Times New Roman" w:hAnsi="Times New Roman" w:cs="Times New Roman"/>
                <w:color w:val="auto"/>
                <w:spacing w:val="10"/>
                <w:sz w:val="21"/>
                <w:szCs w:val="21"/>
              </w:rPr>
              <w:t>是相对于详细评价工作内容而言，在描</w:t>
            </w:r>
            <w:r>
              <w:rPr>
                <w:rFonts w:hint="default" w:ascii="Times New Roman" w:hAnsi="Times New Roman" w:cs="Times New Roman"/>
                <w:color w:val="auto"/>
                <w:spacing w:val="9"/>
                <w:sz w:val="21"/>
                <w:szCs w:val="21"/>
              </w:rPr>
              <w:t>述危险物质、环境影响途径、环境危害后果、风险</w:t>
            </w:r>
            <w:r>
              <w:rPr>
                <w:rFonts w:hint="default" w:ascii="Times New Roman" w:hAnsi="Times New Roman" w:cs="Times New Roman"/>
                <w:color w:val="auto"/>
                <w:spacing w:val="8"/>
                <w:sz w:val="21"/>
                <w:szCs w:val="21"/>
              </w:rPr>
              <w:t>防范措施等方面给出定性的说明。见导则附录</w:t>
            </w:r>
            <w:r>
              <w:rPr>
                <w:rFonts w:hint="default" w:ascii="Times New Roman" w:hAnsi="Times New Roman" w:eastAsia="Calibri" w:cs="Times New Roman"/>
                <w:color w:val="auto"/>
                <w:spacing w:val="8"/>
                <w:sz w:val="21"/>
                <w:szCs w:val="21"/>
              </w:rPr>
              <w:t>A</w:t>
            </w:r>
            <w:r>
              <w:rPr>
                <w:rFonts w:hint="default" w:ascii="Times New Roman" w:hAnsi="Times New Roman" w:cs="Times New Roman"/>
                <w:color w:val="auto"/>
                <w:spacing w:val="8"/>
                <w:sz w:val="21"/>
                <w:szCs w:val="21"/>
              </w:rPr>
              <w:t>。</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本项目大气环境风险潜势为Ⅲ级，评价工作等级划分为</w:t>
      </w:r>
      <w:r>
        <w:rPr>
          <w:rFonts w:hint="eastAsia" w:ascii="Times New Roman" w:hAnsi="Times New Roman" w:eastAsia="宋体" w:cs="Times New Roman"/>
          <w:color w:val="auto"/>
          <w:szCs w:val="28"/>
          <w:u w:val="none" w:color="auto"/>
          <w:lang w:val="en-US" w:eastAsia="zh-CN"/>
        </w:rPr>
        <w:t>二</w:t>
      </w:r>
      <w:r>
        <w:rPr>
          <w:rFonts w:hint="default" w:ascii="Times New Roman" w:hAnsi="Times New Roman" w:cs="Times New Roman"/>
          <w:color w:val="auto"/>
          <w:szCs w:val="28"/>
          <w:u w:val="none" w:color="auto"/>
        </w:rPr>
        <w:t>级；地表水环境风险潜势为Ⅰ级，评价工作等级划分为简单分析；地下水环境风险潜势为Ⅰ级，评价工作等级划分为简单分析。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根据《建设项目环境风险评价技术导则》（HJ169-2018）评价等级确定评价范围，项目风险评价范围见表</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.5-3。</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风险评价范围表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635"/>
        <w:gridCol w:w="2379"/>
        <w:gridCol w:w="331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82"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环境要素</w:t>
            </w:r>
          </w:p>
        </w:tc>
        <w:tc>
          <w:tcPr>
            <w:tcW w:w="3417"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本项目风险评价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82"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42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等级</w:t>
            </w:r>
          </w:p>
        </w:tc>
        <w:tc>
          <w:tcPr>
            <w:tcW w:w="198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大气环境</w:t>
            </w:r>
          </w:p>
        </w:tc>
        <w:tc>
          <w:tcPr>
            <w:tcW w:w="142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4"/>
                <w:sz w:val="21"/>
                <w:szCs w:val="21"/>
                <w:lang w:val="en-US" w:eastAsia="zh-CN"/>
              </w:rPr>
              <w:t>二</w:t>
            </w:r>
            <w:r>
              <w:rPr>
                <w:rFonts w:hint="default" w:ascii="Times New Roman" w:hAnsi="Times New Roman" w:cs="Times New Roman"/>
                <w:color w:val="auto"/>
                <w:spacing w:val="4"/>
                <w:sz w:val="21"/>
                <w:szCs w:val="21"/>
              </w:rPr>
              <w:t>级</w:t>
            </w:r>
          </w:p>
        </w:tc>
        <w:tc>
          <w:tcPr>
            <w:tcW w:w="198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自项目边界外延</w:t>
            </w:r>
            <w:r>
              <w:rPr>
                <w:rFonts w:hint="default" w:ascii="Times New Roman" w:hAnsi="Times New Roman" w:eastAsia="Calibri" w:cs="Times New Roman"/>
                <w:color w:val="auto"/>
                <w:spacing w:val="3"/>
                <w:sz w:val="21"/>
                <w:szCs w:val="21"/>
              </w:rPr>
              <w:t>5</w:t>
            </w:r>
            <w:r>
              <w:rPr>
                <w:rFonts w:hint="default" w:ascii="Times New Roman" w:hAnsi="Times New Roman" w:eastAsia="Calibri" w:cs="Times New Roman"/>
                <w:color w:val="auto"/>
                <w:sz w:val="21"/>
                <w:szCs w:val="21"/>
              </w:rPr>
              <w:t>km</w:t>
            </w:r>
            <w:r>
              <w:rPr>
                <w:rFonts w:hint="default" w:ascii="Times New Roman" w:hAnsi="Times New Roman" w:cs="Times New Roman"/>
                <w:color w:val="auto"/>
                <w:spacing w:val="3"/>
                <w:sz w:val="21"/>
                <w:szCs w:val="21"/>
              </w:rPr>
              <w:t>的区域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地表水环境</w:t>
            </w:r>
          </w:p>
        </w:tc>
        <w:tc>
          <w:tcPr>
            <w:tcW w:w="142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简单分析</w:t>
            </w:r>
          </w:p>
        </w:tc>
        <w:tc>
          <w:tcPr>
            <w:tcW w:w="198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同地表水评价范围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地下水环境</w:t>
            </w:r>
          </w:p>
        </w:tc>
        <w:tc>
          <w:tcPr>
            <w:tcW w:w="142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简单分析</w:t>
            </w:r>
          </w:p>
        </w:tc>
        <w:tc>
          <w:tcPr>
            <w:tcW w:w="198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同地下水评价范围</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由上表可知，本项目大气环境风险评价范围为自项目边界外延5km的区域；项目废水经处理后进入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，不直接排入地表水体，地表水无需设置评价范围；地下水无需设置评价范围，建设</w:t>
      </w:r>
      <w:r>
        <w:rPr>
          <w:rFonts w:hint="eastAsia" w:ascii="Times New Roman" w:hAnsi="Times New Roman" w:eastAsia="宋体" w:cs="Times New Roman"/>
          <w:color w:val="auto"/>
          <w:szCs w:val="28"/>
          <w:u w:val="none" w:color="auto"/>
          <w:lang w:val="en-US" w:eastAsia="zh-CN"/>
        </w:rPr>
        <w:t>单位</w:t>
      </w:r>
      <w:r>
        <w:rPr>
          <w:rFonts w:hint="default" w:ascii="Times New Roman" w:hAnsi="Times New Roman" w:cs="Times New Roman"/>
          <w:color w:val="auto"/>
          <w:szCs w:val="28"/>
          <w:u w:val="none" w:color="auto"/>
        </w:rPr>
        <w:t>需按照要求做好防渗措施，杜绝危险物质下渗。</w:t>
      </w:r>
    </w:p>
    <w:p>
      <w:pPr>
        <w:pStyle w:val="10"/>
        <w:bidi w:val="0"/>
        <w:spacing w:line="360" w:lineRule="auto"/>
        <w:rPr>
          <w:rFonts w:hint="default" w:ascii="Times New Roman" w:hAnsi="Times New Roman" w:cs="Times New Roman"/>
          <w:color w:val="auto"/>
          <w:sz w:val="32"/>
          <w:szCs w:val="32"/>
        </w:rPr>
      </w:pPr>
      <w:bookmarkStart w:id="91" w:name="bookmark92"/>
      <w:bookmarkEnd w:id="91"/>
      <w:bookmarkStart w:id="92" w:name="_Toc17461"/>
      <w:r>
        <w:rPr>
          <w:rFonts w:hint="default" w:ascii="Times New Roman" w:hAnsi="Times New Roman" w:cs="Times New Roman"/>
          <w:color w:val="auto"/>
          <w:sz w:val="32"/>
          <w:szCs w:val="32"/>
        </w:rPr>
        <w:t>环境风险影响分析</w:t>
      </w:r>
      <w:bookmarkEnd w:id="92"/>
    </w:p>
    <w:p>
      <w:pPr>
        <w:pStyle w:val="11"/>
        <w:bidi w:val="0"/>
        <w:spacing w:line="360" w:lineRule="auto"/>
        <w:ind w:left="851" w:hanging="851"/>
        <w:rPr>
          <w:color w:val="auto"/>
          <w:sz w:val="30"/>
          <w:szCs w:val="30"/>
        </w:rPr>
      </w:pPr>
      <w:r>
        <w:rPr>
          <w:color w:val="auto"/>
          <w:sz w:val="30"/>
          <w:szCs w:val="30"/>
        </w:rPr>
        <w:t>风险事故情形</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本项目双回路供电，且有专门的</w:t>
      </w:r>
      <w:r>
        <w:rPr>
          <w:rFonts w:hint="eastAsia" w:ascii="Times New Roman" w:hAnsi="Times New Roman" w:eastAsia="宋体" w:cs="Times New Roman"/>
          <w:color w:val="auto"/>
          <w:szCs w:val="28"/>
          <w:u w:val="none" w:color="auto"/>
          <w:lang w:eastAsia="zh-CN"/>
        </w:rPr>
        <w:t>人员</w:t>
      </w:r>
      <w:r>
        <w:rPr>
          <w:rFonts w:hint="default" w:ascii="Times New Roman" w:hAnsi="Times New Roman" w:cs="Times New Roman"/>
          <w:color w:val="auto"/>
          <w:szCs w:val="28"/>
          <w:u w:val="none" w:color="auto"/>
        </w:rPr>
        <w:t>对废气处理装置进行维护，废气处理设施出现故障及事故的概率较小；本项目生产车间以及危废暂存间内工作人员均经过专业培训且生产过程中</w:t>
      </w:r>
      <w:r>
        <w:rPr>
          <w:rFonts w:hint="eastAsia" w:ascii="Times New Roman" w:hAnsi="Times New Roman" w:eastAsia="宋体" w:cs="Times New Roman"/>
          <w:color w:val="auto"/>
          <w:szCs w:val="28"/>
          <w:u w:val="none" w:color="auto"/>
          <w:lang w:eastAsia="zh-CN"/>
        </w:rPr>
        <w:t>涉及的</w:t>
      </w:r>
      <w:r>
        <w:rPr>
          <w:rFonts w:hint="default" w:ascii="Times New Roman" w:hAnsi="Times New Roman" w:cs="Times New Roman"/>
          <w:color w:val="auto"/>
          <w:szCs w:val="28"/>
          <w:u w:val="none" w:color="auto"/>
        </w:rPr>
        <w:t>风险物质较少，风险影响不大；本工程严格按照《工业企业总平面设计规范》（GB50187）、《建筑设计防火规范（2018版修订）》（GB50016）进行总图布置和消防设计。环评建议项目原料库、危废库与生产装置区的距离应满足安全要求并且三个区域之间可完全阻隔，一旦某一危险源发生爆炸、火灾和泄漏，均能在本区域得到控制，避免发生事故连锁反应；当风险物质储存区发生泄漏、火灾、爆炸事故，用水进行消防时会产生大量的消防废水，</w:t>
      </w:r>
      <w:r>
        <w:rPr>
          <w:rFonts w:hint="eastAsia" w:ascii="Times New Roman" w:hAnsi="Times New Roman" w:eastAsia="宋体" w:cs="Times New Roman"/>
          <w:color w:val="auto"/>
          <w:szCs w:val="28"/>
          <w:u w:val="none" w:color="auto"/>
          <w:lang w:val="en-US" w:eastAsia="zh-CN"/>
        </w:rPr>
        <w:t>可</w:t>
      </w:r>
      <w:r>
        <w:rPr>
          <w:rFonts w:hint="default" w:ascii="Times New Roman" w:hAnsi="Times New Roman" w:cs="Times New Roman"/>
          <w:color w:val="auto"/>
          <w:szCs w:val="28"/>
          <w:u w:val="none" w:color="auto"/>
        </w:rPr>
        <w:t>全部进入厂区</w:t>
      </w:r>
      <w:r>
        <w:rPr>
          <w:rFonts w:hint="eastAsia" w:ascii="Times New Roman" w:hAnsi="Times New Roman" w:eastAsia="宋体" w:cs="Times New Roman"/>
          <w:color w:val="auto"/>
          <w:szCs w:val="28"/>
          <w:u w:val="none" w:color="auto"/>
          <w:lang w:val="en-US" w:eastAsia="zh-CN"/>
        </w:rPr>
        <w:t>东侧现有</w:t>
      </w:r>
      <w:r>
        <w:rPr>
          <w:rFonts w:hint="default" w:ascii="Times New Roman" w:hAnsi="Times New Roman" w:cs="Times New Roman"/>
          <w:color w:val="auto"/>
          <w:szCs w:val="28"/>
          <w:u w:val="none" w:color="auto"/>
        </w:rPr>
        <w:t>事故池</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容积约为150m</w:t>
      </w:r>
      <w:r>
        <w:rPr>
          <w:rFonts w:hint="eastAsia" w:ascii="Times New Roman" w:hAnsi="Times New Roman" w:eastAsia="宋体" w:cs="Times New Roman"/>
          <w:color w:val="auto"/>
          <w:szCs w:val="28"/>
          <w:u w:val="none" w:color="auto"/>
          <w:vertAlign w:val="superscript"/>
          <w:lang w:val="en-US" w:eastAsia="zh-CN"/>
        </w:rPr>
        <w:t>3</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，之后分批排入市政污水站处理，不会引发伴生、次生事故；本项目厂外危险物质的运输外委有资质的专业单位进行运输，运输过程风险不属于本项目</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应承担内容，运输单位承担运输过程的有关责任。</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因此，项目主要的风险事故为VOCs原料库内风险物质</w:t>
      </w:r>
      <w:r>
        <w:rPr>
          <w:rFonts w:hint="eastAsia" w:ascii="Times New Roman" w:hAnsi="Times New Roman" w:eastAsia="宋体" w:cs="Times New Roman"/>
          <w:color w:val="auto"/>
          <w:szCs w:val="28"/>
          <w:u w:val="none" w:color="auto"/>
          <w:lang w:val="en-US" w:eastAsia="zh-CN"/>
        </w:rPr>
        <w:t>泄漏及RTO天然气储气罐内天然气</w:t>
      </w:r>
      <w:r>
        <w:rPr>
          <w:rFonts w:hint="default" w:ascii="Times New Roman" w:hAnsi="Times New Roman" w:cs="Times New Roman"/>
          <w:color w:val="auto"/>
          <w:szCs w:val="28"/>
          <w:u w:val="none" w:color="auto"/>
        </w:rPr>
        <w:t>泄漏引起的火灾、爆炸风险。</w:t>
      </w:r>
    </w:p>
    <w:p>
      <w:pPr>
        <w:pStyle w:val="11"/>
        <w:bidi w:val="0"/>
        <w:spacing w:line="360" w:lineRule="auto"/>
        <w:ind w:left="851" w:hanging="851"/>
        <w:rPr>
          <w:color w:val="auto"/>
          <w:sz w:val="30"/>
          <w:szCs w:val="30"/>
        </w:rPr>
      </w:pPr>
      <w:r>
        <w:rPr>
          <w:color w:val="auto"/>
          <w:sz w:val="30"/>
          <w:szCs w:val="30"/>
        </w:rPr>
        <w:t>最大可信事故</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本项目最大可信事故类型为生产过程中的泄漏和火灾风险。</w:t>
      </w:r>
    </w:p>
    <w:p>
      <w:pPr>
        <w:pStyle w:val="31"/>
        <w:keepNext w:val="0"/>
        <w:keepLines w:val="0"/>
        <w:pageBreakBefore w:val="0"/>
        <w:widowControl/>
        <w:kinsoku w:val="0"/>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据统计资料表明，国内贮罐物料泄漏的事故概率在0.5×</w:t>
      </w: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0</w:t>
      </w:r>
      <w:r>
        <w:rPr>
          <w:rFonts w:hint="default" w:ascii="Times New Roman" w:hAnsi="Times New Roman" w:cs="Times New Roman"/>
          <w:color w:val="auto"/>
          <w:szCs w:val="28"/>
          <w:u w:val="none" w:color="auto"/>
          <w:vertAlign w:val="superscript"/>
        </w:rPr>
        <w:t>-4</w:t>
      </w:r>
      <w:r>
        <w:rPr>
          <w:rFonts w:hint="default" w:ascii="Times New Roman" w:hAnsi="Times New Roman" w:cs="Times New Roman"/>
          <w:color w:val="auto"/>
          <w:szCs w:val="28"/>
          <w:u w:val="none" w:color="auto"/>
        </w:rPr>
        <w:t>次/年。本项目采用先进的工艺技术，管理规范、并有完善的安全防范措施，抗事故风险</w:t>
      </w:r>
      <w:r>
        <w:rPr>
          <w:rFonts w:hint="eastAsia" w:ascii="Times New Roman" w:hAnsi="Times New Roman" w:eastAsia="宋体" w:cs="Times New Roman"/>
          <w:color w:val="auto"/>
          <w:szCs w:val="28"/>
          <w:u w:val="none" w:color="auto"/>
          <w:lang w:eastAsia="zh-CN"/>
        </w:rPr>
        <w:t>能力较强</w:t>
      </w:r>
      <w:r>
        <w:rPr>
          <w:rFonts w:hint="default" w:ascii="Times New Roman" w:hAnsi="Times New Roman" w:cs="Times New Roman"/>
          <w:color w:val="auto"/>
          <w:szCs w:val="28"/>
          <w:u w:val="none" w:color="auto"/>
        </w:rPr>
        <w:t>，因此确定最大可信事故为VOCs原料库的物料</w:t>
      </w:r>
      <w:r>
        <w:rPr>
          <w:rFonts w:hint="eastAsia" w:ascii="Times New Roman" w:hAnsi="Times New Roman" w:eastAsia="宋体" w:cs="Times New Roman"/>
          <w:color w:val="auto"/>
          <w:szCs w:val="28"/>
          <w:u w:val="none" w:color="auto"/>
          <w:lang w:eastAsia="zh-CN"/>
        </w:rPr>
        <w:t>泄漏</w:t>
      </w:r>
      <w:r>
        <w:rPr>
          <w:rFonts w:hint="default" w:ascii="Times New Roman" w:hAnsi="Times New Roman" w:cs="Times New Roman"/>
          <w:color w:val="auto"/>
          <w:szCs w:val="28"/>
          <w:u w:val="none" w:color="auto"/>
        </w:rPr>
        <w:t>，概率确定为5×10</w:t>
      </w:r>
      <w:r>
        <w:rPr>
          <w:rFonts w:hint="default" w:ascii="Times New Roman" w:hAnsi="Times New Roman" w:cs="Times New Roman"/>
          <w:color w:val="auto"/>
          <w:szCs w:val="28"/>
          <w:u w:val="none" w:color="auto"/>
          <w:vertAlign w:val="superscript"/>
        </w:rPr>
        <w:t>-5</w:t>
      </w:r>
      <w:r>
        <w:rPr>
          <w:rFonts w:hint="default" w:ascii="Times New Roman" w:hAnsi="Times New Roman" w:cs="Times New Roman"/>
          <w:color w:val="auto"/>
          <w:szCs w:val="28"/>
          <w:u w:val="none" w:color="auto"/>
        </w:rPr>
        <w:t>次/年。</w:t>
      </w:r>
    </w:p>
    <w:p>
      <w:pPr>
        <w:pStyle w:val="11"/>
        <w:bidi w:val="0"/>
        <w:spacing w:line="360" w:lineRule="auto"/>
        <w:ind w:left="851" w:hanging="851"/>
        <w:rPr>
          <w:color w:val="auto"/>
          <w:sz w:val="30"/>
          <w:szCs w:val="30"/>
        </w:rPr>
      </w:pPr>
      <w:r>
        <w:rPr>
          <w:color w:val="auto"/>
          <w:sz w:val="30"/>
          <w:szCs w:val="30"/>
        </w:rPr>
        <w:t>事故源强设定</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项目大气环境风险评价工作等级划分为</w:t>
      </w:r>
      <w:r>
        <w:rPr>
          <w:rFonts w:hint="eastAsia" w:ascii="Times New Roman" w:hAnsi="Times New Roman" w:eastAsia="宋体" w:cs="Times New Roman"/>
          <w:color w:val="auto"/>
          <w:szCs w:val="28"/>
          <w:u w:val="none" w:color="auto"/>
          <w:lang w:val="en-US" w:eastAsia="zh-CN"/>
        </w:rPr>
        <w:t>二</w:t>
      </w:r>
      <w:r>
        <w:rPr>
          <w:rFonts w:hint="default" w:ascii="Times New Roman" w:hAnsi="Times New Roman" w:cs="Times New Roman"/>
          <w:color w:val="auto"/>
          <w:szCs w:val="28"/>
          <w:u w:val="none" w:color="auto"/>
        </w:rPr>
        <w:t>级，</w:t>
      </w:r>
      <w:r>
        <w:rPr>
          <w:rFonts w:hint="eastAsia" w:ascii="Times New Roman" w:hAnsi="Times New Roman" w:eastAsia="宋体" w:cs="Times New Roman"/>
          <w:color w:val="auto"/>
          <w:szCs w:val="28"/>
          <w:u w:val="none" w:color="auto"/>
          <w:lang w:val="en-US" w:eastAsia="zh-CN"/>
        </w:rPr>
        <w:t>需选取最不利气象条件，选择适用的数值方法进行分析预测，给出风险事故情形下危险物质释放可能造成的大气环境影响范围与程度</w:t>
      </w:r>
      <w:r>
        <w:rPr>
          <w:rFonts w:hint="default" w:ascii="Times New Roman" w:hAnsi="Times New Roman" w:cs="Times New Roman"/>
          <w:color w:val="auto"/>
          <w:szCs w:val="28"/>
          <w:u w:val="none" w:color="auto"/>
        </w:rPr>
        <w:t>；项目地表水以及地下水环境风险评价工作等级划分为简单分析，仅需定性分析说明地表水环境影响后果，本次评价不再定量给出地表水以及地下水的事故源强。</w:t>
      </w:r>
    </w:p>
    <w:p>
      <w:pPr>
        <w:pStyle w:val="10"/>
        <w:bidi w:val="0"/>
        <w:spacing w:line="360" w:lineRule="auto"/>
        <w:rPr>
          <w:rFonts w:hint="default" w:ascii="Times New Roman" w:hAnsi="Times New Roman" w:cs="Times New Roman"/>
          <w:color w:val="auto"/>
          <w:sz w:val="32"/>
          <w:szCs w:val="32"/>
        </w:rPr>
      </w:pPr>
      <w:bookmarkStart w:id="93" w:name="bookmark94"/>
      <w:bookmarkEnd w:id="93"/>
      <w:bookmarkStart w:id="94" w:name="_Toc21501"/>
      <w:r>
        <w:rPr>
          <w:rFonts w:hint="default" w:ascii="Times New Roman" w:hAnsi="Times New Roman" w:cs="Times New Roman"/>
          <w:color w:val="auto"/>
          <w:sz w:val="32"/>
          <w:szCs w:val="32"/>
        </w:rPr>
        <w:t>事故后果分析</w:t>
      </w:r>
      <w:bookmarkEnd w:id="94"/>
    </w:p>
    <w:p>
      <w:pPr>
        <w:pStyle w:val="11"/>
        <w:bidi w:val="0"/>
        <w:spacing w:line="360" w:lineRule="auto"/>
        <w:ind w:left="851" w:hanging="851"/>
        <w:rPr>
          <w:color w:val="auto"/>
          <w:sz w:val="30"/>
          <w:szCs w:val="30"/>
        </w:rPr>
      </w:pPr>
      <w:r>
        <w:rPr>
          <w:color w:val="auto"/>
          <w:sz w:val="30"/>
          <w:szCs w:val="30"/>
        </w:rPr>
        <w:t>大气风险事故后果分析</w:t>
      </w:r>
    </w:p>
    <w:p>
      <w:pPr>
        <w:pStyle w:val="7"/>
        <w:spacing w:before="202" w:line="354" w:lineRule="auto"/>
        <w:ind w:left="10" w:right="15" w:firstLine="48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3"/>
          <w:sz w:val="24"/>
          <w:szCs w:val="24"/>
        </w:rPr>
        <w:t>本项目涉及的危险物质Q值较小，不涉及重点监管的</w:t>
      </w:r>
      <w:r>
        <w:rPr>
          <w:rFonts w:hint="default" w:ascii="Times New Roman" w:hAnsi="Times New Roman" w:cs="Times New Roman" w:eastAsiaTheme="minorEastAsia"/>
          <w:color w:val="auto"/>
          <w:spacing w:val="-4"/>
          <w:sz w:val="24"/>
          <w:szCs w:val="24"/>
        </w:rPr>
        <w:t>危险化工工艺，周边大气环境</w:t>
      </w:r>
      <w:r>
        <w:rPr>
          <w:rFonts w:hint="default" w:ascii="Times New Roman" w:hAnsi="Times New Roman" w:cs="Times New Roman" w:eastAsiaTheme="minorEastAsia"/>
          <w:color w:val="auto"/>
          <w:spacing w:val="-1"/>
          <w:sz w:val="24"/>
          <w:szCs w:val="24"/>
        </w:rPr>
        <w:t>敏感分级为E1级，因此项目大气环境风险潜势较小</w:t>
      </w:r>
      <w:r>
        <w:rPr>
          <w:rFonts w:hint="eastAsia" w:ascii="Times New Roman" w:hAnsi="Times New Roman" w:cs="Times New Roman" w:eastAsiaTheme="minorEastAsia"/>
          <w:color w:val="auto"/>
          <w:spacing w:val="-1"/>
          <w:sz w:val="24"/>
          <w:szCs w:val="24"/>
          <w:lang w:eastAsia="zh-CN"/>
        </w:rPr>
        <w:t>（</w:t>
      </w:r>
      <w:r>
        <w:rPr>
          <w:rFonts w:hint="default" w:ascii="Times New Roman" w:hAnsi="Times New Roman" w:cs="Times New Roman" w:eastAsiaTheme="minorEastAsia"/>
          <w:color w:val="auto"/>
          <w:spacing w:val="-1"/>
          <w:sz w:val="24"/>
          <w:szCs w:val="24"/>
        </w:rPr>
        <w:t>ⅡI级</w:t>
      </w:r>
      <w:r>
        <w:rPr>
          <w:rFonts w:hint="eastAsia" w:ascii="Times New Roman" w:hAnsi="Times New Roman" w:cs="Times New Roman" w:eastAsiaTheme="minorEastAsia"/>
          <w:color w:val="auto"/>
          <w:spacing w:val="-1"/>
          <w:sz w:val="24"/>
          <w:szCs w:val="24"/>
          <w:lang w:eastAsia="zh-CN"/>
        </w:rPr>
        <w:t>）</w:t>
      </w:r>
      <w:r>
        <w:rPr>
          <w:rFonts w:hint="default" w:ascii="Times New Roman" w:hAnsi="Times New Roman" w:cs="Times New Roman" w:eastAsiaTheme="minorEastAsia"/>
          <w:color w:val="auto"/>
          <w:spacing w:val="-1"/>
          <w:sz w:val="24"/>
          <w:szCs w:val="24"/>
        </w:rPr>
        <w:t>。同时，本项目风险物质</w:t>
      </w:r>
      <w:r>
        <w:rPr>
          <w:rFonts w:hint="default" w:ascii="Times New Roman" w:hAnsi="Times New Roman" w:cs="Times New Roman" w:eastAsiaTheme="minorEastAsia"/>
          <w:color w:val="auto"/>
          <w:spacing w:val="2"/>
          <w:sz w:val="24"/>
          <w:szCs w:val="24"/>
        </w:rPr>
        <w:t>泄漏事故发生概率较小（5×10</w:t>
      </w:r>
      <w:r>
        <w:rPr>
          <w:rFonts w:hint="eastAsia" w:ascii="Times New Roman" w:hAnsi="Times New Roman" w:cs="Times New Roman" w:eastAsiaTheme="minorEastAsia"/>
          <w:color w:val="auto"/>
          <w:spacing w:val="2"/>
          <w:sz w:val="24"/>
          <w:szCs w:val="24"/>
          <w:vertAlign w:val="superscript"/>
          <w:lang w:val="en-US" w:eastAsia="zh-CN"/>
        </w:rPr>
        <w:t>-5</w:t>
      </w:r>
      <w:r>
        <w:rPr>
          <w:rFonts w:hint="default" w:ascii="Times New Roman" w:hAnsi="Times New Roman" w:cs="Times New Roman" w:eastAsiaTheme="minorEastAsia"/>
          <w:color w:val="auto"/>
          <w:spacing w:val="2"/>
          <w:sz w:val="24"/>
          <w:szCs w:val="24"/>
        </w:rPr>
        <w:t>次/年）。在落实有效的环境风险措施</w:t>
      </w:r>
      <w:r>
        <w:rPr>
          <w:rFonts w:hint="default" w:ascii="Times New Roman" w:hAnsi="Times New Roman" w:cs="Times New Roman" w:eastAsiaTheme="minorEastAsia"/>
          <w:color w:val="auto"/>
          <w:spacing w:val="1"/>
          <w:sz w:val="24"/>
          <w:szCs w:val="24"/>
        </w:rPr>
        <w:t>后，项目危化品</w:t>
      </w:r>
      <w:r>
        <w:rPr>
          <w:rFonts w:hint="default" w:ascii="Times New Roman" w:hAnsi="Times New Roman" w:cs="Times New Roman" w:eastAsiaTheme="minorEastAsia"/>
          <w:color w:val="auto"/>
          <w:spacing w:val="-2"/>
          <w:sz w:val="24"/>
          <w:szCs w:val="24"/>
        </w:rPr>
        <w:t>泄漏引起的大气环境风险可降至可防控水平。本评价重点分析各危化品泄漏引起的火灾次生环境事件后果。根据公司的原辅材料、辅助设备等情况，其原料库存在火灾或爆炸的可能性，一旦发生火灾或爆炸事故，将造成次生环境影响，燃爆废气中含有一氧化碳</w:t>
      </w:r>
      <w:r>
        <w:rPr>
          <w:rFonts w:hint="default" w:ascii="Times New Roman" w:hAnsi="Times New Roman" w:cs="Times New Roman" w:eastAsiaTheme="minorEastAsia"/>
          <w:color w:val="auto"/>
          <w:spacing w:val="-1"/>
          <w:sz w:val="24"/>
          <w:szCs w:val="24"/>
        </w:rPr>
        <w:t>（CO）、二氧化硫（SO₂</w:t>
      </w:r>
      <w:r>
        <w:rPr>
          <w:rFonts w:hint="eastAsia" w:ascii="Times New Roman" w:hAnsi="Times New Roman" w:cs="Times New Roman" w:eastAsiaTheme="minorEastAsia"/>
          <w:color w:val="auto"/>
          <w:spacing w:val="-1"/>
          <w:sz w:val="24"/>
          <w:szCs w:val="24"/>
          <w:lang w:eastAsia="zh-CN"/>
        </w:rPr>
        <w:t>）</w:t>
      </w:r>
      <w:r>
        <w:rPr>
          <w:rFonts w:hint="default" w:ascii="Times New Roman" w:hAnsi="Times New Roman" w:cs="Times New Roman" w:eastAsiaTheme="minorEastAsia"/>
          <w:color w:val="auto"/>
          <w:spacing w:val="-1"/>
          <w:sz w:val="24"/>
          <w:szCs w:val="24"/>
        </w:rPr>
        <w:t>等有害物质，会对本厂区周围</w:t>
      </w:r>
      <w:r>
        <w:rPr>
          <w:rFonts w:hint="default" w:ascii="Times New Roman" w:hAnsi="Times New Roman" w:cs="Times New Roman" w:eastAsiaTheme="minorEastAsia"/>
          <w:color w:val="auto"/>
          <w:spacing w:val="-2"/>
          <w:sz w:val="24"/>
          <w:szCs w:val="24"/>
        </w:rPr>
        <w:t>的空气质量和周边居民带来一定的不良影响。</w:t>
      </w:r>
    </w:p>
    <w:p>
      <w:pPr>
        <w:pStyle w:val="7"/>
        <w:spacing w:before="55" w:line="220" w:lineRule="auto"/>
        <w:ind w:left="501"/>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pacing w:val="-4"/>
          <w:sz w:val="24"/>
          <w:szCs w:val="24"/>
        </w:rPr>
        <w:t>（1）环境风险物质的源强分析</w:t>
      </w:r>
    </w:p>
    <w:p>
      <w:pPr>
        <w:pStyle w:val="7"/>
        <w:spacing w:before="180" w:line="355" w:lineRule="auto"/>
        <w:ind w:left="2" w:firstLine="487"/>
        <w:jc w:val="both"/>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pacing w:val="5"/>
          <w:sz w:val="24"/>
          <w:szCs w:val="24"/>
        </w:rPr>
        <w:t>根据以下公式，假定火灾发生地点为涉</w:t>
      </w:r>
      <w:r>
        <w:rPr>
          <w:rFonts w:hint="default" w:ascii="Times New Roman" w:hAnsi="Times New Roman" w:cs="Times New Roman" w:eastAsiaTheme="minorEastAsia"/>
          <w:color w:val="auto"/>
          <w:sz w:val="24"/>
          <w:szCs w:val="24"/>
        </w:rPr>
        <w:t>VOCs</w:t>
      </w:r>
      <w:r>
        <w:rPr>
          <w:rFonts w:hint="default" w:ascii="Times New Roman" w:hAnsi="Times New Roman" w:cs="Times New Roman" w:eastAsiaTheme="minorEastAsia"/>
          <w:color w:val="auto"/>
          <w:spacing w:val="5"/>
          <w:sz w:val="24"/>
          <w:szCs w:val="24"/>
        </w:rPr>
        <w:t>原料区，其燃烧面积为</w:t>
      </w:r>
      <w:r>
        <w:rPr>
          <w:rFonts w:hint="eastAsia" w:ascii="Times New Roman" w:hAnsi="Times New Roman" w:cs="Times New Roman" w:eastAsiaTheme="minorEastAsia"/>
          <w:color w:val="auto"/>
          <w:spacing w:val="5"/>
          <w:sz w:val="24"/>
          <w:szCs w:val="24"/>
          <w:lang w:val="en-US" w:eastAsia="zh-CN"/>
        </w:rPr>
        <w:t>3</w:t>
      </w:r>
      <w:r>
        <w:rPr>
          <w:rFonts w:hint="default" w:ascii="Times New Roman" w:hAnsi="Times New Roman" w:cs="Times New Roman" w:eastAsiaTheme="minorEastAsia"/>
          <w:color w:val="auto"/>
          <w:spacing w:val="5"/>
          <w:sz w:val="24"/>
          <w:szCs w:val="24"/>
        </w:rPr>
        <w:t>00m²（涉</w:t>
      </w:r>
      <w:r>
        <w:rPr>
          <w:rFonts w:hint="default" w:ascii="Times New Roman" w:hAnsi="Times New Roman" w:cs="Times New Roman" w:eastAsiaTheme="minorEastAsia"/>
          <w:color w:val="auto"/>
          <w:spacing w:val="-1"/>
          <w:sz w:val="24"/>
          <w:szCs w:val="24"/>
        </w:rPr>
        <w:t>VOCs原料区面积</w:t>
      </w:r>
      <w:r>
        <w:rPr>
          <w:rFonts w:hint="default" w:ascii="Times New Roman" w:hAnsi="Times New Roman" w:cs="Times New Roman" w:eastAsiaTheme="minorEastAsia"/>
          <w:color w:val="auto"/>
          <w:spacing w:val="5"/>
          <w:sz w:val="24"/>
          <w:szCs w:val="24"/>
        </w:rPr>
        <w:t>），</w:t>
      </w:r>
      <w:r>
        <w:rPr>
          <w:rFonts w:hint="default" w:ascii="Times New Roman" w:hAnsi="Times New Roman" w:cs="Times New Roman" w:eastAsiaTheme="minorEastAsia"/>
          <w:color w:val="auto"/>
          <w:spacing w:val="0"/>
          <w:sz w:val="24"/>
          <w:szCs w:val="24"/>
        </w:rPr>
        <w:t>涉VOCs原</w:t>
      </w:r>
      <w:r>
        <w:rPr>
          <w:rFonts w:hint="default" w:ascii="Times New Roman" w:hAnsi="Times New Roman" w:cs="Times New Roman" w:eastAsiaTheme="minorEastAsia"/>
          <w:color w:val="auto"/>
          <w:spacing w:val="-1"/>
          <w:sz w:val="24"/>
          <w:szCs w:val="24"/>
        </w:rPr>
        <w:t>料不完全燃烧产生的火灾烟气主要考虑一氧化碳、二氧化硫污染物对大气环境的影响。《建设项目环境风险评价技术导则》（HJ169-2018）</w:t>
      </w:r>
      <w:r>
        <w:rPr>
          <w:rFonts w:hint="default" w:ascii="Times New Roman" w:hAnsi="Times New Roman" w:cs="Times New Roman" w:eastAsiaTheme="minorEastAsia"/>
          <w:color w:val="auto"/>
          <w:spacing w:val="-2"/>
          <w:sz w:val="24"/>
          <w:szCs w:val="24"/>
        </w:rPr>
        <w:t>附录F，可以计算油品火灾伴生/次生二氧化硫、一氧</w:t>
      </w:r>
      <w:r>
        <w:rPr>
          <w:rFonts w:hint="default" w:ascii="Times New Roman" w:hAnsi="Times New Roman" w:cs="Times New Roman" w:eastAsiaTheme="minorEastAsia"/>
          <w:color w:val="auto"/>
          <w:spacing w:val="-3"/>
          <w:sz w:val="24"/>
          <w:szCs w:val="24"/>
        </w:rPr>
        <w:t>化碳产生量，本项目中涉VOCs原</w:t>
      </w:r>
      <w:r>
        <w:rPr>
          <w:rFonts w:hint="default" w:ascii="Times New Roman" w:hAnsi="Times New Roman" w:cs="Times New Roman" w:eastAsiaTheme="minorEastAsia"/>
          <w:color w:val="auto"/>
          <w:spacing w:val="-1"/>
          <w:sz w:val="24"/>
          <w:szCs w:val="24"/>
        </w:rPr>
        <w:t>料中油墨、正丙醇、异丙醇、乙酸乙酯、聚氨酯胶</w:t>
      </w:r>
      <w:r>
        <w:rPr>
          <w:rFonts w:hint="default" w:ascii="Times New Roman" w:hAnsi="Times New Roman" w:cs="Times New Roman" w:eastAsiaTheme="minorEastAsia"/>
          <w:color w:val="auto"/>
          <w:spacing w:val="-2"/>
          <w:sz w:val="24"/>
          <w:szCs w:val="24"/>
        </w:rPr>
        <w:t>水均属于易燃液体物质，本评价参照</w:t>
      </w:r>
      <w:r>
        <w:rPr>
          <w:rFonts w:hint="default" w:ascii="Times New Roman" w:hAnsi="Times New Roman" w:cs="Times New Roman" w:eastAsiaTheme="minorEastAsia"/>
          <w:color w:val="auto"/>
          <w:spacing w:val="-1"/>
          <w:sz w:val="24"/>
          <w:szCs w:val="24"/>
        </w:rPr>
        <w:t>柴油火灾事故分析二氧化硫、一氧化碳产生量</w:t>
      </w:r>
      <w:r>
        <w:rPr>
          <w:rFonts w:hint="eastAsia" w:ascii="Times New Roman" w:hAnsi="Times New Roman" w:cs="Times New Roman" w:eastAsiaTheme="minorEastAsia"/>
          <w:color w:val="auto"/>
          <w:spacing w:val="-1"/>
          <w:sz w:val="24"/>
          <w:szCs w:val="24"/>
          <w:lang w:eastAsia="zh-CN"/>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2"/>
          <w:sz w:val="24"/>
          <w:szCs w:val="24"/>
        </w:rPr>
        <w:t>燃烧速度指易燃液体发生火灾时，液体表面上单位面积的燃烧速度，其值可用公式</w:t>
      </w:r>
      <w:r>
        <w:rPr>
          <w:rFonts w:hint="default" w:ascii="Times New Roman" w:hAnsi="Times New Roman" w:cs="Times New Roman" w:eastAsiaTheme="minorEastAsia"/>
          <w:color w:val="auto"/>
          <w:spacing w:val="-1"/>
          <w:sz w:val="24"/>
          <w:szCs w:val="24"/>
        </w:rPr>
        <w:t>计算，也可从手册中查到，下表列出了一些可燃液体的燃烧速度。</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7.7</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一些可燃液体的燃烧速度</w:t>
      </w: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344"/>
        <w:gridCol w:w="1670"/>
        <w:gridCol w:w="1670"/>
        <w:gridCol w:w="16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001" w:type="pct"/>
            <w:tcBorders>
              <w:tl2br w:val="nil"/>
              <w:tr2bl w:val="nil"/>
            </w:tcBorders>
            <w:shd w:val="clear" w:color="auto" w:fill="F2F2F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10"/>
                <w:sz w:val="21"/>
                <w:szCs w:val="21"/>
              </w:rPr>
              <w:t>物质名称</w:t>
            </w:r>
          </w:p>
        </w:tc>
        <w:tc>
          <w:tcPr>
            <w:tcW w:w="999" w:type="pct"/>
            <w:tcBorders>
              <w:tl2br w:val="nil"/>
              <w:tr2bl w:val="nil"/>
            </w:tcBorders>
            <w:shd w:val="clear" w:color="auto" w:fill="F2F2F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6"/>
                <w:sz w:val="21"/>
                <w:szCs w:val="21"/>
              </w:rPr>
              <w:t>柴油</w:t>
            </w:r>
          </w:p>
        </w:tc>
        <w:tc>
          <w:tcPr>
            <w:tcW w:w="999" w:type="pct"/>
            <w:tcBorders>
              <w:tl2br w:val="nil"/>
              <w:tr2bl w:val="nil"/>
            </w:tcBorders>
            <w:shd w:val="clear" w:color="auto" w:fill="F2F2F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5"/>
                <w:sz w:val="21"/>
                <w:szCs w:val="21"/>
              </w:rPr>
              <w:t>煤油</w:t>
            </w:r>
          </w:p>
        </w:tc>
        <w:tc>
          <w:tcPr>
            <w:tcW w:w="1000" w:type="pct"/>
            <w:tcBorders>
              <w:tl2br w:val="nil"/>
              <w:tr2bl w:val="nil"/>
            </w:tcBorders>
            <w:shd w:val="clear" w:color="auto" w:fill="F2F2F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5"/>
                <w:sz w:val="21"/>
                <w:szCs w:val="21"/>
              </w:rPr>
              <w:t>重油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00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燃烧速度（</w:t>
            </w:r>
            <w:r>
              <w:rPr>
                <w:rFonts w:hint="default" w:ascii="Times New Roman" w:hAnsi="Times New Roman" w:eastAsia="Times New Roman" w:cs="Times New Roman"/>
                <w:color w:val="auto"/>
                <w:sz w:val="21"/>
                <w:szCs w:val="21"/>
              </w:rPr>
              <w:t>kg</w:t>
            </w:r>
            <w:r>
              <w:rPr>
                <w:rFonts w:hint="default" w:ascii="Times New Roman" w:hAnsi="Times New Roman" w:eastAsia="宋体" w:cs="Times New Roman"/>
                <w:color w:val="auto"/>
                <w:spacing w:val="3"/>
                <w:sz w:val="21"/>
                <w:szCs w:val="21"/>
              </w:rPr>
              <w:t>·</w:t>
            </w:r>
            <w:r>
              <w:rPr>
                <w:rFonts w:hint="default" w:ascii="Times New Roman" w:hAnsi="Times New Roman" w:eastAsia="Times New Roman" w:cs="Times New Roman"/>
                <w:color w:val="auto"/>
                <w:spacing w:val="3"/>
                <w:sz w:val="21"/>
                <w:szCs w:val="21"/>
              </w:rPr>
              <w:t>m</w:t>
            </w:r>
            <w:r>
              <w:rPr>
                <w:rFonts w:hint="eastAsia" w:ascii="Times New Roman" w:hAnsi="Times New Roman" w:eastAsia="宋体" w:cs="Times New Roman"/>
                <w:color w:val="auto"/>
                <w:spacing w:val="3"/>
                <w:sz w:val="21"/>
                <w:szCs w:val="21"/>
                <w:vertAlign w:val="superscript"/>
                <w:lang w:val="en-US" w:eastAsia="zh-CN"/>
              </w:rPr>
              <w:t>2</w:t>
            </w:r>
            <w:r>
              <w:rPr>
                <w:rFonts w:hint="default" w:ascii="Times New Roman" w:hAnsi="Times New Roman" w:eastAsia="Times New Roman" w:cs="Times New Roman"/>
                <w:color w:val="auto"/>
                <w:spacing w:val="3"/>
                <w:sz w:val="21"/>
                <w:szCs w:val="21"/>
              </w:rPr>
              <w:t>/h</w:t>
            </w:r>
            <w:r>
              <w:rPr>
                <w:rFonts w:hint="default" w:ascii="Times New Roman" w:hAnsi="Times New Roman" w:eastAsia="宋体" w:cs="Times New Roman"/>
                <w:color w:val="auto"/>
                <w:spacing w:val="3"/>
                <w:sz w:val="21"/>
                <w:szCs w:val="21"/>
              </w:rPr>
              <w:t>）</w:t>
            </w:r>
          </w:p>
        </w:tc>
        <w:tc>
          <w:tcPr>
            <w:tcW w:w="99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5"/>
                <w:sz w:val="21"/>
                <w:szCs w:val="21"/>
              </w:rPr>
              <w:t>49.33</w:t>
            </w:r>
          </w:p>
        </w:tc>
        <w:tc>
          <w:tcPr>
            <w:tcW w:w="99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55.11</w:t>
            </w:r>
          </w:p>
        </w:tc>
        <w:tc>
          <w:tcPr>
            <w:tcW w:w="10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78.1</w:t>
            </w:r>
          </w:p>
        </w:tc>
      </w:tr>
    </w:tbl>
    <w:p>
      <w:pPr>
        <w:pStyle w:val="7"/>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0" w:firstLine="476" w:firstLineChars="200"/>
        <w:textAlignment w:val="baseline"/>
        <w:rPr>
          <w:rFonts w:hint="default"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pacing w:val="-1"/>
          <w:sz w:val="24"/>
          <w:szCs w:val="24"/>
          <w:lang w:val="en-US" w:eastAsia="zh-CN"/>
        </w:rPr>
        <w:t>1）</w:t>
      </w:r>
      <w:r>
        <w:rPr>
          <w:rFonts w:hint="default" w:ascii="Times New Roman" w:hAnsi="Times New Roman" w:cs="Times New Roman" w:eastAsiaTheme="minorEastAsia"/>
          <w:color w:val="auto"/>
          <w:spacing w:val="-1"/>
          <w:sz w:val="24"/>
          <w:szCs w:val="24"/>
        </w:rPr>
        <w:t>二氧化硫产生量计算：</w:t>
      </w:r>
    </w:p>
    <w:p>
      <w:pPr>
        <w:pStyle w:val="7"/>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0"/>
        <w:jc w:val="center"/>
        <w:textAlignment w:val="baseline"/>
        <w:rPr>
          <w:rFonts w:hint="default" w:ascii="Times New Roman" w:hAnsi="Times New Roman" w:cs="Times New Roman" w:eastAsiaTheme="minorEastAsia"/>
          <w:color w:val="auto"/>
          <w:spacing w:val="-4"/>
          <w:sz w:val="24"/>
          <w:szCs w:val="24"/>
        </w:rPr>
      </w:pPr>
      <w:r>
        <w:rPr>
          <w:rFonts w:hint="default" w:ascii="Times New Roman" w:hAnsi="Times New Roman" w:cs="Times New Roman" w:eastAsiaTheme="minorEastAsia"/>
          <w:color w:val="auto"/>
          <w:spacing w:val="-4"/>
          <w:sz w:val="24"/>
          <w:szCs w:val="24"/>
        </w:rPr>
        <w:t>G</w:t>
      </w:r>
      <w:r>
        <w:rPr>
          <w:rFonts w:hint="default" w:ascii="Times New Roman" w:hAnsi="Times New Roman" w:cs="Times New Roman" w:eastAsiaTheme="minorEastAsia"/>
          <w:color w:val="auto"/>
          <w:spacing w:val="-4"/>
          <w:position w:val="-1"/>
          <w:sz w:val="24"/>
          <w:szCs w:val="24"/>
          <w:vertAlign w:val="subscript"/>
        </w:rPr>
        <w:t>（SO</w:t>
      </w:r>
      <w:r>
        <w:rPr>
          <w:rFonts w:hint="default" w:ascii="Times New Roman" w:hAnsi="Times New Roman" w:cs="Times New Roman" w:eastAsiaTheme="minorEastAsia"/>
          <w:color w:val="auto"/>
          <w:spacing w:val="-4"/>
          <w:position w:val="-2"/>
          <w:sz w:val="24"/>
          <w:szCs w:val="24"/>
          <w:vertAlign w:val="subscript"/>
        </w:rPr>
        <w:t>₂</w:t>
      </w:r>
      <w:r>
        <w:rPr>
          <w:rFonts w:hint="eastAsia" w:ascii="Times New Roman" w:hAnsi="Times New Roman" w:cs="Times New Roman" w:eastAsiaTheme="minorEastAsia"/>
          <w:color w:val="auto"/>
          <w:spacing w:val="-15"/>
          <w:position w:val="-2"/>
          <w:sz w:val="24"/>
          <w:szCs w:val="24"/>
          <w:vertAlign w:val="subscript"/>
          <w:lang w:eastAsia="zh-CN"/>
        </w:rPr>
        <w:t>）</w:t>
      </w:r>
      <w:r>
        <w:rPr>
          <w:rFonts w:hint="default" w:ascii="Times New Roman" w:hAnsi="Times New Roman" w:cs="Times New Roman" w:eastAsiaTheme="minorEastAsia"/>
          <w:color w:val="auto"/>
          <w:spacing w:val="-4"/>
          <w:sz w:val="24"/>
          <w:szCs w:val="24"/>
        </w:rPr>
        <w:t>=2BS</w:t>
      </w:r>
    </w:p>
    <w:p>
      <w:pPr>
        <w:pStyle w:val="7"/>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50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5"/>
          <w:sz w:val="24"/>
          <w:szCs w:val="24"/>
        </w:rPr>
        <w:t>式中：G</w:t>
      </w:r>
      <w:r>
        <w:rPr>
          <w:rFonts w:hint="default" w:ascii="Times New Roman" w:hAnsi="Times New Roman" w:cs="Times New Roman" w:eastAsiaTheme="minorEastAsia"/>
          <w:color w:val="auto"/>
          <w:spacing w:val="5"/>
          <w:position w:val="-2"/>
          <w:sz w:val="24"/>
          <w:szCs w:val="24"/>
        </w:rPr>
        <w:t>（</w:t>
      </w:r>
      <w:r>
        <w:rPr>
          <w:rFonts w:hint="default" w:ascii="Times New Roman" w:hAnsi="Times New Roman" w:cs="Times New Roman" w:eastAsiaTheme="minorEastAsia"/>
          <w:color w:val="auto"/>
          <w:position w:val="-2"/>
          <w:sz w:val="24"/>
          <w:szCs w:val="24"/>
        </w:rPr>
        <w:t>SO</w:t>
      </w:r>
      <w:r>
        <w:rPr>
          <w:rFonts w:hint="default" w:ascii="Times New Roman" w:hAnsi="Times New Roman" w:cs="Times New Roman" w:eastAsiaTheme="minorEastAsia"/>
          <w:color w:val="auto"/>
          <w:spacing w:val="5"/>
          <w:position w:val="-2"/>
          <w:sz w:val="24"/>
          <w:szCs w:val="24"/>
        </w:rPr>
        <w:t>₂</w:t>
      </w:r>
      <w:r>
        <w:rPr>
          <w:rFonts w:hint="eastAsia" w:ascii="Times New Roman" w:hAnsi="Times New Roman" w:cs="Times New Roman" w:eastAsiaTheme="minorEastAsia"/>
          <w:color w:val="auto"/>
          <w:spacing w:val="-10"/>
          <w:position w:val="-2"/>
          <w:sz w:val="24"/>
          <w:szCs w:val="24"/>
          <w:lang w:eastAsia="zh-CN"/>
        </w:rPr>
        <w:t>）——</w:t>
      </w:r>
      <w:r>
        <w:rPr>
          <w:rFonts w:hint="default" w:ascii="Times New Roman" w:hAnsi="Times New Roman" w:cs="Times New Roman" w:eastAsiaTheme="minorEastAsia"/>
          <w:color w:val="auto"/>
          <w:spacing w:val="5"/>
          <w:sz w:val="24"/>
          <w:szCs w:val="24"/>
        </w:rPr>
        <w:t>二氧化硫排放速率，</w:t>
      </w:r>
      <w:r>
        <w:rPr>
          <w:rFonts w:hint="default" w:ascii="Times New Roman" w:hAnsi="Times New Roman" w:cs="Times New Roman" w:eastAsiaTheme="minorEastAsia"/>
          <w:color w:val="auto"/>
          <w:sz w:val="24"/>
          <w:szCs w:val="24"/>
        </w:rPr>
        <w:t>kg</w:t>
      </w:r>
      <w:r>
        <w:rPr>
          <w:rFonts w:hint="default" w:ascii="Times New Roman" w:hAnsi="Times New Roman" w:cs="Times New Roman" w:eastAsiaTheme="minorEastAsia"/>
          <w:color w:val="auto"/>
          <w:spacing w:val="5"/>
          <w:sz w:val="24"/>
          <w:szCs w:val="24"/>
        </w:rPr>
        <w:t>/h；</w:t>
      </w:r>
    </w:p>
    <w:p>
      <w:pPr>
        <w:pStyle w:val="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1200" w:firstLineChars="500"/>
        <w:textAlignment w:val="baseline"/>
        <w:rPr>
          <w:rFonts w:hint="default" w:ascii="Times New Roman" w:hAnsi="Times New Roman" w:cs="Times New Roman" w:eastAsiaTheme="minorEastAsia"/>
          <w:color w:val="auto"/>
          <w:spacing w:val="0"/>
          <w:sz w:val="24"/>
          <w:szCs w:val="24"/>
        </w:rPr>
      </w:pPr>
      <w:r>
        <w:rPr>
          <w:rFonts w:hint="default" w:ascii="Times New Roman" w:hAnsi="Times New Roman" w:cs="Times New Roman" w:eastAsiaTheme="minorEastAsia"/>
          <w:color w:val="auto"/>
          <w:spacing w:val="0"/>
          <w:sz w:val="24"/>
          <w:szCs w:val="24"/>
        </w:rPr>
        <w:t>B—物质燃烧量，kg/h，</w:t>
      </w:r>
      <w:r>
        <w:rPr>
          <w:rFonts w:hint="eastAsia" w:ascii="Times New Roman" w:hAnsi="Times New Roman" w:cs="Times New Roman" w:eastAsiaTheme="minorEastAsia"/>
          <w:color w:val="auto"/>
          <w:spacing w:val="0"/>
          <w:sz w:val="24"/>
          <w:szCs w:val="24"/>
          <w:lang w:val="en-US" w:eastAsia="zh-CN"/>
        </w:rPr>
        <w:t>计算得</w:t>
      </w:r>
      <w:r>
        <w:rPr>
          <w:rFonts w:hint="default" w:ascii="Times New Roman" w:hAnsi="Times New Roman" w:cs="Times New Roman" w:eastAsiaTheme="minorEastAsia"/>
          <w:color w:val="auto"/>
          <w:spacing w:val="0"/>
          <w:sz w:val="24"/>
          <w:szCs w:val="24"/>
        </w:rPr>
        <w:t>本评价取值</w:t>
      </w:r>
      <w:r>
        <w:rPr>
          <w:rFonts w:hint="eastAsia" w:ascii="Times New Roman" w:hAnsi="Times New Roman" w:cs="Times New Roman" w:eastAsiaTheme="minorEastAsia"/>
          <w:color w:val="auto"/>
          <w:spacing w:val="0"/>
          <w:sz w:val="24"/>
          <w:szCs w:val="24"/>
          <w:lang w:val="en-US" w:eastAsia="zh-CN"/>
        </w:rPr>
        <w:t>14799</w:t>
      </w:r>
      <w:r>
        <w:rPr>
          <w:rFonts w:hint="default" w:ascii="Times New Roman" w:hAnsi="Times New Roman" w:cs="Times New Roman" w:eastAsiaTheme="minorEastAsia"/>
          <w:color w:val="auto"/>
          <w:spacing w:val="0"/>
          <w:sz w:val="24"/>
          <w:szCs w:val="24"/>
        </w:rPr>
        <w:t>kg/h；</w:t>
      </w:r>
    </w:p>
    <w:p>
      <w:pPr>
        <w:pStyle w:val="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1160" w:firstLineChars="5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4"/>
          <w:sz w:val="24"/>
          <w:szCs w:val="24"/>
        </w:rPr>
        <w:t>S—物质中硫的含量，%，本评价取值</w:t>
      </w:r>
      <w:r>
        <w:rPr>
          <w:rFonts w:hint="default" w:ascii="Times New Roman" w:hAnsi="Times New Roman" w:cs="Times New Roman" w:eastAsiaTheme="minorEastAsia"/>
          <w:color w:val="auto"/>
          <w:spacing w:val="-51"/>
          <w:sz w:val="24"/>
          <w:szCs w:val="24"/>
        </w:rPr>
        <w:t xml:space="preserve"> </w:t>
      </w:r>
      <w:r>
        <w:rPr>
          <w:rFonts w:hint="default" w:ascii="Times New Roman" w:hAnsi="Times New Roman" w:cs="Times New Roman" w:eastAsiaTheme="minorEastAsia"/>
          <w:color w:val="auto"/>
          <w:spacing w:val="-4"/>
          <w:sz w:val="24"/>
          <w:szCs w:val="24"/>
        </w:rPr>
        <w:t>0.001%。</w:t>
      </w:r>
    </w:p>
    <w:p>
      <w:pPr>
        <w:pStyle w:val="7"/>
        <w:keepNext w:val="0"/>
        <w:keepLines w:val="0"/>
        <w:pageBreakBefore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cs="Times New Roman" w:eastAsiaTheme="minorEastAsia"/>
          <w:color w:val="auto"/>
          <w:spacing w:val="0"/>
          <w:sz w:val="24"/>
          <w:szCs w:val="24"/>
        </w:rPr>
      </w:pPr>
      <w:r>
        <w:rPr>
          <w:rFonts w:hint="default" w:ascii="Times New Roman" w:hAnsi="Times New Roman" w:cs="Times New Roman" w:eastAsiaTheme="minorEastAsia"/>
          <w:color w:val="auto"/>
          <w:spacing w:val="0"/>
          <w:sz w:val="24"/>
          <w:szCs w:val="24"/>
        </w:rPr>
        <w:t>代入数据后进行计算，可燃液体燃烧二氧化硫排放速率为0.</w:t>
      </w:r>
      <w:r>
        <w:rPr>
          <w:rFonts w:hint="eastAsia" w:ascii="Times New Roman" w:hAnsi="Times New Roman" w:cs="Times New Roman" w:eastAsiaTheme="minorEastAsia"/>
          <w:color w:val="auto"/>
          <w:spacing w:val="0"/>
          <w:sz w:val="24"/>
          <w:szCs w:val="24"/>
          <w:lang w:val="en-US" w:eastAsia="zh-CN"/>
        </w:rPr>
        <w:t>296</w:t>
      </w:r>
      <w:r>
        <w:rPr>
          <w:rFonts w:hint="default" w:ascii="Times New Roman" w:hAnsi="Times New Roman" w:cs="Times New Roman" w:eastAsiaTheme="minorEastAsia"/>
          <w:color w:val="auto"/>
          <w:spacing w:val="0"/>
          <w:sz w:val="24"/>
          <w:szCs w:val="24"/>
        </w:rPr>
        <w:t>kg/h。</w:t>
      </w:r>
    </w:p>
    <w:p>
      <w:pPr>
        <w:pStyle w:val="7"/>
        <w:keepNext w:val="0"/>
        <w:keepLines w:val="0"/>
        <w:pageBreakBefore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cs="Times New Roman" w:eastAsiaTheme="minorEastAsia"/>
          <w:color w:val="auto"/>
          <w:spacing w:val="0"/>
          <w:sz w:val="24"/>
          <w:szCs w:val="24"/>
        </w:rPr>
      </w:pPr>
      <w:r>
        <w:rPr>
          <w:rFonts w:hint="eastAsia" w:ascii="Times New Roman" w:hAnsi="Times New Roman" w:cs="Times New Roman" w:eastAsiaTheme="minorEastAsia"/>
          <w:color w:val="auto"/>
          <w:spacing w:val="0"/>
          <w:sz w:val="24"/>
          <w:szCs w:val="24"/>
          <w:lang w:val="en-US" w:eastAsia="zh-CN"/>
        </w:rPr>
        <w:t>2）</w:t>
      </w:r>
      <w:r>
        <w:rPr>
          <w:rFonts w:hint="default" w:ascii="Times New Roman" w:hAnsi="Times New Roman" w:cs="Times New Roman" w:eastAsiaTheme="minorEastAsia"/>
          <w:color w:val="auto"/>
          <w:spacing w:val="0"/>
          <w:sz w:val="24"/>
          <w:szCs w:val="24"/>
        </w:rPr>
        <w:t>一氧化碳产生量计算：</w:t>
      </w:r>
    </w:p>
    <w:p>
      <w:pPr>
        <w:pStyle w:val="7"/>
        <w:keepNext w:val="0"/>
        <w:keepLines w:val="0"/>
        <w:pageBreakBefore w:val="0"/>
        <w:wordWrap/>
        <w:overflowPunct/>
        <w:topLinePunct w:val="0"/>
        <w:autoSpaceDE w:val="0"/>
        <w:autoSpaceDN w:val="0"/>
        <w:bidi w:val="0"/>
        <w:adjustRightInd w:val="0"/>
        <w:snapToGrid w:val="0"/>
        <w:spacing w:line="360" w:lineRule="auto"/>
        <w:ind w:left="0" w:right="0"/>
        <w:jc w:val="center"/>
        <w:textAlignment w:val="baseline"/>
        <w:rPr>
          <w:rFonts w:hint="default" w:ascii="Times New Roman" w:hAnsi="Times New Roman" w:cs="Times New Roman" w:eastAsiaTheme="minorEastAsia"/>
          <w:color w:val="auto"/>
          <w:spacing w:val="-1"/>
          <w:sz w:val="24"/>
          <w:szCs w:val="24"/>
        </w:rPr>
      </w:pPr>
      <w:r>
        <w:rPr>
          <w:rFonts w:hint="default" w:ascii="Times New Roman" w:hAnsi="Times New Roman" w:cs="Times New Roman" w:eastAsiaTheme="minorEastAsia"/>
          <w:color w:val="auto"/>
          <w:spacing w:val="-1"/>
          <w:sz w:val="24"/>
          <w:szCs w:val="24"/>
        </w:rPr>
        <w:t>G</w:t>
      </w:r>
      <w:r>
        <w:rPr>
          <w:rFonts w:hint="default" w:ascii="Times New Roman" w:hAnsi="Times New Roman" w:cs="Times New Roman" w:eastAsiaTheme="minorEastAsia"/>
          <w:color w:val="auto"/>
          <w:spacing w:val="-1"/>
          <w:position w:val="-2"/>
          <w:sz w:val="24"/>
          <w:szCs w:val="24"/>
          <w:vertAlign w:val="subscript"/>
        </w:rPr>
        <w:t>（CO）</w:t>
      </w:r>
      <w:r>
        <w:rPr>
          <w:rFonts w:hint="default" w:ascii="Times New Roman" w:hAnsi="Times New Roman" w:cs="Times New Roman" w:eastAsiaTheme="minorEastAsia"/>
          <w:color w:val="auto"/>
          <w:spacing w:val="-1"/>
          <w:sz w:val="24"/>
          <w:szCs w:val="24"/>
        </w:rPr>
        <w:t>=2330qCQ</w:t>
      </w:r>
    </w:p>
    <w:p>
      <w:pPr>
        <w:pStyle w:val="7"/>
        <w:keepNext w:val="0"/>
        <w:keepLines w:val="0"/>
        <w:pageBreakBefore w:val="0"/>
        <w:wordWrap/>
        <w:overflowPunct/>
        <w:topLinePunct w:val="0"/>
        <w:autoSpaceDE w:val="0"/>
        <w:autoSpaceDN w:val="0"/>
        <w:bidi w:val="0"/>
        <w:adjustRightInd w:val="0"/>
        <w:snapToGrid w:val="0"/>
        <w:spacing w:line="360" w:lineRule="auto"/>
        <w:ind w:left="0" w:right="0" w:firstLine="476"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1"/>
          <w:sz w:val="24"/>
          <w:szCs w:val="24"/>
        </w:rPr>
        <w:t>式中：G</w:t>
      </w:r>
      <w:r>
        <w:rPr>
          <w:rFonts w:hint="default" w:ascii="Times New Roman" w:hAnsi="Times New Roman" w:cs="Times New Roman" w:eastAsiaTheme="minorEastAsia"/>
          <w:color w:val="auto"/>
          <w:spacing w:val="-1"/>
          <w:position w:val="-2"/>
          <w:sz w:val="24"/>
          <w:szCs w:val="24"/>
        </w:rPr>
        <w:t>（CO）</w:t>
      </w:r>
      <w:r>
        <w:rPr>
          <w:rFonts w:hint="default" w:ascii="Times New Roman" w:hAnsi="Times New Roman" w:cs="Times New Roman" w:eastAsiaTheme="minorEastAsia"/>
          <w:color w:val="auto"/>
          <w:spacing w:val="-1"/>
          <w:sz w:val="24"/>
          <w:szCs w:val="24"/>
        </w:rPr>
        <w:t>—一氧化碳的产生量，kg/s；</w:t>
      </w:r>
    </w:p>
    <w:p>
      <w:pPr>
        <w:pStyle w:val="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1180" w:firstLineChars="500"/>
        <w:jc w:val="left"/>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2"/>
          <w:sz w:val="24"/>
          <w:szCs w:val="24"/>
        </w:rPr>
        <w:t>q—化学不完全燃烧值，取1.5%～6.0%；</w:t>
      </w:r>
    </w:p>
    <w:p>
      <w:pPr>
        <w:pStyle w:val="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1140" w:firstLineChars="500"/>
        <w:jc w:val="left"/>
        <w:textAlignment w:val="baseline"/>
        <w:rPr>
          <w:rFonts w:hint="default" w:ascii="Times New Roman" w:hAnsi="Times New Roman" w:cs="Times New Roman" w:eastAsiaTheme="minorEastAsia"/>
          <w:color w:val="auto"/>
          <w:spacing w:val="-6"/>
          <w:sz w:val="24"/>
          <w:szCs w:val="24"/>
        </w:rPr>
      </w:pPr>
      <w:r>
        <w:rPr>
          <w:rFonts w:hint="default" w:ascii="Times New Roman" w:hAnsi="Times New Roman" w:cs="Times New Roman" w:eastAsiaTheme="minorEastAsia"/>
          <w:color w:val="auto"/>
          <w:spacing w:val="-6"/>
          <w:sz w:val="24"/>
          <w:szCs w:val="24"/>
        </w:rPr>
        <w:t>C—物质中碳的含量，取85%；</w:t>
      </w:r>
    </w:p>
    <w:p>
      <w:pPr>
        <w:pStyle w:val="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1190" w:firstLineChars="500"/>
        <w:jc w:val="left"/>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1"/>
          <w:sz w:val="24"/>
          <w:szCs w:val="24"/>
        </w:rPr>
        <w:t>Q—参与燃烧的物质量，t/s。</w:t>
      </w:r>
    </w:p>
    <w:p>
      <w:pPr>
        <w:pStyle w:val="7"/>
        <w:keepNext w:val="0"/>
        <w:keepLines w:val="0"/>
        <w:pageBreakBefore w:val="0"/>
        <w:widowControl/>
        <w:kinsoku/>
        <w:wordWrap/>
        <w:overflowPunct/>
        <w:topLinePunct w:val="0"/>
        <w:autoSpaceDE w:val="0"/>
        <w:autoSpaceDN w:val="0"/>
        <w:bidi w:val="0"/>
        <w:adjustRightInd w:val="0"/>
        <w:snapToGrid w:val="0"/>
        <w:spacing w:line="360" w:lineRule="auto"/>
        <w:ind w:left="0" w:right="0" w:firstLine="492" w:firstLineChars="200"/>
        <w:jc w:val="both"/>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3"/>
          <w:sz w:val="24"/>
          <w:szCs w:val="24"/>
        </w:rPr>
        <w:t>式中物质的燃烧量根据上文计算为</w:t>
      </w:r>
      <w:r>
        <w:rPr>
          <w:rFonts w:hint="eastAsia" w:ascii="Times New Roman" w:hAnsi="Times New Roman" w:cs="Times New Roman" w:eastAsiaTheme="minorEastAsia"/>
          <w:color w:val="auto"/>
          <w:spacing w:val="3"/>
          <w:sz w:val="24"/>
          <w:szCs w:val="24"/>
          <w:lang w:val="en-US" w:eastAsia="zh-CN"/>
        </w:rPr>
        <w:t>14799</w:t>
      </w:r>
      <w:r>
        <w:rPr>
          <w:rFonts w:hint="default" w:ascii="Times New Roman" w:hAnsi="Times New Roman" w:cs="Times New Roman" w:eastAsiaTheme="minorEastAsia"/>
          <w:color w:val="auto"/>
          <w:sz w:val="24"/>
          <w:szCs w:val="24"/>
        </w:rPr>
        <w:t>kg</w:t>
      </w:r>
      <w:r>
        <w:rPr>
          <w:rFonts w:hint="default" w:ascii="Times New Roman" w:hAnsi="Times New Roman" w:cs="Times New Roman" w:eastAsiaTheme="minorEastAsia"/>
          <w:color w:val="auto"/>
          <w:spacing w:val="3"/>
          <w:sz w:val="24"/>
          <w:szCs w:val="24"/>
        </w:rPr>
        <w:t>/h（</w:t>
      </w:r>
      <w:r>
        <w:rPr>
          <w:rFonts w:hint="default" w:ascii="Times New Roman" w:hAnsi="Times New Roman" w:cs="Times New Roman" w:eastAsiaTheme="minorEastAsia"/>
          <w:color w:val="auto"/>
          <w:spacing w:val="2"/>
          <w:sz w:val="24"/>
          <w:szCs w:val="24"/>
        </w:rPr>
        <w:t>0.00</w:t>
      </w:r>
      <w:r>
        <w:rPr>
          <w:rFonts w:hint="eastAsia" w:ascii="Times New Roman" w:hAnsi="Times New Roman" w:cs="Times New Roman" w:eastAsiaTheme="minorEastAsia"/>
          <w:color w:val="auto"/>
          <w:spacing w:val="2"/>
          <w:sz w:val="24"/>
          <w:szCs w:val="24"/>
          <w:lang w:val="en-US" w:eastAsia="zh-CN"/>
        </w:rPr>
        <w:t>411</w:t>
      </w:r>
      <w:r>
        <w:rPr>
          <w:rFonts w:hint="default" w:ascii="Times New Roman" w:hAnsi="Times New Roman" w:cs="Times New Roman" w:eastAsiaTheme="minorEastAsia"/>
          <w:color w:val="auto"/>
          <w:spacing w:val="2"/>
          <w:sz w:val="24"/>
          <w:szCs w:val="24"/>
        </w:rPr>
        <w:t>t/s）。化学不完全燃烧值取</w:t>
      </w:r>
      <w:r>
        <w:rPr>
          <w:rFonts w:hint="default" w:ascii="Times New Roman" w:hAnsi="Times New Roman" w:cs="Times New Roman" w:eastAsiaTheme="minorEastAsia"/>
          <w:color w:val="auto"/>
          <w:spacing w:val="-2"/>
          <w:sz w:val="24"/>
          <w:szCs w:val="24"/>
        </w:rPr>
        <w:t>2%，代入数据后进行计算，可燃液体燃烧一氧化碳排放速率为0.</w:t>
      </w:r>
      <w:r>
        <w:rPr>
          <w:rFonts w:hint="eastAsia" w:ascii="Times New Roman" w:hAnsi="Times New Roman" w:cs="Times New Roman" w:eastAsiaTheme="minorEastAsia"/>
          <w:color w:val="auto"/>
          <w:spacing w:val="-2"/>
          <w:sz w:val="24"/>
          <w:szCs w:val="24"/>
          <w:lang w:val="en-US" w:eastAsia="zh-CN"/>
        </w:rPr>
        <w:t>163</w:t>
      </w:r>
      <w:r>
        <w:rPr>
          <w:rFonts w:hint="default" w:ascii="Times New Roman" w:hAnsi="Times New Roman" w:cs="Times New Roman" w:eastAsiaTheme="minorEastAsia"/>
          <w:color w:val="auto"/>
          <w:spacing w:val="-2"/>
          <w:sz w:val="24"/>
          <w:szCs w:val="24"/>
        </w:rPr>
        <w:t>kg/s。</w:t>
      </w:r>
    </w:p>
    <w:p>
      <w:pPr>
        <w:pStyle w:val="7"/>
        <w:keepNext w:val="0"/>
        <w:keepLines w:val="0"/>
        <w:pageBreakBefore w:val="0"/>
        <w:overflowPunct/>
        <w:topLinePunct w:val="0"/>
        <w:autoSpaceDE w:val="0"/>
        <w:autoSpaceDN w:val="0"/>
        <w:bidi w:val="0"/>
        <w:adjustRightInd w:val="0"/>
        <w:snapToGrid w:val="0"/>
        <w:spacing w:line="360" w:lineRule="auto"/>
        <w:ind w:left="0" w:right="0" w:firstLine="469"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pacing w:val="-3"/>
          <w:sz w:val="24"/>
          <w:szCs w:val="24"/>
        </w:rPr>
        <w:t>（2）扩散范围、浓度分布和危害程度分析</w:t>
      </w:r>
    </w:p>
    <w:p>
      <w:pPr>
        <w:pStyle w:val="7"/>
        <w:keepNext w:val="0"/>
        <w:keepLines w:val="0"/>
        <w:pageBreakBefore w:val="0"/>
        <w:widowControl/>
        <w:kinsoku/>
        <w:wordWrap/>
        <w:overflowPunct/>
        <w:topLinePunct w:val="0"/>
        <w:autoSpaceDE w:val="0"/>
        <w:autoSpaceDN w:val="0"/>
        <w:bidi w:val="0"/>
        <w:adjustRightInd w:val="0"/>
        <w:snapToGrid w:val="0"/>
        <w:spacing w:line="360" w:lineRule="auto"/>
        <w:ind w:left="0" w:right="0" w:firstLine="492" w:firstLineChars="200"/>
        <w:jc w:val="both"/>
        <w:textAlignment w:val="baseline"/>
        <w:rPr>
          <w:rFonts w:hint="default" w:ascii="Times New Roman" w:hAnsi="Times New Roman" w:cs="Times New Roman" w:eastAsiaTheme="minorEastAsia"/>
          <w:color w:val="auto"/>
          <w:spacing w:val="3"/>
          <w:sz w:val="24"/>
          <w:szCs w:val="24"/>
        </w:rPr>
      </w:pPr>
      <w:r>
        <w:rPr>
          <w:rFonts w:hint="eastAsia" w:ascii="Times New Roman" w:hAnsi="Times New Roman" w:cs="Times New Roman" w:eastAsiaTheme="minorEastAsia"/>
          <w:color w:val="auto"/>
          <w:spacing w:val="3"/>
          <w:sz w:val="24"/>
          <w:szCs w:val="24"/>
        </w:rPr>
        <w:t>利用AFTOX烟团</w:t>
      </w:r>
      <w:r>
        <w:rPr>
          <w:rFonts w:hint="default" w:ascii="Times New Roman" w:hAnsi="Times New Roman" w:cs="Times New Roman" w:eastAsiaTheme="minorEastAsia"/>
          <w:color w:val="auto"/>
          <w:spacing w:val="3"/>
          <w:sz w:val="24"/>
          <w:szCs w:val="24"/>
        </w:rPr>
        <w:t>扩散模型</w:t>
      </w:r>
      <w:r>
        <w:rPr>
          <w:rFonts w:hint="eastAsia" w:ascii="Times New Roman" w:hAnsi="Times New Roman" w:cs="Times New Roman" w:eastAsiaTheme="minorEastAsia"/>
          <w:color w:val="auto"/>
          <w:spacing w:val="3"/>
          <w:sz w:val="24"/>
          <w:szCs w:val="24"/>
        </w:rPr>
        <w:t>预测企业</w:t>
      </w:r>
      <w:r>
        <w:rPr>
          <w:rFonts w:hint="default" w:ascii="Times New Roman" w:hAnsi="Times New Roman" w:cs="Times New Roman" w:eastAsiaTheme="minorEastAsia"/>
          <w:color w:val="auto"/>
          <w:spacing w:val="5"/>
          <w:sz w:val="24"/>
          <w:szCs w:val="24"/>
        </w:rPr>
        <w:t>涉</w:t>
      </w:r>
      <w:r>
        <w:rPr>
          <w:rFonts w:hint="default" w:ascii="Times New Roman" w:hAnsi="Times New Roman" w:cs="Times New Roman" w:eastAsiaTheme="minorEastAsia"/>
          <w:color w:val="auto"/>
          <w:spacing w:val="-1"/>
          <w:sz w:val="24"/>
          <w:szCs w:val="24"/>
        </w:rPr>
        <w:t>VOCs原料区</w:t>
      </w:r>
      <w:r>
        <w:rPr>
          <w:rFonts w:hint="eastAsia" w:ascii="Times New Roman" w:hAnsi="Times New Roman" w:cs="Times New Roman" w:eastAsiaTheme="minorEastAsia"/>
          <w:color w:val="auto"/>
          <w:spacing w:val="3"/>
          <w:sz w:val="24"/>
          <w:szCs w:val="24"/>
        </w:rPr>
        <w:t>可燃</w:t>
      </w:r>
      <w:r>
        <w:rPr>
          <w:rFonts w:hint="default" w:ascii="Times New Roman" w:hAnsi="Times New Roman" w:cs="Times New Roman" w:eastAsiaTheme="minorEastAsia"/>
          <w:color w:val="auto"/>
          <w:spacing w:val="3"/>
          <w:sz w:val="24"/>
          <w:szCs w:val="24"/>
        </w:rPr>
        <w:t>物料</w:t>
      </w:r>
      <w:r>
        <w:rPr>
          <w:rFonts w:hint="eastAsia" w:ascii="Times New Roman" w:hAnsi="Times New Roman" w:cs="Times New Roman" w:eastAsiaTheme="minorEastAsia"/>
          <w:color w:val="auto"/>
          <w:spacing w:val="3"/>
          <w:sz w:val="24"/>
          <w:szCs w:val="24"/>
        </w:rPr>
        <w:t>遇</w:t>
      </w:r>
      <w:r>
        <w:rPr>
          <w:rFonts w:hint="default" w:ascii="Times New Roman" w:hAnsi="Times New Roman" w:cs="Times New Roman" w:eastAsiaTheme="minorEastAsia"/>
          <w:color w:val="auto"/>
          <w:spacing w:val="3"/>
          <w:sz w:val="24"/>
          <w:szCs w:val="24"/>
        </w:rPr>
        <w:t>高温</w:t>
      </w:r>
      <w:r>
        <w:rPr>
          <w:rFonts w:hint="eastAsia" w:ascii="Times New Roman" w:hAnsi="Times New Roman" w:cs="Times New Roman" w:eastAsiaTheme="minorEastAsia"/>
          <w:color w:val="auto"/>
          <w:spacing w:val="3"/>
          <w:sz w:val="24"/>
          <w:szCs w:val="24"/>
        </w:rPr>
        <w:t>引起的火灾产生</w:t>
      </w:r>
      <w:r>
        <w:rPr>
          <w:rFonts w:hint="default" w:ascii="Times New Roman" w:hAnsi="Times New Roman" w:cs="Times New Roman" w:eastAsiaTheme="minorEastAsia"/>
          <w:color w:val="auto"/>
          <w:spacing w:val="3"/>
          <w:sz w:val="24"/>
          <w:szCs w:val="24"/>
        </w:rPr>
        <w:t>的</w:t>
      </w:r>
      <w:r>
        <w:rPr>
          <w:rFonts w:hint="eastAsia" w:ascii="Times New Roman" w:hAnsi="Times New Roman" w:cs="Times New Roman" w:eastAsiaTheme="minorEastAsia"/>
          <w:color w:val="auto"/>
          <w:spacing w:val="3"/>
          <w:sz w:val="24"/>
          <w:szCs w:val="24"/>
        </w:rPr>
        <w:t>次生危险其影响范围具体见</w:t>
      </w:r>
      <w:r>
        <w:rPr>
          <w:rFonts w:hint="eastAsia" w:ascii="Times New Roman" w:hAnsi="Times New Roman" w:cs="Times New Roman" w:eastAsiaTheme="minorEastAsia"/>
          <w:color w:val="auto"/>
          <w:spacing w:val="3"/>
          <w:sz w:val="24"/>
          <w:szCs w:val="24"/>
          <w:lang w:val="en-US" w:eastAsia="zh-CN"/>
        </w:rPr>
        <w:t>下</w:t>
      </w:r>
      <w:r>
        <w:rPr>
          <w:rFonts w:hint="eastAsia" w:ascii="Times New Roman" w:hAnsi="Times New Roman" w:cs="Times New Roman" w:eastAsiaTheme="minorEastAsia"/>
          <w:color w:val="auto"/>
          <w:spacing w:val="3"/>
          <w:sz w:val="24"/>
          <w:szCs w:val="24"/>
        </w:rPr>
        <w:t>表。</w:t>
      </w:r>
    </w:p>
    <w:p>
      <w:pPr>
        <w:pStyle w:val="16"/>
        <w:adjustRightInd w:val="0"/>
        <w:snapToGrid w:val="0"/>
        <w:spacing w:before="0" w:after="0" w:line="300" w:lineRule="exact"/>
        <w:jc w:val="center"/>
        <w:textAlignment w:val="baseline"/>
        <w:rPr>
          <w:rFonts w:hint="default" w:ascii="Times New Roman" w:hAnsi="Times New Roman" w:eastAsia="宋体" w:cs="Times New Roman"/>
          <w:b/>
          <w:color w:val="auto"/>
          <w:kern w:val="28"/>
          <w:sz w:val="24"/>
          <w:szCs w:val="24"/>
          <w:highlight w:val="none"/>
          <w:u w:val="none"/>
        </w:rPr>
      </w:pPr>
      <w:r>
        <w:rPr>
          <w:rFonts w:hint="default" w:ascii="Times New Roman" w:hAnsi="Times New Roman" w:eastAsia="宋体" w:cs="Times New Roman"/>
          <w:b/>
          <w:color w:val="auto"/>
          <w:kern w:val="28"/>
          <w:sz w:val="24"/>
          <w:szCs w:val="24"/>
          <w:highlight w:val="none"/>
          <w:u w:val="none"/>
        </w:rPr>
        <w:t xml:space="preserve">表 </w:t>
      </w:r>
      <w:r>
        <w:rPr>
          <w:rFonts w:hint="default" w:ascii="Times New Roman" w:hAnsi="Times New Roman" w:eastAsia="宋体" w:cs="Times New Roman"/>
          <w:b/>
          <w:color w:val="auto"/>
          <w:kern w:val="28"/>
          <w:sz w:val="24"/>
          <w:szCs w:val="24"/>
          <w:highlight w:val="none"/>
          <w:u w:val="none"/>
        </w:rPr>
        <w:fldChar w:fldCharType="begin"/>
      </w:r>
      <w:r>
        <w:rPr>
          <w:rFonts w:hint="default" w:ascii="Times New Roman" w:hAnsi="Times New Roman" w:eastAsia="宋体" w:cs="Times New Roman"/>
          <w:b/>
          <w:color w:val="auto"/>
          <w:kern w:val="28"/>
          <w:sz w:val="24"/>
          <w:szCs w:val="24"/>
          <w:highlight w:val="none"/>
          <w:u w:val="none"/>
        </w:rPr>
        <w:instrText xml:space="preserve"> STYLEREF 2 \s </w:instrText>
      </w:r>
      <w:r>
        <w:rPr>
          <w:rFonts w:hint="default" w:ascii="Times New Roman" w:hAnsi="Times New Roman" w:eastAsia="宋体" w:cs="Times New Roman"/>
          <w:b/>
          <w:color w:val="auto"/>
          <w:kern w:val="28"/>
          <w:sz w:val="24"/>
          <w:szCs w:val="24"/>
          <w:highlight w:val="none"/>
          <w:u w:val="none"/>
        </w:rPr>
        <w:fldChar w:fldCharType="separate"/>
      </w:r>
      <w:r>
        <w:rPr>
          <w:rFonts w:hint="default" w:ascii="Times New Roman" w:hAnsi="Times New Roman" w:eastAsia="宋体" w:cs="Times New Roman"/>
          <w:b/>
          <w:color w:val="auto"/>
          <w:kern w:val="28"/>
          <w:sz w:val="24"/>
          <w:szCs w:val="24"/>
          <w:highlight w:val="none"/>
          <w:u w:val="none"/>
        </w:rPr>
        <w:t>7.7</w:t>
      </w:r>
      <w:r>
        <w:rPr>
          <w:rFonts w:hint="default" w:ascii="Times New Roman" w:hAnsi="Times New Roman" w:eastAsia="宋体" w:cs="Times New Roman"/>
          <w:b/>
          <w:color w:val="auto"/>
          <w:kern w:val="28"/>
          <w:sz w:val="24"/>
          <w:szCs w:val="24"/>
          <w:highlight w:val="none"/>
          <w:u w:val="none"/>
        </w:rPr>
        <w:fldChar w:fldCharType="end"/>
      </w:r>
      <w:r>
        <w:rPr>
          <w:rFonts w:hint="eastAsia" w:ascii="Times New Roman" w:hAnsi="Times New Roman" w:eastAsia="宋体" w:cs="Times New Roman"/>
          <w:b/>
          <w:color w:val="auto"/>
          <w:kern w:val="28"/>
          <w:sz w:val="24"/>
          <w:szCs w:val="24"/>
          <w:highlight w:val="none"/>
          <w:u w:val="none"/>
          <w:lang w:eastAsia="zh-CN"/>
        </w:rPr>
        <w:t>-</w:t>
      </w:r>
      <w:r>
        <w:rPr>
          <w:rFonts w:hint="default" w:ascii="Times New Roman" w:hAnsi="Times New Roman" w:eastAsia="宋体" w:cs="Times New Roman"/>
          <w:b/>
          <w:color w:val="auto"/>
          <w:kern w:val="28"/>
          <w:sz w:val="24"/>
          <w:szCs w:val="24"/>
          <w:highlight w:val="none"/>
          <w:u w:val="none"/>
        </w:rPr>
        <w:fldChar w:fldCharType="begin"/>
      </w:r>
      <w:r>
        <w:rPr>
          <w:rFonts w:hint="default" w:ascii="Times New Roman" w:hAnsi="Times New Roman" w:eastAsia="宋体" w:cs="Times New Roman"/>
          <w:b/>
          <w:color w:val="auto"/>
          <w:kern w:val="28"/>
          <w:sz w:val="24"/>
          <w:szCs w:val="24"/>
          <w:highlight w:val="none"/>
          <w:u w:val="none"/>
        </w:rPr>
        <w:instrText xml:space="preserve"> SEQ 表 \* ARABIC \s 2 </w:instrText>
      </w:r>
      <w:r>
        <w:rPr>
          <w:rFonts w:hint="default" w:ascii="Times New Roman" w:hAnsi="Times New Roman" w:eastAsia="宋体" w:cs="Times New Roman"/>
          <w:b/>
          <w:color w:val="auto"/>
          <w:kern w:val="28"/>
          <w:sz w:val="24"/>
          <w:szCs w:val="24"/>
          <w:highlight w:val="none"/>
          <w:u w:val="none"/>
        </w:rPr>
        <w:fldChar w:fldCharType="separate"/>
      </w:r>
      <w:r>
        <w:rPr>
          <w:rFonts w:hint="default" w:ascii="Times New Roman" w:hAnsi="Times New Roman" w:eastAsia="宋体" w:cs="Times New Roman"/>
          <w:b/>
          <w:color w:val="auto"/>
          <w:kern w:val="28"/>
          <w:sz w:val="24"/>
          <w:szCs w:val="24"/>
          <w:highlight w:val="none"/>
          <w:u w:val="none"/>
        </w:rPr>
        <w:t>2</w:t>
      </w:r>
      <w:r>
        <w:rPr>
          <w:rFonts w:hint="default" w:ascii="Times New Roman" w:hAnsi="Times New Roman" w:eastAsia="宋体" w:cs="Times New Roman"/>
          <w:b/>
          <w:color w:val="auto"/>
          <w:kern w:val="28"/>
          <w:sz w:val="24"/>
          <w:szCs w:val="24"/>
          <w:highlight w:val="none"/>
          <w:u w:val="none"/>
        </w:rPr>
        <w:fldChar w:fldCharType="end"/>
      </w:r>
      <w:r>
        <w:rPr>
          <w:rFonts w:hint="eastAsia" w:ascii="Times New Roman" w:hAnsi="Times New Roman" w:eastAsia="宋体" w:cs="Times New Roman"/>
          <w:b/>
          <w:color w:val="auto"/>
          <w:kern w:val="28"/>
          <w:sz w:val="24"/>
          <w:szCs w:val="24"/>
          <w:highlight w:val="none"/>
          <w:u w:val="none"/>
          <w:lang w:eastAsia="zh-CN"/>
        </w:rPr>
        <w:t xml:space="preserve">   </w:t>
      </w:r>
      <w:r>
        <w:rPr>
          <w:rFonts w:hint="default" w:ascii="Times New Roman" w:hAnsi="Times New Roman" w:eastAsia="宋体" w:cs="Times New Roman"/>
          <w:b/>
          <w:color w:val="auto"/>
          <w:kern w:val="28"/>
          <w:sz w:val="24"/>
          <w:szCs w:val="24"/>
          <w:highlight w:val="none"/>
          <w:u w:val="none"/>
        </w:rPr>
        <w:t>火灾次生污染（CO）扩散预测结果表</w:t>
      </w:r>
    </w:p>
    <w:tbl>
      <w:tblPr>
        <w:tblStyle w:val="46"/>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2341"/>
        <w:gridCol w:w="1716"/>
        <w:gridCol w:w="1917"/>
        <w:gridCol w:w="17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物质</w:t>
            </w:r>
          </w:p>
        </w:tc>
        <w:tc>
          <w:tcPr>
            <w:tcW w:w="1374"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指标</w:t>
            </w:r>
          </w:p>
        </w:tc>
        <w:tc>
          <w:tcPr>
            <w:tcW w:w="1007"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浓度值/mg/m</w:t>
            </w:r>
            <w:r>
              <w:rPr>
                <w:rFonts w:hint="default" w:ascii="Times New Roman" w:hAnsi="Times New Roman" w:cs="Times New Roman" w:eastAsiaTheme="minorEastAsia"/>
                <w:color w:val="auto"/>
                <w:sz w:val="21"/>
                <w:szCs w:val="21"/>
                <w:highlight w:val="none"/>
                <w:u w:val="none"/>
                <w:vertAlign w:val="superscript"/>
              </w:rPr>
              <w:t>3</w:t>
            </w:r>
          </w:p>
        </w:tc>
        <w:tc>
          <w:tcPr>
            <w:tcW w:w="1125"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最远影响距离/m</w:t>
            </w:r>
          </w:p>
        </w:tc>
        <w:tc>
          <w:tcPr>
            <w:tcW w:w="1010" w:type="pct"/>
            <w:tcBorders>
              <w:tl2br w:val="nil"/>
              <w:tr2bl w:val="nil"/>
            </w:tcBorders>
            <w:vAlign w:val="center"/>
          </w:tcPr>
          <w:p>
            <w:pPr>
              <w:spacing w:before="0" w:after="0" w:line="240" w:lineRule="auto"/>
              <w:ind w:left="0" w:firstLine="39" w:firstLineChars="19"/>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高峰浓度mg/m³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restar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CO</w:t>
            </w:r>
          </w:p>
        </w:tc>
        <w:tc>
          <w:tcPr>
            <w:tcW w:w="1374" w:type="pct"/>
            <w:tcBorders>
              <w:tl2br w:val="nil"/>
              <w:tr2bl w:val="nil"/>
            </w:tcBorders>
            <w:vAlign w:val="center"/>
          </w:tcPr>
          <w:p>
            <w:pPr>
              <w:spacing w:before="0" w:after="0" w:line="240" w:lineRule="auto"/>
              <w:ind w:left="19" w:leftChars="0" w:firstLine="0" w:firstLineChars="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大气毒性终点浓度-1</w:t>
            </w:r>
          </w:p>
        </w:tc>
        <w:tc>
          <w:tcPr>
            <w:tcW w:w="1007"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380</w:t>
            </w:r>
          </w:p>
        </w:tc>
        <w:tc>
          <w:tcPr>
            <w:tcW w:w="1125"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kern w:val="0"/>
                <w:sz w:val="21"/>
                <w:szCs w:val="21"/>
                <w:highlight w:val="none"/>
                <w:u w:val="none"/>
                <w:lang w:val="en-US" w:eastAsia="zh-CN"/>
              </w:rPr>
              <w:t>20</w:t>
            </w:r>
          </w:p>
        </w:tc>
        <w:tc>
          <w:tcPr>
            <w:tcW w:w="1010" w:type="pct"/>
            <w:vMerge w:val="restart"/>
            <w:tcBorders>
              <w:tl2br w:val="nil"/>
              <w:tr2bl w:val="nil"/>
            </w:tcBorders>
            <w:vAlign w:val="center"/>
          </w:tcPr>
          <w:p>
            <w:pPr>
              <w:spacing w:before="0" w:after="0" w:line="240" w:lineRule="auto"/>
              <w:ind w:left="0" w:firstLine="39" w:firstLineChars="19"/>
              <w:jc w:val="center"/>
              <w:rPr>
                <w:rFonts w:hint="eastAsia"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sz w:val="21"/>
                <w:szCs w:val="21"/>
                <w:highlight w:val="none"/>
                <w:u w:val="none"/>
                <w:lang w:val="en-US" w:eastAsia="zh-CN"/>
              </w:rPr>
              <w:t>202.71</w:t>
            </w:r>
          </w:p>
          <w:p>
            <w:pPr>
              <w:spacing w:before="0" w:after="0" w:line="240" w:lineRule="auto"/>
              <w:ind w:left="0" w:firstLine="39" w:firstLineChars="19"/>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（距离</w:t>
            </w:r>
            <w:r>
              <w:rPr>
                <w:rFonts w:hint="eastAsia" w:ascii="Times New Roman" w:hAnsi="Times New Roman" w:cs="Times New Roman" w:eastAsiaTheme="minorEastAsia"/>
                <w:color w:val="auto"/>
                <w:sz w:val="21"/>
                <w:szCs w:val="21"/>
                <w:highlight w:val="none"/>
                <w:u w:val="none"/>
                <w:lang w:val="en-US" w:eastAsia="zh-CN"/>
              </w:rPr>
              <w:t>43</w:t>
            </w:r>
            <w:r>
              <w:rPr>
                <w:rFonts w:hint="default" w:ascii="Times New Roman" w:hAnsi="Times New Roman" w:cs="Times New Roman" w:eastAsiaTheme="minorEastAsia"/>
                <w:color w:val="auto"/>
                <w:sz w:val="21"/>
                <w:szCs w:val="21"/>
                <w:highlight w:val="none"/>
                <w:u w:val="none"/>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continue"/>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p>
        </w:tc>
        <w:tc>
          <w:tcPr>
            <w:tcW w:w="1374" w:type="pct"/>
            <w:tcBorders>
              <w:tl2br w:val="nil"/>
              <w:tr2bl w:val="nil"/>
            </w:tcBorders>
            <w:vAlign w:val="center"/>
          </w:tcPr>
          <w:p>
            <w:pPr>
              <w:spacing w:before="0" w:after="0" w:line="240" w:lineRule="auto"/>
              <w:ind w:left="19" w:leftChars="0" w:firstLine="0" w:firstLineChars="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大气毒性终点浓度-2</w:t>
            </w:r>
          </w:p>
        </w:tc>
        <w:tc>
          <w:tcPr>
            <w:tcW w:w="1007"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95</w:t>
            </w:r>
          </w:p>
        </w:tc>
        <w:tc>
          <w:tcPr>
            <w:tcW w:w="1125"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kern w:val="0"/>
                <w:sz w:val="21"/>
                <w:szCs w:val="21"/>
                <w:highlight w:val="none"/>
                <w:u w:val="none"/>
                <w:lang w:val="en-US" w:eastAsia="zh-CN"/>
              </w:rPr>
              <w:t>50</w:t>
            </w:r>
          </w:p>
        </w:tc>
        <w:tc>
          <w:tcPr>
            <w:tcW w:w="1010" w:type="pct"/>
            <w:vMerge w:val="continue"/>
            <w:tcBorders>
              <w:tl2br w:val="nil"/>
              <w:tr2bl w:val="nil"/>
            </w:tcBorders>
            <w:vAlign w:val="center"/>
          </w:tcPr>
          <w:p>
            <w:pPr>
              <w:spacing w:before="0" w:after="0" w:line="240" w:lineRule="auto"/>
              <w:jc w:val="center"/>
              <w:rPr>
                <w:rFonts w:hint="default" w:ascii="Times New Roman" w:hAnsi="Times New Roman" w:cs="Times New Roman" w:eastAsiaTheme="minorEastAsia"/>
                <w:color w:val="auto"/>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restar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sz w:val="21"/>
                <w:szCs w:val="21"/>
                <w:highlight w:val="none"/>
                <w:u w:val="none"/>
                <w:lang w:val="en-US" w:eastAsia="zh-CN"/>
              </w:rPr>
              <w:t>SO</w:t>
            </w:r>
            <w:r>
              <w:rPr>
                <w:rFonts w:hint="eastAsia" w:ascii="Times New Roman" w:hAnsi="Times New Roman" w:cs="Times New Roman" w:eastAsiaTheme="minorEastAsia"/>
                <w:color w:val="auto"/>
                <w:sz w:val="21"/>
                <w:szCs w:val="21"/>
                <w:highlight w:val="none"/>
                <w:u w:val="none"/>
                <w:vertAlign w:val="subscript"/>
                <w:lang w:val="en-US" w:eastAsia="zh-CN"/>
              </w:rPr>
              <w:t>2</w:t>
            </w:r>
          </w:p>
        </w:tc>
        <w:tc>
          <w:tcPr>
            <w:tcW w:w="1374" w:type="pct"/>
            <w:tcBorders>
              <w:tl2br w:val="nil"/>
              <w:tr2bl w:val="nil"/>
            </w:tcBorders>
            <w:vAlign w:val="center"/>
          </w:tcPr>
          <w:p>
            <w:pPr>
              <w:spacing w:before="0" w:after="0" w:line="240" w:lineRule="auto"/>
              <w:ind w:left="19" w:leftChars="0" w:firstLine="0" w:firstLineChars="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大气毒性终点浓度-1</w:t>
            </w:r>
          </w:p>
        </w:tc>
        <w:tc>
          <w:tcPr>
            <w:tcW w:w="1007"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sz w:val="21"/>
                <w:szCs w:val="21"/>
                <w:highlight w:val="none"/>
                <w:u w:val="none"/>
                <w:lang w:val="en-US" w:eastAsia="zh-CN"/>
              </w:rPr>
              <w:t>79</w:t>
            </w:r>
          </w:p>
        </w:tc>
        <w:tc>
          <w:tcPr>
            <w:tcW w:w="1125"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kern w:val="0"/>
                <w:sz w:val="21"/>
                <w:szCs w:val="21"/>
                <w:highlight w:val="none"/>
                <w:u w:val="none"/>
                <w:lang w:val="en-US" w:eastAsia="zh-CN"/>
              </w:rPr>
            </w:pPr>
            <w:r>
              <w:rPr>
                <w:rFonts w:hint="eastAsia" w:ascii="Times New Roman" w:hAnsi="Times New Roman" w:cs="Times New Roman" w:eastAsiaTheme="minorEastAsia"/>
                <w:color w:val="auto"/>
                <w:kern w:val="0"/>
                <w:sz w:val="21"/>
                <w:szCs w:val="21"/>
                <w:highlight w:val="none"/>
                <w:u w:val="none"/>
                <w:lang w:val="en-US" w:eastAsia="zh-CN"/>
              </w:rPr>
              <w:t>0</w:t>
            </w:r>
          </w:p>
        </w:tc>
        <w:tc>
          <w:tcPr>
            <w:tcW w:w="1010" w:type="pct"/>
            <w:vMerge w:val="restart"/>
            <w:tcBorders>
              <w:tl2br w:val="nil"/>
              <w:tr2bl w:val="nil"/>
            </w:tcBorders>
            <w:vAlign w:val="center"/>
          </w:tcPr>
          <w:p>
            <w:pPr>
              <w:spacing w:before="0" w:after="0" w:line="240" w:lineRule="auto"/>
              <w:jc w:val="center"/>
              <w:rPr>
                <w:rFonts w:hint="eastAsia"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sz w:val="21"/>
                <w:szCs w:val="21"/>
                <w:highlight w:val="none"/>
                <w:u w:val="none"/>
                <w:lang w:val="en-US" w:eastAsia="zh-CN"/>
              </w:rPr>
              <w:t>0.0332</w:t>
            </w:r>
          </w:p>
          <w:p>
            <w:pPr>
              <w:spacing w:before="0" w:after="0" w:line="240" w:lineRule="auto"/>
              <w:jc w:val="center"/>
              <w:rPr>
                <w:rFonts w:hint="default"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sz w:val="21"/>
                <w:szCs w:val="21"/>
                <w:highlight w:val="none"/>
                <w:u w:val="none"/>
                <w:lang w:val="en-US" w:eastAsia="zh-CN"/>
              </w:rPr>
              <w:t>（</w:t>
            </w:r>
            <w:r>
              <w:rPr>
                <w:rFonts w:hint="default" w:ascii="Times New Roman" w:hAnsi="Times New Roman" w:cs="Times New Roman" w:eastAsiaTheme="minorEastAsia"/>
                <w:color w:val="auto"/>
                <w:sz w:val="21"/>
                <w:szCs w:val="21"/>
                <w:highlight w:val="none"/>
                <w:u w:val="none"/>
              </w:rPr>
              <w:t>距离</w:t>
            </w:r>
            <w:r>
              <w:rPr>
                <w:rFonts w:hint="eastAsia" w:ascii="Times New Roman" w:hAnsi="Times New Roman" w:cs="Times New Roman" w:eastAsiaTheme="minorEastAsia"/>
                <w:color w:val="auto"/>
                <w:sz w:val="21"/>
                <w:szCs w:val="21"/>
                <w:highlight w:val="none"/>
                <w:u w:val="none"/>
                <w:lang w:val="en-US" w:eastAsia="zh-CN"/>
              </w:rPr>
              <w:t>43</w:t>
            </w:r>
            <w:r>
              <w:rPr>
                <w:rFonts w:hint="default" w:ascii="Times New Roman" w:hAnsi="Times New Roman" w:cs="Times New Roman" w:eastAsiaTheme="minorEastAsia"/>
                <w:color w:val="auto"/>
                <w:sz w:val="21"/>
                <w:szCs w:val="21"/>
                <w:highlight w:val="none"/>
                <w:u w:val="none"/>
              </w:rPr>
              <w:t>m</w:t>
            </w:r>
            <w:r>
              <w:rPr>
                <w:rFonts w:hint="eastAsia" w:ascii="Times New Roman" w:hAnsi="Times New Roman" w:cs="Times New Roman" w:eastAsiaTheme="minorEastAsia"/>
                <w:color w:val="auto"/>
                <w:sz w:val="21"/>
                <w:szCs w:val="21"/>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1" w:type="pct"/>
            <w:vMerge w:val="continue"/>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sz w:val="21"/>
                <w:szCs w:val="21"/>
                <w:highlight w:val="none"/>
                <w:u w:val="none"/>
              </w:rPr>
            </w:pPr>
          </w:p>
        </w:tc>
        <w:tc>
          <w:tcPr>
            <w:tcW w:w="1374" w:type="pct"/>
            <w:tcBorders>
              <w:tl2br w:val="nil"/>
              <w:tr2bl w:val="nil"/>
            </w:tcBorders>
            <w:vAlign w:val="center"/>
          </w:tcPr>
          <w:p>
            <w:pPr>
              <w:spacing w:before="0" w:after="0" w:line="240" w:lineRule="auto"/>
              <w:ind w:left="19" w:leftChars="0" w:firstLine="0" w:firstLineChars="0"/>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大气毒性终点浓度-2</w:t>
            </w:r>
          </w:p>
        </w:tc>
        <w:tc>
          <w:tcPr>
            <w:tcW w:w="1007" w:type="pct"/>
            <w:tcBorders>
              <w:tl2br w:val="nil"/>
              <w:tr2bl w:val="nil"/>
            </w:tcBorders>
            <w:vAlign w:val="center"/>
          </w:tcPr>
          <w:p>
            <w:pPr>
              <w:spacing w:before="0" w:after="0" w:line="240" w:lineRule="auto"/>
              <w:ind w:left="19" w:firstLine="0"/>
              <w:jc w:val="center"/>
              <w:rPr>
                <w:rFonts w:hint="eastAsia" w:ascii="Times New Roman" w:hAnsi="Times New Roman" w:cs="Times New Roman" w:eastAsiaTheme="minorEastAsia"/>
                <w:color w:val="auto"/>
                <w:sz w:val="21"/>
                <w:szCs w:val="21"/>
                <w:highlight w:val="none"/>
                <w:u w:val="none"/>
                <w:lang w:val="en-US" w:eastAsia="zh-CN"/>
              </w:rPr>
            </w:pPr>
            <w:r>
              <w:rPr>
                <w:rFonts w:hint="eastAsia" w:ascii="Times New Roman" w:hAnsi="Times New Roman" w:cs="Times New Roman" w:eastAsiaTheme="minorEastAsia"/>
                <w:color w:val="auto"/>
                <w:sz w:val="21"/>
                <w:szCs w:val="21"/>
                <w:highlight w:val="none"/>
                <w:u w:val="none"/>
                <w:lang w:val="en-US" w:eastAsia="zh-CN"/>
              </w:rPr>
              <w:t>2</w:t>
            </w:r>
          </w:p>
        </w:tc>
        <w:tc>
          <w:tcPr>
            <w:tcW w:w="1125" w:type="pct"/>
            <w:tcBorders>
              <w:tl2br w:val="nil"/>
              <w:tr2bl w:val="nil"/>
            </w:tcBorders>
            <w:vAlign w:val="center"/>
          </w:tcPr>
          <w:p>
            <w:pPr>
              <w:spacing w:before="0" w:after="0" w:line="240" w:lineRule="auto"/>
              <w:ind w:left="19" w:firstLine="0"/>
              <w:jc w:val="center"/>
              <w:rPr>
                <w:rFonts w:hint="default" w:ascii="Times New Roman" w:hAnsi="Times New Roman" w:cs="Times New Roman" w:eastAsiaTheme="minorEastAsia"/>
                <w:color w:val="auto"/>
                <w:kern w:val="0"/>
                <w:sz w:val="21"/>
                <w:szCs w:val="21"/>
                <w:highlight w:val="none"/>
                <w:u w:val="none"/>
                <w:lang w:val="en-US" w:eastAsia="zh-CN"/>
              </w:rPr>
            </w:pPr>
            <w:r>
              <w:rPr>
                <w:rFonts w:hint="eastAsia" w:ascii="Times New Roman" w:hAnsi="Times New Roman" w:cs="Times New Roman" w:eastAsiaTheme="minorEastAsia"/>
                <w:color w:val="auto"/>
                <w:kern w:val="0"/>
                <w:sz w:val="21"/>
                <w:szCs w:val="21"/>
                <w:highlight w:val="none"/>
                <w:u w:val="none"/>
                <w:lang w:val="en-US" w:eastAsia="zh-CN"/>
              </w:rPr>
              <w:t>0</w:t>
            </w:r>
          </w:p>
        </w:tc>
        <w:tc>
          <w:tcPr>
            <w:tcW w:w="1010" w:type="pct"/>
            <w:vMerge w:val="continue"/>
            <w:tcBorders>
              <w:tl2br w:val="nil"/>
              <w:tr2bl w:val="nil"/>
            </w:tcBorders>
            <w:vAlign w:val="center"/>
          </w:tcPr>
          <w:p>
            <w:pPr>
              <w:spacing w:before="0" w:after="0" w:line="240" w:lineRule="auto"/>
              <w:jc w:val="center"/>
              <w:rPr>
                <w:rFonts w:hint="default" w:ascii="Times New Roman" w:hAnsi="Times New Roman" w:cs="Times New Roman" w:eastAsiaTheme="minorEastAsia"/>
                <w:color w:val="auto"/>
                <w:sz w:val="21"/>
                <w:szCs w:val="21"/>
                <w:highlight w:val="none"/>
                <w:u w:val="none"/>
              </w:rPr>
            </w:pPr>
          </w:p>
        </w:tc>
      </w:tr>
    </w:tbl>
    <w:p>
      <w:pPr>
        <w:pStyle w:val="7"/>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left="0" w:right="0" w:firstLine="492" w:firstLineChars="200"/>
        <w:jc w:val="both"/>
        <w:textAlignment w:val="baseline"/>
        <w:rPr>
          <w:rFonts w:hint="eastAsia" w:ascii="Times New Roman" w:hAnsi="Times New Roman" w:cs="Times New Roman" w:eastAsiaTheme="minorEastAsia"/>
          <w:color w:val="auto"/>
          <w:spacing w:val="3"/>
          <w:sz w:val="24"/>
          <w:szCs w:val="24"/>
          <w:u w:val="none"/>
        </w:rPr>
      </w:pPr>
      <w:r>
        <w:rPr>
          <w:rFonts w:hint="eastAsia" w:ascii="Times New Roman" w:hAnsi="Times New Roman" w:cs="Times New Roman" w:eastAsiaTheme="minorEastAsia"/>
          <w:color w:val="auto"/>
          <w:spacing w:val="3"/>
          <w:sz w:val="24"/>
          <w:szCs w:val="24"/>
        </w:rPr>
        <w:t>从上表可知，发生火灾时，一氧化碳高峰浓度为</w:t>
      </w:r>
      <w:r>
        <w:rPr>
          <w:rFonts w:hint="eastAsia" w:ascii="Times New Roman" w:hAnsi="Times New Roman" w:cs="Times New Roman" w:eastAsiaTheme="minorEastAsia"/>
          <w:color w:val="auto"/>
          <w:spacing w:val="3"/>
          <w:sz w:val="24"/>
          <w:szCs w:val="24"/>
          <w:lang w:val="en-US" w:eastAsia="zh-CN"/>
        </w:rPr>
        <w:t>202.71</w:t>
      </w:r>
      <w:r>
        <w:rPr>
          <w:rFonts w:hint="eastAsia" w:ascii="Times New Roman" w:hAnsi="Times New Roman" w:cs="Times New Roman" w:eastAsiaTheme="minorEastAsia"/>
          <w:color w:val="auto"/>
          <w:spacing w:val="3"/>
          <w:sz w:val="24"/>
          <w:szCs w:val="24"/>
        </w:rPr>
        <w:t>mg/m</w:t>
      </w:r>
      <w:r>
        <w:rPr>
          <w:rFonts w:hint="eastAsia" w:ascii="Times New Roman" w:hAnsi="Times New Roman" w:cs="Times New Roman" w:eastAsiaTheme="minorEastAsia"/>
          <w:color w:val="auto"/>
          <w:spacing w:val="3"/>
          <w:sz w:val="24"/>
          <w:szCs w:val="24"/>
          <w:vertAlign w:val="superscript"/>
          <w:lang w:val="en-US" w:eastAsia="zh-CN"/>
        </w:rPr>
        <w:t>3</w:t>
      </w:r>
      <w:r>
        <w:rPr>
          <w:rFonts w:hint="eastAsia" w:ascii="Times New Roman" w:hAnsi="Times New Roman" w:cs="Times New Roman" w:eastAsiaTheme="minorEastAsia"/>
          <w:color w:val="auto"/>
          <w:spacing w:val="3"/>
          <w:sz w:val="24"/>
          <w:szCs w:val="24"/>
        </w:rPr>
        <w:t>，火灾产生的一氧化碳超过大气毒性终点浓度-2</w:t>
      </w:r>
      <w:r>
        <w:rPr>
          <w:rFonts w:hint="eastAsia" w:ascii="Times New Roman" w:hAnsi="Times New Roman" w:cs="Times New Roman" w:eastAsiaTheme="minorEastAsia"/>
          <w:color w:val="auto"/>
          <w:spacing w:val="3"/>
          <w:sz w:val="24"/>
          <w:szCs w:val="24"/>
          <w:lang w:eastAsia="zh-CN"/>
        </w:rPr>
        <w:t>，</w:t>
      </w:r>
      <w:r>
        <w:rPr>
          <w:rFonts w:hint="eastAsia" w:ascii="Times New Roman" w:hAnsi="Times New Roman" w:cs="Times New Roman" w:eastAsiaTheme="minorEastAsia"/>
          <w:color w:val="auto"/>
          <w:spacing w:val="3"/>
          <w:sz w:val="24"/>
          <w:szCs w:val="24"/>
          <w:lang w:val="en-US" w:eastAsia="zh-CN"/>
        </w:rPr>
        <w:t>但未超过</w:t>
      </w:r>
      <w:r>
        <w:rPr>
          <w:rFonts w:hint="eastAsia" w:ascii="Times New Roman" w:hAnsi="Times New Roman" w:cs="Times New Roman" w:eastAsiaTheme="minorEastAsia"/>
          <w:color w:val="auto"/>
          <w:spacing w:val="3"/>
          <w:sz w:val="24"/>
          <w:szCs w:val="24"/>
        </w:rPr>
        <w:t>大气毒性终点浓度-1</w:t>
      </w:r>
      <w:r>
        <w:rPr>
          <w:rFonts w:hint="eastAsia" w:ascii="Times New Roman" w:hAnsi="Times New Roman" w:cs="Times New Roman" w:eastAsiaTheme="minorEastAsia"/>
          <w:color w:val="auto"/>
          <w:spacing w:val="3"/>
          <w:sz w:val="24"/>
          <w:szCs w:val="24"/>
          <w:lang w:eastAsia="zh-CN"/>
        </w:rPr>
        <w:t>；</w:t>
      </w:r>
      <w:r>
        <w:rPr>
          <w:rFonts w:hint="eastAsia" w:ascii="Times New Roman" w:hAnsi="Times New Roman" w:cs="Times New Roman" w:eastAsiaTheme="minorEastAsia"/>
          <w:color w:val="auto"/>
          <w:spacing w:val="3"/>
          <w:sz w:val="24"/>
          <w:szCs w:val="24"/>
        </w:rPr>
        <w:t>发生火灾时，</w:t>
      </w:r>
      <w:r>
        <w:rPr>
          <w:rFonts w:hint="eastAsia" w:ascii="Times New Roman" w:hAnsi="Times New Roman" w:cs="Times New Roman" w:eastAsiaTheme="minorEastAsia"/>
          <w:color w:val="auto"/>
          <w:spacing w:val="3"/>
          <w:sz w:val="24"/>
          <w:szCs w:val="24"/>
          <w:lang w:val="en-US" w:eastAsia="zh-CN"/>
        </w:rPr>
        <w:t>二氧化硫高峰浓度为0.0332</w:t>
      </w:r>
      <w:r>
        <w:rPr>
          <w:rFonts w:hint="eastAsia" w:ascii="Times New Roman" w:hAnsi="Times New Roman" w:eastAsia="宋体" w:cs="Times New Roman"/>
          <w:color w:val="auto"/>
          <w:kern w:val="0"/>
          <w:sz w:val="24"/>
          <w:highlight w:val="none"/>
          <w:u w:val="none"/>
        </w:rPr>
        <w:t>mg/m</w:t>
      </w:r>
      <w:r>
        <w:rPr>
          <w:rFonts w:hint="eastAsia" w:ascii="Times New Roman" w:hAnsi="Times New Roman" w:eastAsia="宋体" w:cs="Times New Roman"/>
          <w:color w:val="auto"/>
          <w:kern w:val="0"/>
          <w:sz w:val="24"/>
          <w:highlight w:val="none"/>
          <w:u w:val="none"/>
          <w:vertAlign w:val="superscript"/>
          <w:lang w:val="en-US" w:eastAsia="zh-CN"/>
        </w:rPr>
        <w:t>3</w:t>
      </w:r>
      <w:r>
        <w:rPr>
          <w:rFonts w:hint="eastAsia" w:ascii="Times New Roman" w:hAnsi="Times New Roman" w:eastAsia="宋体" w:cs="Times New Roman"/>
          <w:color w:val="auto"/>
          <w:kern w:val="0"/>
          <w:sz w:val="24"/>
          <w:highlight w:val="none"/>
          <w:u w:val="none"/>
        </w:rPr>
        <w:t>，火灾产生的</w:t>
      </w:r>
      <w:r>
        <w:rPr>
          <w:rFonts w:hint="eastAsia" w:ascii="Times New Roman" w:hAnsi="Times New Roman" w:cs="Times New Roman" w:eastAsiaTheme="minorEastAsia"/>
          <w:color w:val="auto"/>
          <w:spacing w:val="3"/>
          <w:sz w:val="24"/>
          <w:szCs w:val="24"/>
          <w:u w:val="none"/>
          <w:lang w:val="en-US" w:eastAsia="zh-CN"/>
        </w:rPr>
        <w:t>二氧化硫</w:t>
      </w:r>
      <w:r>
        <w:rPr>
          <w:rFonts w:hint="eastAsia" w:ascii="Times New Roman" w:hAnsi="Times New Roman" w:eastAsia="宋体" w:cs="Times New Roman"/>
          <w:color w:val="auto"/>
          <w:kern w:val="0"/>
          <w:sz w:val="24"/>
          <w:highlight w:val="none"/>
          <w:u w:val="none"/>
        </w:rPr>
        <w:t>没有超过大气毒性终点浓度-2和大气毒性终点浓度-1</w:t>
      </w:r>
      <w:r>
        <w:rPr>
          <w:rFonts w:hint="eastAsia" w:ascii="Times New Roman" w:hAnsi="Times New Roman" w:cs="Times New Roman" w:eastAsiaTheme="minorEastAsia"/>
          <w:color w:val="auto"/>
          <w:spacing w:val="3"/>
          <w:sz w:val="24"/>
          <w:szCs w:val="24"/>
          <w:u w:val="none"/>
        </w:rPr>
        <w:t>。</w:t>
      </w:r>
    </w:p>
    <w:p>
      <w:pPr>
        <w:pStyle w:val="7"/>
        <w:keepNext w:val="0"/>
        <w:keepLines w:val="0"/>
        <w:pageBreakBefore w:val="0"/>
        <w:widowControl w:val="0"/>
        <w:kinsoku/>
        <w:wordWrap/>
        <w:overflowPunct/>
        <w:topLinePunct w:val="0"/>
        <w:autoSpaceDE w:val="0"/>
        <w:autoSpaceDN w:val="0"/>
        <w:bidi w:val="0"/>
        <w:adjustRightInd w:val="0"/>
        <w:snapToGrid w:val="0"/>
        <w:spacing w:before="0" w:beforeLines="50" w:line="360" w:lineRule="auto"/>
        <w:ind w:left="0" w:right="0" w:firstLine="492" w:firstLineChars="200"/>
        <w:jc w:val="both"/>
        <w:textAlignment w:val="baseline"/>
        <w:rPr>
          <w:rFonts w:hint="default" w:ascii="Times New Roman" w:hAnsi="Times New Roman" w:cs="Times New Roman" w:eastAsiaTheme="minorEastAsia"/>
          <w:color w:val="auto"/>
          <w:spacing w:val="3"/>
          <w:sz w:val="24"/>
          <w:szCs w:val="24"/>
          <w:u w:val="none"/>
          <w:lang w:val="en-US" w:eastAsia="zh-CN"/>
        </w:rPr>
      </w:pPr>
      <w:r>
        <w:rPr>
          <w:rFonts w:hint="eastAsia" w:ascii="Times New Roman" w:hAnsi="Times New Roman" w:cs="Times New Roman" w:eastAsiaTheme="minorEastAsia"/>
          <w:color w:val="auto"/>
          <w:spacing w:val="3"/>
          <w:sz w:val="24"/>
          <w:szCs w:val="24"/>
        </w:rPr>
        <w:t>火灾产生的一氧化碳</w:t>
      </w:r>
      <w:r>
        <w:rPr>
          <w:rFonts w:hint="eastAsia" w:ascii="Times New Roman" w:hAnsi="Times New Roman" w:cs="Times New Roman" w:eastAsiaTheme="minorEastAsia"/>
          <w:color w:val="auto"/>
          <w:spacing w:val="3"/>
          <w:sz w:val="24"/>
          <w:szCs w:val="24"/>
          <w:lang w:val="en-US" w:eastAsia="zh-CN"/>
        </w:rPr>
        <w:t>最大影响区域图如下：</w:t>
      </w:r>
    </w:p>
    <w:p>
      <w:pPr>
        <w:pStyle w:val="7"/>
        <w:keepNext w:val="0"/>
        <w:keepLines w:val="0"/>
        <w:pageBreakBefore w:val="0"/>
        <w:widowControl/>
        <w:kinsoku/>
        <w:wordWrap/>
        <w:overflowPunct/>
        <w:topLinePunct w:val="0"/>
        <w:autoSpaceDE w:val="0"/>
        <w:autoSpaceDN w:val="0"/>
        <w:bidi w:val="0"/>
        <w:adjustRightInd w:val="0"/>
        <w:snapToGrid w:val="0"/>
        <w:spacing w:before="0" w:line="240" w:lineRule="auto"/>
        <w:ind w:right="0"/>
        <w:jc w:val="both"/>
        <w:textAlignment w:val="baseline"/>
        <w:rPr>
          <w:rFonts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5228590" cy="3608705"/>
            <wp:effectExtent l="15875" t="15875" r="32385" b="33020"/>
            <wp:docPr id="76" name="图片 36"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36" descr="IMG_256"/>
                    <pic:cNvPicPr>
                      <a:picLocks noChangeAspect="true"/>
                    </pic:cNvPicPr>
                  </pic:nvPicPr>
                  <pic:blipFill>
                    <a:blip r:embed="rId39"/>
                    <a:stretch>
                      <a:fillRect/>
                    </a:stretch>
                  </pic:blipFill>
                  <pic:spPr>
                    <a:xfrm>
                      <a:off x="0" y="0"/>
                      <a:ext cx="5228590" cy="3608705"/>
                    </a:xfrm>
                    <a:prstGeom prst="rect">
                      <a:avLst/>
                    </a:prstGeom>
                    <a:noFill/>
                    <a:ln w="15875">
                      <a:solidFill>
                        <a:schemeClr val="tx1"/>
                      </a:solidFill>
                    </a:ln>
                  </pic:spPr>
                </pic:pic>
              </a:graphicData>
            </a:graphic>
          </wp:inline>
        </w:drawing>
      </w:r>
    </w:p>
    <w:p>
      <w:pPr>
        <w:pStyle w:val="16"/>
        <w:keepNext w:val="0"/>
        <w:keepLines w:val="0"/>
        <w:pageBreakBefore w:val="0"/>
        <w:widowControl/>
        <w:kinsoku/>
        <w:wordWrap/>
        <w:overflowPunct/>
        <w:topLinePunct w:val="0"/>
        <w:autoSpaceDE w:val="0"/>
        <w:autoSpaceDN w:val="0"/>
        <w:bidi w:val="0"/>
        <w:adjustRightInd w:val="0"/>
        <w:snapToGrid w:val="0"/>
        <w:spacing w:before="0" w:after="0" w:afterLines="50" w:line="240" w:lineRule="auto"/>
        <w:ind w:right="0"/>
        <w:jc w:val="center"/>
        <w:textAlignment w:val="baseline"/>
        <w:rPr>
          <w:rFonts w:hint="eastAsia" w:ascii="Times New Roman" w:hAnsi="Times New Roman" w:cs="Times New Roman" w:eastAsiaTheme="minorEastAsia"/>
          <w:b/>
          <w:bCs/>
          <w:color w:val="auto"/>
          <w:spacing w:val="3"/>
          <w:sz w:val="24"/>
          <w:szCs w:val="24"/>
          <w:lang w:val="en-US" w:eastAsia="zh-CN"/>
        </w:rPr>
      </w:pPr>
      <w:r>
        <w:rPr>
          <w:rFonts w:hint="eastAsia" w:ascii="Times New Roman" w:hAnsi="Times New Roman" w:cs="Times New Roman" w:eastAsiaTheme="minorEastAsia"/>
          <w:b/>
          <w:bCs/>
          <w:color w:val="auto"/>
          <w:spacing w:val="3"/>
          <w:sz w:val="24"/>
          <w:szCs w:val="24"/>
          <w:lang w:val="en-US" w:eastAsia="zh-CN"/>
        </w:rPr>
        <w:t xml:space="preserve">图 </w:t>
      </w:r>
      <w:r>
        <w:rPr>
          <w:rFonts w:hint="eastAsia" w:ascii="Times New Roman" w:hAnsi="Times New Roman" w:cs="Times New Roman" w:eastAsiaTheme="minorEastAsia"/>
          <w:b/>
          <w:bCs/>
          <w:color w:val="auto"/>
          <w:spacing w:val="3"/>
          <w:sz w:val="24"/>
          <w:szCs w:val="24"/>
          <w:lang w:val="en-US" w:eastAsia="zh-CN"/>
        </w:rPr>
        <w:fldChar w:fldCharType="begin"/>
      </w:r>
      <w:r>
        <w:rPr>
          <w:rFonts w:hint="eastAsia" w:ascii="Times New Roman" w:hAnsi="Times New Roman" w:cs="Times New Roman" w:eastAsiaTheme="minorEastAsia"/>
          <w:b/>
          <w:bCs/>
          <w:color w:val="auto"/>
          <w:spacing w:val="3"/>
          <w:sz w:val="24"/>
          <w:szCs w:val="24"/>
          <w:lang w:val="en-US" w:eastAsia="zh-CN"/>
        </w:rPr>
        <w:instrText xml:space="preserve"> STYLEREF 2 \s </w:instrText>
      </w:r>
      <w:r>
        <w:rPr>
          <w:rFonts w:hint="eastAsia" w:ascii="Times New Roman" w:hAnsi="Times New Roman" w:cs="Times New Roman" w:eastAsiaTheme="minorEastAsia"/>
          <w:b/>
          <w:bCs/>
          <w:color w:val="auto"/>
          <w:spacing w:val="3"/>
          <w:sz w:val="24"/>
          <w:szCs w:val="24"/>
          <w:lang w:val="en-US" w:eastAsia="zh-CN"/>
        </w:rPr>
        <w:fldChar w:fldCharType="separate"/>
      </w:r>
      <w:r>
        <w:rPr>
          <w:rFonts w:hint="eastAsia" w:ascii="Times New Roman" w:hAnsi="Times New Roman" w:cs="Times New Roman" w:eastAsiaTheme="minorEastAsia"/>
          <w:b/>
          <w:bCs/>
          <w:color w:val="auto"/>
          <w:spacing w:val="3"/>
          <w:sz w:val="24"/>
          <w:szCs w:val="24"/>
          <w:lang w:val="en-US" w:eastAsia="zh-CN"/>
        </w:rPr>
        <w:t>7.7</w:t>
      </w:r>
      <w:r>
        <w:rPr>
          <w:rFonts w:hint="eastAsia" w:ascii="Times New Roman" w:hAnsi="Times New Roman" w:cs="Times New Roman" w:eastAsiaTheme="minorEastAsia"/>
          <w:b/>
          <w:bCs/>
          <w:color w:val="auto"/>
          <w:spacing w:val="3"/>
          <w:sz w:val="24"/>
          <w:szCs w:val="24"/>
          <w:lang w:val="en-US" w:eastAsia="zh-CN"/>
        </w:rPr>
        <w:fldChar w:fldCharType="end"/>
      </w:r>
      <w:r>
        <w:rPr>
          <w:rFonts w:hint="eastAsia" w:ascii="Times New Roman" w:hAnsi="Times New Roman" w:cs="Times New Roman" w:eastAsiaTheme="minorEastAsia"/>
          <w:b/>
          <w:bCs/>
          <w:color w:val="auto"/>
          <w:spacing w:val="3"/>
          <w:sz w:val="24"/>
          <w:szCs w:val="24"/>
          <w:lang w:val="en-US" w:eastAsia="zh-CN"/>
        </w:rPr>
        <w:t>-</w:t>
      </w:r>
      <w:r>
        <w:rPr>
          <w:rFonts w:hint="eastAsia" w:ascii="Times New Roman" w:hAnsi="Times New Roman" w:cs="Times New Roman" w:eastAsiaTheme="minorEastAsia"/>
          <w:b/>
          <w:bCs/>
          <w:color w:val="auto"/>
          <w:spacing w:val="3"/>
          <w:sz w:val="24"/>
          <w:szCs w:val="24"/>
          <w:lang w:val="en-US" w:eastAsia="zh-CN"/>
        </w:rPr>
        <w:fldChar w:fldCharType="begin"/>
      </w:r>
      <w:r>
        <w:rPr>
          <w:rFonts w:hint="eastAsia" w:ascii="Times New Roman" w:hAnsi="Times New Roman" w:cs="Times New Roman" w:eastAsiaTheme="minorEastAsia"/>
          <w:b/>
          <w:bCs/>
          <w:color w:val="auto"/>
          <w:spacing w:val="3"/>
          <w:sz w:val="24"/>
          <w:szCs w:val="24"/>
          <w:lang w:val="en-US" w:eastAsia="zh-CN"/>
        </w:rPr>
        <w:instrText xml:space="preserve"> SEQ 图 \* ARABIC \s 2 </w:instrText>
      </w:r>
      <w:r>
        <w:rPr>
          <w:rFonts w:hint="eastAsia" w:ascii="Times New Roman" w:hAnsi="Times New Roman" w:cs="Times New Roman" w:eastAsiaTheme="minorEastAsia"/>
          <w:b/>
          <w:bCs/>
          <w:color w:val="auto"/>
          <w:spacing w:val="3"/>
          <w:sz w:val="24"/>
          <w:szCs w:val="24"/>
          <w:lang w:val="en-US" w:eastAsia="zh-CN"/>
        </w:rPr>
        <w:fldChar w:fldCharType="separate"/>
      </w:r>
      <w:r>
        <w:rPr>
          <w:rFonts w:hint="eastAsia" w:ascii="Times New Roman" w:hAnsi="Times New Roman" w:cs="Times New Roman" w:eastAsiaTheme="minorEastAsia"/>
          <w:b/>
          <w:bCs/>
          <w:color w:val="auto"/>
          <w:spacing w:val="3"/>
          <w:sz w:val="24"/>
          <w:szCs w:val="24"/>
          <w:lang w:val="en-US" w:eastAsia="zh-CN"/>
        </w:rPr>
        <w:t>1</w:t>
      </w:r>
      <w:r>
        <w:rPr>
          <w:rFonts w:hint="eastAsia" w:ascii="Times New Roman" w:hAnsi="Times New Roman" w:cs="Times New Roman" w:eastAsiaTheme="minorEastAsia"/>
          <w:b/>
          <w:bCs/>
          <w:color w:val="auto"/>
          <w:spacing w:val="3"/>
          <w:sz w:val="24"/>
          <w:szCs w:val="24"/>
          <w:lang w:val="en-US" w:eastAsia="zh-CN"/>
        </w:rPr>
        <w:fldChar w:fldCharType="end"/>
      </w:r>
      <w:r>
        <w:rPr>
          <w:rFonts w:hint="eastAsia" w:ascii="Times New Roman" w:hAnsi="Times New Roman" w:cs="Times New Roman" w:eastAsiaTheme="minorEastAsia"/>
          <w:b/>
          <w:bCs/>
          <w:color w:val="auto"/>
          <w:spacing w:val="3"/>
          <w:sz w:val="24"/>
          <w:szCs w:val="24"/>
          <w:lang w:val="en-US" w:eastAsia="zh-CN"/>
        </w:rPr>
        <w:t xml:space="preserve">   一氧化碳最大影响区域图</w:t>
      </w:r>
    </w:p>
    <w:p>
      <w:pPr>
        <w:pStyle w:val="7"/>
        <w:keepNext w:val="0"/>
        <w:keepLines w:val="0"/>
        <w:pageBreakBefore w:val="0"/>
        <w:overflowPunct/>
        <w:topLinePunct w:val="0"/>
        <w:autoSpaceDE w:val="0"/>
        <w:autoSpaceDN w:val="0"/>
        <w:bidi w:val="0"/>
        <w:adjustRightInd w:val="0"/>
        <w:snapToGrid w:val="0"/>
        <w:spacing w:line="360" w:lineRule="auto"/>
        <w:ind w:left="0" w:right="0" w:firstLine="472" w:firstLineChars="200"/>
        <w:jc w:val="both"/>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pacing w:val="-2"/>
          <w:sz w:val="24"/>
          <w:szCs w:val="24"/>
        </w:rPr>
        <w:t>综上所述，涉VOCs原料区发生火灾情况下仅考虑火灾烟气一氧</w:t>
      </w:r>
      <w:r>
        <w:rPr>
          <w:rFonts w:hint="default" w:ascii="Times New Roman" w:hAnsi="Times New Roman" w:cs="Times New Roman" w:eastAsiaTheme="minorEastAsia"/>
          <w:color w:val="auto"/>
          <w:spacing w:val="-3"/>
          <w:sz w:val="24"/>
          <w:szCs w:val="24"/>
        </w:rPr>
        <w:t>化碳和二氧化硫污</w:t>
      </w:r>
      <w:r>
        <w:rPr>
          <w:rFonts w:hint="default" w:ascii="Times New Roman" w:hAnsi="Times New Roman" w:cs="Times New Roman" w:eastAsiaTheme="minorEastAsia"/>
          <w:color w:val="auto"/>
          <w:spacing w:val="-2"/>
          <w:sz w:val="24"/>
          <w:szCs w:val="24"/>
        </w:rPr>
        <w:t>染物的影响，</w:t>
      </w:r>
      <w:r>
        <w:rPr>
          <w:rFonts w:hint="eastAsia" w:ascii="Times New Roman" w:hAnsi="Times New Roman" w:cs="Times New Roman" w:eastAsiaTheme="minorEastAsia"/>
          <w:color w:val="auto"/>
          <w:spacing w:val="3"/>
          <w:sz w:val="24"/>
          <w:szCs w:val="24"/>
        </w:rPr>
        <w:t>火灾产生的一氧化碳超过大气毒性终点浓度-2</w:t>
      </w:r>
      <w:r>
        <w:rPr>
          <w:rFonts w:hint="eastAsia" w:ascii="Times New Roman" w:hAnsi="Times New Roman" w:cs="Times New Roman" w:eastAsiaTheme="minorEastAsia"/>
          <w:color w:val="auto"/>
          <w:spacing w:val="3"/>
          <w:sz w:val="24"/>
          <w:szCs w:val="24"/>
          <w:lang w:eastAsia="zh-CN"/>
        </w:rPr>
        <w:t>，</w:t>
      </w:r>
      <w:r>
        <w:rPr>
          <w:rFonts w:hint="eastAsia" w:ascii="Times New Roman" w:hAnsi="Times New Roman" w:cs="Times New Roman" w:eastAsiaTheme="minorEastAsia"/>
          <w:color w:val="auto"/>
          <w:spacing w:val="3"/>
          <w:sz w:val="24"/>
          <w:szCs w:val="24"/>
          <w:lang w:val="en-US" w:eastAsia="zh-CN"/>
        </w:rPr>
        <w:t>影响范围位于厂区内，</w:t>
      </w:r>
      <w:r>
        <w:rPr>
          <w:rFonts w:hint="eastAsia" w:ascii="Times New Roman" w:hAnsi="Times New Roman" w:cs="Times New Roman" w:eastAsiaTheme="minorEastAsia"/>
          <w:color w:val="auto"/>
          <w:spacing w:val="-2"/>
          <w:sz w:val="24"/>
          <w:szCs w:val="24"/>
        </w:rPr>
        <w:t>暴露</w:t>
      </w:r>
      <w:r>
        <w:rPr>
          <w:rFonts w:hint="eastAsia" w:ascii="Times New Roman" w:hAnsi="Times New Roman" w:cs="Times New Roman" w:eastAsiaTheme="minorEastAsia"/>
          <w:color w:val="auto"/>
          <w:spacing w:val="-2"/>
          <w:sz w:val="24"/>
          <w:szCs w:val="24"/>
          <w:lang w:val="en-US" w:eastAsia="zh-CN"/>
        </w:rPr>
        <w:t>时间长可能</w:t>
      </w:r>
      <w:r>
        <w:rPr>
          <w:rFonts w:hint="eastAsia" w:ascii="Times New Roman" w:hAnsi="Times New Roman" w:cs="Times New Roman" w:eastAsiaTheme="minorEastAsia"/>
          <w:color w:val="auto"/>
          <w:spacing w:val="-2"/>
          <w:sz w:val="24"/>
          <w:szCs w:val="24"/>
        </w:rPr>
        <w:t>会对人体造成伤害</w:t>
      </w:r>
      <w:r>
        <w:rPr>
          <w:rFonts w:hint="eastAsia" w:ascii="Times New Roman" w:hAnsi="Times New Roman" w:cs="Times New Roman" w:eastAsiaTheme="minorEastAsia"/>
          <w:color w:val="auto"/>
          <w:spacing w:val="-2"/>
          <w:sz w:val="24"/>
          <w:szCs w:val="24"/>
          <w:lang w:eastAsia="zh-CN"/>
        </w:rPr>
        <w:t>，</w:t>
      </w:r>
      <w:r>
        <w:rPr>
          <w:rFonts w:hint="default" w:ascii="Times New Roman" w:hAnsi="Times New Roman" w:cs="Times New Roman" w:eastAsiaTheme="minorEastAsia"/>
          <w:color w:val="auto"/>
          <w:spacing w:val="-2"/>
          <w:sz w:val="24"/>
          <w:szCs w:val="24"/>
        </w:rPr>
        <w:t>本评价建议事故现</w:t>
      </w:r>
      <w:r>
        <w:rPr>
          <w:rFonts w:hint="default" w:ascii="Times New Roman" w:hAnsi="Times New Roman" w:cs="Times New Roman" w:eastAsiaTheme="minorEastAsia"/>
          <w:color w:val="auto"/>
          <w:spacing w:val="1"/>
          <w:sz w:val="24"/>
          <w:szCs w:val="24"/>
        </w:rPr>
        <w:t>场周边</w:t>
      </w:r>
      <w:r>
        <w:rPr>
          <w:rFonts w:hint="eastAsia" w:ascii="Times New Roman" w:hAnsi="Times New Roman" w:cs="Times New Roman" w:eastAsiaTheme="minorEastAsia"/>
          <w:color w:val="auto"/>
          <w:spacing w:val="1"/>
          <w:sz w:val="24"/>
          <w:szCs w:val="24"/>
          <w:lang w:val="en-US" w:eastAsia="zh-CN"/>
        </w:rPr>
        <w:t>43</w:t>
      </w:r>
      <w:r>
        <w:rPr>
          <w:rFonts w:hint="default" w:ascii="Times New Roman" w:hAnsi="Times New Roman" w:cs="Times New Roman" w:eastAsiaTheme="minorEastAsia"/>
          <w:color w:val="auto"/>
          <w:spacing w:val="1"/>
          <w:sz w:val="24"/>
          <w:szCs w:val="24"/>
        </w:rPr>
        <w:t>m范围内员工撤离至上</w:t>
      </w:r>
      <w:r>
        <w:rPr>
          <w:rFonts w:hint="default" w:ascii="Times New Roman" w:hAnsi="Times New Roman" w:cs="Times New Roman" w:eastAsiaTheme="minorEastAsia"/>
          <w:color w:val="auto"/>
          <w:sz w:val="24"/>
          <w:szCs w:val="24"/>
        </w:rPr>
        <w:t>风处，并立即隔离50m，严格</w:t>
      </w:r>
      <w:r>
        <w:rPr>
          <w:rFonts w:hint="default" w:ascii="Times New Roman" w:hAnsi="Times New Roman" w:cs="Times New Roman" w:eastAsiaTheme="minorEastAsia"/>
          <w:color w:val="auto"/>
          <w:spacing w:val="-3"/>
          <w:sz w:val="24"/>
          <w:szCs w:val="24"/>
        </w:rPr>
        <w:t>限制出入。</w:t>
      </w:r>
      <w:r>
        <w:rPr>
          <w:rFonts w:hint="eastAsia" w:ascii="Times New Roman" w:hAnsi="Times New Roman" w:cs="Times New Roman" w:eastAsiaTheme="minorEastAsia"/>
          <w:color w:val="auto"/>
          <w:spacing w:val="-3"/>
          <w:sz w:val="24"/>
          <w:szCs w:val="24"/>
          <w:lang w:val="en-US" w:eastAsia="zh-CN"/>
        </w:rPr>
        <w:t>发生火灾时的</w:t>
      </w:r>
      <w:r>
        <w:rPr>
          <w:rFonts w:hint="default" w:ascii="Times New Roman" w:hAnsi="Times New Roman" w:cs="Times New Roman" w:eastAsiaTheme="minorEastAsia"/>
          <w:color w:val="auto"/>
          <w:spacing w:val="-2"/>
          <w:sz w:val="24"/>
          <w:szCs w:val="24"/>
        </w:rPr>
        <w:t>影响范围并不大，无需组织周边居民、单位、学校等人群撤离，但需注意的是火灾事故可引燃其他的物质，可能对厂区内员工造成伤害，故发生火灾事故时，事故现</w:t>
      </w:r>
      <w:r>
        <w:rPr>
          <w:rFonts w:hint="default" w:ascii="Times New Roman" w:hAnsi="Times New Roman" w:cs="Times New Roman" w:eastAsiaTheme="minorEastAsia"/>
          <w:color w:val="auto"/>
          <w:spacing w:val="1"/>
          <w:sz w:val="24"/>
          <w:szCs w:val="24"/>
        </w:rPr>
        <w:t>场周边范围内员工</w:t>
      </w:r>
      <w:r>
        <w:rPr>
          <w:rFonts w:hint="eastAsia" w:ascii="Times New Roman" w:hAnsi="Times New Roman" w:cs="Times New Roman" w:eastAsiaTheme="minorEastAsia"/>
          <w:color w:val="auto"/>
          <w:spacing w:val="1"/>
          <w:sz w:val="24"/>
          <w:szCs w:val="24"/>
          <w:lang w:val="en-US" w:eastAsia="zh-CN"/>
        </w:rPr>
        <w:t>需</w:t>
      </w:r>
      <w:r>
        <w:rPr>
          <w:rFonts w:hint="default" w:ascii="Times New Roman" w:hAnsi="Times New Roman" w:cs="Times New Roman" w:eastAsiaTheme="minorEastAsia"/>
          <w:color w:val="auto"/>
          <w:spacing w:val="1"/>
          <w:sz w:val="24"/>
          <w:szCs w:val="24"/>
        </w:rPr>
        <w:t>撤离至上</w:t>
      </w:r>
      <w:r>
        <w:rPr>
          <w:rFonts w:hint="default" w:ascii="Times New Roman" w:hAnsi="Times New Roman" w:cs="Times New Roman" w:eastAsiaTheme="minorEastAsia"/>
          <w:color w:val="auto"/>
          <w:sz w:val="24"/>
          <w:szCs w:val="24"/>
        </w:rPr>
        <w:t>风处</w:t>
      </w:r>
      <w:r>
        <w:rPr>
          <w:rFonts w:hint="eastAsia" w:ascii="Times New Roman" w:hAnsi="Times New Roman" w:cs="Times New Roman" w:eastAsiaTheme="minorEastAsia"/>
          <w:color w:val="auto"/>
          <w:sz w:val="24"/>
          <w:szCs w:val="24"/>
          <w:lang w:eastAsia="zh-CN"/>
        </w:rPr>
        <w:t>。</w:t>
      </w:r>
    </w:p>
    <w:p>
      <w:pPr>
        <w:pStyle w:val="7"/>
        <w:keepNext w:val="0"/>
        <w:keepLines w:val="0"/>
        <w:pageBreakBefore w:val="0"/>
        <w:overflowPunct/>
        <w:topLinePunct w:val="0"/>
        <w:autoSpaceDE w:val="0"/>
        <w:autoSpaceDN w:val="0"/>
        <w:bidi w:val="0"/>
        <w:adjustRightInd w:val="0"/>
        <w:snapToGrid w:val="0"/>
        <w:spacing w:line="360" w:lineRule="auto"/>
        <w:ind w:left="0" w:right="0" w:firstLine="465"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pacing w:val="-4"/>
          <w:sz w:val="24"/>
          <w:szCs w:val="24"/>
        </w:rPr>
        <w:t>（3）火灾事故次生消防废水</w:t>
      </w:r>
    </w:p>
    <w:p>
      <w:pPr>
        <w:pStyle w:val="7"/>
        <w:keepNext w:val="0"/>
        <w:keepLines w:val="0"/>
        <w:pageBreakBefore w:val="0"/>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2"/>
          <w:sz w:val="24"/>
          <w:szCs w:val="24"/>
        </w:rPr>
        <w:t>在单位内厂区发生火灾时，考虑到可燃和易燃物质储存量和种类均较少，一般使用干粉灭火器进行现场灭火可解决；但如果灭火过程中需使用水进行灭火时，则会产生消</w:t>
      </w:r>
      <w:r>
        <w:rPr>
          <w:rFonts w:hint="default" w:ascii="Times New Roman" w:hAnsi="Times New Roman" w:cs="Times New Roman" w:eastAsiaTheme="minorEastAsia"/>
          <w:color w:val="auto"/>
          <w:spacing w:val="-7"/>
          <w:sz w:val="24"/>
          <w:szCs w:val="24"/>
        </w:rPr>
        <w:t>防废水，根据《事故状态下污染预防和控制规范》（Q/SY08190-2019）附录B计算公式：</w:t>
      </w:r>
    </w:p>
    <w:p>
      <w:pPr>
        <w:pStyle w:val="7"/>
        <w:keepNext w:val="0"/>
        <w:keepLines w:val="0"/>
        <w:pageBreakBefore w:val="0"/>
        <w:overflowPunct/>
        <w:topLinePunct w:val="0"/>
        <w:autoSpaceDE w:val="0"/>
        <w:autoSpaceDN w:val="0"/>
        <w:bidi w:val="0"/>
        <w:adjustRightInd w:val="0"/>
        <w:snapToGrid w:val="0"/>
        <w:spacing w:line="360" w:lineRule="auto"/>
        <w:ind w:right="0"/>
        <w:jc w:val="center"/>
        <w:textAlignment w:val="baseline"/>
        <w:rPr>
          <w:rFonts w:hint="default" w:ascii="Times New Roman" w:hAnsi="Times New Roman" w:cs="Times New Roman" w:eastAsiaTheme="minorEastAsia"/>
          <w:color w:val="auto"/>
          <w:spacing w:val="-7"/>
          <w:position w:val="-3"/>
          <w:sz w:val="24"/>
          <w:szCs w:val="24"/>
        </w:rPr>
      </w:pPr>
      <w:r>
        <w:rPr>
          <w:rFonts w:hint="default" w:ascii="Times New Roman" w:hAnsi="Times New Roman" w:cs="Times New Roman" w:eastAsiaTheme="minorEastAsia"/>
          <w:color w:val="auto"/>
          <w:spacing w:val="-3"/>
          <w:sz w:val="24"/>
          <w:szCs w:val="24"/>
        </w:rPr>
        <w:t>V₂=Q</w:t>
      </w:r>
      <w:r>
        <w:rPr>
          <w:rFonts w:hint="default" w:ascii="Times New Roman" w:hAnsi="Times New Roman" w:cs="Times New Roman" w:eastAsiaTheme="minorEastAsia"/>
          <w:color w:val="auto"/>
          <w:spacing w:val="-3"/>
          <w:position w:val="-3"/>
          <w:sz w:val="24"/>
          <w:szCs w:val="24"/>
          <w:vertAlign w:val="subscript"/>
        </w:rPr>
        <w:t>消</w:t>
      </w:r>
      <w:r>
        <w:rPr>
          <w:rFonts w:hint="default" w:ascii="Times New Roman" w:hAnsi="Times New Roman" w:cs="Times New Roman" w:eastAsiaTheme="minorEastAsia"/>
          <w:color w:val="auto"/>
          <w:spacing w:val="-20"/>
          <w:sz w:val="24"/>
          <w:szCs w:val="24"/>
        </w:rPr>
        <w:t>×t</w:t>
      </w:r>
      <w:r>
        <w:rPr>
          <w:rFonts w:hint="default" w:ascii="Times New Roman" w:hAnsi="Times New Roman" w:cs="Times New Roman" w:eastAsiaTheme="minorEastAsia"/>
          <w:color w:val="auto"/>
          <w:spacing w:val="-7"/>
          <w:position w:val="-3"/>
          <w:sz w:val="24"/>
          <w:szCs w:val="24"/>
          <w:vertAlign w:val="subscript"/>
        </w:rPr>
        <w:t>消</w:t>
      </w:r>
    </w:p>
    <w:p>
      <w:pPr>
        <w:pStyle w:val="7"/>
        <w:keepNext w:val="0"/>
        <w:keepLines w:val="0"/>
        <w:pageBreakBefore w:val="0"/>
        <w:overflowPunct/>
        <w:topLinePunct w:val="0"/>
        <w:autoSpaceDE w:val="0"/>
        <w:autoSpaceDN w:val="0"/>
        <w:bidi w:val="0"/>
        <w:adjustRightInd w:val="0"/>
        <w:snapToGrid w:val="0"/>
        <w:spacing w:line="360" w:lineRule="auto"/>
        <w:ind w:left="0" w:right="0" w:firstLine="472"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pacing w:val="-2"/>
          <w:sz w:val="24"/>
          <w:szCs w:val="24"/>
        </w:rPr>
        <w:t>式中：V₂——消防用水量，m³</w:t>
      </w:r>
      <w:r>
        <w:rPr>
          <w:rFonts w:hint="default" w:ascii="Times New Roman" w:hAnsi="Times New Roman" w:cs="Times New Roman" w:eastAsiaTheme="minorEastAsia"/>
          <w:color w:val="auto"/>
          <w:spacing w:val="-76"/>
          <w:sz w:val="24"/>
          <w:szCs w:val="24"/>
        </w:rPr>
        <w:t xml:space="preserve"> </w:t>
      </w:r>
      <w:r>
        <w:rPr>
          <w:rFonts w:hint="eastAsia" w:ascii="Times New Roman" w:hAnsi="Times New Roman" w:cs="Times New Roman" w:eastAsiaTheme="minorEastAsia"/>
          <w:color w:val="auto"/>
          <w:spacing w:val="-2"/>
          <w:sz w:val="24"/>
          <w:szCs w:val="24"/>
          <w:lang w:eastAsia="zh-CN"/>
        </w:rPr>
        <w:t>；</w:t>
      </w:r>
    </w:p>
    <w:p>
      <w:pPr>
        <w:pStyle w:val="7"/>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1180" w:firstLineChars="500"/>
        <w:jc w:val="both"/>
        <w:textAlignment w:val="baseline"/>
        <w:rPr>
          <w:rFonts w:hint="default" w:ascii="Times New Roman" w:hAnsi="Times New Roman" w:cs="Times New Roman" w:eastAsiaTheme="minorEastAsia"/>
          <w:color w:val="auto"/>
          <w:spacing w:val="-3"/>
          <w:sz w:val="24"/>
          <w:szCs w:val="24"/>
        </w:rPr>
      </w:pPr>
      <w:r>
        <w:rPr>
          <w:rFonts w:hint="default" w:ascii="Times New Roman" w:hAnsi="Times New Roman" w:cs="Times New Roman" w:eastAsiaTheme="minorEastAsia"/>
          <w:color w:val="auto"/>
          <w:spacing w:val="-2"/>
          <w:sz w:val="24"/>
          <w:szCs w:val="24"/>
        </w:rPr>
        <w:t>Q</w:t>
      </w:r>
      <w:r>
        <w:rPr>
          <w:rFonts w:hint="default" w:ascii="Times New Roman" w:hAnsi="Times New Roman" w:cs="Times New Roman" w:eastAsiaTheme="minorEastAsia"/>
          <w:color w:val="auto"/>
          <w:spacing w:val="-2"/>
          <w:position w:val="-3"/>
          <w:sz w:val="24"/>
          <w:szCs w:val="24"/>
          <w:vertAlign w:val="subscript"/>
        </w:rPr>
        <w:t>消</w:t>
      </w:r>
      <w:r>
        <w:rPr>
          <w:rFonts w:hint="default" w:ascii="Times New Roman" w:hAnsi="Times New Roman" w:cs="Times New Roman" w:eastAsiaTheme="minorEastAsia"/>
          <w:color w:val="auto"/>
          <w:spacing w:val="-2"/>
          <w:sz w:val="24"/>
          <w:szCs w:val="24"/>
        </w:rPr>
        <w:t>——发生事故的罐区或装置区同时使用的消防设施给水流量，m³</w:t>
      </w:r>
      <w:r>
        <w:rPr>
          <w:rFonts w:hint="default" w:ascii="Times New Roman" w:hAnsi="Times New Roman" w:cs="Times New Roman" w:eastAsiaTheme="minorEastAsia"/>
          <w:color w:val="auto"/>
          <w:spacing w:val="-3"/>
          <w:sz w:val="24"/>
          <w:szCs w:val="24"/>
        </w:rPr>
        <w:t>/h；</w:t>
      </w:r>
    </w:p>
    <w:p>
      <w:pPr>
        <w:pStyle w:val="7"/>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1190" w:firstLineChars="5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1"/>
          <w:sz w:val="24"/>
          <w:szCs w:val="24"/>
        </w:rPr>
        <w:t>t</w:t>
      </w:r>
      <w:r>
        <w:rPr>
          <w:rFonts w:hint="default" w:ascii="Times New Roman" w:hAnsi="Times New Roman" w:cs="Times New Roman" w:eastAsiaTheme="minorEastAsia"/>
          <w:color w:val="auto"/>
          <w:spacing w:val="-1"/>
          <w:position w:val="-3"/>
          <w:sz w:val="24"/>
          <w:szCs w:val="24"/>
          <w:vertAlign w:val="subscript"/>
        </w:rPr>
        <w:t>消</w:t>
      </w:r>
      <w:r>
        <w:rPr>
          <w:rFonts w:hint="default" w:ascii="Times New Roman" w:hAnsi="Times New Roman" w:cs="Times New Roman" w:eastAsiaTheme="minorEastAsia"/>
          <w:color w:val="auto"/>
          <w:spacing w:val="-1"/>
          <w:sz w:val="24"/>
          <w:szCs w:val="24"/>
        </w:rPr>
        <w:t>——消防设施对应的设计消防历时，h；</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3"/>
          <w:sz w:val="24"/>
          <w:szCs w:val="24"/>
        </w:rPr>
        <w:t>厂房灭火的室外消火栓用水量为35L/s，火灾持续时间按1h计，消防废水最大产生</w:t>
      </w:r>
      <w:r>
        <w:rPr>
          <w:rFonts w:hint="default" w:ascii="Times New Roman" w:hAnsi="Times New Roman" w:cs="Times New Roman" w:eastAsiaTheme="minorEastAsia"/>
          <w:color w:val="auto"/>
          <w:spacing w:val="-2"/>
          <w:sz w:val="24"/>
          <w:szCs w:val="24"/>
        </w:rPr>
        <w:t>量约为126m³。公司排水依托</w:t>
      </w:r>
      <w:r>
        <w:rPr>
          <w:rFonts w:hint="eastAsia" w:ascii="Times New Roman" w:hAnsi="Times New Roman" w:cs="Times New Roman" w:eastAsiaTheme="minorEastAsia"/>
          <w:color w:val="auto"/>
          <w:spacing w:val="-2"/>
          <w:sz w:val="24"/>
          <w:szCs w:val="24"/>
          <w:lang w:eastAsia="zh-CN"/>
        </w:rPr>
        <w:t>永州市三利报废汽车回收拆解有限公司</w:t>
      </w:r>
      <w:r>
        <w:rPr>
          <w:rFonts w:hint="default" w:ascii="Times New Roman" w:hAnsi="Times New Roman" w:cs="Times New Roman" w:eastAsiaTheme="minorEastAsia"/>
          <w:color w:val="auto"/>
          <w:spacing w:val="-3"/>
          <w:sz w:val="24"/>
          <w:szCs w:val="24"/>
        </w:rPr>
        <w:t>现有排水管网，</w:t>
      </w:r>
      <w:r>
        <w:rPr>
          <w:rFonts w:hint="eastAsia" w:ascii="Times New Roman" w:hAnsi="Times New Roman" w:cs="Times New Roman" w:eastAsiaTheme="minorEastAsia"/>
          <w:color w:val="auto"/>
          <w:spacing w:val="-3"/>
          <w:sz w:val="24"/>
          <w:szCs w:val="24"/>
          <w:lang w:val="en-US" w:eastAsia="zh-CN"/>
        </w:rPr>
        <w:t>三利厂区</w:t>
      </w:r>
      <w:r>
        <w:rPr>
          <w:rFonts w:hint="default" w:ascii="Times New Roman" w:hAnsi="Times New Roman" w:cs="Times New Roman" w:eastAsiaTheme="minorEastAsia"/>
          <w:color w:val="auto"/>
          <w:spacing w:val="-3"/>
          <w:sz w:val="24"/>
          <w:szCs w:val="24"/>
        </w:rPr>
        <w:t>污水排</w:t>
      </w:r>
      <w:r>
        <w:rPr>
          <w:rFonts w:hint="default" w:ascii="Times New Roman" w:hAnsi="Times New Roman" w:cs="Times New Roman" w:eastAsiaTheme="minorEastAsia"/>
          <w:color w:val="auto"/>
          <w:spacing w:val="-2"/>
          <w:sz w:val="24"/>
          <w:szCs w:val="24"/>
        </w:rPr>
        <w:t>口设置有切换阀门，发生火灾时，应联系</w:t>
      </w:r>
      <w:r>
        <w:rPr>
          <w:rFonts w:hint="eastAsia" w:ascii="Times New Roman" w:hAnsi="Times New Roman" w:cs="Times New Roman" w:eastAsiaTheme="minorEastAsia"/>
          <w:color w:val="auto"/>
          <w:spacing w:val="-2"/>
          <w:sz w:val="24"/>
          <w:szCs w:val="24"/>
          <w:lang w:eastAsia="zh-CN"/>
        </w:rPr>
        <w:t>永州市三利报废汽车回收拆解有限公司</w:t>
      </w:r>
      <w:r>
        <w:rPr>
          <w:rFonts w:hint="default" w:ascii="Times New Roman" w:hAnsi="Times New Roman" w:cs="Times New Roman" w:eastAsiaTheme="minorEastAsia"/>
          <w:color w:val="auto"/>
          <w:spacing w:val="-2"/>
          <w:sz w:val="24"/>
          <w:szCs w:val="24"/>
        </w:rPr>
        <w:t>及时关闭</w:t>
      </w:r>
      <w:r>
        <w:rPr>
          <w:rFonts w:hint="eastAsia" w:ascii="Times New Roman" w:hAnsi="Times New Roman" w:cs="Times New Roman" w:eastAsiaTheme="minorEastAsia"/>
          <w:color w:val="auto"/>
          <w:spacing w:val="-2"/>
          <w:sz w:val="24"/>
          <w:szCs w:val="24"/>
          <w:lang w:val="en-US" w:eastAsia="zh-CN"/>
        </w:rPr>
        <w:t>雨</w:t>
      </w:r>
      <w:r>
        <w:rPr>
          <w:rFonts w:hint="default" w:ascii="Times New Roman" w:hAnsi="Times New Roman" w:cs="Times New Roman" w:eastAsiaTheme="minorEastAsia"/>
          <w:color w:val="auto"/>
          <w:spacing w:val="-2"/>
          <w:sz w:val="24"/>
          <w:szCs w:val="24"/>
        </w:rPr>
        <w:t>水排放</w:t>
      </w:r>
      <w:r>
        <w:rPr>
          <w:rFonts w:hint="eastAsia" w:eastAsia="宋体"/>
          <w:color w:val="auto"/>
          <w:lang w:val="en-US" w:eastAsia="zh-CN"/>
        </w:rPr>
        <w:t>口</w:t>
      </w:r>
      <w:r>
        <w:rPr>
          <w:rFonts w:hint="default" w:ascii="Times New Roman" w:hAnsi="Times New Roman" w:cs="Times New Roman" w:eastAsiaTheme="minorEastAsia"/>
          <w:color w:val="auto"/>
          <w:sz w:val="24"/>
          <w:szCs w:val="24"/>
        </w:rPr>
        <w:t>阀门，</w:t>
      </w:r>
      <w:r>
        <w:rPr>
          <w:rFonts w:hint="eastAsia" w:ascii="Times New Roman" w:hAnsi="Times New Roman" w:cs="Times New Roman" w:eastAsiaTheme="minorEastAsia"/>
          <w:color w:val="auto"/>
          <w:sz w:val="24"/>
          <w:szCs w:val="24"/>
          <w:lang w:val="en-US" w:eastAsia="zh-CN"/>
        </w:rPr>
        <w:t>消防废水</w:t>
      </w:r>
      <w:r>
        <w:rPr>
          <w:rFonts w:hint="default" w:ascii="Times New Roman" w:hAnsi="Times New Roman" w:cs="Times New Roman"/>
          <w:color w:val="auto"/>
          <w:szCs w:val="28"/>
          <w:u w:val="none" w:color="auto"/>
        </w:rPr>
        <w:t>全部进入厂区</w:t>
      </w:r>
      <w:r>
        <w:rPr>
          <w:rFonts w:hint="eastAsia" w:ascii="Times New Roman" w:hAnsi="Times New Roman" w:eastAsia="宋体" w:cs="Times New Roman"/>
          <w:color w:val="auto"/>
          <w:szCs w:val="28"/>
          <w:u w:val="none" w:color="auto"/>
          <w:lang w:val="en-US" w:eastAsia="zh-CN"/>
        </w:rPr>
        <w:t>东侧现有</w:t>
      </w:r>
      <w:r>
        <w:rPr>
          <w:rFonts w:hint="default" w:ascii="Times New Roman" w:hAnsi="Times New Roman" w:cs="Times New Roman"/>
          <w:color w:val="auto"/>
          <w:szCs w:val="28"/>
          <w:u w:val="none" w:color="auto"/>
        </w:rPr>
        <w:t>事故池</w:t>
      </w:r>
      <w:r>
        <w:rPr>
          <w:rFonts w:hint="eastAsia" w:ascii="Times New Roman" w:hAnsi="Times New Roman" w:cs="Times New Roman" w:eastAsiaTheme="minorEastAsia"/>
          <w:color w:val="auto"/>
          <w:sz w:val="24"/>
          <w:szCs w:val="24"/>
          <w:lang w:val="en-US" w:eastAsia="zh-CN"/>
        </w:rPr>
        <w:t>，进行沉淀</w:t>
      </w:r>
      <w:r>
        <w:rPr>
          <w:rFonts w:hint="default" w:ascii="Times New Roman" w:hAnsi="Times New Roman" w:cs="Times New Roman" w:eastAsiaTheme="minorEastAsia"/>
          <w:color w:val="auto"/>
          <w:sz w:val="24"/>
          <w:szCs w:val="24"/>
        </w:rPr>
        <w:t>之后分批排入</w:t>
      </w:r>
      <w:r>
        <w:rPr>
          <w:rFonts w:hint="eastAsia" w:ascii="Times New Roman" w:hAnsi="Times New Roman" w:eastAsia="宋体" w:cs="Times New Roman"/>
          <w:color w:val="auto"/>
          <w:szCs w:val="28"/>
          <w:u w:val="none" w:color="auto"/>
          <w:lang w:eastAsia="zh-CN"/>
        </w:rPr>
        <w:t>鹿坪</w:t>
      </w:r>
      <w:r>
        <w:rPr>
          <w:rFonts w:hint="default" w:ascii="Times New Roman" w:hAnsi="Times New Roman" w:cs="Times New Roman" w:eastAsiaTheme="minorEastAsia"/>
          <w:color w:val="auto"/>
          <w:sz w:val="24"/>
          <w:szCs w:val="24"/>
        </w:rPr>
        <w:t>污水处理厂处理，不会</w:t>
      </w:r>
      <w:r>
        <w:rPr>
          <w:rFonts w:hint="default" w:ascii="Times New Roman" w:hAnsi="Times New Roman" w:cs="Times New Roman" w:eastAsiaTheme="minorEastAsia"/>
          <w:color w:val="auto"/>
          <w:spacing w:val="-1"/>
          <w:sz w:val="24"/>
          <w:szCs w:val="24"/>
        </w:rPr>
        <w:t>对地表水环境产生影响。</w:t>
      </w:r>
    </w:p>
    <w:p>
      <w:pPr>
        <w:pStyle w:val="11"/>
        <w:bidi w:val="0"/>
        <w:spacing w:line="360" w:lineRule="auto"/>
        <w:ind w:left="851" w:hanging="851"/>
        <w:rPr>
          <w:color w:val="auto"/>
          <w:sz w:val="30"/>
          <w:szCs w:val="30"/>
        </w:rPr>
      </w:pPr>
      <w:r>
        <w:rPr>
          <w:color w:val="auto"/>
          <w:sz w:val="30"/>
          <w:szCs w:val="30"/>
        </w:rPr>
        <w:t>地表水风险事故后果分析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本项目产生的生活污水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废水，正常工况下经化粪池处理后全部进入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处理，达标后排入湘江，本项目</w:t>
      </w:r>
      <w:r>
        <w:rPr>
          <w:rFonts w:hint="eastAsia" w:ascii="Times New Roman" w:hAnsi="Times New Roman" w:eastAsia="宋体" w:cs="Times New Roman"/>
          <w:color w:val="auto"/>
          <w:szCs w:val="28"/>
          <w:u w:val="none" w:color="auto"/>
          <w:lang w:val="en-US" w:eastAsia="zh-CN"/>
        </w:rPr>
        <w:t>综合废水</w:t>
      </w:r>
      <w:r>
        <w:rPr>
          <w:rFonts w:hint="default" w:ascii="Times New Roman" w:hAnsi="Times New Roman" w:cs="Times New Roman"/>
          <w:color w:val="auto"/>
          <w:szCs w:val="28"/>
          <w:u w:val="none" w:color="auto"/>
        </w:rPr>
        <w:t>水质简单，水量较少，达标外排不会对纳污水体湘江产生污染影响。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本次环评建议</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采取严格的事故废水三级防控体系，物料储存区及生产区均按相关要求增设围堰并设置</w:t>
      </w:r>
      <w:r>
        <w:rPr>
          <w:rFonts w:hint="eastAsia" w:ascii="Times New Roman" w:hAnsi="Times New Roman" w:eastAsia="宋体" w:cs="Times New Roman"/>
          <w:color w:val="auto"/>
          <w:szCs w:val="28"/>
          <w:u w:val="none" w:color="auto"/>
          <w:lang w:val="en-US" w:eastAsia="zh-CN"/>
        </w:rPr>
        <w:t>洒落物料收集容器；发生事故时及时联系</w:t>
      </w:r>
      <w:r>
        <w:rPr>
          <w:rFonts w:hint="eastAsia" w:ascii="Times New Roman" w:hAnsi="Times New Roman" w:cs="Times New Roman" w:eastAsiaTheme="minorEastAsia"/>
          <w:color w:val="auto"/>
          <w:spacing w:val="-2"/>
          <w:sz w:val="24"/>
          <w:szCs w:val="24"/>
          <w:lang w:eastAsia="zh-CN"/>
        </w:rPr>
        <w:t>永州市三利报废汽车回收拆解有限公司</w:t>
      </w:r>
      <w:r>
        <w:rPr>
          <w:rFonts w:hint="default" w:ascii="Times New Roman" w:hAnsi="Times New Roman" w:cs="Times New Roman" w:eastAsiaTheme="minorEastAsia"/>
          <w:color w:val="auto"/>
          <w:spacing w:val="-2"/>
          <w:sz w:val="24"/>
          <w:szCs w:val="24"/>
        </w:rPr>
        <w:t>及时关闭污水排放</w:t>
      </w:r>
      <w:r>
        <w:rPr>
          <w:rFonts w:hint="default" w:ascii="Times New Roman" w:hAnsi="Times New Roman" w:cs="Times New Roman" w:eastAsiaTheme="minorEastAsia"/>
          <w:color w:val="auto"/>
          <w:sz w:val="24"/>
          <w:szCs w:val="24"/>
        </w:rPr>
        <w:t>阀门</w:t>
      </w:r>
      <w:r>
        <w:rPr>
          <w:rFonts w:hint="default" w:ascii="Times New Roman" w:hAnsi="Times New Roman" w:cs="Times New Roman"/>
          <w:color w:val="auto"/>
          <w:szCs w:val="28"/>
          <w:u w:val="none" w:color="auto"/>
        </w:rPr>
        <w:t>，防止事故消防废水直接排放。在落实相应风险事故废水措施的情况下，项目发生风险事故时，不会造成携带污染物的事故废水进入外环境，不会对地表水环境产生不利影响。</w:t>
      </w:r>
    </w:p>
    <w:p>
      <w:pPr>
        <w:pStyle w:val="11"/>
        <w:bidi w:val="0"/>
        <w:spacing w:line="360" w:lineRule="auto"/>
        <w:ind w:left="851" w:hanging="851"/>
        <w:rPr>
          <w:color w:val="auto"/>
          <w:sz w:val="30"/>
          <w:szCs w:val="30"/>
        </w:rPr>
      </w:pPr>
      <w:r>
        <w:rPr>
          <w:color w:val="auto"/>
          <w:sz w:val="30"/>
          <w:szCs w:val="30"/>
        </w:rPr>
        <w:t>地下水风险事故后果预测与评价</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w:t>
      </w:r>
      <w:r>
        <w:rPr>
          <w:rFonts w:hint="eastAsia" w:ascii="Times New Roman" w:hAnsi="Times New Roman" w:eastAsia="宋体" w:cs="Times New Roman"/>
          <w:color w:val="auto"/>
          <w:szCs w:val="28"/>
          <w:u w:val="none" w:color="auto"/>
          <w:lang w:val="en-US" w:eastAsia="zh-CN"/>
        </w:rPr>
        <w:t>租赁</w:t>
      </w:r>
      <w:r>
        <w:rPr>
          <w:rFonts w:hint="default" w:ascii="Times New Roman" w:hAnsi="Times New Roman" w:cs="Times New Roman"/>
          <w:color w:val="auto"/>
          <w:szCs w:val="28"/>
          <w:u w:val="none" w:color="auto"/>
        </w:rPr>
        <w:t>厂区</w:t>
      </w:r>
      <w:r>
        <w:rPr>
          <w:rFonts w:hint="eastAsia" w:ascii="Times New Roman" w:hAnsi="Times New Roman" w:eastAsia="宋体" w:cs="Times New Roman"/>
          <w:color w:val="auto"/>
          <w:szCs w:val="28"/>
          <w:u w:val="none" w:color="auto"/>
          <w:lang w:val="en-US" w:eastAsia="zh-CN"/>
        </w:rPr>
        <w:t>已</w:t>
      </w:r>
      <w:r>
        <w:rPr>
          <w:rFonts w:hint="default" w:ascii="Times New Roman" w:hAnsi="Times New Roman" w:cs="Times New Roman"/>
          <w:color w:val="auto"/>
          <w:szCs w:val="28"/>
          <w:u w:val="none" w:color="auto"/>
        </w:rPr>
        <w:t>采取防渗措施，本次环评要求</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进一步落实好防渗、防污措施，加强生产过程的管理，防止危险物质泄漏</w:t>
      </w:r>
      <w:r>
        <w:rPr>
          <w:rFonts w:hint="eastAsia" w:ascii="Times New Roman" w:hAnsi="Times New Roman" w:eastAsia="宋体" w:cs="Times New Roman"/>
          <w:color w:val="auto"/>
          <w:szCs w:val="28"/>
          <w:u w:val="none" w:color="auto"/>
          <w:lang w:eastAsia="zh-CN"/>
        </w:rPr>
        <w:t>渗入</w:t>
      </w:r>
      <w:r>
        <w:rPr>
          <w:rFonts w:hint="default" w:ascii="Times New Roman" w:hAnsi="Times New Roman" w:cs="Times New Roman"/>
          <w:color w:val="auto"/>
          <w:szCs w:val="28"/>
          <w:u w:val="none" w:color="auto"/>
        </w:rPr>
        <w:t>地下，则地下水不利影响在可接受水平。</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风险事故具有一定程度的不确定性。事故发生的条件有很多，事故发生的天气条件千差万别，具有极大的不确定性，发生事故排放的强度有多种可能。这样对风险事故的后果预测就存在着极大的不确定性。在采取有效的安全措施后，项目地下水环境风险可降至可防控水平。</w:t>
      </w:r>
    </w:p>
    <w:p>
      <w:pPr>
        <w:pStyle w:val="10"/>
        <w:keepNext w:val="0"/>
        <w:keepLines w:val="0"/>
        <w:pageBreakBefore w:val="0"/>
        <w:widowControl w:val="0"/>
        <w:overflowPunct/>
        <w:topLinePunct w:val="0"/>
        <w:autoSpaceDE w:val="0"/>
        <w:autoSpaceDN w:val="0"/>
        <w:bidi w:val="0"/>
        <w:adjustRightInd w:val="0"/>
        <w:snapToGrid w:val="0"/>
        <w:spacing w:line="360" w:lineRule="auto"/>
        <w:textAlignment w:val="baseline"/>
        <w:rPr>
          <w:rFonts w:hint="default" w:ascii="Times New Roman" w:hAnsi="Times New Roman" w:cs="Times New Roman"/>
          <w:color w:val="auto"/>
          <w:sz w:val="32"/>
          <w:szCs w:val="32"/>
        </w:rPr>
      </w:pPr>
      <w:bookmarkStart w:id="95" w:name="bookmark96"/>
      <w:bookmarkEnd w:id="95"/>
      <w:bookmarkStart w:id="96" w:name="_Toc1832"/>
      <w:r>
        <w:rPr>
          <w:rFonts w:hint="default" w:ascii="Times New Roman" w:hAnsi="Times New Roman" w:cs="Times New Roman"/>
          <w:color w:val="auto"/>
          <w:sz w:val="32"/>
          <w:szCs w:val="32"/>
        </w:rPr>
        <w:t>环境风险管理</w:t>
      </w:r>
      <w:bookmarkEnd w:id="96"/>
    </w:p>
    <w:p>
      <w:pPr>
        <w:pStyle w:val="11"/>
        <w:keepNext w:val="0"/>
        <w:keepLines w:val="0"/>
        <w:pageBreakBefore w:val="0"/>
        <w:widowControl w:val="0"/>
        <w:overflowPunct/>
        <w:topLinePunct w:val="0"/>
        <w:autoSpaceDE w:val="0"/>
        <w:autoSpaceDN w:val="0"/>
        <w:bidi w:val="0"/>
        <w:adjustRightInd w:val="0"/>
        <w:snapToGrid w:val="0"/>
        <w:spacing w:line="360" w:lineRule="auto"/>
        <w:ind w:left="851" w:hanging="851"/>
        <w:textAlignment w:val="baseline"/>
        <w:rPr>
          <w:color w:val="auto"/>
          <w:sz w:val="30"/>
          <w:szCs w:val="30"/>
        </w:rPr>
      </w:pPr>
      <w:r>
        <w:rPr>
          <w:color w:val="auto"/>
          <w:sz w:val="30"/>
          <w:szCs w:val="30"/>
        </w:rPr>
        <w:t>环境风险管理目标</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风险管理目标是采用最低合理可行原则（aslowasreasonablepracticable，ALARP）管控环境风险。采取的环境风险防范措施应与社会经济技术发展水平相适应，运用科学的技术手段和管理方法，对环境风险进行有效的预防、监控、响应。</w:t>
      </w:r>
    </w:p>
    <w:p>
      <w:pPr>
        <w:pStyle w:val="11"/>
        <w:bidi w:val="0"/>
        <w:spacing w:line="360" w:lineRule="auto"/>
        <w:ind w:left="851" w:hanging="851"/>
        <w:rPr>
          <w:color w:val="auto"/>
          <w:sz w:val="30"/>
          <w:szCs w:val="30"/>
        </w:rPr>
      </w:pPr>
      <w:r>
        <w:rPr>
          <w:color w:val="auto"/>
          <w:sz w:val="30"/>
          <w:szCs w:val="30"/>
        </w:rPr>
        <w:t>事故防范措施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建设单位需组建安全环保管理机构，配备管理人员，通过技能培训，承担该厂的环保安全工作。安全环保机构组建后，将根据相关的环境管理要求，结合</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具体情况，制定各项安全生产管理制度、严格的生产操作规则和完善的事故应急计划及相应的应急处理手段和设施，同时加强安全教育、培训工作，以</w:t>
      </w:r>
      <w:r>
        <w:rPr>
          <w:rFonts w:hint="eastAsia" w:ascii="Times New Roman" w:hAnsi="Times New Roman" w:eastAsia="宋体" w:cs="Times New Roman"/>
          <w:color w:val="auto"/>
          <w:szCs w:val="28"/>
          <w:u w:val="none" w:color="auto"/>
          <w:lang w:eastAsia="zh-CN"/>
        </w:rPr>
        <w:t>增强</w:t>
      </w:r>
      <w:r>
        <w:rPr>
          <w:rFonts w:hint="default" w:ascii="Times New Roman" w:hAnsi="Times New Roman" w:cs="Times New Roman"/>
          <w:color w:val="auto"/>
          <w:szCs w:val="28"/>
          <w:u w:val="none" w:color="auto"/>
        </w:rPr>
        <w:t>职工的安全意识和安全防范能力。</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1</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选址、总图布置和建筑安全防范措施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1）选址、总图布置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①建设项目位于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，四侧均为规划工业用地。</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②项目厂区总平面布置严格执行《工业企业总平面设计规范》等国家有关法规及技术标准要求进行，所有建、构筑物之间或与</w:t>
      </w:r>
      <w:r>
        <w:rPr>
          <w:rFonts w:hint="eastAsia" w:ascii="Times New Roman" w:hAnsi="Times New Roman" w:eastAsia="宋体" w:cs="Times New Roman"/>
          <w:color w:val="auto"/>
          <w:szCs w:val="28"/>
          <w:u w:val="none" w:color="auto"/>
          <w:lang w:eastAsia="zh-CN"/>
        </w:rPr>
        <w:t>其他</w:t>
      </w:r>
      <w:r>
        <w:rPr>
          <w:rFonts w:hint="default" w:ascii="Times New Roman" w:hAnsi="Times New Roman" w:cs="Times New Roman"/>
          <w:color w:val="auto"/>
          <w:szCs w:val="28"/>
          <w:u w:val="none" w:color="auto"/>
        </w:rPr>
        <w:t>场所之间留有足够的防火间距；严格按工艺处理物料特性，对厂区进行危险区划分。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厂区内划出专用车辆行驶路线、限速标志等并严格执行；厂区内运输和装卸应根据工艺布置、货物性质、运量大小以及消防和急救需要，保证主干道畅通无阻，道路净空高度不得小于5米；在厂区总平面布置中配套建设应急救援设施、救援通道、应急疏散避难所等防护设施。按《安全标志》规定在装置区设置有关的安全标志。</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2）建筑安全防范</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对人身造成危险的运转设备配备安全罩。高处作业平台、高空走廊、楼梯、钢爬梯上要按规范要求设计围栏、踢脚板或防护栏杆，围栏高度不应低于1.05米，脚板应使用防滑板。在楼板操作及检修平台有孔洞的地方设有盖板。</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火灾危险性等级和防火、防爆要求，建筑物的防火等级均应采用国家现行规范要求按一、二级耐火等级设计，满足建筑防火要求。凡禁火区均设置明显标志牌。各种危险物质均储存在阴凉、通风处，远离火源；原辅料仓库不允许任何人员随便入内。安全出口及安全疏散距离应符合《建筑设计防火规范》（GB50016-2014）的要求。</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生产装置的特点，在生产车间按物料性质和人身可能意外接触到有害物质而引起烧伤、刺激或伤害皮肤的区域内，均设置紧急淋浴和洗眼器，并加以明显标记。并在装置区设置救护箱、工作人员配备必要的个人防护用品。</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2</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消防、火灾报警系统及消防废水处置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根据火灾危险性等级和防火、防爆要求，建筑物的防火等级均应采用国家现行规范要求按一、二级耐火等级设计，满足建筑防火要求；凡禁火区均设置明显标志牌，厂区安全出口及安全疏散距离应符合《建筑设计防火规范》（GB50016-2014）的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2）生产区设置干粉灭火器、室内消火栓，仓库及生产车间设计干粉灭火器。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3）消防水是独立的稳高压消防水管网，消防水管道沿生产车间周围布置，在管道上按照规范要求配置消火栓。</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在风险事故救援过程中，将会产生大量的消防废水，应立即调整项目与雨水管网之间设置的切换阀，完善事故废水收集系统，保证各单元发生事故时，消防废水能迅速、安全地进入项目的污水管网，进行必要的处理。</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）火灾报警系统：全厂采用电话报警，报警至消防局。根据需要设置报警装置。火灾报警信号报至中心控制室，再由中心控制室报至消防局。</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3</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危废储存安全防范措施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本项目危废</w:t>
      </w:r>
      <w:r>
        <w:rPr>
          <w:rFonts w:hint="eastAsia" w:ascii="Times New Roman" w:hAnsi="Times New Roman" w:eastAsia="宋体" w:cs="Times New Roman"/>
          <w:color w:val="auto"/>
          <w:szCs w:val="28"/>
          <w:u w:val="none" w:color="auto"/>
          <w:lang w:val="en-US" w:eastAsia="zh-CN"/>
        </w:rPr>
        <w:t>暂</w:t>
      </w:r>
      <w:r>
        <w:rPr>
          <w:rFonts w:hint="default" w:ascii="Times New Roman" w:hAnsi="Times New Roman" w:cs="Times New Roman"/>
          <w:color w:val="auto"/>
          <w:szCs w:val="28"/>
          <w:u w:val="none" w:color="auto"/>
        </w:rPr>
        <w:t>存</w:t>
      </w:r>
      <w:r>
        <w:rPr>
          <w:rFonts w:hint="eastAsia" w:ascii="Times New Roman" w:hAnsi="Times New Roman" w:eastAsia="宋体" w:cs="Times New Roman"/>
          <w:color w:val="auto"/>
          <w:szCs w:val="28"/>
          <w:u w:val="none" w:color="auto"/>
          <w:lang w:val="en-US" w:eastAsia="zh-CN"/>
        </w:rPr>
        <w:t>间</w:t>
      </w:r>
      <w:r>
        <w:rPr>
          <w:rFonts w:hint="default" w:ascii="Times New Roman" w:hAnsi="Times New Roman" w:cs="Times New Roman"/>
          <w:color w:val="auto"/>
          <w:szCs w:val="28"/>
          <w:u w:val="none" w:color="auto"/>
        </w:rPr>
        <w:t>应严格按照《危险废物收集贮存运输技术规范》（HJ2025-2012）和《危险废物贮存污染控制标准》</w:t>
      </w:r>
      <w:r>
        <w:rPr>
          <w:rFonts w:hint="eastAsia" w:ascii="Times New Roman" w:hAnsi="Times New Roman" w:eastAsia="宋体" w:cs="Times New Roman"/>
          <w:color w:val="auto"/>
          <w:szCs w:val="28"/>
          <w:u w:val="none" w:color="auto"/>
          <w:lang w:eastAsia="zh-CN"/>
        </w:rPr>
        <w:t>（GB18597-2023）</w:t>
      </w:r>
      <w:r>
        <w:rPr>
          <w:rFonts w:hint="default" w:ascii="Times New Roman" w:hAnsi="Times New Roman" w:cs="Times New Roman"/>
          <w:color w:val="auto"/>
          <w:szCs w:val="28"/>
          <w:u w:val="none" w:color="auto"/>
        </w:rPr>
        <w:t>及其修改单的要求进行设置。同时应按照《常用化学危险品储存通则》的国家安全标准的要求，应设置防止液体散失的设施，按照规定设置安全警示标志，要配备相应的沙土等消防器材。同时VOCs原料及危废贮存还应满足GB15603、《危险化学品安全管理条例》、《废弃危险化学品污染环境防治办法》的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装卸物料时，严格按照规章操作，尽量避免事故的发生，装卸区地面采取防滑防渗硬化处理，并在装卸区设地沟。</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危险废物储存区设围堰、集水沟和收集槽，对事故情况下泄漏的物料进行收集，防止泄漏物料扩散。围堰区均进行防渗防腐处理。发生事故时，围堰内容积作为消防事故污水的暂存应急缓冲池。</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4</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含VOCs原料贮存安全防范措施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含VOCs原料泄漏事故的防治是生产和储运过程中最重要的环节，发生泄漏事故可引起大气、地表水体等污染，更有可能引发火灾和爆炸等重大事故。项目使用的原料均为桶装不设槽罐储存，原料到厂时，必须进行检验。含VOCs原料桶的结构材料应与储存的物料和储存条件</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温度、压力等</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相适应，要定期对化学品桶外部检查，及时发现破损和漏处提前更换。</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各种原料分库、分类贮存，禁忌物品分开存放。库房远离火种、热源，保证阴凉、通风，采用防爆型照明、通风设施。禁止使用易产生火花的机械设备和工具。保证仓库内容器密封。库房内应备有泄漏应急处理设备和合适的收容材料。</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在各含VOCs原料贮存地点与使用化学品的设备处，设立安全标志或涂刷相应的安全色。根据《工业场所职业病危害警示标识》（GBZ158-2003）的规定，在使用有毒有害物品作业场所设置黄色区域警示线、警示标识和中文警示说明，警示说明应当载明产生风险事故及职业病危害因素的种类、后果、预防以及应急救治措施等内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③坚持岗位培训和持证上岗制度，严格执行安全规章制度和操作规程，对所有重要设备（危险源）需作出清晰的警戒</w:t>
      </w:r>
      <w:r>
        <w:rPr>
          <w:rFonts w:hint="eastAsia" w:ascii="Times New Roman" w:hAnsi="Times New Roman" w:eastAsia="宋体" w:cs="Times New Roman"/>
          <w:color w:val="auto"/>
          <w:szCs w:val="28"/>
          <w:u w:val="none" w:color="auto"/>
          <w:lang w:eastAsia="zh-CN"/>
        </w:rPr>
        <w:t>标识</w:t>
      </w:r>
      <w:r>
        <w:rPr>
          <w:rFonts w:hint="default" w:ascii="Times New Roman" w:hAnsi="Times New Roman" w:cs="Times New Roman"/>
          <w:color w:val="auto"/>
          <w:szCs w:val="28"/>
          <w:u w:val="none" w:color="auto"/>
        </w:rPr>
        <w:t>，并加强操作工人个人防护，上岗穿戴工作服和防护用具（眼镜、手套、工作帽、面罩等）。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④仓库应设置可燃气体自动报警装置，仓库内应配备有机溶剂浓度报警装置，当空气中可燃气体浓度达到报警限值时进行示警。</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⑤做好仓库日常检查工作，发现容器发生破损、损坏现象，应及时采取有效措施，采用拦截物质，预防原料</w:t>
      </w:r>
      <w:r>
        <w:rPr>
          <w:rFonts w:hint="eastAsia" w:ascii="Times New Roman" w:hAnsi="Times New Roman" w:eastAsia="宋体" w:cs="Times New Roman"/>
          <w:color w:val="auto"/>
          <w:szCs w:val="28"/>
          <w:u w:val="none" w:color="auto"/>
          <w:lang w:eastAsia="zh-CN"/>
        </w:rPr>
        <w:t>泄漏</w:t>
      </w:r>
      <w:r>
        <w:rPr>
          <w:rFonts w:hint="default" w:ascii="Times New Roman" w:hAnsi="Times New Roman" w:cs="Times New Roman"/>
          <w:color w:val="auto"/>
          <w:szCs w:val="28"/>
          <w:u w:val="none" w:color="auto"/>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⑥含VOCs原料储存地点设围堰、集水沟和收集槽，对事故情况下泄漏的物料进行收集，防止泄漏物料扩散。一旦发生泄漏或火灾事故，则化学品或消防水可经过围堰导流入事故应急池。围堰内的有效容积，不小于围堰内储罐的容积。围堰的高度不应小于0.15m。围堰区域的范围按设备最大外形再向外延伸0.8m。围堰内不允许有地漏，但是应有排水设施，围堰内的地面应坡向排水设施，坡度不应小于3‰。</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⑦VOCs物料贮存区仓库设计，基础防渗，防渗层为至少2mm厚高密度聚乙烯（渗透系数≤10</w:t>
      </w:r>
      <w:r>
        <w:rPr>
          <w:rFonts w:hint="default" w:ascii="Times New Roman" w:hAnsi="Times New Roman" w:cs="Times New Roman"/>
          <w:color w:val="auto"/>
          <w:szCs w:val="28"/>
          <w:u w:val="none" w:color="auto"/>
          <w:vertAlign w:val="superscript"/>
        </w:rPr>
        <w:t>-10</w:t>
      </w:r>
      <w:r>
        <w:rPr>
          <w:rFonts w:hint="default" w:ascii="Times New Roman" w:hAnsi="Times New Roman" w:cs="Times New Roman"/>
          <w:color w:val="auto"/>
          <w:szCs w:val="28"/>
          <w:u w:val="none" w:color="auto"/>
        </w:rPr>
        <w:t>cm/s）；地面与</w:t>
      </w:r>
      <w:r>
        <w:rPr>
          <w:rFonts w:hint="eastAsia" w:ascii="Times New Roman" w:hAnsi="Times New Roman" w:eastAsia="宋体" w:cs="Times New Roman"/>
          <w:color w:val="auto"/>
          <w:szCs w:val="28"/>
          <w:u w:val="none" w:color="auto"/>
          <w:lang w:eastAsia="zh-CN"/>
        </w:rPr>
        <w:t>墙脚</w:t>
      </w:r>
      <w:r>
        <w:rPr>
          <w:rFonts w:hint="default" w:ascii="Times New Roman" w:hAnsi="Times New Roman" w:cs="Times New Roman"/>
          <w:color w:val="auto"/>
          <w:szCs w:val="28"/>
          <w:u w:val="none" w:color="auto"/>
        </w:rPr>
        <w:t>使用坚固、防渗材料建造，建筑材料必须与危险废物相容，仓库地面必须为耐腐蚀硬化地面，且表面无裂隙，并设有泄漏液体收集装置，防止液体废物意外泄漏造成无组织溢流渗入地下；仓库设计堵截泄漏的群脚，地面与群脚所围建的容积不低于堵截最大容器的最大储量或总储量的1/5。</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5</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含VOCs原料及危废运输安全防范措施</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VOCs原料及危废运输应委托具备危险化学品运输资质的单位采用专用运输车辆负责承运，驾驶员、押运员等从业人员应进行危险化学品执业资格培训，并经考核合格后取得上岗资格。</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危险废物运输车辆必须在车辆前部和后部、车厢两侧设置占用警示标识。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VOCs原料及危废运输过程采用联单制度，处理联单详细记录原料来源的企业名称、运输人、车牌号、运输时间、环保巡查组押车人等情况，以备查验；其次，联单上还应包括危废产生企业经办人及公章、接收单位（本项目）经办人及公章、当地环保部门经办人、审核人及公章等信息，确保VOCs原料及危废的运输和接收均责任到位。应当制定风险事故应急救援预案，配备应急救援人员和必要的应急救援器材、设备，并定期组织演练，并应报当地安监局备案。</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VOCs原料及危废运输除需办理齐全的手续，对每次进出的车辆做到清晰的台账记录外，还要对运输的全过程进行记录，做到对汽车的运输过程实时监控，当遇到突发性事故时，立即组织抢险队伍，赶赴事故现场，对外泄VOCs原料及危废收集及处理。</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严格控制运输车辆的车速，</w:t>
      </w:r>
      <w:r>
        <w:rPr>
          <w:rFonts w:hint="eastAsia" w:ascii="Times New Roman" w:hAnsi="Times New Roman" w:eastAsia="宋体" w:cs="Times New Roman"/>
          <w:color w:val="auto"/>
          <w:szCs w:val="28"/>
          <w:u w:val="none" w:color="auto"/>
          <w:lang w:eastAsia="zh-CN"/>
        </w:rPr>
        <w:t>防止</w:t>
      </w:r>
      <w:r>
        <w:rPr>
          <w:rFonts w:hint="default" w:ascii="Times New Roman" w:hAnsi="Times New Roman" w:cs="Times New Roman"/>
          <w:color w:val="auto"/>
          <w:szCs w:val="28"/>
          <w:u w:val="none" w:color="auto"/>
        </w:rPr>
        <w:t>发生交通事故，导致VOCs原料及危废泄漏，从而污染土壤、地表水和地下水，同时做好防跑、冒、滴、漏等措施；运输车辆在厂区内行驶车速不得超过15km/h，出入大门不得超过5km/h。</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6）</w:t>
      </w:r>
      <w:r>
        <w:rPr>
          <w:rFonts w:hint="default" w:ascii="Times New Roman" w:hAnsi="Times New Roman" w:cs="Times New Roman"/>
          <w:color w:val="auto"/>
          <w:szCs w:val="28"/>
          <w:u w:val="none" w:color="auto"/>
        </w:rPr>
        <w:t>在运输前应事先</w:t>
      </w:r>
      <w:r>
        <w:rPr>
          <w:rFonts w:hint="eastAsia" w:ascii="Times New Roman" w:hAnsi="Times New Roman" w:eastAsia="宋体" w:cs="Times New Roman"/>
          <w:color w:val="auto"/>
          <w:szCs w:val="28"/>
          <w:u w:val="none" w:color="auto"/>
          <w:lang w:eastAsia="zh-CN"/>
        </w:rPr>
        <w:t>做出</w:t>
      </w:r>
      <w:r>
        <w:rPr>
          <w:rFonts w:hint="default" w:ascii="Times New Roman" w:hAnsi="Times New Roman" w:cs="Times New Roman"/>
          <w:color w:val="auto"/>
          <w:szCs w:val="28"/>
          <w:u w:val="none" w:color="auto"/>
        </w:rPr>
        <w:t>周密的运输计划，安排好运输车辆经过各路段的时间，尽量避免运输车辆在交通高峰期通过市区。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在该项目投入运行前，应事先对各运输路线的路况进行调查，使司机对路面情况不好的道路、桥梁做到心中有数。</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8）</w:t>
      </w:r>
      <w:r>
        <w:rPr>
          <w:rFonts w:hint="default" w:ascii="Times New Roman" w:hAnsi="Times New Roman" w:cs="Times New Roman"/>
          <w:color w:val="auto"/>
          <w:szCs w:val="28"/>
          <w:u w:val="none" w:color="auto"/>
        </w:rPr>
        <w:t>应制定事故应急和防止运输过程中泄漏、扬散的保障措施和配备必要的设备，在危险废液发生泄漏时可以及时将废液收集，减少散失。</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9）</w:t>
      </w:r>
      <w:r>
        <w:rPr>
          <w:rFonts w:hint="default" w:ascii="Times New Roman" w:hAnsi="Times New Roman" w:cs="Times New Roman"/>
          <w:color w:val="auto"/>
          <w:szCs w:val="28"/>
          <w:u w:val="none" w:color="auto"/>
        </w:rPr>
        <w:t>运输车辆在每次运输前都必须对车辆的车况进行检查，确保车况良好后方可出车，运输车辆负责人应对每辆运输车必须配备的辅助物品进行检查，确保完备；定期对运输车辆进行全面检查，减少和防止危险物质发生泄漏和交通事故的发生。</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10）</w:t>
      </w:r>
      <w:r>
        <w:rPr>
          <w:rFonts w:hint="default" w:ascii="Times New Roman" w:hAnsi="Times New Roman" w:cs="Times New Roman"/>
          <w:color w:val="auto"/>
          <w:szCs w:val="28"/>
          <w:u w:val="none" w:color="auto"/>
        </w:rPr>
        <w:t>合理安排运输频次，在气象条件不好的天气、如暴雨、台风等，不能运输危险物质，小雨天气可运输，但应小心驾驶并加强安全措施。运输容器等容器必须封口严密，能够承受正常运输条件下产生的内部压力和外部压力，保证化学品在运输中不因温度、湿度或者压力的变化而发生任何渗（洒）漏。</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6</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生产车间风险防范措施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车间内管道系统必须按有关标准进行良好设计、制作及安装，由当地有关质检部门进行验收并通过后方能投入使用；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各生产装置、出料应设紧急切断阀，操作台设紧急切断按钮。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坚持岗位培训和持证上岗制度，严格执行安全规章制度和操作规程，对所有重要设备（危险源）需</w:t>
      </w:r>
      <w:r>
        <w:rPr>
          <w:rFonts w:hint="eastAsia" w:ascii="Times New Roman" w:hAnsi="Times New Roman" w:eastAsia="宋体" w:cs="Times New Roman"/>
          <w:color w:val="auto"/>
          <w:szCs w:val="28"/>
          <w:u w:val="none" w:color="auto"/>
          <w:lang w:eastAsia="zh-CN"/>
        </w:rPr>
        <w:t>做出</w:t>
      </w:r>
      <w:r>
        <w:rPr>
          <w:rFonts w:hint="default" w:ascii="Times New Roman" w:hAnsi="Times New Roman" w:cs="Times New Roman"/>
          <w:color w:val="auto"/>
          <w:szCs w:val="28"/>
          <w:u w:val="none" w:color="auto"/>
        </w:rPr>
        <w:t>清晰的警戒</w:t>
      </w:r>
      <w:r>
        <w:rPr>
          <w:rFonts w:hint="eastAsia" w:ascii="Times New Roman" w:hAnsi="Times New Roman" w:eastAsia="宋体" w:cs="Times New Roman"/>
          <w:color w:val="auto"/>
          <w:szCs w:val="28"/>
          <w:u w:val="none" w:color="auto"/>
          <w:lang w:eastAsia="zh-CN"/>
        </w:rPr>
        <w:t>标识</w:t>
      </w:r>
      <w:r>
        <w:rPr>
          <w:rFonts w:hint="default" w:ascii="Times New Roman" w:hAnsi="Times New Roman" w:cs="Times New Roman"/>
          <w:color w:val="auto"/>
          <w:szCs w:val="28"/>
          <w:u w:val="none" w:color="auto"/>
        </w:rPr>
        <w:t>。进入车间人员应穿戴好个人安全防护用品，如安全帽等。同时工作服要达到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三紧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，女职工的长发要束在安全帽内，以防意外事故的发生。</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生产车间设置收集沟，一旦发生泄漏，将收集在收集沟内，同时储备有泄漏应急处理设备和合适的收容材料。</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车间应设置可燃气体自动报警装置，生产车间应配备有机溶剂浓度报警装置，当空气中可燃气体浓度达到报警限值时进行示警。</w:t>
      </w:r>
    </w:p>
    <w:p>
      <w:pPr>
        <w:spacing w:before="37" w:line="360" w:lineRule="auto"/>
        <w:ind w:left="491"/>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eastAsia="zh-CN"/>
        </w:rPr>
        <w:t>（</w:t>
      </w:r>
      <w:r>
        <w:rPr>
          <w:rFonts w:hint="eastAsia" w:ascii="Times New Roman" w:hAnsi="Times New Roman" w:eastAsia="宋体" w:cs="Times New Roman"/>
          <w:b/>
          <w:bCs/>
          <w:color w:val="auto"/>
          <w:spacing w:val="-5"/>
          <w:sz w:val="24"/>
          <w:szCs w:val="24"/>
          <w:lang w:val="en-US" w:eastAsia="zh-CN"/>
        </w:rPr>
        <w:t>7</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废气事故风险预防措施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发生事故的原因主要有</w:t>
      </w:r>
      <w:r>
        <w:rPr>
          <w:rFonts w:hint="eastAsia" w:ascii="Times New Roman" w:hAnsi="Times New Roman" w:eastAsia="宋体" w:cs="Times New Roman"/>
          <w:color w:val="auto"/>
          <w:szCs w:val="28"/>
          <w:u w:val="none" w:color="auto"/>
          <w:lang w:eastAsia="zh-CN"/>
        </w:rPr>
        <w:t>以下几点</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废气处理系统出现故障，未经处理或处理不到位的废气排入大气环境中；</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生产过程中由于设备老化、腐蚀、失误操作等原因造成车间废气浓度超标；</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厂内突然停电，废气处理系统停止工作，致使废气不能得到及时处理而造成事故排放；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管理人员的疏忽和失职。</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5）</w:t>
      </w:r>
      <w:r>
        <w:rPr>
          <w:rFonts w:hint="default" w:ascii="Times New Roman" w:hAnsi="Times New Roman" w:cs="Times New Roman"/>
          <w:color w:val="auto"/>
          <w:szCs w:val="28"/>
          <w:u w:val="none" w:color="auto"/>
        </w:rPr>
        <w:t>若RTO装置的自动控制系统发生故障，造成RTO装置不能有效控制、集气不能正常进行，进气阀不能正常关闭、旁通阀不能及时打开等，会造成车间内或RTO装置内浓度过高，严重时会造成火灾爆炸现象。</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6）</w:t>
      </w:r>
      <w:r>
        <w:rPr>
          <w:rFonts w:hint="default" w:ascii="Times New Roman" w:hAnsi="Times New Roman" w:cs="Times New Roman"/>
          <w:color w:val="auto"/>
          <w:szCs w:val="28"/>
          <w:u w:val="none" w:color="auto"/>
        </w:rPr>
        <w:t>若RTO装置用材料的质量及规格，以及安全附件如安全阀、紧急切断装置、测温仪表等不符合相应的国家标</w:t>
      </w:r>
      <w:r>
        <w:rPr>
          <w:rFonts w:hint="eastAsia" w:ascii="Times New Roman" w:hAnsi="Times New Roman" w:eastAsia="宋体" w:cs="Times New Roman"/>
          <w:color w:val="auto"/>
          <w:szCs w:val="28"/>
          <w:u w:val="none" w:color="auto"/>
          <w:lang w:eastAsia="zh-CN"/>
        </w:rPr>
        <w:t>准和</w:t>
      </w:r>
      <w:r>
        <w:rPr>
          <w:rFonts w:hint="default" w:ascii="Times New Roman" w:hAnsi="Times New Roman" w:cs="Times New Roman"/>
          <w:color w:val="auto"/>
          <w:szCs w:val="28"/>
          <w:u w:val="none" w:color="auto"/>
        </w:rPr>
        <w:t>行业标准的规定，则会由于材质选择不当而造成爆炸、火灾、中毒等事故。</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电器电线安装没有达到规范要求，或由于环境潮湿，可能短路、漏电等现象，也是形成火灾的原因。</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为杜绝因RTO事故出现爆炸、火灾以及事故性废气排放，建议采用以下措施来确保废气达标排放：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①RTO装置材料以及安全附件如安全阀、紧急切断装置、测温仪表等均需符合相应的国家标</w:t>
      </w:r>
      <w:r>
        <w:rPr>
          <w:rFonts w:hint="eastAsia" w:ascii="Times New Roman" w:hAnsi="Times New Roman" w:eastAsia="宋体" w:cs="Times New Roman"/>
          <w:color w:val="auto"/>
          <w:szCs w:val="28"/>
          <w:u w:val="none" w:color="auto"/>
          <w:lang w:eastAsia="zh-CN"/>
        </w:rPr>
        <w:t>准和</w:t>
      </w:r>
      <w:r>
        <w:rPr>
          <w:rFonts w:hint="default" w:ascii="Times New Roman" w:hAnsi="Times New Roman" w:cs="Times New Roman"/>
          <w:color w:val="auto"/>
          <w:szCs w:val="28"/>
          <w:u w:val="none" w:color="auto"/>
        </w:rPr>
        <w:t>行业标准的规定；电器电线安装需达到规范要求。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②平时加强废气处理设施的维护保养，及时发现处理设备的隐患，并及时进行维修，确保废气处理系统正常运行；</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③建立健全的环保机构，配置必要的监测仪器、可燃气体自动报警装置；对管理人员和技术人员进行岗位培训，对废气处理实行全过程跟踪控制。</w:t>
      </w:r>
    </w:p>
    <w:p>
      <w:pPr>
        <w:pStyle w:val="11"/>
        <w:bidi w:val="0"/>
        <w:spacing w:line="360" w:lineRule="auto"/>
        <w:ind w:left="851" w:hanging="851"/>
        <w:rPr>
          <w:color w:val="auto"/>
          <w:sz w:val="30"/>
          <w:szCs w:val="30"/>
        </w:rPr>
      </w:pPr>
      <w:r>
        <w:rPr>
          <w:color w:val="auto"/>
          <w:sz w:val="30"/>
          <w:szCs w:val="30"/>
        </w:rPr>
        <w:t>风险应急要求</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次评价根据《建设项目环境风险评价技术导则》（HJ169-2018）的要求，依据园区事故应急预案，提出突发环境事故应急预案纲要，供企业及管理部门参考。企业应在安全管理中具体化和完善突发环境事故应急救援预案，并在地方环保管理部门备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（1）预案编制程序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突发环境事故应急预案编制程序，见图</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.6</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color w:val="auto"/>
        </w:rPr>
      </w:pPr>
      <w:r>
        <w:rPr>
          <w:color w:val="auto"/>
          <w:position w:val="-91"/>
        </w:rPr>
        <w:drawing>
          <wp:inline distT="0" distB="0" distL="0" distR="0">
            <wp:extent cx="4886960" cy="2969260"/>
            <wp:effectExtent l="0" t="0" r="8890" b="254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40"/>
                    <a:stretch>
                      <a:fillRect/>
                    </a:stretch>
                  </pic:blipFill>
                  <pic:spPr>
                    <a:xfrm>
                      <a:off x="0" y="0"/>
                      <a:ext cx="4887468" cy="2969260"/>
                    </a:xfrm>
                    <a:prstGeom prst="rect">
                      <a:avLst/>
                    </a:prstGeom>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before="0" w:beforeLines="50"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突发环境事故应急预案编制工作程序图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（2）应急救援预案纲要</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考虑事故触发具有不确定性，厂内环境风险防控系统应纳入园区/区域环境风险防控体系，明确风险防控设施、管理的衔接要求。企业应与工业园区、地方政府有关部门协调一致、统筹考虑，建立协调统一的环境风险应急体系，企业的事故应与工业园区、地方政府的事故应急网络联网。当发生事故，根据应急预案分级响应条件、区域联动原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启动相应的预案分级响应措施，实现厂内与园区/区域环境风险防控设施及管理有效联动，有效防控环境风险。</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（3）应急预案的主要内容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风险应急预案的编制，重点应考虑以下几个方面：按照国家、地方和相关部门要求，提出企业突发环境事件应急预案编制或完善的原则要求，包括预案适用范围、环境事件分类与分级、组织机构与职责、监控和预警、应急响应、应急保障、善后处置、预案管理与演练等内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同时提供必要的附件：包括内部应急人员的职责、姓名、电话清单，外部联系电话、人员、电话</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政府有关部门、救援单位、专家、环境保护目标等</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，单位所处地理位置、区域位置及周边关系图，本单位及周边区域人员撤离路线，应急设施</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备</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布置图等。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发生以下情形时，应急预案启动：含VOCs泄漏、危险废物</w:t>
      </w:r>
      <w:r>
        <w:rPr>
          <w:rFonts w:hint="eastAsia" w:ascii="Times New Roman" w:hAnsi="Times New Roman" w:eastAsia="宋体" w:cs="Times New Roman"/>
          <w:color w:val="auto"/>
          <w:szCs w:val="28"/>
          <w:u w:val="none" w:color="auto"/>
          <w:lang w:eastAsia="zh-CN"/>
        </w:rPr>
        <w:t>泄漏</w:t>
      </w:r>
      <w:r>
        <w:rPr>
          <w:rFonts w:hint="default" w:ascii="Times New Roman" w:hAnsi="Times New Roman" w:cs="Times New Roman"/>
          <w:color w:val="auto"/>
          <w:szCs w:val="28"/>
          <w:u w:val="none" w:color="auto"/>
        </w:rPr>
        <w:t>、火灾、爆炸事故。具体突发环境事故应急预案编写内容及要求，见表</w:t>
      </w:r>
      <w:r>
        <w:rPr>
          <w:rFonts w:hint="eastAsia" w:ascii="Times New Roman" w:hAnsi="Times New Roman" w:eastAsia="宋体" w:cs="Times New Roman"/>
          <w:color w:val="auto"/>
          <w:szCs w:val="28"/>
          <w:u w:val="none" w:color="auto"/>
          <w:lang w:val="en-US" w:eastAsia="zh-CN"/>
        </w:rPr>
        <w:t>7-8</w:t>
      </w:r>
      <w:r>
        <w:rPr>
          <w:rFonts w:hint="default" w:ascii="Times New Roman" w:hAnsi="Times New Roman" w:cs="Times New Roman"/>
          <w:color w:val="auto"/>
          <w:szCs w:val="28"/>
          <w:u w:val="none" w:color="auto"/>
        </w:rPr>
        <w:t>-1。</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7.8</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应急预案基本内容</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66"/>
        <w:gridCol w:w="2302"/>
        <w:gridCol w:w="535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项目</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1"/>
                <w:sz w:val="21"/>
                <w:szCs w:val="21"/>
              </w:rPr>
              <w:t>内容及要求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应急计划区</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危险目标、装置区、环境保护目标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应急组织机构、人员</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场区、地区应急组织机构、人员。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3</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预案分级影响条件</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规定预案的级别和分级影响程序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应急救援保障</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应急设施，设备与器材等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报警、通讯联络方式</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规定应急状态下的报警通讯方式、通知方式和交通保障、管制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6</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应急环境监测、抢救、救</w:t>
            </w:r>
            <w:r>
              <w:rPr>
                <w:rFonts w:hint="default" w:ascii="Times New Roman" w:hAnsi="Times New Roman" w:cs="Times New Roman"/>
                <w:color w:val="auto"/>
                <w:spacing w:val="8"/>
                <w:sz w:val="21"/>
                <w:szCs w:val="21"/>
              </w:rPr>
              <w:t>援及控制措施</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由专业队伍负责对事故现场进行侦察监测，对事</w:t>
            </w:r>
            <w:r>
              <w:rPr>
                <w:rFonts w:hint="default" w:ascii="Times New Roman" w:hAnsi="Times New Roman" w:cs="Times New Roman"/>
                <w:color w:val="auto"/>
                <w:spacing w:val="5"/>
                <w:sz w:val="21"/>
                <w:szCs w:val="21"/>
              </w:rPr>
              <w:t>故性质、参数后</w:t>
            </w:r>
            <w:r>
              <w:rPr>
                <w:rFonts w:hint="default" w:ascii="Times New Roman" w:hAnsi="Times New Roman" w:cs="Times New Roman"/>
                <w:color w:val="auto"/>
                <w:spacing w:val="8"/>
                <w:sz w:val="21"/>
                <w:szCs w:val="21"/>
              </w:rPr>
              <w:t>果进行评估，为指挥部门提供决策依据。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7</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应急监测、防护措施、清</w:t>
            </w:r>
            <w:r>
              <w:rPr>
                <w:rFonts w:hint="default" w:ascii="Times New Roman" w:hAnsi="Times New Roman" w:cs="Times New Roman"/>
                <w:color w:val="auto"/>
                <w:spacing w:val="7"/>
                <w:sz w:val="21"/>
                <w:szCs w:val="21"/>
              </w:rPr>
              <w:t>除泄漏措施和器材</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事故现场、邻近区域、控制防火区域、控制清除</w:t>
            </w:r>
            <w:r>
              <w:rPr>
                <w:rFonts w:hint="default" w:ascii="Times New Roman" w:hAnsi="Times New Roman" w:cs="Times New Roman"/>
                <w:color w:val="auto"/>
                <w:spacing w:val="6"/>
                <w:sz w:val="21"/>
                <w:szCs w:val="21"/>
              </w:rPr>
              <w:t>污染措施及</w:t>
            </w:r>
            <w:r>
              <w:rPr>
                <w:rFonts w:hint="eastAsia" w:ascii="Times New Roman" w:hAnsi="Times New Roman" w:cs="Times New Roman"/>
                <w:color w:val="auto"/>
                <w:spacing w:val="6"/>
                <w:sz w:val="21"/>
                <w:szCs w:val="21"/>
                <w:lang w:eastAsia="zh-CN"/>
              </w:rPr>
              <w:t>相关</w:t>
            </w:r>
            <w:r>
              <w:rPr>
                <w:rFonts w:hint="default" w:ascii="Times New Roman" w:hAnsi="Times New Roman" w:cs="Times New Roman"/>
                <w:color w:val="auto"/>
                <w:spacing w:val="6"/>
                <w:sz w:val="21"/>
                <w:szCs w:val="21"/>
              </w:rPr>
              <w:t>设</w:t>
            </w:r>
            <w:r>
              <w:rPr>
                <w:rFonts w:hint="default" w:ascii="Times New Roman" w:hAnsi="Times New Roman" w:cs="Times New Roman"/>
                <w:color w:val="auto"/>
                <w:sz w:val="21"/>
                <w:szCs w:val="21"/>
              </w:rPr>
              <w:t>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8</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人员紧急撤离、疏散，应</w:t>
            </w:r>
            <w:r>
              <w:rPr>
                <w:rFonts w:hint="default" w:ascii="Times New Roman" w:hAnsi="Times New Roman" w:cs="Times New Roman"/>
                <w:color w:val="auto"/>
                <w:spacing w:val="8"/>
                <w:sz w:val="21"/>
                <w:szCs w:val="21"/>
              </w:rPr>
              <w:t>急剂量控制、撤离组织计</w:t>
            </w:r>
            <w:r>
              <w:rPr>
                <w:rFonts w:hint="default" w:ascii="Times New Roman" w:hAnsi="Times New Roman" w:cs="Times New Roman"/>
                <w:color w:val="auto"/>
                <w:spacing w:val="1"/>
                <w:sz w:val="21"/>
                <w:szCs w:val="21"/>
              </w:rPr>
              <w:t>划</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事故现场、场区邻近区、受事故影响的区域人员及公众对毒物应急剂量控制规定，撤离组织计划及救护，中毒人员医疗救护与公</w:t>
            </w:r>
            <w:r>
              <w:rPr>
                <w:rFonts w:hint="default" w:ascii="Times New Roman" w:hAnsi="Times New Roman" w:cs="Times New Roman"/>
                <w:color w:val="auto"/>
                <w:spacing w:val="4"/>
                <w:sz w:val="21"/>
                <w:szCs w:val="21"/>
              </w:rPr>
              <w:t>众健康。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9</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事故应急救援关闭程序与</w:t>
            </w:r>
            <w:r>
              <w:rPr>
                <w:rFonts w:hint="default" w:ascii="Times New Roman" w:hAnsi="Times New Roman" w:cs="Times New Roman"/>
                <w:color w:val="auto"/>
                <w:spacing w:val="6"/>
                <w:sz w:val="21"/>
                <w:szCs w:val="21"/>
              </w:rPr>
              <w:t>恢复措施</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规定应急状态终止程序</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事故现场善后处理，恢复措施</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邻近区域解除事故警戒及善后恢复措施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10</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应急培训计划</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应急计划制定后，平时安排人员培训与演练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11</w:t>
            </w:r>
          </w:p>
        </w:tc>
        <w:tc>
          <w:tcPr>
            <w:tcW w:w="138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公众教育和信息</w:t>
            </w:r>
          </w:p>
        </w:tc>
        <w:tc>
          <w:tcPr>
            <w:tcW w:w="321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对场区邻近地区开展公众教育，培训和发布有关信息</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50" w:line="360" w:lineRule="auto"/>
        <w:ind w:left="567" w:hanging="567"/>
        <w:textAlignment w:val="baseline"/>
        <w:rPr>
          <w:rFonts w:hint="default" w:ascii="Times New Roman" w:hAnsi="Times New Roman" w:cs="Times New Roman"/>
          <w:color w:val="auto"/>
          <w:sz w:val="32"/>
          <w:szCs w:val="32"/>
        </w:rPr>
      </w:pPr>
      <w:bookmarkStart w:id="97" w:name="bookmark98"/>
      <w:bookmarkEnd w:id="97"/>
      <w:bookmarkStart w:id="98" w:name="_Toc22673"/>
      <w:r>
        <w:rPr>
          <w:rFonts w:hint="default" w:ascii="Times New Roman" w:hAnsi="Times New Roman" w:cs="Times New Roman"/>
          <w:color w:val="auto"/>
          <w:sz w:val="32"/>
          <w:szCs w:val="32"/>
        </w:rPr>
        <w:t>评价结论与建议</w:t>
      </w:r>
      <w:bookmarkEnd w:id="98"/>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（1）项目涉及的危险物质主要分布在原料库、生产车间（主要为印刷工序、复合工序）、危废暂存间等危险单元中，存在危险因素主要</w:t>
      </w:r>
      <w:r>
        <w:rPr>
          <w:rFonts w:hint="eastAsia" w:ascii="Times New Roman" w:hAnsi="Times New Roman" w:eastAsia="宋体" w:cs="Times New Roman"/>
          <w:color w:val="auto"/>
          <w:szCs w:val="28"/>
          <w:u w:val="none" w:color="auto"/>
          <w:lang w:eastAsia="zh-CN"/>
        </w:rPr>
        <w:t>为设</w:t>
      </w:r>
      <w:r>
        <w:rPr>
          <w:rFonts w:hint="default" w:ascii="Times New Roman" w:hAnsi="Times New Roman" w:cs="Times New Roman"/>
          <w:color w:val="auto"/>
          <w:szCs w:val="28"/>
          <w:u w:val="none" w:color="auto"/>
        </w:rPr>
        <w:t>备及管道设计、制造、安装缺陷、腐蚀、材料老化、违章操作，引起危险物质事故泄漏，遇明火引发火灾、爆炸伴生/次生污染物排放。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（2）项目大气环境、地表水环境、地下水环境风险潜势分别为Ⅲ、Ⅰ、I级，大气环境、地表水环境地下水环境风险评价工作等级分别划分为</w:t>
      </w:r>
      <w:r>
        <w:rPr>
          <w:rFonts w:hint="eastAsia" w:ascii="Times New Roman" w:hAnsi="Times New Roman" w:eastAsia="宋体" w:cs="Times New Roman"/>
          <w:color w:val="auto"/>
          <w:szCs w:val="28"/>
          <w:u w:val="none" w:color="auto"/>
          <w:lang w:val="en-US" w:eastAsia="zh-CN"/>
        </w:rPr>
        <w:t>二</w:t>
      </w:r>
      <w:r>
        <w:rPr>
          <w:rFonts w:hint="default" w:ascii="Times New Roman" w:hAnsi="Times New Roman" w:cs="Times New Roman"/>
          <w:color w:val="auto"/>
          <w:szCs w:val="28"/>
          <w:u w:val="none" w:color="auto"/>
        </w:rPr>
        <w:t>级、简单分析、简单分析</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大气环境风险评价范围为自项目边界外延5km的区域，地表水环境风险评价范围为厂区废水、雨水总排口，地下水无需设置评价范围。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（3）在落实有效的环境风险措施后，项目大气、地表水以及地下水的环境风险可降至可防控水平。</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（4）项目具有潜在的事故风险，要切实从建设、生产、贮存等各方面积极采取防护措施，企业应制定并及时修订突发环境事件应急预案，做好与园区环境风险防控体系的衔接与分级响应措施。</w:t>
      </w:r>
    </w:p>
    <w:p>
      <w:pPr>
        <w:spacing w:line="381" w:lineRule="auto"/>
        <w:rPr>
          <w:rFonts w:ascii="宋体" w:hAnsi="宋体" w:eastAsia="宋体" w:cs="宋体"/>
          <w:color w:val="auto"/>
          <w:sz w:val="24"/>
          <w:szCs w:val="24"/>
        </w:rPr>
        <w:sectPr>
          <w:pgSz w:w="11905" w:h="16839"/>
          <w:pgMar w:top="1440" w:right="1803" w:bottom="1440" w:left="1803" w:header="850" w:footer="1020"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99" w:name="bookmark102"/>
      <w:bookmarkEnd w:id="99"/>
      <w:bookmarkStart w:id="100" w:name="bookmark100"/>
      <w:bookmarkEnd w:id="100"/>
      <w:bookmarkStart w:id="101" w:name="_Toc11334"/>
      <w:r>
        <w:rPr>
          <w:rFonts w:hint="default" w:ascii="Times New Roman" w:hAnsi="Times New Roman" w:cs="Times New Roman" w:eastAsiaTheme="majorEastAsia"/>
          <w:color w:val="auto"/>
          <w:sz w:val="36"/>
          <w:szCs w:val="36"/>
        </w:rPr>
        <w:t>污染防治措施及对策</w:t>
      </w:r>
      <w:bookmarkEnd w:id="101"/>
    </w:p>
    <w:p>
      <w:pPr>
        <w:pStyle w:val="10"/>
        <w:bidi w:val="0"/>
        <w:spacing w:line="360" w:lineRule="auto"/>
        <w:rPr>
          <w:rFonts w:hint="default" w:ascii="Times New Roman" w:hAnsi="Times New Roman" w:cs="Times New Roman"/>
          <w:color w:val="auto"/>
          <w:sz w:val="32"/>
          <w:szCs w:val="32"/>
        </w:rPr>
      </w:pPr>
      <w:bookmarkStart w:id="102" w:name="_Toc32582"/>
      <w:r>
        <w:rPr>
          <w:rFonts w:hint="default" w:ascii="Times New Roman" w:hAnsi="Times New Roman" w:cs="Times New Roman"/>
          <w:color w:val="auto"/>
          <w:sz w:val="32"/>
          <w:szCs w:val="32"/>
        </w:rPr>
        <w:t>大气污染防治措施</w:t>
      </w:r>
      <w:bookmarkEnd w:id="102"/>
    </w:p>
    <w:p>
      <w:pPr>
        <w:pStyle w:val="11"/>
        <w:bidi w:val="0"/>
        <w:spacing w:line="360" w:lineRule="auto"/>
        <w:ind w:left="851" w:hanging="851"/>
        <w:rPr>
          <w:color w:val="auto"/>
          <w:sz w:val="30"/>
          <w:szCs w:val="30"/>
        </w:rPr>
      </w:pPr>
      <w:r>
        <w:rPr>
          <w:color w:val="auto"/>
          <w:sz w:val="30"/>
          <w:szCs w:val="30"/>
        </w:rPr>
        <w:t>废气处理方案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本项目废气主要为印刷、复合过程产生的VOCs。本项目</w:t>
      </w:r>
      <w:r>
        <w:rPr>
          <w:rFonts w:hint="eastAsia" w:ascii="Times New Roman" w:hAnsi="Times New Roman" w:eastAsia="宋体" w:cs="Times New Roman"/>
          <w:color w:val="auto"/>
          <w:szCs w:val="28"/>
          <w:u w:val="none" w:color="auto"/>
          <w:lang w:val="en-US" w:eastAsia="zh-CN"/>
        </w:rPr>
        <w:t>拟</w:t>
      </w:r>
      <w:r>
        <w:rPr>
          <w:rFonts w:hint="default" w:ascii="Times New Roman" w:hAnsi="Times New Roman" w:cs="Times New Roman"/>
          <w:color w:val="auto"/>
          <w:szCs w:val="28"/>
          <w:u w:val="none" w:color="auto"/>
        </w:rPr>
        <w:t>在印刷、复合生产设备产气点设置高效负压集气系统，车间内印刷区、复合区全部封闭，废气通过收集后经LEL减风增浓系统后引入三室RTO处理系统处理，之后由DA001排气筒（15m）排放，该设备的废气处理效率可达98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以上。</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Arial"/>
          <w:color w:val="auto"/>
          <w:sz w:val="21"/>
        </w:rPr>
      </w:pPr>
      <w:r>
        <w:rPr>
          <w:color w:val="auto"/>
          <w:position w:val="-29"/>
        </w:rPr>
        <mc:AlternateContent>
          <mc:Choice Requires="wps">
            <w:drawing>
              <wp:anchor distT="0" distB="0" distL="114300" distR="114300" simplePos="0" relativeHeight="251660288" behindDoc="0" locked="0" layoutInCell="1" allowOverlap="1">
                <wp:simplePos x="0" y="0"/>
                <wp:positionH relativeFrom="column">
                  <wp:posOffset>3432175</wp:posOffset>
                </wp:positionH>
                <wp:positionV relativeFrom="paragraph">
                  <wp:posOffset>746760</wp:posOffset>
                </wp:positionV>
                <wp:extent cx="729615" cy="1248410"/>
                <wp:effectExtent l="0" t="0" r="13335" b="8890"/>
                <wp:wrapNone/>
                <wp:docPr id="1" name="文本框 95"/>
                <wp:cNvGraphicFramePr/>
                <a:graphic xmlns:a="http://schemas.openxmlformats.org/drawingml/2006/main">
                  <a:graphicData uri="http://schemas.microsoft.com/office/word/2010/wordprocessingShape">
                    <wps:wsp>
                      <wps:cNvSpPr txBox="true"/>
                      <wps:spPr>
                        <a:xfrm>
                          <a:off x="0" y="0"/>
                          <a:ext cx="729615" cy="1248410"/>
                        </a:xfrm>
                        <a:prstGeom prst="rect">
                          <a:avLst/>
                        </a:prstGeom>
                        <a:solidFill>
                          <a:srgbClr val="FFFFFF"/>
                        </a:solidFill>
                        <a:ln>
                          <a:noFill/>
                        </a:ln>
                      </wps:spPr>
                      <wps:txbx>
                        <w:txbxContent>
                          <w:p>
                            <w:pPr>
                              <w:keepNext w:val="0"/>
                              <w:keepLines w:val="0"/>
                              <w:pageBreakBefore w:val="0"/>
                              <w:widowControl/>
                              <w:kinsoku w:val="0"/>
                              <w:wordWrap/>
                              <w:overflowPunct/>
                              <w:topLinePunct w:val="0"/>
                              <w:bidi w:val="0"/>
                              <w:adjustRightInd w:val="0"/>
                              <w:snapToGrid w:val="0"/>
                              <w:spacing w:line="240" w:lineRule="auto"/>
                              <w:ind w:left="0"/>
                              <w:jc w:val="center"/>
                              <w:textAlignment w:val="baseline"/>
                              <w:rPr>
                                <w:rFonts w:ascii="宋体" w:hAnsi="宋体" w:eastAsia="宋体" w:cs="宋体"/>
                                <w:sz w:val="16"/>
                                <w:szCs w:val="16"/>
                              </w:rPr>
                            </w:pPr>
                            <w:r>
                              <w:rPr>
                                <w:rFonts w:ascii="Calibri" w:hAnsi="Calibri" w:eastAsia="Calibri" w:cs="Calibri"/>
                                <w:b/>
                                <w:bCs/>
                                <w:spacing w:val="-5"/>
                                <w:sz w:val="16"/>
                                <w:szCs w:val="16"/>
                              </w:rPr>
                              <w:t>RTO</w:t>
                            </w:r>
                            <w:r>
                              <w:rPr>
                                <w:rFonts w:ascii="宋体" w:hAnsi="宋体" w:eastAsia="宋体" w:cs="宋体"/>
                                <w:b/>
                                <w:bCs/>
                                <w:spacing w:val="-5"/>
                                <w:sz w:val="16"/>
                                <w:szCs w:val="16"/>
                              </w:rPr>
                              <w:t>设备</w:t>
                            </w:r>
                          </w:p>
                        </w:txbxContent>
                      </wps:txbx>
                      <wps:bodyPr lIns="0" tIns="0" rIns="0" bIns="0" anchor="ctr" anchorCtr="false" upright="true"/>
                    </wps:wsp>
                  </a:graphicData>
                </a:graphic>
              </wp:anchor>
            </w:drawing>
          </mc:Choice>
          <mc:Fallback>
            <w:pict>
              <v:shape id="文本框 95" o:spid="_x0000_s1026" o:spt="202" type="#_x0000_t202" style="position:absolute;left:0pt;margin-left:270.25pt;margin-top:58.8pt;height:98.3pt;width:57.45pt;z-index:251660288;v-text-anchor:middle;mso-width-relative:page;mso-height-relative:page;" fillcolor="#FFFFFF" filled="t" stroked="f" coordsize="21600,21600" o:gfxdata="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BYAAABkcnMvUEsBAhQAFAAAAAgAh07iQOYLz/nZAAAACwEA&#10;AA8AAAAAAAAAAQAgAAAAOAAAAGRycy9kb3ducmV2LnhtbFBLAQIUABQAAAAIAIdO4kADViAdygEA&#10;AHMDAAAOAAAAAAAAAAEAIAAAAD4BAABkcnMvZTJvRG9jLnhtbFBLBQYAAAAABgAGAFkBAAB6BQAA&#10;AAA=&#10;">
                <v:fill on="t" focussize="0,0"/>
                <v:stroke on="f"/>
                <v:imagedata o:title=""/>
                <o:lock v:ext="edit" aspectratio="f"/>
                <v:textbox inset="0mm,0mm,0mm,0mm">
                  <w:txbxContent>
                    <w:p>
                      <w:pPr>
                        <w:keepNext w:val="0"/>
                        <w:keepLines w:val="0"/>
                        <w:pageBreakBefore w:val="0"/>
                        <w:widowControl/>
                        <w:kinsoku w:val="0"/>
                        <w:wordWrap/>
                        <w:overflowPunct/>
                        <w:topLinePunct w:val="0"/>
                        <w:bidi w:val="0"/>
                        <w:adjustRightInd w:val="0"/>
                        <w:snapToGrid w:val="0"/>
                        <w:spacing w:line="240" w:lineRule="auto"/>
                        <w:ind w:left="0"/>
                        <w:jc w:val="center"/>
                        <w:textAlignment w:val="baseline"/>
                        <w:rPr>
                          <w:rFonts w:ascii="宋体" w:hAnsi="宋体" w:eastAsia="宋体" w:cs="宋体"/>
                          <w:sz w:val="16"/>
                          <w:szCs w:val="16"/>
                        </w:rPr>
                      </w:pPr>
                      <w:r>
                        <w:rPr>
                          <w:rFonts w:ascii="Calibri" w:hAnsi="Calibri" w:eastAsia="Calibri" w:cs="Calibri"/>
                          <w:b/>
                          <w:bCs/>
                          <w:spacing w:val="-5"/>
                          <w:sz w:val="16"/>
                          <w:szCs w:val="16"/>
                        </w:rPr>
                        <w:t>RTO</w:t>
                      </w:r>
                      <w:r>
                        <w:rPr>
                          <w:rFonts w:ascii="宋体" w:hAnsi="宋体" w:eastAsia="宋体" w:cs="宋体"/>
                          <w:b/>
                          <w:bCs/>
                          <w:spacing w:val="-5"/>
                          <w:sz w:val="16"/>
                          <w:szCs w:val="16"/>
                        </w:rPr>
                        <w:t>设备</w:t>
                      </w:r>
                    </w:p>
                  </w:txbxContent>
                </v:textbox>
              </v:shape>
            </w:pict>
          </mc:Fallback>
        </mc:AlternateContent>
      </w:r>
      <w:r>
        <w:rPr>
          <w:color w:val="auto"/>
        </w:rPr>
        <w:drawing>
          <wp:inline distT="0" distB="0" distL="0" distR="0">
            <wp:extent cx="5022850" cy="2653030"/>
            <wp:effectExtent l="0" t="0" r="6350" b="1397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41"/>
                    <a:stretch>
                      <a:fillRect/>
                    </a:stretch>
                  </pic:blipFill>
                  <pic:spPr>
                    <a:xfrm>
                      <a:off x="0" y="0"/>
                      <a:ext cx="5022850" cy="2653030"/>
                    </a:xfrm>
                    <a:prstGeom prst="rect">
                      <a:avLst/>
                    </a:prstGeom>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有机废气处理整体工艺流程示意图</w:t>
      </w:r>
    </w:p>
    <w:p>
      <w:pPr>
        <w:pStyle w:val="11"/>
        <w:bidi w:val="0"/>
        <w:spacing w:line="360" w:lineRule="auto"/>
        <w:ind w:left="851" w:hanging="851"/>
        <w:rPr>
          <w:color w:val="auto"/>
          <w:sz w:val="30"/>
          <w:szCs w:val="30"/>
        </w:rPr>
      </w:pPr>
      <w:r>
        <w:rPr>
          <w:color w:val="auto"/>
          <w:sz w:val="30"/>
          <w:szCs w:val="30"/>
        </w:rPr>
        <w:t>废气污染防治措施可行性分析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软包装印刷车间的环保治理要求是</w:t>
      </w:r>
      <w:r>
        <w:rPr>
          <w:rFonts w:hint="eastAsia" w:ascii="Times New Roman" w:hAnsi="Times New Roman" w:eastAsia="宋体" w:cs="Times New Roman"/>
          <w:color w:val="auto"/>
          <w:szCs w:val="28"/>
          <w:u w:val="none" w:color="auto"/>
          <w:lang w:eastAsia="zh-CN"/>
        </w:rPr>
        <w:t>既</w:t>
      </w:r>
      <w:r>
        <w:rPr>
          <w:rFonts w:hint="default" w:ascii="Times New Roman" w:hAnsi="Times New Roman" w:cs="Times New Roman"/>
          <w:color w:val="auto"/>
          <w:szCs w:val="28"/>
          <w:u w:val="none" w:color="auto"/>
        </w:rPr>
        <w:t>要满足管道排风和车间内部环境以及VOCS排放≤</w:t>
      </w:r>
      <w:r>
        <w:rPr>
          <w:rFonts w:hint="eastAsia" w:ascii="Times New Roman" w:hAnsi="Times New Roman" w:eastAsia="宋体" w:cs="Times New Roman"/>
          <w:color w:val="auto"/>
          <w:szCs w:val="28"/>
          <w:u w:val="none" w:color="auto"/>
          <w:lang w:val="en-US" w:eastAsia="zh-CN"/>
        </w:rPr>
        <w:t>7</w:t>
      </w:r>
      <w:r>
        <w:rPr>
          <w:rFonts w:hint="default" w:ascii="Times New Roman" w:hAnsi="Times New Roman" w:cs="Times New Roman"/>
          <w:color w:val="auto"/>
          <w:szCs w:val="28"/>
          <w:u w:val="none" w:color="auto"/>
        </w:rPr>
        <w:t>0mg/m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的标准，又要满足GMP认证净化要求，还要满足工业制造企业节能</w:t>
      </w:r>
      <w:r>
        <w:rPr>
          <w:rFonts w:hint="eastAsia" w:ascii="Times New Roman" w:hAnsi="Times New Roman" w:eastAsia="宋体" w:cs="Times New Roman"/>
          <w:color w:val="auto"/>
          <w:szCs w:val="28"/>
          <w:u w:val="none" w:color="auto"/>
          <w:lang w:eastAsia="zh-CN"/>
        </w:rPr>
        <w:t>降</w:t>
      </w:r>
      <w:r>
        <w:rPr>
          <w:rFonts w:hint="default" w:ascii="Times New Roman" w:hAnsi="Times New Roman" w:cs="Times New Roman"/>
          <w:color w:val="auto"/>
          <w:szCs w:val="28"/>
          <w:u w:val="none" w:color="auto"/>
        </w:rPr>
        <w:t>耗、经济可行的要求。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根据项目现场勘查，针对废气特点</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拟采用LEL减风增浓+三室RTO蓄热燃烧装置处理。该设备由北人伯乐氛（西安）环境技术有限公司提供技术方案及技术支持。</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ab/>
      </w:r>
      <w:r>
        <w:rPr>
          <w:rFonts w:hint="default" w:ascii="Times New Roman" w:hAnsi="Times New Roman" w:cs="Times New Roman"/>
          <w:color w:val="auto"/>
          <w:szCs w:val="28"/>
          <w:u w:val="none" w:color="auto"/>
        </w:rPr>
        <w:t>（1）废气处理工作原理</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本项目对主要产气工序印刷以及复合工序进行全密闭处理，全密闭车间长度30米，宽度30米，有效使用面积900m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。印刷机净高度为3.3米，加烘箱后印刷机高度为3.7米，此印刷车间吊顶高为3.8米。进排风管道设置在吊顶上方。</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此车间按照GMP要求建设，为10万级净化车间。GMP标准中第四十八条，规定洁净区与非洁净区、不同级别洁净区之间的压差应当不低于10pa，不同功能区之间也应当保持适当的梯度。印刷车间的物流通道设计为空调恒温正压区，印刷车间的人流通道设计为降温正压区，印刷机和印刷机的后部设计为高温负压区。正压区为进风区域，负压区为排风区域。这样车间整体静态气流是由印刷机四周向印刷机所在区域流动的。排风抽风、设备的运行、人员的移动等会形成对气流流向的扰动。本项目拟将印刷机四周做保温隔断，对印刷机进行封闭，以减少气流流向扰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隔断外的通道区域形成+10Pa的正压区，隔断里面区域形成-10Pa的负压区，隔断外部空调气流会透过隔断缝隙向隔断里面流动。由于印刷机</w:t>
      </w:r>
      <w:r>
        <w:rPr>
          <w:rFonts w:hint="eastAsia" w:ascii="Times New Roman" w:hAnsi="Times New Roman" w:eastAsia="宋体" w:cs="Times New Roman"/>
          <w:color w:val="auto"/>
          <w:szCs w:val="28"/>
          <w:u w:val="none" w:color="auto"/>
          <w:lang w:eastAsia="zh-CN"/>
        </w:rPr>
        <w:t>源源不断地从</w:t>
      </w:r>
      <w:r>
        <w:rPr>
          <w:rFonts w:hint="default" w:ascii="Times New Roman" w:hAnsi="Times New Roman" w:cs="Times New Roman"/>
          <w:color w:val="auto"/>
          <w:szCs w:val="28"/>
          <w:u w:val="none" w:color="auto"/>
        </w:rPr>
        <w:t>印刷机下部和烘箱缝隙处大量抽走无组织气流，造成印刷机后部为负压区域，空调的不断进风使印刷机四周形成正压区域，这样</w:t>
      </w:r>
      <w:r>
        <w:rPr>
          <w:rFonts w:hint="eastAsia" w:ascii="Times New Roman" w:hAnsi="Times New Roman" w:eastAsia="宋体" w:cs="Times New Roman"/>
          <w:color w:val="auto"/>
          <w:szCs w:val="28"/>
          <w:u w:val="none" w:color="auto"/>
          <w:lang w:eastAsia="zh-CN"/>
        </w:rPr>
        <w:t>可以很好地控制住</w:t>
      </w:r>
      <w:r>
        <w:rPr>
          <w:rFonts w:hint="default" w:ascii="Times New Roman" w:hAnsi="Times New Roman" w:cs="Times New Roman"/>
          <w:color w:val="auto"/>
          <w:szCs w:val="28"/>
          <w:u w:val="none" w:color="auto"/>
        </w:rPr>
        <w:t>无组织VOCs废气的飘散。由于GMP要求车间正压，会有部分气流透过车间门缝（车间无窗）外溢，由于量很小，本方案忽略不计。</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color w:val="auto"/>
        </w:rPr>
      </w:pPr>
      <w:r>
        <w:rPr>
          <w:color w:val="auto"/>
        </w:rPr>
        <w:drawing>
          <wp:inline distT="0" distB="0" distL="0" distR="0">
            <wp:extent cx="3900805" cy="2080895"/>
            <wp:effectExtent l="0" t="0" r="4445" b="14605"/>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42"/>
                    <a:stretch>
                      <a:fillRect/>
                    </a:stretch>
                  </pic:blipFill>
                  <pic:spPr>
                    <a:xfrm>
                      <a:off x="0" y="0"/>
                      <a:ext cx="3900805" cy="2080895"/>
                    </a:xfrm>
                    <a:prstGeom prst="rect">
                      <a:avLst/>
                    </a:prstGeom>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隔断内外风压分布图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为了尽量减少无组织VOCs废气的产生，</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拟</w:t>
      </w:r>
      <w:r>
        <w:rPr>
          <w:rFonts w:hint="eastAsia" w:ascii="Times New Roman" w:hAnsi="Times New Roman" w:eastAsia="宋体" w:cs="Times New Roman"/>
          <w:color w:val="auto"/>
          <w:szCs w:val="28"/>
          <w:u w:val="none" w:color="auto"/>
          <w:lang w:val="en-US" w:eastAsia="zh-CN"/>
        </w:rPr>
        <w:t>在</w:t>
      </w:r>
      <w:r>
        <w:rPr>
          <w:rFonts w:hint="default" w:ascii="Times New Roman" w:hAnsi="Times New Roman" w:cs="Times New Roman"/>
          <w:color w:val="auto"/>
          <w:szCs w:val="28"/>
          <w:u w:val="none" w:color="auto"/>
        </w:rPr>
        <w:t>密闭</w:t>
      </w:r>
      <w:r>
        <w:rPr>
          <w:rFonts w:hint="eastAsia" w:ascii="Times New Roman" w:hAnsi="Times New Roman" w:eastAsia="宋体" w:cs="Times New Roman"/>
          <w:color w:val="auto"/>
          <w:szCs w:val="28"/>
          <w:u w:val="none" w:color="auto"/>
          <w:lang w:val="en-US" w:eastAsia="zh-CN"/>
        </w:rPr>
        <w:t>车间内</w:t>
      </w:r>
      <w:r>
        <w:rPr>
          <w:rFonts w:hint="default" w:ascii="Times New Roman" w:hAnsi="Times New Roman" w:cs="Times New Roman"/>
          <w:color w:val="auto"/>
          <w:szCs w:val="28"/>
          <w:u w:val="none" w:color="auto"/>
        </w:rPr>
        <w:t>调墨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供墨及配胶，改善印刷烘箱进出料附近的风嘴吹风方向，减少烘箱溢风。通过气压压差分区和保温围挡，</w:t>
      </w:r>
      <w:r>
        <w:rPr>
          <w:rFonts w:hint="eastAsia" w:ascii="Times New Roman" w:hAnsi="Times New Roman" w:eastAsia="宋体" w:cs="Times New Roman"/>
          <w:color w:val="auto"/>
          <w:szCs w:val="28"/>
          <w:u w:val="none" w:color="auto"/>
          <w:lang w:eastAsia="zh-CN"/>
        </w:rPr>
        <w:t>可以有效地</w:t>
      </w:r>
      <w:r>
        <w:rPr>
          <w:rFonts w:hint="default" w:ascii="Times New Roman" w:hAnsi="Times New Roman" w:cs="Times New Roman"/>
          <w:color w:val="auto"/>
          <w:szCs w:val="28"/>
          <w:u w:val="none" w:color="auto"/>
        </w:rPr>
        <w:t>将车间无组织废气集中到印刷机及复合机区域，为</w:t>
      </w:r>
      <w:r>
        <w:rPr>
          <w:rFonts w:hint="eastAsia" w:ascii="Times New Roman" w:hAnsi="Times New Roman" w:eastAsia="宋体" w:cs="Times New Roman"/>
          <w:color w:val="auto"/>
          <w:szCs w:val="28"/>
          <w:u w:val="none" w:color="auto"/>
          <w:lang w:eastAsia="zh-CN"/>
        </w:rPr>
        <w:t>有效地将</w:t>
      </w:r>
      <w:r>
        <w:rPr>
          <w:rFonts w:hint="default" w:ascii="Times New Roman" w:hAnsi="Times New Roman" w:cs="Times New Roman"/>
          <w:color w:val="auto"/>
          <w:szCs w:val="28"/>
          <w:u w:val="none" w:color="auto"/>
        </w:rPr>
        <w:t>这部分VOCs废气收集、销毁，印刷机、复合机后部均需设置废气抽气管，通过负压收集系统（排抽风800</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1200m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/h）将无组织废气变成有组织废气。同时，在隔断内的印刷机每色组及复合上胶位置设置LEL减风增浓系统抽气管，这些风抽入到印刷机干燥</w:t>
      </w:r>
      <w:r>
        <w:rPr>
          <w:rFonts w:hint="eastAsia" w:ascii="Times New Roman" w:hAnsi="Times New Roman" w:eastAsia="宋体" w:cs="Times New Roman"/>
          <w:color w:val="auto"/>
          <w:szCs w:val="28"/>
          <w:u w:val="none" w:color="auto"/>
          <w:lang w:eastAsia="zh-CN"/>
        </w:rPr>
        <w:t>新风系统</w:t>
      </w:r>
      <w:r>
        <w:rPr>
          <w:rFonts w:hint="default" w:ascii="Times New Roman" w:hAnsi="Times New Roman" w:cs="Times New Roman"/>
          <w:color w:val="auto"/>
          <w:szCs w:val="28"/>
          <w:u w:val="none" w:color="auto"/>
        </w:rPr>
        <w:t>作为干燥新风。</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eastAsia="宋体" w:cs="Times New Roman"/>
          <w:b/>
          <w:bCs/>
          <w:snapToGrid w:val="0"/>
          <w:color w:val="auto"/>
          <w:spacing w:val="-5"/>
          <w:kern w:val="0"/>
          <w:sz w:val="24"/>
          <w:szCs w:val="24"/>
          <w:lang w:val="en-US" w:eastAsia="en-US" w:bidi="ar-SA"/>
        </w:rPr>
        <w:t>LEL</w:t>
      </w:r>
      <w:r>
        <w:rPr>
          <w:rFonts w:hint="eastAsia" w:ascii="Times New Roman" w:hAnsi="Times New Roman" w:eastAsia="宋体" w:cs="Times New Roman"/>
          <w:b/>
          <w:bCs/>
          <w:snapToGrid w:val="0"/>
          <w:color w:val="auto"/>
          <w:spacing w:val="-5"/>
          <w:kern w:val="0"/>
          <w:sz w:val="24"/>
          <w:szCs w:val="24"/>
          <w:lang w:val="en-US" w:eastAsia="zh-CN" w:bidi="ar-SA"/>
        </w:rPr>
        <w:t>（</w:t>
      </w:r>
      <w:r>
        <w:rPr>
          <w:rFonts w:hint="default" w:ascii="Times New Roman" w:hAnsi="Times New Roman" w:eastAsia="宋体" w:cs="Times New Roman"/>
          <w:b/>
          <w:bCs/>
          <w:snapToGrid w:val="0"/>
          <w:color w:val="auto"/>
          <w:spacing w:val="-5"/>
          <w:kern w:val="0"/>
          <w:sz w:val="24"/>
          <w:szCs w:val="24"/>
          <w:lang w:val="en-US" w:eastAsia="en-US" w:bidi="ar-SA"/>
        </w:rPr>
        <w:t>爆炸下限</w:t>
      </w:r>
      <w:r>
        <w:rPr>
          <w:rFonts w:hint="eastAsia" w:ascii="Times New Roman" w:hAnsi="Times New Roman" w:eastAsia="宋体" w:cs="Times New Roman"/>
          <w:b/>
          <w:bCs/>
          <w:snapToGrid w:val="0"/>
          <w:color w:val="auto"/>
          <w:spacing w:val="-5"/>
          <w:kern w:val="0"/>
          <w:sz w:val="24"/>
          <w:szCs w:val="24"/>
          <w:lang w:val="en-US" w:eastAsia="zh-CN" w:bidi="ar-SA"/>
        </w:rPr>
        <w:t>）</w:t>
      </w:r>
      <w:r>
        <w:rPr>
          <w:rFonts w:hint="default" w:ascii="Times New Roman" w:hAnsi="Times New Roman" w:eastAsia="宋体" w:cs="Times New Roman"/>
          <w:b/>
          <w:bCs/>
          <w:snapToGrid w:val="0"/>
          <w:color w:val="auto"/>
          <w:spacing w:val="-5"/>
          <w:kern w:val="0"/>
          <w:sz w:val="24"/>
          <w:szCs w:val="24"/>
          <w:lang w:val="en-US" w:eastAsia="en-US" w:bidi="ar-SA"/>
        </w:rPr>
        <w:t>自动调节控制：</w:t>
      </w:r>
      <w:r>
        <w:rPr>
          <w:rFonts w:hint="default" w:ascii="Times New Roman" w:hAnsi="Times New Roman" w:cs="Times New Roman"/>
          <w:color w:val="auto"/>
          <w:szCs w:val="28"/>
          <w:u w:val="none" w:color="auto"/>
        </w:rPr>
        <w:t>其原理是在每个烘箱的排风管路上配置一套VOCs浓度检测装置，根据检测装置反馈回的LEL值调节烘箱新风和回风的比例，在保证生产安全的前提下，尽可能减少新风量。烘箱出口安装LEL</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可燃气体爆炸下限</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红外探测器，排风气动阀3始终有一个大于进风气动1的小风量排放，维持烘箱内的负压，当有机气体浓度低于设置的LEL值时，回风气动阀2保持开启状态，引风机将烘箱出来的废气循环进入烘箱代替新风补给，当有机气体浓度高于设置的LEL值时，回风气动阀2关闭，加大进风气动阀1的进风量和风气动</w:t>
      </w:r>
      <w:r>
        <w:rPr>
          <w:rFonts w:hint="eastAsia" w:ascii="Times New Roman" w:hAnsi="Times New Roman" w:eastAsia="宋体" w:cs="Times New Roman"/>
          <w:color w:val="auto"/>
          <w:szCs w:val="28"/>
          <w:u w:val="none" w:color="auto"/>
          <w:lang w:eastAsia="zh-CN"/>
        </w:rPr>
        <w:t>阀</w:t>
      </w:r>
      <w:r>
        <w:rPr>
          <w:rFonts w:hint="default" w:ascii="Times New Roman" w:hAnsi="Times New Roman" w:cs="Times New Roman"/>
          <w:color w:val="auto"/>
          <w:szCs w:val="28"/>
          <w:u w:val="none" w:color="auto"/>
        </w:rPr>
        <w:t>3的排风量，新鲜空气进入烘箱补风，引风机将烘箱出来的废气送入RTO装置。LEL实现进风、排风压力自动控制，在保证烘箱微负压情况下，避免主排风的过量工作，减少风量和风机能。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这里的减风减少的是实际对外排风量，而不是减少干燥风量，减少风量的同时会带来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增浓</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的效果，但必须保证</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增浓</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后的VOCs浓度小于其爆炸下限的25%。根据废气设备单位提供资料，FR350印刷机，设备干燥箱循环风量35000立方/小时，排风量约12000立方/小时，FR450印刷机，设备干燥箱循环风量50000立方/小时，排风量约15000立方/小时，干复机设备干燥箱循环风量每台15000立方/小时，排风量约8000立方/小时（这是上限，根据所做产品的情况，涂胶量小时可以控制到6000），设备干燥所需的烘干箱循环风量，设备调试好后是不变化的。进风补充量和排风量是一个动态的平衡。</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color w:val="auto"/>
        </w:rPr>
      </w:pPr>
      <w:r>
        <w:rPr>
          <w:rFonts w:ascii="宋体" w:hAnsi="宋体" w:eastAsia="宋体" w:cs="宋体"/>
          <w:color w:val="auto"/>
          <w:sz w:val="24"/>
          <w:szCs w:val="24"/>
        </w:rPr>
        <w:drawing>
          <wp:inline distT="0" distB="0" distL="114300" distR="114300">
            <wp:extent cx="4530725" cy="2459990"/>
            <wp:effectExtent l="0" t="0" r="3175" b="16510"/>
            <wp:docPr id="60" name="图片 37"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37" descr="IMG_256"/>
                    <pic:cNvPicPr>
                      <a:picLocks noChangeAspect="true"/>
                    </pic:cNvPicPr>
                  </pic:nvPicPr>
                  <pic:blipFill>
                    <a:blip r:embed="rId43"/>
                    <a:srcRect b="10197"/>
                    <a:stretch>
                      <a:fillRect/>
                    </a:stretch>
                  </pic:blipFill>
                  <pic:spPr>
                    <a:xfrm>
                      <a:off x="0" y="0"/>
                      <a:ext cx="4530725" cy="2459990"/>
                    </a:xfrm>
                    <a:prstGeom prst="rect">
                      <a:avLst/>
                    </a:prstGeom>
                    <a:noFill/>
                    <a:ln w="9525">
                      <a:noFill/>
                    </a:ln>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after="0" w:afterLines="50"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3</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LEL控制原理图</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则抽入干燥箱内气体最终排气量为12000+15000+8000*2=43000m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/h，小于RTO</w:t>
      </w:r>
      <w:r>
        <w:rPr>
          <w:rFonts w:hint="eastAsia" w:ascii="Times New Roman" w:hAnsi="Times New Roman" w:eastAsia="宋体" w:cs="Times New Roman"/>
          <w:color w:val="auto"/>
          <w:szCs w:val="28"/>
          <w:u w:val="none" w:color="auto"/>
          <w:lang w:val="en-US" w:eastAsia="zh-CN"/>
        </w:rPr>
        <w:t>48</w:t>
      </w:r>
      <w:r>
        <w:rPr>
          <w:rFonts w:hint="default" w:ascii="Times New Roman" w:hAnsi="Times New Roman" w:cs="Times New Roman"/>
          <w:color w:val="auto"/>
          <w:szCs w:val="28"/>
          <w:u w:val="none" w:color="auto"/>
        </w:rPr>
        <w:t>000m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/h风量的处理能力，能保证RTO正常运行，最终排气中废气浓度最高能达到1.9</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2.4g/m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（可不用天然气辅助燃烧维持自运行）。</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"https://www.so.com/link?m=bElwJT5OJDTPSFqFPjhAb2tzF/3jcsNldlJuwp58VLUR5HaopRKKM9VIPNG8s51RyWt1AX+iWHRobOiU0qD/xhVypl3ivotBJ9oGs5LxE8pScelY5aclJCroZs73qgA7uXS7fr6SSZDZEI3FiD02L2rPQS3c7IBVJP7iuu5WXEiaDsXzV8pAdIeDsVdbrJjbhpHrqbj7ev5nySLkEeBppyAhqh1IJ81Oi"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洁净厂房设计规范》GB50073-2013</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，十万级净化车间换气次数应达到10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15次/h。车间新风系统设计进风量44500m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/h，略大于排气量43000m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/h，可维持车间内微正压状态；车间规格为30*30*3.8m，则经计算上述进风量的条件下，项目车间换气次数可达到13次/h；满足GMP10万级净化车间换气要求。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eastAsia="宋体" w:cs="Times New Roman"/>
          <w:b/>
          <w:bCs/>
          <w:snapToGrid w:val="0"/>
          <w:color w:val="auto"/>
          <w:spacing w:val="-5"/>
          <w:kern w:val="0"/>
          <w:sz w:val="24"/>
          <w:szCs w:val="24"/>
          <w:lang w:val="en-US" w:eastAsia="en-US" w:bidi="ar-SA"/>
        </w:rPr>
        <w:t>三室RTO废气处理：</w:t>
      </w:r>
      <w:r>
        <w:rPr>
          <w:rFonts w:hint="default" w:ascii="Times New Roman" w:hAnsi="Times New Roman" w:cs="Times New Roman"/>
          <w:color w:val="auto"/>
          <w:szCs w:val="28"/>
          <w:u w:val="none" w:color="auto"/>
        </w:rPr>
        <w:t>其原理是把有机废气加热到760摄氏度（具体工艺需考虑废气成分因素）以上，使废气中的VOCs氧化分解成二氧化碳和水。氧化产生的高温气体流经陶瓷蓄热体，使陶瓷体升温而</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蓄热</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，此</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蓄热</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用于预热后续进入的有机废气。从而节省废气升温的燃料消耗。陶瓷蓄热室应分成两个（含两个）以上，每个蓄热室依次经历蓄热-放热-清扫等程序，周而复始，连续工作。</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TAPE1：</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废气由第一个腔进入，在裂解室内达到裂解温度，转为符合排放标准的气体由第二个腔达标排放；反吹空气将第三个腔中残留的有机废气送至裂解室。</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TAPE2：</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废气由第二个腔进入，在裂解室内达到裂解温度，转为符合排放标准的气体由第三个腔达标排放；反吹空气将第一个腔中残留的有机废气送至裂解</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TAPE3：</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废气由第三个腔进入，在裂解室内达到裂解温度，转为符合排放标准的气体；由第一个腔达标排放；反吹空气将第二个腔中残留的有机废气送至裂解室。</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蓄热室</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放热</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后应立即引入适量洁净空气对该蓄热室进行清扫（以保证VOC去除率在98%以上），只有待清扫完成后才能进入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蓄热</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程序。否则残留的VOC</w:t>
      </w:r>
      <w:r>
        <w:rPr>
          <w:rFonts w:hint="eastAsia" w:ascii="Times New Roman" w:hAnsi="Times New Roman" w:eastAsia="宋体" w:cs="Times New Roman"/>
          <w:color w:val="auto"/>
          <w:szCs w:val="28"/>
          <w:u w:val="none" w:color="auto"/>
          <w:lang w:val="en-US" w:eastAsia="zh-CN"/>
        </w:rPr>
        <w:t>s</w:t>
      </w:r>
      <w:r>
        <w:rPr>
          <w:rFonts w:hint="default" w:ascii="Times New Roman" w:hAnsi="Times New Roman" w:cs="Times New Roman"/>
          <w:color w:val="auto"/>
          <w:szCs w:val="28"/>
          <w:u w:val="none" w:color="auto"/>
        </w:rPr>
        <w:t>随烟气排放到烟囱从而降低处理效率。</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color w:val="auto"/>
          <w:position w:val="-86"/>
        </w:rPr>
      </w:pPr>
      <w:r>
        <w:rPr>
          <w:color w:val="auto"/>
          <w:position w:val="-86"/>
        </w:rPr>
        <w:drawing>
          <wp:inline distT="0" distB="0" distL="0" distR="0">
            <wp:extent cx="3989705" cy="1771015"/>
            <wp:effectExtent l="0" t="0" r="10795" b="635"/>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44"/>
                    <a:stretch>
                      <a:fillRect/>
                    </a:stretch>
                  </pic:blipFill>
                  <pic:spPr>
                    <a:xfrm>
                      <a:off x="0" y="0"/>
                      <a:ext cx="3989705" cy="1771015"/>
                    </a:xfrm>
                    <a:prstGeom prst="rect">
                      <a:avLst/>
                    </a:prstGeom>
                  </pic:spPr>
                </pic:pic>
              </a:graphicData>
            </a:graphic>
          </wp:inline>
        </w:drawing>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图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图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三室RTO运行原理示意图</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color w:val="auto"/>
          <w:position w:val="-86"/>
        </w:rPr>
      </w:pPr>
      <w:r>
        <w:rPr>
          <w:color w:val="auto"/>
          <w:position w:val="-86"/>
        </w:rPr>
        <w:drawing>
          <wp:inline distT="0" distB="0" distL="0" distR="0">
            <wp:extent cx="4000500" cy="138811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45"/>
                    <a:stretch>
                      <a:fillRect/>
                    </a:stretch>
                  </pic:blipFill>
                  <pic:spPr>
                    <a:xfrm>
                      <a:off x="0" y="0"/>
                      <a:ext cx="4000500" cy="1388364"/>
                    </a:xfrm>
                    <a:prstGeom prst="rect">
                      <a:avLst/>
                    </a:prstGeom>
                  </pic:spPr>
                </pic:pic>
              </a:graphicData>
            </a:graphic>
          </wp:inline>
        </w:drawing>
      </w:r>
    </w:p>
    <w:p>
      <w:pPr>
        <w:pStyle w:val="31"/>
        <w:keepNext w:val="0"/>
        <w:keepLines w:val="0"/>
        <w:pageBreakBefore w:val="0"/>
        <w:widowControl/>
        <w:kinsoku/>
        <w:wordWrap/>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（2）优势分析：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①LEL减风增浓，降低了热量的损失，烘箱至少节省了20~25℃的温差。</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②LEL减风增浓系统取代了沸石转轮，起到减风增浓的效果，降低末端治理的环保投资费用，相对于沸石转轮，LEL循环风系统投资少、运行费用低、工期短、废气处理效率高。</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对印刷、复合工序密闭处理，烘箱负压集气系统使烘箱处于微负压状态，烘箱废气基本上无泄漏，加上对墨盘加盖封闭，调墨配胶过程封闭化等大大降低了溶剂无组织挥发量，同时通过设置负压收集系统，保证车间内换气次数13次/h，大大降低了车间味道，提高了工人工作舒适度。</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④末端治理设施采用三室RTO，对废气彻底氧化分解，净化效率≥98%，出口浓度远低于排放标准。</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⑤RTO运行时多数时间可自持状态，不需要消耗天然气，运行费用低。</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⑥VOCs在RTO内彻底氧化分解的过程中，释放大量的热量，在RTO后端设置余热回收系统，回收的热量用于彩印机、复合机、熟化室的加热，取代了电加热器，生产线节省了60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70%的电费。冬天还用于车间的采暖。</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（3）可行性分析</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经查</w:t>
      </w:r>
      <w:r>
        <w:rPr>
          <w:rFonts w:hint="eastAsia" w:ascii="Times New Roman" w:hAnsi="Times New Roman" w:eastAsia="宋体" w:cs="Times New Roman"/>
          <w:color w:val="auto"/>
          <w:szCs w:val="28"/>
          <w:u w:val="none" w:color="auto"/>
          <w:lang w:eastAsia="zh-CN"/>
        </w:rPr>
        <w:t>生态环境部</w:t>
      </w:r>
      <w:r>
        <w:rPr>
          <w:rFonts w:hint="default" w:ascii="Times New Roman" w:hAnsi="Times New Roman" w:cs="Times New Roman"/>
          <w:color w:val="auto"/>
          <w:szCs w:val="28"/>
          <w:u w:val="none" w:color="auto"/>
        </w:rPr>
        <w:t>网站及其他相关网站，目前无针对印刷业及VOCs的</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"http://www.mee.gov.cn/gkml/hbb/bwj/201003/t20100302_186302.htm"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最佳可行</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技术指南，但生态环境部于2020年1月发布了</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"http://www.mee.gov.cn/ywgz/fgbz/bz/bzwb/wrfzjszc/202001/t20200110_758703.shtml"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《印刷工业污染防治可行技术指南》</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HJ1089-2020）、2020年4月发布了《包装印刷业有机废气治理工程技术规范（征求意见稿）》，上述文件明确了蓄热燃烧技术（RTO、RCO等）适用于溶剂型凹版印刷、干式复合及涂布工艺烘干废气的治理；对于中高浓度有组织废气，如组分复杂、不具物质回收价值，宜采用RTO、RCO等燃烧工艺进行治理。同时，RTO蓄热式燃烧装置为《</w:t>
      </w:r>
      <w:r>
        <w:rPr>
          <w:rFonts w:hint="default" w:ascii="Times New Roman" w:hAnsi="Times New Roman" w:cs="Times New Roman"/>
          <w:color w:val="auto"/>
          <w:szCs w:val="28"/>
          <w:u w:val="none" w:color="auto"/>
        </w:rPr>
        <w:fldChar w:fldCharType="begin"/>
      </w:r>
      <w:r>
        <w:rPr>
          <w:rFonts w:hint="default" w:ascii="Times New Roman" w:hAnsi="Times New Roman" w:cs="Times New Roman"/>
          <w:color w:val="auto"/>
          <w:szCs w:val="28"/>
          <w:u w:val="none" w:color="auto"/>
        </w:rPr>
        <w:instrText xml:space="preserve"> HYPERLINK "https://www.so.com/link?m=bOk36ndHXJkdyv/4tEG2Ummu4TUjKn/YlvIpH5s3Tz/hFKGuH/MSQsR8NDZXHBD5jXoTVk/yCD/n7hukmP84koWLP/52fNbdwBkPPtFpylPHnrxhlqXvXc1yrZAVzJmOab2OUcYNIUtwDU/cQ6Bzc1+4NQ1Z1EIWq6CzsnLWTWQeQyuWztD+n/hVgHFopPt9yCUoqbQ6yjsnFFV5rAdFo8POP1LGf/Qfbl4i/ckBeDKmaN3NXGEU3ssZ7MhvEHIzSOvd0U+2dAgHh9RlcDCfgecA3Mu0rc4OD6BR+Curf+fv9PHXLFGWO2J/f+ddjVu0KvwgQRTsiJlsYK+xu" </w:instrText>
      </w:r>
      <w:r>
        <w:rPr>
          <w:rFonts w:hint="default" w:ascii="Times New Roman" w:hAnsi="Times New Roman" w:cs="Times New Roman"/>
          <w:color w:val="auto"/>
          <w:szCs w:val="28"/>
          <w:u w:val="none" w:color="auto"/>
        </w:rPr>
        <w:fldChar w:fldCharType="separate"/>
      </w:r>
      <w:r>
        <w:rPr>
          <w:rFonts w:hint="default" w:ascii="Times New Roman" w:hAnsi="Times New Roman" w:cs="Times New Roman"/>
          <w:color w:val="auto"/>
          <w:szCs w:val="28"/>
          <w:u w:val="none" w:color="auto"/>
        </w:rPr>
        <w:t>排</w:t>
      </w:r>
      <w:r>
        <w:rPr>
          <w:rFonts w:hint="default" w:ascii="Times New Roman" w:hAnsi="Times New Roman" w:cs="Times New Roman"/>
          <w:color w:val="auto"/>
          <w:szCs w:val="28"/>
          <w:u w:val="none" w:color="auto"/>
        </w:rPr>
        <w:fldChar w:fldCharType="end"/>
      </w:r>
      <w:r>
        <w:rPr>
          <w:rFonts w:hint="default" w:ascii="Times New Roman" w:hAnsi="Times New Roman" w:cs="Times New Roman"/>
          <w:color w:val="auto"/>
          <w:szCs w:val="28"/>
          <w:u w:val="none" w:color="auto"/>
        </w:rPr>
        <w:t>污许可证申请与核发技术规范印刷工业》</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HJ1066-2019</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中废气污染防治可行技术-污染物末端治理可行技术中的可行技术；为《重点行业挥发性有机物综合治理方案》（环大气〔2019〕53号）推荐的处理有机废气的适宜高效的治污设施。</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根据《蓄热燃法工业有机废气治理工程技术规范》</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H1093-2020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相关技术要求，多室或旋转式蓄热燃烧装置的净化效率不宜低于98%，同时类比国内已有同类项目，运行经验，RTO蓄热式燃烧装置处理效率较高（最高可达到99.5%）。有机废气可得到高效去除，经处理后可直接将废气中的VOC氧化分解成二氧化碳和水，VOCs排放浓度满足</w:t>
      </w:r>
      <w:r>
        <w:rPr>
          <w:rFonts w:hint="eastAsia" w:ascii="Times New Roman" w:hAnsi="Times New Roman" w:eastAsia="宋体" w:cs="Times New Roman"/>
          <w:color w:val="auto"/>
          <w:szCs w:val="28"/>
          <w:u w:val="none" w:color="auto"/>
          <w:lang w:eastAsia="zh-CN"/>
        </w:rPr>
        <w:t>《印刷工业大气污染物排放标准》（GB41616-2022）</w:t>
      </w:r>
      <w:r>
        <w:rPr>
          <w:rFonts w:hint="default" w:ascii="Times New Roman" w:hAnsi="Times New Roman" w:cs="Times New Roman"/>
          <w:color w:val="auto"/>
          <w:szCs w:val="28"/>
          <w:u w:val="none" w:color="auto"/>
        </w:rPr>
        <w:t>表1及表2中厂界浓度标准限值，厂区内VOCs无组织排放满足</w:t>
      </w:r>
      <w:r>
        <w:rPr>
          <w:rFonts w:hint="eastAsia" w:ascii="Times New Roman" w:hAnsi="Times New Roman" w:eastAsia="宋体" w:cs="Times New Roman"/>
          <w:color w:val="auto"/>
          <w:szCs w:val="28"/>
          <w:u w:val="none" w:color="auto"/>
          <w:lang w:eastAsia="zh-CN"/>
        </w:rPr>
        <w:t>《印刷工业大气污染物排放标准》（GB41616-2022）表A.1厂区内VOCs无组织排放限值</w:t>
      </w:r>
      <w:r>
        <w:rPr>
          <w:rFonts w:hint="default" w:ascii="Times New Roman" w:hAnsi="Times New Roman" w:cs="Times New Roman"/>
          <w:color w:val="auto"/>
          <w:szCs w:val="28"/>
          <w:u w:val="none" w:color="auto"/>
        </w:rPr>
        <w:t>，对周边环境影响小，污染防治措施技术上可行。该废气处理设施投资对于建设单位来说，可带来良好的环境效益，投资占利润比例较小，建设单位可以接受，因此经济上是可行的。</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综上，本项目有机废气采用LEL减风增浓+三室RTO处理既满足管道排风和车间内部环境、废气处理达标、GMP认证净化要求，同时还满足工业制造企业节能</w:t>
      </w:r>
      <w:r>
        <w:rPr>
          <w:rFonts w:hint="eastAsia" w:ascii="Times New Roman" w:hAnsi="Times New Roman" w:eastAsia="宋体" w:cs="Times New Roman"/>
          <w:color w:val="auto"/>
          <w:szCs w:val="28"/>
          <w:u w:val="none" w:color="auto"/>
          <w:lang w:eastAsia="zh-CN"/>
        </w:rPr>
        <w:t>降</w:t>
      </w:r>
      <w:r>
        <w:rPr>
          <w:rFonts w:hint="default" w:ascii="Times New Roman" w:hAnsi="Times New Roman" w:cs="Times New Roman"/>
          <w:color w:val="auto"/>
          <w:szCs w:val="28"/>
          <w:u w:val="none" w:color="auto"/>
        </w:rPr>
        <w:t>耗、经济可行的要求</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项目废气处理设施属于《</w:t>
      </w:r>
      <w:r>
        <w:rPr>
          <w:rFonts w:ascii="宋体" w:hAnsi="宋体" w:eastAsia="宋体" w:cs="宋体"/>
          <w:color w:val="auto"/>
          <w:sz w:val="24"/>
          <w:szCs w:val="24"/>
        </w:rPr>
        <w:t>排污许可证申请与核发技术规范</w:t>
      </w:r>
      <w:r>
        <w:rPr>
          <w:rFonts w:hint="eastAsia" w:ascii="宋体" w:hAnsi="宋体" w:eastAsia="宋体" w:cs="宋体"/>
          <w:color w:val="auto"/>
          <w:sz w:val="24"/>
          <w:szCs w:val="24"/>
          <w:lang w:val="en-US" w:eastAsia="zh-CN"/>
        </w:rPr>
        <w:t xml:space="preserve"> </w:t>
      </w:r>
      <w:r>
        <w:rPr>
          <w:rFonts w:ascii="宋体" w:hAnsi="宋体" w:eastAsia="宋体" w:cs="宋体"/>
          <w:color w:val="auto"/>
          <w:sz w:val="24"/>
          <w:szCs w:val="24"/>
        </w:rPr>
        <w:t>印刷</w:t>
      </w:r>
      <w:r>
        <w:rPr>
          <w:rFonts w:hint="default" w:ascii="Times New Roman" w:hAnsi="Times New Roman" w:cs="Times New Roman"/>
          <w:color w:val="auto"/>
          <w:szCs w:val="28"/>
          <w:u w:val="none" w:color="auto"/>
        </w:rPr>
        <w:t>工业</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rPr>
        <w:t>HJ1066</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rPr>
        <w:t>2019</w:t>
      </w:r>
      <w:r>
        <w:rPr>
          <w:rFonts w:hint="eastAsia" w:ascii="Times New Roman" w:hAnsi="Times New Roman" w:cs="Times New Roman"/>
          <w:color w:val="auto"/>
          <w:szCs w:val="28"/>
          <w:u w:val="none" w:color="auto"/>
          <w:lang w:val="en-US" w:eastAsia="zh-CN"/>
        </w:rPr>
        <w:t>）中的可行技术</w:t>
      </w:r>
      <w:r>
        <w:rPr>
          <w:rFonts w:hint="default" w:ascii="Times New Roman" w:hAnsi="Times New Roman" w:cs="Times New Roman"/>
          <w:color w:val="auto"/>
          <w:szCs w:val="28"/>
          <w:u w:val="none" w:color="auto"/>
        </w:rPr>
        <w:t>。</w:t>
      </w:r>
    </w:p>
    <w:p>
      <w:pPr>
        <w:pStyle w:val="10"/>
        <w:keepNext w:val="0"/>
        <w:pageBreakBefore w:val="0"/>
        <w:widowControl w:val="0"/>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cs="Times New Roman"/>
          <w:color w:val="auto"/>
          <w:sz w:val="32"/>
          <w:szCs w:val="32"/>
        </w:rPr>
      </w:pPr>
      <w:bookmarkStart w:id="103" w:name="bookmark104"/>
      <w:bookmarkEnd w:id="103"/>
      <w:bookmarkStart w:id="104" w:name="_Toc27164"/>
      <w:r>
        <w:rPr>
          <w:rFonts w:hint="default" w:ascii="Times New Roman" w:hAnsi="Times New Roman" w:cs="Times New Roman"/>
          <w:color w:val="auto"/>
          <w:sz w:val="32"/>
          <w:szCs w:val="32"/>
        </w:rPr>
        <w:t>水污染防治措施</w:t>
      </w:r>
      <w:bookmarkEnd w:id="104"/>
    </w:p>
    <w:p>
      <w:pPr>
        <w:pStyle w:val="11"/>
        <w:keepNext w:val="0"/>
        <w:pageBreakBefore w:val="0"/>
        <w:widowControl w:val="0"/>
        <w:kinsoku w:val="0"/>
        <w:wordWrap/>
        <w:overflowPunct/>
        <w:topLinePunct w:val="0"/>
        <w:autoSpaceDE w:val="0"/>
        <w:autoSpaceDN w:val="0"/>
        <w:bidi w:val="0"/>
        <w:adjustRightInd w:val="0"/>
        <w:snapToGrid w:val="0"/>
        <w:spacing w:line="360" w:lineRule="auto"/>
        <w:ind w:left="851" w:hanging="851"/>
        <w:textAlignment w:val="baseline"/>
        <w:rPr>
          <w:color w:val="auto"/>
          <w:sz w:val="30"/>
          <w:szCs w:val="30"/>
        </w:rPr>
      </w:pPr>
      <w:r>
        <w:rPr>
          <w:color w:val="auto"/>
          <w:sz w:val="30"/>
          <w:szCs w:val="30"/>
        </w:rPr>
        <w:t>废水排放方案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本项目外排废水主要为职工的生活污水</w:t>
      </w:r>
      <w:r>
        <w:rPr>
          <w:rFonts w:hint="eastAsia" w:ascii="Times New Roman" w:hAnsi="Times New Roman" w:eastAsia="宋体" w:cs="Times New Roman"/>
          <w:color w:val="auto"/>
          <w:szCs w:val="28"/>
          <w:u w:val="none" w:color="auto"/>
          <w:lang w:val="en-US" w:eastAsia="zh-CN"/>
        </w:rPr>
        <w:t>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废水。项目职工</w:t>
      </w:r>
      <w:r>
        <w:rPr>
          <w:rFonts w:hint="eastAsia" w:ascii="Times New Roman" w:hAnsi="Times New Roman" w:eastAsia="宋体" w:cs="Times New Roman"/>
          <w:color w:val="auto"/>
          <w:szCs w:val="28"/>
          <w:u w:val="none" w:color="auto"/>
          <w:lang w:val="en-US" w:eastAsia="zh-CN"/>
        </w:rPr>
        <w:t>食堂废水经隔油池处理后，与其他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废水经化粪池预处理后</w:t>
      </w:r>
      <w:r>
        <w:rPr>
          <w:rFonts w:hint="eastAsia" w:ascii="Times New Roman" w:hAnsi="Times New Roman" w:eastAsia="宋体" w:cs="Times New Roman"/>
          <w:color w:val="auto"/>
          <w:szCs w:val="28"/>
          <w:u w:val="none" w:color="auto"/>
          <w:lang w:val="en-US" w:eastAsia="zh-CN"/>
        </w:rPr>
        <w:t>符合</w:t>
      </w:r>
      <w:r>
        <w:rPr>
          <w:rFonts w:hint="default" w:ascii="Times New Roman" w:hAnsi="Times New Roman" w:cs="Times New Roman"/>
          <w:color w:val="auto"/>
          <w:szCs w:val="28"/>
          <w:u w:val="none" w:color="auto"/>
        </w:rPr>
        <w:t>《污水综合排放标准》（GB8978-1996）中的三级标准</w:t>
      </w:r>
      <w:r>
        <w:rPr>
          <w:rFonts w:hint="eastAsia" w:ascii="Times New Roman" w:hAnsi="Times New Roman" w:eastAsia="宋体" w:cs="Times New Roman"/>
          <w:color w:val="auto"/>
          <w:szCs w:val="28"/>
          <w:u w:val="none" w:color="auto"/>
          <w:lang w:val="en-US" w:eastAsia="zh-CN"/>
        </w:rPr>
        <w:t>及</w:t>
      </w:r>
      <w:r>
        <w:rPr>
          <w:rFonts w:hint="eastAsia" w:ascii="Times New Roman" w:hAnsi="Times New Roman" w:eastAsia="宋体" w:cs="Times New Roman"/>
          <w:color w:val="auto"/>
          <w:szCs w:val="28"/>
          <w:u w:val="none" w:color="auto"/>
          <w:lang w:eastAsia="zh-CN"/>
        </w:rPr>
        <w:t>鹿坪污水处理厂</w:t>
      </w:r>
      <w:r>
        <w:rPr>
          <w:rFonts w:hint="eastAsia" w:ascii="Times New Roman" w:hAnsi="Times New Roman" w:eastAsia="宋体" w:cs="Times New Roman"/>
          <w:color w:val="auto"/>
          <w:szCs w:val="28"/>
          <w:u w:val="none" w:color="auto"/>
          <w:lang w:val="en-US" w:eastAsia="zh-CN"/>
        </w:rPr>
        <w:t>设计进水水质标准后，</w:t>
      </w:r>
      <w:r>
        <w:rPr>
          <w:rFonts w:hint="default" w:ascii="Times New Roman" w:hAnsi="Times New Roman" w:cs="Times New Roman"/>
          <w:color w:val="auto"/>
          <w:szCs w:val="28"/>
          <w:u w:val="none" w:color="auto"/>
        </w:rPr>
        <w:t>由</w:t>
      </w:r>
      <w:r>
        <w:rPr>
          <w:rFonts w:hint="eastAsia" w:ascii="Times New Roman" w:hAnsi="Times New Roman" w:eastAsia="宋体" w:cs="Times New Roman"/>
          <w:color w:val="auto"/>
          <w:szCs w:val="28"/>
          <w:u w:val="none" w:color="auto"/>
          <w:lang w:val="en-US" w:eastAsia="zh-CN"/>
        </w:rPr>
        <w:t>瑞祥大道－潇湘大道</w:t>
      </w:r>
      <w:r>
        <w:rPr>
          <w:rFonts w:hint="default" w:ascii="Times New Roman" w:hAnsi="Times New Roman" w:cs="Times New Roman"/>
          <w:color w:val="auto"/>
          <w:szCs w:val="28"/>
          <w:u w:val="none" w:color="auto"/>
        </w:rPr>
        <w:t>市政污水管网接入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处理，处理达《湖南省城镇污水处理厂主要水污染物排放标准》（DB42/T1546-2018）中二级标准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《城镇污水处理厂污染物排放标准》（GB18918-2002）一级A排放标准后排入湘江水域。</w:t>
      </w:r>
    </w:p>
    <w:p>
      <w:pPr>
        <w:pStyle w:val="11"/>
        <w:bidi w:val="0"/>
        <w:spacing w:line="360" w:lineRule="auto"/>
        <w:ind w:left="851" w:hanging="851"/>
        <w:rPr>
          <w:color w:val="auto"/>
          <w:sz w:val="30"/>
          <w:szCs w:val="30"/>
        </w:rPr>
      </w:pPr>
      <w:r>
        <w:rPr>
          <w:color w:val="auto"/>
          <w:sz w:val="30"/>
          <w:szCs w:val="30"/>
        </w:rPr>
        <w:t>废水接管可行性分析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鹿坪污水处理厂</w:t>
      </w:r>
      <w:r>
        <w:rPr>
          <w:rFonts w:hint="default" w:ascii="Times New Roman" w:hAnsi="Times New Roman" w:cs="Times New Roman"/>
          <w:color w:val="auto"/>
          <w:szCs w:val="28"/>
          <w:u w:val="none" w:color="auto"/>
        </w:rPr>
        <w:t>建设项目</w:t>
      </w:r>
      <w:r>
        <w:rPr>
          <w:rFonts w:hint="eastAsia" w:ascii="Times New Roman" w:hAnsi="Times New Roman" w:eastAsia="宋体" w:cs="Times New Roman"/>
          <w:color w:val="auto"/>
          <w:szCs w:val="28"/>
          <w:u w:val="none" w:color="auto"/>
          <w:lang w:val="en-US" w:eastAsia="zh-CN"/>
        </w:rPr>
        <w:t>位</w:t>
      </w:r>
      <w:r>
        <w:rPr>
          <w:rFonts w:hint="default" w:ascii="Times New Roman" w:hAnsi="Times New Roman" w:cs="Times New Roman"/>
          <w:color w:val="auto"/>
          <w:szCs w:val="28"/>
          <w:u w:val="none" w:color="auto"/>
        </w:rPr>
        <w:t>于</w:t>
      </w:r>
      <w:r>
        <w:rPr>
          <w:rFonts w:hint="eastAsia" w:ascii="Times New Roman" w:hAnsi="Times New Roman" w:cs="Times New Roman"/>
          <w:color w:val="auto"/>
          <w:szCs w:val="28"/>
          <w:u w:val="none" w:color="auto"/>
        </w:rPr>
        <w:t>零陵</w:t>
      </w:r>
      <w:r>
        <w:rPr>
          <w:rFonts w:hint="default" w:ascii="Times New Roman" w:hAnsi="Times New Roman" w:cs="Times New Roman"/>
          <w:color w:val="auto"/>
          <w:szCs w:val="28"/>
          <w:u w:val="none" w:color="auto"/>
        </w:rPr>
        <w:t>区河西萍州西路与湘江大道交叉口</w:t>
      </w:r>
      <w:r>
        <w:rPr>
          <w:rFonts w:hint="eastAsia" w:ascii="Times New Roman" w:hAnsi="Times New Roman" w:cs="Times New Roman"/>
          <w:color w:val="auto"/>
          <w:szCs w:val="28"/>
          <w:u w:val="none" w:color="auto"/>
        </w:rPr>
        <w:t>，</w:t>
      </w:r>
      <w:r>
        <w:rPr>
          <w:rFonts w:hint="default" w:ascii="Times New Roman" w:hAnsi="Times New Roman" w:cs="Times New Roman"/>
          <w:color w:val="auto"/>
          <w:szCs w:val="28"/>
          <w:u w:val="none" w:color="auto"/>
        </w:rPr>
        <w:t>污水处理厂规模为</w:t>
      </w:r>
      <w:r>
        <w:rPr>
          <w:rFonts w:hint="eastAsia" w:ascii="Times New Roman" w:hAnsi="Times New Roman" w:cs="Times New Roman"/>
          <w:color w:val="auto"/>
          <w:szCs w:val="28"/>
          <w:u w:val="none" w:color="auto"/>
        </w:rPr>
        <w:t>2万</w:t>
      </w:r>
      <w:r>
        <w:rPr>
          <w:rFonts w:hint="default" w:ascii="Times New Roman" w:hAnsi="Times New Roman" w:cs="Times New Roman"/>
          <w:color w:val="auto"/>
          <w:szCs w:val="28"/>
          <w:u w:val="none" w:color="auto"/>
        </w:rPr>
        <w:t>m</w:t>
      </w:r>
      <w:r>
        <w:rPr>
          <w:rFonts w:hint="default" w:ascii="Times New Roman" w:hAnsi="Times New Roman" w:cs="Times New Roman"/>
          <w:color w:val="auto"/>
          <w:szCs w:val="28"/>
          <w:u w:val="none" w:color="auto"/>
          <w:vertAlign w:val="superscript"/>
        </w:rPr>
        <w:t>3</w:t>
      </w:r>
      <w:r>
        <w:rPr>
          <w:rFonts w:hint="default" w:ascii="Times New Roman" w:hAnsi="Times New Roman" w:cs="Times New Roman"/>
          <w:color w:val="auto"/>
          <w:szCs w:val="28"/>
          <w:u w:val="none" w:color="auto"/>
        </w:rPr>
        <w:t>/d</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目前</w:t>
      </w:r>
      <w:r>
        <w:rPr>
          <w:rFonts w:hint="eastAsia" w:ascii="Times New Roman" w:hAnsi="Times New Roman" w:eastAsia="宋体" w:cs="Times New Roman"/>
          <w:color w:val="auto"/>
          <w:szCs w:val="28"/>
          <w:u w:val="none" w:color="auto"/>
          <w:lang w:val="en-US" w:eastAsia="zh-CN"/>
        </w:rPr>
        <w:t>建成运营</w:t>
      </w:r>
      <w:r>
        <w:rPr>
          <w:rFonts w:hint="default" w:ascii="Times New Roman" w:hAnsi="Times New Roman" w:cs="Times New Roman"/>
          <w:color w:val="auto"/>
          <w:szCs w:val="28"/>
          <w:u w:val="none" w:color="auto"/>
        </w:rPr>
        <w:t>。污水处理采用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细格栅+旋流沉砂+水解酸化+A</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O生化处理+沉淀过滤+紫外光消毒</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处理工艺，处理后尾水排入湘江。</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（1）水量接管可行性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根据本项目工程分析及废水防治措施分析，本项目废水排入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处理技术上是可行的，本项目废水排放量占整个</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废水总量的比例很小，因此，从处理能力上讲，本项目污水进入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进行集中处理是可行的。</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（2）水质接管可行性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本项目项目职工</w:t>
      </w:r>
      <w:r>
        <w:rPr>
          <w:rFonts w:hint="eastAsia" w:ascii="Times New Roman" w:hAnsi="Times New Roman" w:eastAsia="宋体" w:cs="Times New Roman"/>
          <w:color w:val="auto"/>
          <w:szCs w:val="28"/>
          <w:u w:val="none" w:color="auto"/>
          <w:lang w:val="en-US" w:eastAsia="zh-CN"/>
        </w:rPr>
        <w:t>食堂废水经隔油池处理后，与其他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废水经化粪池预处理后排入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集中处理。根据工程分析，本项目排放的废水水质简单，各污染物浓度可以达到</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接管要求，因此从本项目排水的水质上来说，本项目废水接管至</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进行集中处理是可行的。</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（3）处理工艺可行性</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采用</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细格栅+旋流沉砂+水解酸化+A</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O生化处理+沉淀过滤+紫外光消毒</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工艺，对污水进行处理后</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尾水排入湘江。</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根据相关环境管理要求，</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对废水进行深度处理，废水经深度处理后，出水水质指标可以达到《湖南省城镇污水处理厂主要水污染物排放标准》（DB42/T1546-2018）中二级标准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《城镇污水处理厂污染物排放标准》（GB18918</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2002）中一级标准的A标准。从工艺上讲，本项目污水达到接管要求，接管排入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处理，完全可行。</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（4）管线、位置落实情况分析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内，位于</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纳污范围内，项目周边均已铺设了市政污水管网，建设单位已将项目域内污水管道接入了园区污水管道，本项目废水能实现域内污水纳管排放。项目废水经市政管网排入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，最终处理达标后排入湘江。</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综上，本项目</w:t>
      </w:r>
      <w:r>
        <w:rPr>
          <w:rFonts w:hint="eastAsia" w:ascii="Times New Roman" w:hAnsi="Times New Roman" w:eastAsia="宋体" w:cs="Times New Roman"/>
          <w:color w:val="auto"/>
          <w:szCs w:val="28"/>
          <w:u w:val="none" w:color="auto"/>
          <w:lang w:val="en-US" w:eastAsia="zh-CN"/>
        </w:rPr>
        <w:t>综合废水</w:t>
      </w:r>
      <w:r>
        <w:rPr>
          <w:rFonts w:hint="default" w:ascii="Times New Roman" w:hAnsi="Times New Roman" w:cs="Times New Roman"/>
          <w:color w:val="auto"/>
          <w:szCs w:val="28"/>
          <w:u w:val="none" w:color="auto"/>
        </w:rPr>
        <w:t>水质能够符合《污水综合排放标准》（GB8978-1996）中的三级标准</w:t>
      </w:r>
      <w:r>
        <w:rPr>
          <w:rFonts w:hint="eastAsia" w:ascii="Times New Roman" w:hAnsi="Times New Roman" w:eastAsia="宋体" w:cs="Times New Roman"/>
          <w:color w:val="auto"/>
          <w:szCs w:val="28"/>
          <w:u w:val="none" w:color="auto"/>
          <w:lang w:val="en-US" w:eastAsia="zh-CN"/>
        </w:rPr>
        <w:t>及</w:t>
      </w:r>
      <w:r>
        <w:rPr>
          <w:rFonts w:hint="eastAsia" w:ascii="Times New Roman" w:hAnsi="Times New Roman" w:eastAsia="宋体" w:cs="Times New Roman"/>
          <w:color w:val="auto"/>
          <w:szCs w:val="28"/>
          <w:u w:val="none" w:color="auto"/>
          <w:lang w:eastAsia="zh-CN"/>
        </w:rPr>
        <w:t>鹿坪污水处理厂</w:t>
      </w:r>
      <w:r>
        <w:rPr>
          <w:rFonts w:hint="eastAsia" w:ascii="Times New Roman" w:hAnsi="Times New Roman" w:eastAsia="宋体" w:cs="Times New Roman"/>
          <w:color w:val="auto"/>
          <w:szCs w:val="28"/>
          <w:u w:val="none" w:color="auto"/>
          <w:lang w:val="en-US" w:eastAsia="zh-CN"/>
        </w:rPr>
        <w:t>设计进水水质标准</w:t>
      </w:r>
      <w:r>
        <w:rPr>
          <w:rFonts w:hint="default" w:ascii="Times New Roman" w:hAnsi="Times New Roman" w:cs="Times New Roman"/>
          <w:color w:val="auto"/>
          <w:szCs w:val="28"/>
          <w:u w:val="none" w:color="auto"/>
        </w:rPr>
        <w:t>。项目外排废水纳管水质已符合相关标准限值，且排水量较小，对</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污水处理系统不会造成水量和水质上的冲击，也不会影响其工艺运转，因此本项目采取的污水处理工艺及纳管排放的措施可行。</w:t>
      </w:r>
    </w:p>
    <w:p>
      <w:pPr>
        <w:pStyle w:val="10"/>
        <w:bidi w:val="0"/>
        <w:spacing w:line="360" w:lineRule="auto"/>
        <w:rPr>
          <w:rFonts w:hint="default" w:ascii="Times New Roman" w:hAnsi="Times New Roman" w:cs="Times New Roman"/>
          <w:color w:val="auto"/>
          <w:sz w:val="32"/>
          <w:szCs w:val="32"/>
        </w:rPr>
      </w:pPr>
      <w:bookmarkStart w:id="105" w:name="bookmark106"/>
      <w:bookmarkEnd w:id="105"/>
      <w:bookmarkStart w:id="106" w:name="_Toc21384"/>
      <w:r>
        <w:rPr>
          <w:rFonts w:hint="eastAsia" w:ascii="Times New Roman" w:hAnsi="Times New Roman" w:eastAsia="宋体" w:cs="Times New Roman"/>
          <w:color w:val="auto"/>
          <w:sz w:val="32"/>
          <w:szCs w:val="32"/>
          <w:lang w:val="en-US" w:eastAsia="zh-CN"/>
        </w:rPr>
        <w:t>噪声</w:t>
      </w:r>
      <w:r>
        <w:rPr>
          <w:rFonts w:hint="default" w:ascii="Times New Roman" w:hAnsi="Times New Roman" w:cs="Times New Roman"/>
          <w:color w:val="auto"/>
          <w:sz w:val="32"/>
          <w:szCs w:val="32"/>
        </w:rPr>
        <w:t>污染防治措施</w:t>
      </w:r>
      <w:bookmarkEnd w:id="106"/>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本项目生产过程中并不涉及高噪声生产设备，主要高噪声主要来源动力设备（主要为风机），</w:t>
      </w:r>
      <w:r>
        <w:rPr>
          <w:rFonts w:hint="eastAsia" w:ascii="Times New Roman" w:hAnsi="Times New Roman" w:eastAsia="宋体" w:cs="Times New Roman"/>
          <w:color w:val="auto"/>
          <w:szCs w:val="28"/>
          <w:u w:val="none" w:color="auto"/>
          <w:lang w:val="en-US" w:eastAsia="zh-CN"/>
        </w:rPr>
        <w:t>拟</w:t>
      </w:r>
      <w:r>
        <w:rPr>
          <w:rFonts w:hint="default" w:ascii="Times New Roman" w:hAnsi="Times New Roman" w:cs="Times New Roman"/>
          <w:color w:val="auto"/>
          <w:szCs w:val="28"/>
          <w:u w:val="none" w:color="auto"/>
        </w:rPr>
        <w:t>采取的噪声防治措施主要有以下几个方面：</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1）从声源上降噪</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根据本项目噪声源特征，</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在设计和设备采购阶段，</w:t>
      </w:r>
      <w:r>
        <w:rPr>
          <w:rFonts w:hint="eastAsia" w:ascii="Times New Roman" w:hAnsi="Times New Roman" w:eastAsia="宋体" w:cs="Times New Roman"/>
          <w:color w:val="auto"/>
          <w:szCs w:val="28"/>
          <w:u w:val="none" w:color="auto"/>
          <w:lang w:val="en-US" w:eastAsia="zh-CN"/>
        </w:rPr>
        <w:t>应</w:t>
      </w:r>
      <w:r>
        <w:rPr>
          <w:rFonts w:hint="default" w:ascii="Times New Roman" w:hAnsi="Times New Roman" w:cs="Times New Roman"/>
          <w:color w:val="auto"/>
          <w:szCs w:val="28"/>
          <w:u w:val="none" w:color="auto"/>
        </w:rPr>
        <w:t>优先选用低噪声设备，如低噪的风机、低噪声冷却塔、低噪声的印刷、复合设备等，从而从声源上降低设备本身的噪声。</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2）从传播途径上降噪</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①生产设备噪声</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项目所使用的所有生产设备均位于厂房内。可使其噪声源强降低15dB（A）以上。</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②风机、冷却塔风机噪声</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风机</w:t>
      </w:r>
      <w:r>
        <w:rPr>
          <w:rFonts w:hint="eastAsia" w:ascii="Times New Roman" w:hAnsi="Times New Roman" w:eastAsia="宋体" w:cs="Times New Roman"/>
          <w:color w:val="auto"/>
          <w:szCs w:val="28"/>
          <w:u w:val="none" w:color="auto"/>
          <w:lang w:val="en-US" w:eastAsia="zh-CN"/>
        </w:rPr>
        <w:t>应</w:t>
      </w:r>
      <w:r>
        <w:rPr>
          <w:rFonts w:hint="default" w:ascii="Times New Roman" w:hAnsi="Times New Roman" w:cs="Times New Roman"/>
          <w:color w:val="auto"/>
          <w:szCs w:val="28"/>
          <w:u w:val="none" w:color="auto"/>
        </w:rPr>
        <w:t>安装</w:t>
      </w:r>
      <w:r>
        <w:rPr>
          <w:rFonts w:hint="eastAsia" w:ascii="Times New Roman" w:hAnsi="Times New Roman" w:eastAsia="宋体" w:cs="Times New Roman"/>
          <w:color w:val="auto"/>
          <w:szCs w:val="28"/>
          <w:u w:val="none" w:color="auto"/>
          <w:lang w:eastAsia="zh-CN"/>
        </w:rPr>
        <w:t>减振</w:t>
      </w:r>
      <w:r>
        <w:rPr>
          <w:rFonts w:hint="default" w:ascii="Times New Roman" w:hAnsi="Times New Roman" w:cs="Times New Roman"/>
          <w:color w:val="auto"/>
          <w:szCs w:val="28"/>
          <w:u w:val="none" w:color="auto"/>
        </w:rPr>
        <w:t>措施，在引风机风道中加设消音器，风机及冷却塔均</w:t>
      </w:r>
      <w:r>
        <w:rPr>
          <w:rFonts w:hint="eastAsia" w:ascii="Times New Roman" w:hAnsi="Times New Roman" w:eastAsia="宋体" w:cs="Times New Roman"/>
          <w:color w:val="auto"/>
          <w:szCs w:val="28"/>
          <w:u w:val="none" w:color="auto"/>
          <w:lang w:val="en-US" w:eastAsia="zh-CN"/>
        </w:rPr>
        <w:t>应</w:t>
      </w:r>
      <w:r>
        <w:rPr>
          <w:rFonts w:hint="default" w:ascii="Times New Roman" w:hAnsi="Times New Roman" w:cs="Times New Roman"/>
          <w:color w:val="auto"/>
          <w:szCs w:val="28"/>
          <w:u w:val="none" w:color="auto"/>
        </w:rPr>
        <w:t>采取减振台基础，接头处采用柔性软接头，可使其噪声源强降低3dB（A）以上。</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）加强设备维护，确保设备处于良好的运转状态，杜绝因设备不正常运转时产生的高噪声现象。</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4</w:t>
      </w:r>
      <w:r>
        <w:rPr>
          <w:rFonts w:hint="default" w:ascii="Times New Roman" w:hAnsi="Times New Roman" w:cs="Times New Roman"/>
          <w:color w:val="auto"/>
          <w:szCs w:val="28"/>
          <w:u w:val="none" w:color="auto"/>
        </w:rPr>
        <w:t>）因风机及冷却塔</w:t>
      </w:r>
      <w:r>
        <w:rPr>
          <w:rFonts w:hint="eastAsia" w:ascii="Times New Roman" w:hAnsi="Times New Roman" w:eastAsia="宋体" w:cs="Times New Roman"/>
          <w:color w:val="auto"/>
          <w:szCs w:val="28"/>
          <w:u w:val="none" w:color="auto"/>
          <w:lang w:val="en-US" w:eastAsia="zh-CN"/>
        </w:rPr>
        <w:t>位于</w:t>
      </w:r>
      <w:r>
        <w:rPr>
          <w:rFonts w:hint="default" w:ascii="Times New Roman" w:hAnsi="Times New Roman" w:cs="Times New Roman"/>
          <w:color w:val="auto"/>
          <w:szCs w:val="28"/>
          <w:u w:val="none" w:color="auto"/>
        </w:rPr>
        <w:t>项目东侧厂界，为了降低风机及冷却塔噪声对厂界影响，建议</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将风机布置于专门的隔声罩内，可使其噪声源强降低15dB（A）以上；在距离冷却塔进风一定距离处，设置不低于冷却塔进风口的声屏障，达到进一步降低进风口噪声影响的效果，可使其噪声源强降低7dB（A）及以上。</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对各类噪声源采取上述噪声防治措施后，可降低噪声源强15dB</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A</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及以上，根据预测结果，本项目生产运行期厂界噪声值可达标，能满足环境保护的要求，项目周边200m范围内无噪声环境敏感点，项目噪声对周边环境影响较小。</w:t>
      </w:r>
    </w:p>
    <w:p>
      <w:pPr>
        <w:pStyle w:val="10"/>
        <w:bidi w:val="0"/>
        <w:spacing w:line="360" w:lineRule="auto"/>
        <w:rPr>
          <w:rFonts w:hint="default" w:ascii="Times New Roman" w:hAnsi="Times New Roman" w:cs="Times New Roman"/>
          <w:color w:val="auto"/>
          <w:sz w:val="32"/>
          <w:szCs w:val="32"/>
        </w:rPr>
      </w:pPr>
      <w:bookmarkStart w:id="107" w:name="bookmark108"/>
      <w:bookmarkEnd w:id="107"/>
      <w:bookmarkStart w:id="108" w:name="_Toc22831"/>
      <w:r>
        <w:rPr>
          <w:rFonts w:hint="default" w:ascii="Times New Roman" w:hAnsi="Times New Roman" w:cs="Times New Roman"/>
          <w:color w:val="auto"/>
          <w:sz w:val="32"/>
          <w:szCs w:val="32"/>
        </w:rPr>
        <w:t>固体废物环境污染防治措施</w:t>
      </w:r>
      <w:bookmarkEnd w:id="108"/>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须从各个环节进行全方位管理，采取有效措施防止固废在产生、收集、贮存、运输过程中的散失，并采用有效处置的方案和技术，首先从有用物料回收再利用着眼，</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化废为宝</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，既回收一部分资源，又减轻处置负荷，对目前还不能回收利用的，应遵循</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无害化</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处置原则进行有效处置。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本项目将固体废物分为生活垃圾、一般工业固体废物和危险废物，再依据其可利用情况，分别采取与之相应的处置措施。</w:t>
      </w:r>
    </w:p>
    <w:p>
      <w:pPr>
        <w:pStyle w:val="11"/>
        <w:bidi w:val="0"/>
        <w:spacing w:line="360" w:lineRule="auto"/>
        <w:ind w:left="851" w:hanging="851"/>
        <w:rPr>
          <w:color w:val="auto"/>
          <w:sz w:val="30"/>
          <w:szCs w:val="30"/>
        </w:rPr>
      </w:pPr>
      <w:r>
        <w:rPr>
          <w:color w:val="auto"/>
          <w:sz w:val="30"/>
          <w:szCs w:val="30"/>
        </w:rPr>
        <w:t>生活垃圾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建设项目生活垃圾由环卫部门收集后进行卫生填埋，卫生填埋为处理一般生活垃圾的常用方法，成熟可靠，可满足环保要求。</w:t>
      </w:r>
    </w:p>
    <w:p>
      <w:pPr>
        <w:pStyle w:val="11"/>
        <w:bidi w:val="0"/>
        <w:spacing w:line="360" w:lineRule="auto"/>
        <w:ind w:left="851" w:hanging="851"/>
        <w:rPr>
          <w:color w:val="auto"/>
          <w:sz w:val="30"/>
          <w:szCs w:val="30"/>
        </w:rPr>
      </w:pPr>
      <w:r>
        <w:rPr>
          <w:color w:val="auto"/>
          <w:sz w:val="30"/>
          <w:szCs w:val="30"/>
        </w:rPr>
        <w:t>一般固体废弃物</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湖南省实施＜中华人民共和国固体废物污染环境防治法＞办法》，产生工业固体废物的单位应当对其产生的工业固体废物进行资源化利用；对暂时不利用或者不能利用的，应当按照国家有关标准建设贮存设施、场所，安全分类存放，或者及时进行无害化处置。</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根据污染源分析，本项目一般工业固体废物主要是生产过程中产生的塑料膜边角料以及不合格产品等。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建设</w:t>
      </w:r>
      <w:r>
        <w:rPr>
          <w:rFonts w:hint="eastAsia" w:ascii="Times New Roman" w:hAnsi="Times New Roman" w:eastAsia="宋体" w:cs="Times New Roman"/>
          <w:color w:val="auto"/>
          <w:szCs w:val="28"/>
          <w:u w:val="none" w:color="auto"/>
          <w:lang w:val="en-US" w:eastAsia="zh-CN"/>
        </w:rPr>
        <w:t>单位拟</w:t>
      </w:r>
      <w:r>
        <w:rPr>
          <w:rFonts w:hint="default" w:ascii="Times New Roman" w:hAnsi="Times New Roman" w:cs="Times New Roman"/>
          <w:color w:val="auto"/>
          <w:szCs w:val="28"/>
          <w:u w:val="none" w:color="auto"/>
        </w:rPr>
        <w:t>设置一处一般工业固废暂存间（约50m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），建设项目一般固废堆场位于生产</w:t>
      </w:r>
      <w:r>
        <w:rPr>
          <w:rFonts w:hint="eastAsia" w:ascii="Times New Roman" w:hAnsi="Times New Roman" w:eastAsia="宋体" w:cs="Times New Roman"/>
          <w:color w:val="auto"/>
          <w:szCs w:val="28"/>
          <w:u w:val="none" w:color="auto"/>
          <w:lang w:val="en-US" w:eastAsia="zh-CN"/>
        </w:rPr>
        <w:t>厂区南侧</w:t>
      </w:r>
      <w:r>
        <w:rPr>
          <w:rFonts w:hint="default" w:ascii="Times New Roman" w:hAnsi="Times New Roman" w:cs="Times New Roman"/>
          <w:color w:val="auto"/>
          <w:szCs w:val="28"/>
          <w:u w:val="none" w:color="auto"/>
        </w:rPr>
        <w:t>。一般固废采用内衬塑料袋的桶装存放，按照</w:t>
      </w:r>
      <w:r>
        <w:rPr>
          <w:rFonts w:hint="eastAsia" w:ascii="Times New Roman" w:hAnsi="Times New Roman" w:eastAsia="宋体" w:cs="Times New Roman"/>
          <w:color w:val="auto"/>
          <w:szCs w:val="28"/>
          <w:u w:val="none" w:color="auto"/>
          <w:lang w:eastAsia="zh-CN"/>
        </w:rPr>
        <w:t>《一般工业固体废物贮存、处置场污染控制标准（征求意见稿）》</w:t>
      </w:r>
      <w:r>
        <w:rPr>
          <w:rFonts w:hint="default" w:ascii="Times New Roman" w:hAnsi="Times New Roman" w:cs="Times New Roman"/>
          <w:color w:val="auto"/>
          <w:szCs w:val="28"/>
          <w:u w:val="none" w:color="auto"/>
        </w:rPr>
        <w:t>的要求储存、管理及运行。</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同时，为合理安全的管理项目产生的各类固废，需进一步规范设置环境保护标志牌，规范固废处置场所，加强一般工业固废的综合利用工作，产生的各类固废均不得丢弃，不可露天堆放。</w:t>
      </w:r>
    </w:p>
    <w:p>
      <w:pPr>
        <w:pStyle w:val="11"/>
        <w:bidi w:val="0"/>
        <w:spacing w:line="360" w:lineRule="auto"/>
        <w:ind w:left="851" w:hanging="851"/>
        <w:rPr>
          <w:color w:val="auto"/>
          <w:sz w:val="30"/>
          <w:szCs w:val="30"/>
        </w:rPr>
      </w:pPr>
      <w:r>
        <w:rPr>
          <w:color w:val="auto"/>
          <w:sz w:val="30"/>
          <w:szCs w:val="30"/>
        </w:rPr>
        <w:t>危险废物</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根据工艺分析，本项目产生的危险废物主要为废油墨、废胶水、废弃包装桶、废抹布。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建设单位</w:t>
      </w:r>
      <w:r>
        <w:rPr>
          <w:rFonts w:hint="eastAsia" w:ascii="Times New Roman" w:hAnsi="Times New Roman" w:eastAsia="宋体" w:cs="Times New Roman"/>
          <w:color w:val="auto"/>
          <w:szCs w:val="28"/>
          <w:u w:val="none" w:color="auto"/>
          <w:lang w:val="en-US" w:eastAsia="zh-CN"/>
        </w:rPr>
        <w:t>拟在厂区南侧</w:t>
      </w:r>
      <w:r>
        <w:rPr>
          <w:rFonts w:hint="default" w:ascii="Times New Roman" w:hAnsi="Times New Roman" w:cs="Times New Roman"/>
          <w:color w:val="auto"/>
          <w:szCs w:val="28"/>
          <w:u w:val="none" w:color="auto"/>
        </w:rPr>
        <w:t>设置一处专门的危废暂存间（约50m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）。危废暂存间内</w:t>
      </w:r>
      <w:r>
        <w:rPr>
          <w:rFonts w:hint="eastAsia" w:ascii="Times New Roman" w:hAnsi="Times New Roman" w:eastAsia="宋体" w:cs="Times New Roman"/>
          <w:color w:val="auto"/>
          <w:szCs w:val="28"/>
          <w:u w:val="none" w:color="auto"/>
          <w:lang w:val="en-US" w:eastAsia="zh-CN"/>
        </w:rPr>
        <w:t>须</w:t>
      </w:r>
      <w:r>
        <w:rPr>
          <w:rFonts w:hint="default" w:ascii="Times New Roman" w:hAnsi="Times New Roman" w:cs="Times New Roman"/>
          <w:color w:val="auto"/>
          <w:szCs w:val="28"/>
          <w:u w:val="none" w:color="auto"/>
        </w:rPr>
        <w:t>做地面防渗措施。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厂区内危险废物暂存场地的设置应按照《危险废物贮存污染控制标准》</w:t>
      </w:r>
      <w:r>
        <w:rPr>
          <w:rFonts w:hint="eastAsia" w:ascii="Times New Roman" w:hAnsi="Times New Roman" w:eastAsia="宋体" w:cs="Times New Roman"/>
          <w:color w:val="auto"/>
          <w:szCs w:val="28"/>
          <w:u w:val="none" w:color="auto"/>
          <w:lang w:eastAsia="zh-CN"/>
        </w:rPr>
        <w:t>（GB18597-2023）</w:t>
      </w:r>
      <w:r>
        <w:rPr>
          <w:rFonts w:hint="default" w:ascii="Times New Roman" w:hAnsi="Times New Roman" w:cs="Times New Roman"/>
          <w:color w:val="auto"/>
          <w:szCs w:val="28"/>
          <w:u w:val="none" w:color="auto"/>
        </w:rPr>
        <w:t>的相关规定和要求进一步进行规范设置，要求做到以下几点：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1）危险废物收集污染防治措施分析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危险废物在收集时，应清楚废物的类别及</w:t>
      </w:r>
      <w:r>
        <w:rPr>
          <w:rFonts w:hint="eastAsia" w:ascii="Times New Roman" w:hAnsi="Times New Roman" w:cs="Times New Roman"/>
          <w:color w:val="auto"/>
          <w:szCs w:val="28"/>
          <w:u w:val="none" w:color="auto"/>
          <w:lang w:eastAsia="zh-CN"/>
        </w:rPr>
        <w:t>主要成分</w:t>
      </w:r>
      <w:r>
        <w:rPr>
          <w:rFonts w:hint="default" w:ascii="Times New Roman" w:hAnsi="Times New Roman" w:cs="Times New Roman"/>
          <w:color w:val="auto"/>
          <w:szCs w:val="28"/>
          <w:u w:val="none" w:color="auto"/>
        </w:rPr>
        <w:t>，以方便委托处理单位处理，根据危险废物的性质和形态，需采用不同大小和不同材质的容器进行包装，</w:t>
      </w:r>
      <w:r>
        <w:rPr>
          <w:rFonts w:hint="eastAsia" w:ascii="Times New Roman" w:hAnsi="Times New Roman" w:cs="Times New Roman"/>
          <w:color w:val="auto"/>
          <w:szCs w:val="28"/>
          <w:u w:val="none" w:color="auto"/>
          <w:lang w:val="en-US" w:eastAsia="zh-CN"/>
        </w:rPr>
        <w:t>包装上按要求设置相应的危险废物标识</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所有包装容器应足够安全，并经过周密检查，严防在装载、搬移或运输途中出现渗漏、溢出、抛洒或挥发等情况。</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本项目产生的危险废物委托有资质单位处置（其中完好无损的废稀释剂桶交由原厂家</w:t>
      </w:r>
      <w:r>
        <w:rPr>
          <w:rFonts w:hint="eastAsia" w:ascii="Times New Roman" w:hAnsi="Times New Roman" w:eastAsia="宋体" w:cs="Times New Roman"/>
          <w:color w:val="auto"/>
          <w:szCs w:val="28"/>
          <w:u w:val="none" w:color="auto"/>
          <w:lang w:eastAsia="zh-CN"/>
        </w:rPr>
        <w:t>回收</w:t>
      </w:r>
      <w:r>
        <w:rPr>
          <w:rFonts w:hint="default" w:ascii="Times New Roman" w:hAnsi="Times New Roman" w:cs="Times New Roman"/>
          <w:color w:val="auto"/>
          <w:szCs w:val="28"/>
          <w:u w:val="none" w:color="auto"/>
        </w:rPr>
        <w:t>利用，部分破损导致厂家无法回收的需交由有资质单位处置），企业不得擅自处理。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2）危险废物暂存污染防治措施分析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本项目危废暂存间设置在</w:t>
      </w:r>
      <w:r>
        <w:rPr>
          <w:rFonts w:hint="eastAsia" w:ascii="Times New Roman" w:hAnsi="Times New Roman" w:eastAsia="宋体" w:cs="Times New Roman"/>
          <w:color w:val="auto"/>
          <w:szCs w:val="28"/>
          <w:u w:val="none" w:color="auto"/>
          <w:lang w:val="en-US" w:eastAsia="zh-CN"/>
        </w:rPr>
        <w:t>厂区南侧</w:t>
      </w:r>
      <w:r>
        <w:rPr>
          <w:rFonts w:hint="default" w:ascii="Times New Roman" w:hAnsi="Times New Roman" w:cs="Times New Roman"/>
          <w:color w:val="auto"/>
          <w:szCs w:val="28"/>
          <w:u w:val="none" w:color="auto"/>
        </w:rPr>
        <w:t>，面积为50m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，能满足危险废物收集处置的要求。危险废物应尽快送往处置单位处理，不宜在厂内存放过长时间，危险废物暂存应做到以下几点：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①危险废物仓库内要设置观察窗口，危废仓库管理责任制要上墙</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②进一步加强危废间内防渗措施。厂内应设立危险废物临时贮存设施，贮存设施应符合《危险废物贮存污染控制标准》</w:t>
      </w:r>
      <w:r>
        <w:rPr>
          <w:rFonts w:hint="eastAsia" w:ascii="Times New Roman" w:hAnsi="Times New Roman" w:eastAsia="宋体" w:cs="Times New Roman"/>
          <w:color w:val="auto"/>
          <w:szCs w:val="28"/>
          <w:u w:val="none" w:color="auto"/>
          <w:lang w:eastAsia="zh-CN"/>
        </w:rPr>
        <w:t>（GB18597-2023）</w:t>
      </w:r>
      <w:r>
        <w:rPr>
          <w:rFonts w:hint="default" w:ascii="Times New Roman" w:hAnsi="Times New Roman" w:cs="Times New Roman"/>
          <w:color w:val="auto"/>
          <w:szCs w:val="28"/>
          <w:u w:val="none" w:color="auto"/>
        </w:rPr>
        <w:t>规定的临时贮存控制要求，暂存间地面与裙脚要用坚固、防渗的材料建造，建筑材料必须与危险废物相容，门口要设置围堰。基础和裙脚必须防渗，防渗层为至少1米厚</w:t>
      </w:r>
      <w:r>
        <w:rPr>
          <w:rFonts w:hint="eastAsia" w:ascii="Times New Roman" w:hAnsi="Times New Roman" w:eastAsia="宋体" w:cs="Times New Roman"/>
          <w:color w:val="auto"/>
          <w:szCs w:val="28"/>
          <w:u w:val="none" w:color="auto"/>
          <w:lang w:eastAsia="zh-CN"/>
        </w:rPr>
        <w:t>黏土层</w:t>
      </w:r>
      <w:r>
        <w:rPr>
          <w:rFonts w:hint="default" w:ascii="Times New Roman" w:hAnsi="Times New Roman" w:cs="Times New Roman"/>
          <w:color w:val="auto"/>
          <w:szCs w:val="28"/>
          <w:u w:val="none" w:color="auto"/>
        </w:rPr>
        <w:t>（渗透系数≤10</w:t>
      </w:r>
      <w:r>
        <w:rPr>
          <w:rFonts w:hint="default" w:ascii="Times New Roman" w:hAnsi="Times New Roman" w:cs="Times New Roman"/>
          <w:color w:val="auto"/>
          <w:szCs w:val="28"/>
          <w:u w:val="none" w:color="auto"/>
          <w:vertAlign w:val="superscript"/>
        </w:rPr>
        <w:t>-7</w:t>
      </w:r>
      <w:r>
        <w:rPr>
          <w:rFonts w:hint="default" w:ascii="Times New Roman" w:hAnsi="Times New Roman" w:cs="Times New Roman"/>
          <w:color w:val="auto"/>
          <w:szCs w:val="28"/>
          <w:u w:val="none" w:color="auto"/>
        </w:rPr>
        <w:t>cm/s），或2毫米厚高密度聚乙烯，或至少2毫米厚的</w:t>
      </w:r>
      <w:r>
        <w:rPr>
          <w:rFonts w:hint="eastAsia" w:ascii="Times New Roman" w:hAnsi="Times New Roman" w:eastAsia="宋体" w:cs="Times New Roman"/>
          <w:color w:val="auto"/>
          <w:szCs w:val="28"/>
          <w:u w:val="none" w:color="auto"/>
          <w:lang w:eastAsia="zh-CN"/>
        </w:rPr>
        <w:t>其他人工</w:t>
      </w:r>
      <w:r>
        <w:rPr>
          <w:rFonts w:hint="default" w:ascii="Times New Roman" w:hAnsi="Times New Roman" w:cs="Times New Roman"/>
          <w:color w:val="auto"/>
          <w:szCs w:val="28"/>
          <w:u w:val="none" w:color="auto"/>
        </w:rPr>
        <w:t>材料，渗透系数≤10</w:t>
      </w:r>
      <w:r>
        <w:rPr>
          <w:rFonts w:hint="default" w:ascii="Times New Roman" w:hAnsi="Times New Roman" w:cs="Times New Roman"/>
          <w:color w:val="auto"/>
          <w:szCs w:val="28"/>
          <w:u w:val="none" w:color="auto"/>
          <w:vertAlign w:val="superscript"/>
        </w:rPr>
        <w:t>-10</w:t>
      </w:r>
      <w:r>
        <w:rPr>
          <w:rFonts w:hint="default" w:ascii="Times New Roman" w:hAnsi="Times New Roman" w:cs="Times New Roman"/>
          <w:color w:val="auto"/>
          <w:szCs w:val="28"/>
          <w:u w:val="none" w:color="auto"/>
        </w:rPr>
        <w:t>cm/s。</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③贮存区内分类存放不同危险废物，禁止混放不相容的危险废物。</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④危险废物贮存区设围堰、集水沟和收集槽，对事故情况下泄漏的物料进行收集，防止泄漏物料扩散。</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⑤危险废物贮存区应符合消防要求。危险废物贮存设施应配备照明设施、安全防护服装及工具，并设有应急防护设施。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⑥危废的暂存区必须有明显标志，具有耐腐蚀、耐压、密封和不与所贮存的废物发生</w:t>
      </w:r>
      <w:r>
        <w:rPr>
          <w:rFonts w:hint="eastAsia" w:ascii="Times New Roman" w:hAnsi="Times New Roman" w:eastAsia="宋体" w:cs="Times New Roman"/>
          <w:color w:val="auto"/>
          <w:szCs w:val="28"/>
          <w:u w:val="none" w:color="auto"/>
          <w:lang w:eastAsia="zh-CN"/>
        </w:rPr>
        <w:t>反</w:t>
      </w:r>
      <w:r>
        <w:rPr>
          <w:rFonts w:hint="default" w:ascii="Times New Roman" w:hAnsi="Times New Roman" w:cs="Times New Roman"/>
          <w:color w:val="auto"/>
          <w:szCs w:val="28"/>
          <w:u w:val="none" w:color="auto"/>
        </w:rPr>
        <w:t>应等特性。</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⑦危险废物贮存设施内清理出来的泄漏物，一律按危险废物处理；存放危废为具有挥发性气体的仓库内必须有导出口及气体净化装置；装载液体、半固体危险废物的容器内须留足够空间，容器顶部与液体表面之间保留100毫米以上的空间。用以存放装载液体、半固体危险废物容器的地方，必须有耐腐蚀的硬化地面，且表面无裂隙。</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3）危险废物运输污染防治措施分析危险废物运输中应做到以下几点：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①危险废物的运输车辆须经主管单位检查，并持有有关单位签发的许可证，负责运输的司机应通过培训，持有证明文件。</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②承载危险废物的车辆须有明显的标志或适当的危险符号，以引起注意。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③载有危险废物的车辆在公路上行驶时，需持有运输许可证，其上应注明废物来源、性质和运往地点。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④组织危险废物的运输单位，在事先需</w:t>
      </w:r>
      <w:r>
        <w:rPr>
          <w:rFonts w:hint="eastAsia" w:ascii="Times New Roman" w:hAnsi="Times New Roman" w:eastAsia="宋体" w:cs="Times New Roman"/>
          <w:color w:val="auto"/>
          <w:szCs w:val="28"/>
          <w:u w:val="none" w:color="auto"/>
          <w:lang w:eastAsia="zh-CN"/>
        </w:rPr>
        <w:t>做出</w:t>
      </w:r>
      <w:r>
        <w:rPr>
          <w:rFonts w:hint="default" w:ascii="Times New Roman" w:hAnsi="Times New Roman" w:cs="Times New Roman"/>
          <w:color w:val="auto"/>
          <w:szCs w:val="28"/>
          <w:u w:val="none" w:color="auto"/>
        </w:rPr>
        <w:t>周密的运输计划和行驶路线，其中包括有效的废物泄漏情况下的应急措施。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通过采取上述措施和管理方案，可满足危险废物临时存放相关标准的要求，将危险废物可能带来的环境影响降到最低。</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4）危险废物管理措施</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①须做好危险废物情况的</w:t>
      </w:r>
      <w:r>
        <w:rPr>
          <w:rFonts w:hint="eastAsia" w:ascii="Times New Roman" w:hAnsi="Times New Roman" w:eastAsia="宋体" w:cs="Times New Roman"/>
          <w:color w:val="auto"/>
          <w:szCs w:val="28"/>
          <w:u w:val="none" w:color="auto"/>
          <w:lang w:eastAsia="zh-CN"/>
        </w:rPr>
        <w:t>记</w:t>
      </w:r>
      <w:r>
        <w:rPr>
          <w:rFonts w:hint="default" w:ascii="Times New Roman" w:hAnsi="Times New Roman" w:cs="Times New Roman"/>
          <w:color w:val="auto"/>
          <w:szCs w:val="28"/>
          <w:u w:val="none" w:color="auto"/>
        </w:rPr>
        <w:t>录，记录上须注明危险废物的名称、来源、数量、特性和包装容器的类别、入库日期、堆放库位、废物出库日期及接收单位名称，并对各类固废分类堆存。</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②加强危险废物在厂内和厂外的转运管理，严格危废转运通道，尽量减少固废撒落，对撒落的固废进行及时清扫，避免二次污染。</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③定期对库进行检查，发现破损，应及时进行修理。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④收集、贮存、运输、利用、处置危险废物的设施、场所，危险废物的容器和包装物必须按《危险废物贮存污染控制标准》</w:t>
      </w:r>
      <w:r>
        <w:rPr>
          <w:rFonts w:hint="eastAsia" w:ascii="Times New Roman" w:hAnsi="Times New Roman" w:eastAsia="宋体" w:cs="Times New Roman"/>
          <w:color w:val="auto"/>
          <w:szCs w:val="28"/>
          <w:u w:val="none" w:color="auto"/>
          <w:lang w:eastAsia="zh-CN"/>
        </w:rPr>
        <w:t>（GB18597-2023）</w:t>
      </w:r>
      <w:r>
        <w:rPr>
          <w:rFonts w:hint="default" w:ascii="Times New Roman" w:hAnsi="Times New Roman" w:cs="Times New Roman"/>
          <w:color w:val="auto"/>
          <w:szCs w:val="28"/>
          <w:u w:val="none" w:color="auto"/>
        </w:rPr>
        <w:t>附录A和《环境保护图形标志-固体废物贮存（处置）场》</w:t>
      </w:r>
      <w:r>
        <w:rPr>
          <w:rFonts w:hint="eastAsia" w:ascii="Times New Roman" w:hAnsi="Times New Roman" w:eastAsia="宋体" w:cs="Times New Roman"/>
          <w:color w:val="auto"/>
          <w:szCs w:val="28"/>
          <w:u w:val="none" w:color="auto"/>
          <w:lang w:eastAsia="zh-CN"/>
        </w:rPr>
        <w:t>（GB15562.2-1995）修改单</w:t>
      </w:r>
      <w:r>
        <w:rPr>
          <w:rFonts w:hint="default" w:ascii="Times New Roman" w:hAnsi="Times New Roman" w:cs="Times New Roman"/>
          <w:color w:val="auto"/>
          <w:szCs w:val="28"/>
          <w:u w:val="none" w:color="auto"/>
        </w:rPr>
        <w:t>所示标签设置危险废物识别标志。</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⑤按照危险废物特性分类进行收集、贮存，危险废物包装容器上标识明确；危险废物按种类分别存放，且不同类废物间有明显的间隔（如过道等）。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⑥加强对危险固废的日常管理，并按国家有关危险废物管理办法，办理好危险废物的贮存、转移手续。</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⑦在转移危险废物前，向环保部门报批危险废物转移计划，并得到批准。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⑧转移危险废物的，按照《危险废物转移联单管理办法》有关规定，如实填写转移联单中产生单位栏目，并加盖公章。</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⑨建立危险废物贮存台账，并如实记录危险废物贮存情况。</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⑩有与危险废物经营单位签订的委托利用、处置危险废物合同。</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⑪贮存期限不超过一年；延长贮存期限的，报经环保部门批准。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⑫相关管理人员和从事危险废物收集、运送、暂存、利用和处置等工作人员掌握国家相关法律法规、规章和有关规范性文件的规定；熟悉本单位指定的危险废物管理规章制度、工作流程和应急预案等各项要求；掌握危险废物分类收集、运送、暂存的正确方法和操作程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综上所述，经采取以上措施后，本项目生产过程中产生的废物均能得到安全有效</w:t>
      </w:r>
      <w:r>
        <w:rPr>
          <w:rFonts w:hint="eastAsia" w:ascii="Times New Roman" w:hAnsi="Times New Roman" w:eastAsia="宋体" w:cs="Times New Roman"/>
          <w:color w:val="auto"/>
          <w:szCs w:val="28"/>
          <w:u w:val="none" w:color="auto"/>
          <w:lang w:eastAsia="zh-CN"/>
        </w:rPr>
        <w:t>地</w:t>
      </w:r>
      <w:r>
        <w:rPr>
          <w:rFonts w:hint="default" w:ascii="Times New Roman" w:hAnsi="Times New Roman" w:cs="Times New Roman"/>
          <w:color w:val="auto"/>
          <w:szCs w:val="28"/>
          <w:u w:val="none" w:color="auto"/>
        </w:rPr>
        <w:t>处理或处置，不外排，不会产生二次污染，满足环保要求。</w:t>
      </w:r>
    </w:p>
    <w:p>
      <w:pPr>
        <w:pStyle w:val="10"/>
        <w:bidi w:val="0"/>
        <w:spacing w:line="360" w:lineRule="auto"/>
        <w:rPr>
          <w:rFonts w:hint="default" w:ascii="Times New Roman" w:hAnsi="Times New Roman" w:cs="Times New Roman"/>
          <w:color w:val="auto"/>
          <w:sz w:val="32"/>
          <w:szCs w:val="32"/>
        </w:rPr>
      </w:pPr>
      <w:bookmarkStart w:id="109" w:name="bookmark110"/>
      <w:bookmarkEnd w:id="109"/>
      <w:bookmarkStart w:id="110" w:name="_Toc871"/>
      <w:r>
        <w:rPr>
          <w:rFonts w:hint="default" w:ascii="Times New Roman" w:hAnsi="Times New Roman" w:cs="Times New Roman"/>
          <w:color w:val="auto"/>
          <w:sz w:val="32"/>
          <w:szCs w:val="32"/>
        </w:rPr>
        <w:t>土壤、地下水污染防治措施</w:t>
      </w:r>
      <w:bookmarkEnd w:id="110"/>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本项目为大气污染型项目，正常情况下对土壤及地下水影响较小，本次环评简单提出相应的防治措施。污染防治措施均可按照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源头控制、末端防治、污染监控、应急响应</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相结合的原则，采取</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主动防治和被动防治</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相结合的方式进行。</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eastAsia="宋体" w:cs="Times New Roman"/>
          <w:b/>
          <w:bCs/>
          <w:snapToGrid w:val="0"/>
          <w:color w:val="auto"/>
          <w:spacing w:val="-5"/>
          <w:kern w:val="0"/>
          <w:sz w:val="24"/>
          <w:szCs w:val="24"/>
          <w:lang w:val="en-US" w:eastAsia="en-US" w:bidi="ar-SA"/>
        </w:rPr>
        <w:t>主动防渗措施：</w:t>
      </w:r>
      <w:r>
        <w:rPr>
          <w:rFonts w:hint="default" w:ascii="Times New Roman" w:hAnsi="Times New Roman" w:cs="Times New Roman"/>
          <w:color w:val="auto"/>
          <w:szCs w:val="28"/>
          <w:u w:val="none" w:color="auto"/>
        </w:rPr>
        <w:t>为防止和减少污染物跑、冒、滴、漏，从源头上应采取控制污染物泄漏的各种防渗措施。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（1）布置</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1）处理和储存含危险介质的设备应按其物料的物性分类集中布置，对液体原料储罐区等设围堰，围堰内应设导排系统，围堰地面应采取不渗透的材料铺砌。</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2）应设置防止泄漏的污染物和受污染的消防水直接排出厂外的设施。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（2）设备</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各设备的密封处应选择密封性能好的密封形式，所有转动设备应防止有害介质泄漏、建有集液盘；液体原料储罐需为专用的玻璃钢材质，且设备底部设置底部托盘，不</w:t>
      </w:r>
      <w:r>
        <w:rPr>
          <w:rFonts w:hint="eastAsia" w:ascii="Times New Roman" w:hAnsi="Times New Roman" w:eastAsia="宋体" w:cs="Times New Roman"/>
          <w:color w:val="auto"/>
          <w:szCs w:val="28"/>
          <w:u w:val="none" w:color="auto"/>
          <w:lang w:eastAsia="zh-CN"/>
        </w:rPr>
        <w:t>与</w:t>
      </w:r>
      <w:r>
        <w:rPr>
          <w:rFonts w:hint="default" w:ascii="Times New Roman" w:hAnsi="Times New Roman" w:cs="Times New Roman"/>
          <w:color w:val="auto"/>
          <w:szCs w:val="28"/>
          <w:u w:val="none" w:color="auto"/>
        </w:rPr>
        <w:t>地面直接接触；厂区需设置事故收集池，并设有排水措施，及时收集输送跑、冒、滴、漏污水。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（3）管理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加强员工的培训，提高员工的责任感及专业性；加强对设备及防护设施、防渗设施的日常巡检、维护，填写巡检记录，明确责任人，确保防护设施及防渗设施完好，全面杜绝污染物质长时间连续渗漏及瞬时大量渗漏进入地下水体及土壤中的现象；在厂区场地上下游设置地下水观测井，定期</w:t>
      </w:r>
      <w:r>
        <w:rPr>
          <w:rFonts w:hint="eastAsia" w:ascii="Times New Roman" w:hAnsi="Times New Roman" w:eastAsia="宋体" w:cs="Times New Roman"/>
          <w:color w:val="auto"/>
          <w:szCs w:val="28"/>
          <w:u w:val="none" w:color="auto"/>
          <w:lang w:eastAsia="zh-CN"/>
        </w:rPr>
        <w:t>监测</w:t>
      </w:r>
      <w:r>
        <w:rPr>
          <w:rFonts w:hint="default" w:ascii="Times New Roman" w:hAnsi="Times New Roman" w:cs="Times New Roman"/>
          <w:color w:val="auto"/>
          <w:szCs w:val="28"/>
          <w:u w:val="none" w:color="auto"/>
        </w:rPr>
        <w:t>地下水质，掌握地下水水质变化趋势；在重点影响区设置土壤监测点，开展跟踪监测。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eastAsia="宋体" w:cs="Times New Roman"/>
          <w:b/>
          <w:bCs/>
          <w:snapToGrid w:val="0"/>
          <w:color w:val="auto"/>
          <w:spacing w:val="-5"/>
          <w:kern w:val="0"/>
          <w:sz w:val="24"/>
          <w:szCs w:val="24"/>
          <w:lang w:val="en-US" w:eastAsia="en-US" w:bidi="ar-SA"/>
        </w:rPr>
        <w:t>被动防渗措施：</w:t>
      </w:r>
      <w:r>
        <w:rPr>
          <w:rFonts w:hint="default" w:ascii="Times New Roman" w:hAnsi="Times New Roman" w:cs="Times New Roman"/>
          <w:color w:val="auto"/>
          <w:szCs w:val="28"/>
          <w:u w:val="none" w:color="auto"/>
        </w:rPr>
        <w:t>为了防止和减少泄漏的污染物渗漏进入地下水体及土壤中，</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需采取各种防渗措施，主要指渗漏液的隔离及收集措施。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（1）防渗区划分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按照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考虑重点，辐射全面</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的防腐防渗原则，将全厂划分为</w:t>
      </w:r>
      <w:r>
        <w:rPr>
          <w:rFonts w:hint="eastAsia" w:ascii="Times New Roman" w:hAnsi="Times New Roman" w:eastAsia="宋体" w:cs="Times New Roman"/>
          <w:color w:val="auto"/>
          <w:szCs w:val="28"/>
          <w:u w:val="none" w:color="auto"/>
          <w:lang w:val="en-US" w:eastAsia="zh-CN"/>
        </w:rPr>
        <w:t>简单污染防治区、</w:t>
      </w:r>
      <w:r>
        <w:rPr>
          <w:rFonts w:hint="default" w:ascii="Times New Roman" w:hAnsi="Times New Roman" w:cs="Times New Roman"/>
          <w:color w:val="auto"/>
          <w:szCs w:val="28"/>
          <w:u w:val="none" w:color="auto"/>
        </w:rPr>
        <w:t>一般污染防治区和重点污染防治区。</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重点污染防治区：对地下水及土壤环境污染的物料或污染物泄漏后，不易及时发现和处理的区域或部位，对于本次建设项目来说，列入重点污染防治区的主要为VOCs原料仓库、危废暂存间。重点防渗区均用水泥硬化，四周壁用砖砌再用水泥硬化防渗（防渗层为至少2mm厚高密度聚乙烯，或至少2mm厚的</w:t>
      </w:r>
      <w:r>
        <w:rPr>
          <w:rFonts w:hint="eastAsia" w:ascii="Times New Roman" w:hAnsi="Times New Roman" w:eastAsia="宋体" w:cs="Times New Roman"/>
          <w:color w:val="auto"/>
          <w:szCs w:val="28"/>
          <w:u w:val="none" w:color="auto"/>
          <w:lang w:eastAsia="zh-CN"/>
        </w:rPr>
        <w:t>其他人工</w:t>
      </w:r>
      <w:r>
        <w:rPr>
          <w:rFonts w:hint="default" w:ascii="Times New Roman" w:hAnsi="Times New Roman" w:cs="Times New Roman"/>
          <w:color w:val="auto"/>
          <w:szCs w:val="28"/>
          <w:u w:val="none" w:color="auto"/>
        </w:rPr>
        <w:t>材料，渗透系数≤10</w:t>
      </w:r>
      <w:r>
        <w:rPr>
          <w:rFonts w:hint="default" w:ascii="Times New Roman" w:hAnsi="Times New Roman" w:cs="Times New Roman"/>
          <w:color w:val="auto"/>
          <w:szCs w:val="28"/>
          <w:u w:val="none" w:color="auto"/>
          <w:vertAlign w:val="superscript"/>
        </w:rPr>
        <w:t>-10</w:t>
      </w:r>
      <w:r>
        <w:rPr>
          <w:rFonts w:hint="default" w:ascii="Times New Roman" w:hAnsi="Times New Roman" w:cs="Times New Roman"/>
          <w:color w:val="auto"/>
          <w:szCs w:val="28"/>
          <w:u w:val="none" w:color="auto"/>
        </w:rPr>
        <w:t>cm/s）。</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一般污染防治区：对地下水及土壤环境污染的物料或污染物泄漏后，可及时发现和处理的区域或部位，对于本次建设项目来说，列入一般污染防治区的主要为生产厂房。一般防渗区地面采取粘土铺底，等效黏土防渗层Mb≥1.5m，K≤1×10</w:t>
      </w:r>
      <w:r>
        <w:rPr>
          <w:rFonts w:hint="default" w:ascii="Times New Roman" w:hAnsi="Times New Roman" w:cs="Times New Roman"/>
          <w:color w:val="auto"/>
          <w:szCs w:val="28"/>
          <w:u w:val="none" w:color="auto"/>
          <w:vertAlign w:val="superscript"/>
        </w:rPr>
        <w:t>-7</w:t>
      </w:r>
      <w:r>
        <w:rPr>
          <w:rFonts w:hint="default" w:ascii="Times New Roman" w:hAnsi="Times New Roman" w:cs="Times New Roman"/>
          <w:color w:val="auto"/>
          <w:szCs w:val="28"/>
          <w:u w:val="none" w:color="auto"/>
        </w:rPr>
        <w:t>cm/s，再在上层铺10~15cm的水泥进行硬化。</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简单防渗区：对于本次建设项目来说，列入</w:t>
      </w:r>
      <w:r>
        <w:rPr>
          <w:rFonts w:hint="eastAsia" w:ascii="Times New Roman" w:hAnsi="Times New Roman" w:eastAsia="宋体" w:cs="Times New Roman"/>
          <w:color w:val="auto"/>
          <w:szCs w:val="28"/>
          <w:u w:val="none" w:color="auto"/>
          <w:lang w:val="en-US" w:eastAsia="zh-CN"/>
        </w:rPr>
        <w:t>简单防渗</w:t>
      </w:r>
      <w:r>
        <w:rPr>
          <w:rFonts w:hint="default" w:ascii="Times New Roman" w:hAnsi="Times New Roman" w:cs="Times New Roman"/>
          <w:color w:val="auto"/>
          <w:szCs w:val="28"/>
          <w:u w:val="none" w:color="auto"/>
        </w:rPr>
        <w:t>区的主要为办公区，可采取非铺砌地坪或普通混凝土地坪，不设置专门的防渗层。</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综上分析，建设项目场区地下水环境、土壤环境不敏感，在落实好防渗、防污措施后，本项目污染物能得到有效处理，对地下水及土壤环境影响较小。</w:t>
      </w:r>
    </w:p>
    <w:p>
      <w:pPr>
        <w:pStyle w:val="10"/>
        <w:bidi w:val="0"/>
        <w:spacing w:line="360" w:lineRule="auto"/>
        <w:rPr>
          <w:rFonts w:hint="default" w:ascii="Times New Roman" w:hAnsi="Times New Roman" w:cs="Times New Roman"/>
          <w:color w:val="auto"/>
          <w:sz w:val="32"/>
          <w:szCs w:val="32"/>
        </w:rPr>
      </w:pPr>
      <w:bookmarkStart w:id="111" w:name="bookmark112"/>
      <w:bookmarkEnd w:id="111"/>
      <w:bookmarkStart w:id="112" w:name="_Toc4197"/>
      <w:r>
        <w:rPr>
          <w:rFonts w:hint="default" w:ascii="Times New Roman" w:hAnsi="Times New Roman" w:cs="Times New Roman"/>
          <w:color w:val="auto"/>
          <w:sz w:val="32"/>
          <w:szCs w:val="32"/>
        </w:rPr>
        <w:t>本项目拟采用环保设施一览表</w:t>
      </w:r>
      <w:bookmarkEnd w:id="112"/>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本工程的环保工程措施主要用于水、大气、固废的污染防治，本项目污染防治措施情况见表</w:t>
      </w:r>
      <w:r>
        <w:rPr>
          <w:rFonts w:hint="eastAsia" w:ascii="Times New Roman" w:hAnsi="Times New Roman" w:eastAsia="宋体" w:cs="Times New Roman"/>
          <w:color w:val="auto"/>
          <w:szCs w:val="28"/>
          <w:u w:val="none" w:color="auto"/>
          <w:lang w:val="en-US" w:eastAsia="zh-CN"/>
        </w:rPr>
        <w:t>8</w:t>
      </w:r>
      <w:r>
        <w:rPr>
          <w:rFonts w:hint="default" w:ascii="Times New Roman" w:hAnsi="Times New Roman" w:cs="Times New Roman"/>
          <w:color w:val="auto"/>
          <w:szCs w:val="28"/>
          <w:u w:val="none" w:color="auto"/>
        </w:rPr>
        <w:t>.6-1。</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8.6</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建设项目污染防治措施一览表</w:t>
      </w:r>
    </w:p>
    <w:p>
      <w:pPr>
        <w:spacing w:line="19" w:lineRule="auto"/>
        <w:rPr>
          <w:rFonts w:ascii="Arial"/>
          <w:color w:val="auto"/>
          <w:sz w:val="2"/>
        </w:rPr>
      </w:pP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98"/>
        <w:gridCol w:w="570"/>
        <w:gridCol w:w="311"/>
        <w:gridCol w:w="1989"/>
        <w:gridCol w:w="1860"/>
        <w:gridCol w:w="376"/>
        <w:gridCol w:w="2208"/>
        <w:gridCol w:w="7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4"/>
                <w:sz w:val="21"/>
                <w:szCs w:val="21"/>
                <w:u w:val="none" w:color="auto"/>
              </w:rPr>
              <w:t>类别</w:t>
            </w: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污染源</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治理措施（建设数量、</w:t>
            </w:r>
            <w:r>
              <w:rPr>
                <w:rFonts w:hint="default" w:ascii="Times New Roman" w:hAnsi="Times New Roman" w:cs="Times New Roman"/>
                <w:color w:val="auto"/>
                <w:spacing w:val="7"/>
                <w:sz w:val="21"/>
                <w:szCs w:val="21"/>
                <w:u w:val="none" w:color="auto"/>
              </w:rPr>
              <w:t>规模、处理能力等）</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处理效果、执行标准或拟达要</w:t>
            </w:r>
            <w:r>
              <w:rPr>
                <w:rFonts w:hint="default" w:ascii="Times New Roman" w:hAnsi="Times New Roman" w:cs="Times New Roman"/>
                <w:color w:val="auto"/>
                <w:sz w:val="21"/>
                <w:szCs w:val="21"/>
                <w:u w:val="none" w:color="auto"/>
              </w:rPr>
              <w:t>求</w:t>
            </w:r>
          </w:p>
        </w:tc>
        <w:tc>
          <w:tcPr>
            <w:tcW w:w="44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完成时间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78"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废气</w:t>
            </w:r>
          </w:p>
        </w:tc>
        <w:tc>
          <w:tcPr>
            <w:tcW w:w="341"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4"/>
                <w:sz w:val="21"/>
                <w:szCs w:val="21"/>
                <w:u w:val="none" w:color="auto"/>
              </w:rPr>
              <w:t>VOCs</w:t>
            </w:r>
          </w:p>
        </w:tc>
        <w:tc>
          <w:tcPr>
            <w:tcW w:w="184"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有组织</w:t>
            </w:r>
          </w:p>
        </w:tc>
        <w:tc>
          <w:tcPr>
            <w:tcW w:w="1190"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1"/>
                <w:sz w:val="21"/>
                <w:szCs w:val="21"/>
                <w:u w:val="none" w:color="auto"/>
              </w:rPr>
              <w:t>生产车间内印刷、复</w:t>
            </w:r>
            <w:r>
              <w:rPr>
                <w:rFonts w:hint="default" w:ascii="Times New Roman" w:hAnsi="Times New Roman" w:cs="Times New Roman"/>
                <w:color w:val="auto"/>
                <w:spacing w:val="7"/>
                <w:sz w:val="21"/>
                <w:szCs w:val="21"/>
                <w:u w:val="none" w:color="auto"/>
              </w:rPr>
              <w:t>合等工序</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重点工段设置烘箱集气系统、负压收集系统</w:t>
            </w:r>
          </w:p>
        </w:tc>
        <w:tc>
          <w:tcPr>
            <w:tcW w:w="1546" w:type="pct"/>
            <w:gridSpan w:val="2"/>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去除率</w:t>
            </w:r>
            <w:r>
              <w:rPr>
                <w:rFonts w:hint="default" w:ascii="Times New Roman" w:hAnsi="Times New Roman" w:eastAsia="Calibri" w:cs="Times New Roman"/>
                <w:color w:val="auto"/>
                <w:spacing w:val="6"/>
                <w:sz w:val="21"/>
                <w:szCs w:val="21"/>
                <w:u w:val="none" w:color="auto"/>
              </w:rPr>
              <w:t>≥98%</w:t>
            </w:r>
            <w:r>
              <w:rPr>
                <w:rFonts w:hint="default" w:ascii="Times New Roman" w:hAnsi="Times New Roman" w:cs="Times New Roman"/>
                <w:color w:val="auto"/>
                <w:spacing w:val="6"/>
                <w:sz w:val="21"/>
                <w:szCs w:val="21"/>
                <w:u w:val="none" w:color="auto"/>
              </w:rPr>
              <w:t>，满足《印刷业挥</w:t>
            </w:r>
            <w:r>
              <w:rPr>
                <w:rFonts w:hint="default" w:ascii="Times New Roman" w:hAnsi="Times New Roman" w:cs="Times New Roman"/>
                <w:color w:val="auto"/>
                <w:spacing w:val="7"/>
                <w:sz w:val="21"/>
                <w:szCs w:val="21"/>
                <w:u w:val="none" w:color="auto"/>
              </w:rPr>
              <w:t>发性有机物排放标准》</w:t>
            </w:r>
            <w:r>
              <w:rPr>
                <w:rFonts w:hint="default" w:ascii="Times New Roman" w:hAnsi="Times New Roman" w:cs="Times New Roman"/>
                <w:color w:val="auto"/>
                <w:spacing w:val="3"/>
                <w:sz w:val="21"/>
                <w:szCs w:val="21"/>
                <w:u w:val="none" w:color="auto"/>
              </w:rPr>
              <w:t>（</w:t>
            </w:r>
            <w:r>
              <w:rPr>
                <w:rFonts w:hint="default" w:ascii="Times New Roman" w:hAnsi="Times New Roman" w:eastAsia="Calibri" w:cs="Times New Roman"/>
                <w:color w:val="auto"/>
                <w:sz w:val="21"/>
                <w:szCs w:val="21"/>
                <w:u w:val="none" w:color="auto"/>
              </w:rPr>
              <w:t>DB</w:t>
            </w:r>
            <w:r>
              <w:rPr>
                <w:rFonts w:hint="default" w:ascii="Times New Roman" w:hAnsi="Times New Roman" w:eastAsia="Calibri" w:cs="Times New Roman"/>
                <w:color w:val="auto"/>
                <w:spacing w:val="3"/>
                <w:sz w:val="21"/>
                <w:szCs w:val="21"/>
                <w:u w:val="none" w:color="auto"/>
              </w:rPr>
              <w:t>43/1357-2017</w:t>
            </w:r>
            <w:r>
              <w:rPr>
                <w:rFonts w:hint="default" w:ascii="Times New Roman" w:hAnsi="Times New Roman" w:cs="Times New Roman"/>
                <w:color w:val="auto"/>
                <w:spacing w:val="3"/>
                <w:sz w:val="21"/>
                <w:szCs w:val="21"/>
                <w:u w:val="none" w:color="auto"/>
              </w:rPr>
              <w:t>）表</w:t>
            </w:r>
            <w:r>
              <w:rPr>
                <w:rFonts w:hint="default" w:ascii="Times New Roman" w:hAnsi="Times New Roman" w:eastAsia="Calibri" w:cs="Times New Roman"/>
                <w:color w:val="auto"/>
                <w:spacing w:val="3"/>
                <w:sz w:val="21"/>
                <w:szCs w:val="21"/>
                <w:u w:val="none" w:color="auto"/>
              </w:rPr>
              <w:t>1</w:t>
            </w:r>
            <w:r>
              <w:rPr>
                <w:rFonts w:hint="default" w:ascii="Times New Roman" w:hAnsi="Times New Roman" w:eastAsia="宋体" w:cs="Times New Roman"/>
                <w:color w:val="auto"/>
                <w:spacing w:val="3"/>
                <w:sz w:val="21"/>
                <w:szCs w:val="21"/>
                <w:u w:val="none" w:color="auto"/>
                <w:lang w:eastAsia="zh-CN"/>
              </w:rPr>
              <w:t>、</w:t>
            </w:r>
            <w:r>
              <w:rPr>
                <w:rFonts w:hint="default" w:ascii="Times New Roman" w:hAnsi="Times New Roman" w:eastAsia="宋体" w:cs="Times New Roman"/>
                <w:color w:val="auto"/>
                <w:spacing w:val="3"/>
                <w:sz w:val="21"/>
                <w:szCs w:val="21"/>
                <w:u w:val="none" w:color="auto"/>
                <w:lang w:val="en-US" w:eastAsia="zh-CN"/>
              </w:rPr>
              <w:t>表2</w:t>
            </w:r>
            <w:r>
              <w:rPr>
                <w:rFonts w:hint="default" w:ascii="Times New Roman" w:hAnsi="Times New Roman" w:cs="Times New Roman"/>
                <w:color w:val="auto"/>
                <w:spacing w:val="3"/>
                <w:sz w:val="21"/>
                <w:szCs w:val="21"/>
                <w:u w:val="none" w:color="auto"/>
              </w:rPr>
              <w:t>标准限</w:t>
            </w:r>
            <w:r>
              <w:rPr>
                <w:rFonts w:hint="default" w:ascii="Times New Roman" w:hAnsi="Times New Roman" w:cs="Times New Roman"/>
                <w:color w:val="auto"/>
                <w:sz w:val="21"/>
                <w:szCs w:val="21"/>
                <w:u w:val="none" w:color="auto"/>
              </w:rPr>
              <w:t>值</w:t>
            </w:r>
          </w:p>
        </w:tc>
        <w:tc>
          <w:tcPr>
            <w:tcW w:w="445"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position w:val="4"/>
                <w:sz w:val="21"/>
                <w:szCs w:val="21"/>
                <w:u w:val="none" w:color="auto"/>
              </w:rPr>
              <w:t>与建设项</w:t>
            </w:r>
            <w:r>
              <w:rPr>
                <w:rFonts w:hint="default" w:ascii="Times New Roman" w:hAnsi="Times New Roman" w:cs="Times New Roman"/>
                <w:color w:val="auto"/>
                <w:spacing w:val="9"/>
                <w:position w:val="5"/>
                <w:sz w:val="21"/>
                <w:szCs w:val="21"/>
                <w:u w:val="none" w:color="auto"/>
              </w:rPr>
              <w:t>目</w:t>
            </w:r>
            <w:r>
              <w:rPr>
                <w:rFonts w:hint="default" w:ascii="Times New Roman" w:hAnsi="Times New Roman" w:cs="Times New Roman"/>
                <w:color w:val="auto"/>
                <w:spacing w:val="9"/>
                <w:position w:val="4"/>
                <w:sz w:val="21"/>
                <w:szCs w:val="21"/>
                <w:u w:val="none" w:color="auto"/>
              </w:rPr>
              <w:t>同时设计</w:t>
            </w:r>
            <w:r>
              <w:rPr>
                <w:rFonts w:hint="default" w:ascii="Times New Roman" w:hAnsi="Times New Roman" w:cs="Times New Roman"/>
                <w:color w:val="auto"/>
                <w:spacing w:val="9"/>
                <w:position w:val="-3"/>
                <w:sz w:val="21"/>
                <w:szCs w:val="21"/>
                <w:u w:val="none" w:color="auto"/>
              </w:rPr>
              <w:t>，</w:t>
            </w:r>
            <w:r>
              <w:rPr>
                <w:rFonts w:hint="default" w:ascii="Times New Roman" w:hAnsi="Times New Roman" w:cs="Times New Roman"/>
                <w:color w:val="auto"/>
                <w:spacing w:val="9"/>
                <w:position w:val="4"/>
                <w:sz w:val="21"/>
                <w:szCs w:val="21"/>
                <w:u w:val="none" w:color="auto"/>
              </w:rPr>
              <w:t>同时施工</w:t>
            </w:r>
            <w:r>
              <w:rPr>
                <w:rFonts w:hint="default" w:ascii="Times New Roman" w:hAnsi="Times New Roman" w:cs="Times New Roman"/>
                <w:color w:val="auto"/>
                <w:spacing w:val="9"/>
                <w:position w:val="-3"/>
                <w:sz w:val="21"/>
                <w:szCs w:val="21"/>
                <w:u w:val="none" w:color="auto"/>
              </w:rPr>
              <w:t>，</w:t>
            </w:r>
            <w:r>
              <w:rPr>
                <w:rFonts w:hint="default" w:ascii="Times New Roman" w:hAnsi="Times New Roman" w:cs="Times New Roman"/>
                <w:color w:val="auto"/>
                <w:spacing w:val="9"/>
                <w:position w:val="4"/>
                <w:sz w:val="21"/>
                <w:szCs w:val="21"/>
                <w:u w:val="none" w:color="auto"/>
              </w:rPr>
              <w:t>同时投</w:t>
            </w:r>
            <w:r>
              <w:rPr>
                <w:rFonts w:hint="default" w:ascii="Times New Roman" w:hAnsi="Times New Roman" w:cs="Times New Roman"/>
                <w:color w:val="auto"/>
                <w:spacing w:val="8"/>
                <w:position w:val="4"/>
                <w:sz w:val="21"/>
                <w:szCs w:val="21"/>
                <w:u w:val="none" w:color="auto"/>
              </w:rPr>
              <w:t>入运行</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7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8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19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eastAsia="Calibri" w:cs="Times New Roman"/>
                <w:color w:val="auto"/>
                <w:spacing w:val="9"/>
                <w:sz w:val="21"/>
                <w:szCs w:val="21"/>
                <w:u w:val="none" w:color="auto"/>
              </w:rPr>
              <w:t>1</w:t>
            </w:r>
            <w:r>
              <w:rPr>
                <w:rFonts w:hint="default" w:ascii="Times New Roman" w:hAnsi="Times New Roman" w:cs="Times New Roman"/>
                <w:color w:val="auto"/>
                <w:spacing w:val="9"/>
                <w:sz w:val="21"/>
                <w:szCs w:val="21"/>
                <w:u w:val="none" w:color="auto"/>
              </w:rPr>
              <w:t>套三室</w:t>
            </w:r>
            <w:r>
              <w:rPr>
                <w:rFonts w:hint="default" w:ascii="Times New Roman" w:hAnsi="Times New Roman" w:eastAsia="Calibri" w:cs="Times New Roman"/>
                <w:color w:val="auto"/>
                <w:sz w:val="21"/>
                <w:szCs w:val="21"/>
                <w:u w:val="none" w:color="auto"/>
              </w:rPr>
              <w:t>RTO</w:t>
            </w:r>
            <w:r>
              <w:rPr>
                <w:rFonts w:hint="default" w:ascii="Times New Roman" w:hAnsi="Times New Roman" w:cs="Times New Roman"/>
                <w:color w:val="auto"/>
                <w:spacing w:val="9"/>
                <w:sz w:val="21"/>
                <w:szCs w:val="21"/>
                <w:u w:val="none" w:color="auto"/>
              </w:rPr>
              <w:t>蓄热燃</w:t>
            </w:r>
            <w:r>
              <w:rPr>
                <w:rFonts w:hint="default" w:ascii="Times New Roman" w:hAnsi="Times New Roman" w:cs="Times New Roman"/>
                <w:color w:val="auto"/>
                <w:spacing w:val="7"/>
                <w:sz w:val="21"/>
                <w:szCs w:val="21"/>
                <w:u w:val="none" w:color="auto"/>
              </w:rPr>
              <w:t>烧系统</w:t>
            </w:r>
          </w:p>
        </w:tc>
        <w:tc>
          <w:tcPr>
            <w:tcW w:w="1546" w:type="pct"/>
            <w:gridSpan w:val="2"/>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17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8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190"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eastAsia="Calibri" w:cs="Times New Roman"/>
                <w:color w:val="auto"/>
                <w:spacing w:val="5"/>
                <w:sz w:val="21"/>
                <w:szCs w:val="21"/>
                <w:u w:val="none" w:color="auto"/>
              </w:rPr>
              <w:t>1</w:t>
            </w:r>
            <w:r>
              <w:rPr>
                <w:rFonts w:hint="default" w:ascii="Times New Roman" w:hAnsi="Times New Roman" w:cs="Times New Roman"/>
                <w:color w:val="auto"/>
                <w:spacing w:val="5"/>
                <w:sz w:val="21"/>
                <w:szCs w:val="21"/>
                <w:u w:val="none" w:color="auto"/>
              </w:rPr>
              <w:t>根</w:t>
            </w:r>
            <w:r>
              <w:rPr>
                <w:rFonts w:hint="default" w:ascii="Times New Roman" w:hAnsi="Times New Roman" w:eastAsia="Calibri" w:cs="Times New Roman"/>
                <w:color w:val="auto"/>
                <w:spacing w:val="5"/>
                <w:sz w:val="21"/>
                <w:szCs w:val="21"/>
                <w:u w:val="none" w:color="auto"/>
              </w:rPr>
              <w:t>15m</w:t>
            </w:r>
            <w:r>
              <w:rPr>
                <w:rFonts w:hint="default" w:ascii="Times New Roman" w:hAnsi="Times New Roman" w:cs="Times New Roman"/>
                <w:color w:val="auto"/>
                <w:spacing w:val="5"/>
                <w:sz w:val="21"/>
                <w:szCs w:val="21"/>
                <w:u w:val="none" w:color="auto"/>
              </w:rPr>
              <w:t>高排气筒</w:t>
            </w:r>
          </w:p>
        </w:tc>
        <w:tc>
          <w:tcPr>
            <w:tcW w:w="1546" w:type="pct"/>
            <w:gridSpan w:val="2"/>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7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4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8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无组织</w:t>
            </w: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生产厂房</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重点车间密闭，</w:t>
            </w:r>
            <w:r>
              <w:rPr>
                <w:rFonts w:hint="default" w:ascii="Times New Roman" w:hAnsi="Times New Roman" w:cs="Times New Roman"/>
                <w:color w:val="auto"/>
                <w:spacing w:val="9"/>
                <w:sz w:val="21"/>
                <w:szCs w:val="21"/>
                <w:u w:val="none" w:color="auto"/>
              </w:rPr>
              <w:t>调墨、配胶</w:t>
            </w:r>
            <w:r>
              <w:rPr>
                <w:rFonts w:hint="default" w:ascii="Times New Roman" w:hAnsi="Times New Roman" w:cs="Times New Roman"/>
                <w:color w:val="auto"/>
                <w:spacing w:val="8"/>
                <w:sz w:val="21"/>
                <w:szCs w:val="21"/>
                <w:u w:val="none" w:color="auto"/>
              </w:rPr>
              <w:t>设置</w:t>
            </w:r>
            <w:r>
              <w:rPr>
                <w:rFonts w:hint="eastAsia" w:ascii="Times New Roman" w:hAnsi="Times New Roman" w:cs="Times New Roman"/>
                <w:color w:val="auto"/>
                <w:spacing w:val="8"/>
                <w:sz w:val="21"/>
                <w:szCs w:val="21"/>
                <w:u w:val="none" w:color="auto"/>
                <w:lang w:eastAsia="zh-CN"/>
              </w:rPr>
              <w:t>在</w:t>
            </w:r>
            <w:r>
              <w:rPr>
                <w:rFonts w:hint="default" w:ascii="Times New Roman" w:hAnsi="Times New Roman" w:cs="Times New Roman"/>
                <w:color w:val="auto"/>
                <w:spacing w:val="9"/>
                <w:sz w:val="21"/>
                <w:szCs w:val="21"/>
                <w:u w:val="none" w:color="auto"/>
              </w:rPr>
              <w:t>封闭式</w:t>
            </w:r>
            <w:r>
              <w:rPr>
                <w:rFonts w:hint="eastAsia" w:ascii="Times New Roman" w:hAnsi="Times New Roman" w:cs="Times New Roman"/>
                <w:color w:val="auto"/>
                <w:spacing w:val="9"/>
                <w:sz w:val="21"/>
                <w:szCs w:val="21"/>
                <w:u w:val="none" w:color="auto"/>
                <w:lang w:val="en-US" w:eastAsia="zh-CN"/>
              </w:rPr>
              <w:t>车间内</w:t>
            </w:r>
            <w:r>
              <w:rPr>
                <w:rFonts w:hint="default" w:ascii="Times New Roman" w:hAnsi="Times New Roman" w:cs="Times New Roman"/>
                <w:color w:val="auto"/>
                <w:spacing w:val="8"/>
                <w:sz w:val="21"/>
                <w:szCs w:val="21"/>
                <w:u w:val="none" w:color="auto"/>
              </w:rPr>
              <w:t>；车间内工作人</w:t>
            </w:r>
            <w:r>
              <w:rPr>
                <w:rFonts w:hint="default" w:ascii="Times New Roman" w:hAnsi="Times New Roman" w:cs="Times New Roman"/>
                <w:color w:val="auto"/>
                <w:spacing w:val="9"/>
                <w:sz w:val="21"/>
                <w:szCs w:val="21"/>
                <w:u w:val="none" w:color="auto"/>
              </w:rPr>
              <w:t>员佩戴专用口罩、穿</w:t>
            </w:r>
            <w:r>
              <w:rPr>
                <w:rFonts w:hint="default" w:ascii="Times New Roman" w:hAnsi="Times New Roman" w:cs="Times New Roman"/>
                <w:color w:val="auto"/>
                <w:spacing w:val="6"/>
                <w:sz w:val="21"/>
                <w:szCs w:val="21"/>
                <w:u w:val="none" w:color="auto"/>
              </w:rPr>
              <w:t>防护服防护措施</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pacing w:val="9"/>
                <w:sz w:val="21"/>
                <w:szCs w:val="21"/>
                <w:u w:val="none" w:color="auto"/>
              </w:rPr>
              <w:t>厂界浓度满足《印刷业挥发性</w:t>
            </w:r>
            <w:r>
              <w:rPr>
                <w:rFonts w:hint="default" w:ascii="Times New Roman" w:hAnsi="Times New Roman" w:cs="Times New Roman"/>
                <w:color w:val="auto"/>
                <w:spacing w:val="2"/>
                <w:position w:val="2"/>
                <w:sz w:val="21"/>
                <w:szCs w:val="21"/>
                <w:u w:val="none" w:color="auto"/>
              </w:rPr>
              <w:t>有机物排放标准》（</w:t>
            </w:r>
            <w:r>
              <w:rPr>
                <w:rFonts w:hint="default" w:ascii="Times New Roman" w:hAnsi="Times New Roman" w:eastAsia="Calibri" w:cs="Times New Roman"/>
                <w:color w:val="auto"/>
                <w:position w:val="2"/>
                <w:sz w:val="21"/>
                <w:szCs w:val="21"/>
                <w:u w:val="none" w:color="auto"/>
              </w:rPr>
              <w:t>DB</w:t>
            </w:r>
            <w:r>
              <w:rPr>
                <w:rFonts w:hint="default" w:ascii="Times New Roman" w:hAnsi="Times New Roman" w:eastAsia="Calibri" w:cs="Times New Roman"/>
                <w:color w:val="auto"/>
                <w:spacing w:val="2"/>
                <w:position w:val="2"/>
                <w:sz w:val="21"/>
                <w:szCs w:val="21"/>
                <w:u w:val="none" w:color="auto"/>
              </w:rPr>
              <w:t>43/1357</w:t>
            </w:r>
            <w:r>
              <w:rPr>
                <w:rFonts w:hint="default" w:ascii="Times New Roman" w:hAnsi="Times New Roman" w:eastAsia="Calibri" w:cs="Times New Roman"/>
                <w:color w:val="auto"/>
                <w:spacing w:val="7"/>
                <w:sz w:val="21"/>
                <w:szCs w:val="21"/>
                <w:u w:val="none" w:color="auto"/>
              </w:rPr>
              <w:t>-2017</w:t>
            </w:r>
            <w:r>
              <w:rPr>
                <w:rFonts w:hint="default" w:ascii="Times New Roman" w:hAnsi="Times New Roman" w:cs="Times New Roman"/>
                <w:color w:val="auto"/>
                <w:spacing w:val="7"/>
                <w:sz w:val="21"/>
                <w:szCs w:val="21"/>
                <w:u w:val="none" w:color="auto"/>
              </w:rPr>
              <w:t>）表</w:t>
            </w:r>
            <w:r>
              <w:rPr>
                <w:rFonts w:hint="default" w:ascii="Times New Roman" w:hAnsi="Times New Roman" w:eastAsia="Calibri" w:cs="Times New Roman"/>
                <w:color w:val="auto"/>
                <w:spacing w:val="7"/>
                <w:sz w:val="21"/>
                <w:szCs w:val="21"/>
                <w:u w:val="none" w:color="auto"/>
              </w:rPr>
              <w:t>2</w:t>
            </w:r>
            <w:r>
              <w:rPr>
                <w:rFonts w:hint="default" w:ascii="Times New Roman" w:hAnsi="Times New Roman" w:cs="Times New Roman"/>
                <w:color w:val="auto"/>
                <w:spacing w:val="7"/>
                <w:sz w:val="21"/>
                <w:szCs w:val="21"/>
                <w:u w:val="none" w:color="auto"/>
              </w:rPr>
              <w:t>中厂界浓度标准限</w:t>
            </w:r>
            <w:r>
              <w:rPr>
                <w:rFonts w:hint="default" w:ascii="Times New Roman" w:hAnsi="Times New Roman" w:cs="Times New Roman"/>
                <w:color w:val="auto"/>
                <w:spacing w:val="11"/>
                <w:sz w:val="21"/>
                <w:szCs w:val="21"/>
                <w:u w:val="none" w:color="auto"/>
              </w:rPr>
              <w:t>值；厂区内</w:t>
            </w:r>
            <w:r>
              <w:rPr>
                <w:rFonts w:hint="default" w:ascii="Times New Roman" w:hAnsi="Times New Roman" w:eastAsia="Calibri" w:cs="Times New Roman"/>
                <w:color w:val="auto"/>
                <w:sz w:val="21"/>
                <w:szCs w:val="21"/>
                <w:u w:val="none" w:color="auto"/>
              </w:rPr>
              <w:t>VOCs</w:t>
            </w:r>
            <w:r>
              <w:rPr>
                <w:rFonts w:hint="default" w:ascii="Times New Roman" w:hAnsi="Times New Roman" w:cs="Times New Roman"/>
                <w:color w:val="auto"/>
                <w:spacing w:val="11"/>
                <w:sz w:val="21"/>
                <w:szCs w:val="21"/>
                <w:u w:val="none" w:color="auto"/>
              </w:rPr>
              <w:t>无组织排放满</w:t>
            </w:r>
            <w:r>
              <w:rPr>
                <w:rFonts w:hint="default" w:ascii="Times New Roman" w:hAnsi="Times New Roman" w:cs="Times New Roman"/>
                <w:color w:val="auto"/>
                <w:spacing w:val="9"/>
                <w:sz w:val="21"/>
                <w:szCs w:val="21"/>
                <w:u w:val="none" w:color="auto"/>
              </w:rPr>
              <w:t>足</w:t>
            </w:r>
            <w:r>
              <w:rPr>
                <w:rFonts w:hint="default" w:ascii="Times New Roman" w:hAnsi="Times New Roman" w:cs="Times New Roman"/>
                <w:color w:val="auto"/>
                <w:spacing w:val="9"/>
                <w:sz w:val="21"/>
                <w:szCs w:val="21"/>
                <w:u w:val="none" w:color="auto"/>
                <w:lang w:eastAsia="zh-CN"/>
              </w:rPr>
              <w:t>《印刷工业大气污染物排放标准》（GB41616-2022）表A.1厂区内VOCs无组织排放限值</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78"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52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z w:val="21"/>
                <w:szCs w:val="21"/>
                <w:u w:val="none" w:color="auto"/>
              </w:rPr>
              <w:t>SO</w:t>
            </w:r>
            <w:r>
              <w:rPr>
                <w:rFonts w:hint="default" w:ascii="Times New Roman" w:hAnsi="Times New Roman" w:eastAsia="Calibri" w:cs="Times New Roman"/>
                <w:color w:val="auto"/>
                <w:spacing w:val="2"/>
                <w:position w:val="-1"/>
                <w:sz w:val="21"/>
                <w:szCs w:val="21"/>
                <w:u w:val="none" w:color="auto"/>
                <w:vertAlign w:val="subscript"/>
              </w:rPr>
              <w:t>2</w:t>
            </w:r>
            <w:r>
              <w:rPr>
                <w:rFonts w:hint="default" w:ascii="Times New Roman" w:hAnsi="Times New Roman" w:cs="Times New Roman"/>
                <w:color w:val="auto"/>
                <w:spacing w:val="2"/>
                <w:sz w:val="21"/>
                <w:szCs w:val="21"/>
                <w:u w:val="none" w:color="auto"/>
              </w:rPr>
              <w:t>、</w:t>
            </w:r>
            <w:r>
              <w:rPr>
                <w:rFonts w:hint="default" w:ascii="Times New Roman" w:hAnsi="Times New Roman" w:eastAsia="Calibri" w:cs="Times New Roman"/>
                <w:color w:val="auto"/>
                <w:spacing w:val="-1"/>
                <w:sz w:val="21"/>
                <w:szCs w:val="21"/>
                <w:u w:val="none" w:color="auto"/>
              </w:rPr>
              <w:t>NOx</w:t>
            </w: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eastAsia="Calibri" w:cs="Times New Roman"/>
                <w:color w:val="auto"/>
                <w:sz w:val="21"/>
                <w:szCs w:val="21"/>
                <w:u w:val="none" w:color="auto"/>
              </w:rPr>
              <w:t>RTO</w:t>
            </w:r>
            <w:r>
              <w:rPr>
                <w:rFonts w:hint="default" w:ascii="Times New Roman" w:hAnsi="Times New Roman" w:cs="Times New Roman"/>
                <w:color w:val="auto"/>
                <w:spacing w:val="9"/>
                <w:sz w:val="21"/>
                <w:szCs w:val="21"/>
                <w:u w:val="none" w:color="auto"/>
              </w:rPr>
              <w:t>内助燃气燃烧</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10"/>
                <w:sz w:val="21"/>
                <w:szCs w:val="21"/>
                <w:u w:val="none" w:color="auto"/>
              </w:rPr>
              <w:t>依托</w:t>
            </w:r>
            <w:r>
              <w:rPr>
                <w:rFonts w:hint="default" w:ascii="Times New Roman" w:hAnsi="Times New Roman" w:eastAsia="Calibri" w:cs="Times New Roman"/>
                <w:color w:val="auto"/>
                <w:sz w:val="21"/>
                <w:szCs w:val="21"/>
                <w:u w:val="none" w:color="auto"/>
              </w:rPr>
              <w:t>RTO</w:t>
            </w:r>
            <w:r>
              <w:rPr>
                <w:rFonts w:hint="default" w:ascii="Times New Roman" w:hAnsi="Times New Roman" w:cs="Times New Roman"/>
                <w:color w:val="auto"/>
                <w:spacing w:val="10"/>
                <w:sz w:val="21"/>
                <w:szCs w:val="21"/>
                <w:u w:val="none" w:color="auto"/>
              </w:rPr>
              <w:t>蓄热燃烧系</w:t>
            </w:r>
            <w:r>
              <w:rPr>
                <w:rFonts w:hint="default" w:ascii="Times New Roman" w:hAnsi="Times New Roman" w:cs="Times New Roman"/>
                <w:color w:val="auto"/>
                <w:spacing w:val="7"/>
                <w:sz w:val="21"/>
                <w:szCs w:val="21"/>
                <w:u w:val="none" w:color="auto"/>
              </w:rPr>
              <w:t>统的</w:t>
            </w:r>
            <w:r>
              <w:rPr>
                <w:rFonts w:hint="default" w:ascii="Times New Roman" w:hAnsi="Times New Roman" w:eastAsia="Calibri" w:cs="Times New Roman"/>
                <w:color w:val="auto"/>
                <w:spacing w:val="7"/>
                <w:sz w:val="21"/>
                <w:szCs w:val="21"/>
                <w:u w:val="none" w:color="auto"/>
              </w:rPr>
              <w:t>15m</w:t>
            </w:r>
            <w:r>
              <w:rPr>
                <w:rFonts w:hint="default" w:ascii="Times New Roman" w:hAnsi="Times New Roman" w:cs="Times New Roman"/>
                <w:color w:val="auto"/>
                <w:spacing w:val="7"/>
                <w:sz w:val="21"/>
                <w:szCs w:val="21"/>
                <w:u w:val="none" w:color="auto"/>
              </w:rPr>
              <w:t>高排气通排</w:t>
            </w:r>
            <w:r>
              <w:rPr>
                <w:rFonts w:hint="default" w:ascii="Times New Roman" w:hAnsi="Times New Roman" w:cs="Times New Roman"/>
                <w:color w:val="auto"/>
                <w:sz w:val="21"/>
                <w:szCs w:val="21"/>
                <w:u w:val="none" w:color="auto"/>
              </w:rPr>
              <w:t>放</w:t>
            </w:r>
          </w:p>
        </w:tc>
        <w:tc>
          <w:tcPr>
            <w:tcW w:w="1546" w:type="pct"/>
            <w:gridSpan w:val="2"/>
            <w:tcBorders>
              <w:tl2br w:val="nil"/>
              <w:tr2bl w:val="nil"/>
            </w:tcBorders>
            <w:vAlign w:val="center"/>
          </w:tcPr>
          <w:p>
            <w:pPr>
              <w:keepNext w:val="0"/>
              <w:keepLines w:val="0"/>
              <w:widowControl/>
              <w:suppressLineNumbers w:val="0"/>
              <w:jc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snapToGrid w:val="0"/>
                <w:color w:val="auto"/>
                <w:spacing w:val="9"/>
                <w:kern w:val="0"/>
                <w:sz w:val="21"/>
                <w:szCs w:val="21"/>
                <w:u w:val="none" w:color="auto"/>
                <w:lang w:val="en-US" w:eastAsia="zh-CN" w:bidi="ar-SA"/>
              </w:rPr>
              <w:t>《印刷业挥发性有机物排放标准》（DB43/1357-2017）表2燃烧装置大气污染物排放限值</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宋体" w:cs="Times New Roman"/>
                <w:color w:val="auto"/>
                <w:spacing w:val="9"/>
                <w:sz w:val="21"/>
                <w:szCs w:val="21"/>
                <w:u w:val="none" w:color="auto"/>
              </w:rPr>
            </w:pPr>
            <w:r>
              <w:rPr>
                <w:rFonts w:hint="default" w:ascii="Times New Roman" w:hAnsi="Times New Roman" w:eastAsia="宋体" w:cs="Times New Roman"/>
                <w:color w:val="auto"/>
                <w:spacing w:val="9"/>
                <w:sz w:val="21"/>
                <w:szCs w:val="21"/>
                <w:u w:val="none" w:color="auto"/>
              </w:rPr>
              <w:t>废水</w:t>
            </w: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宋体" w:cs="Times New Roman"/>
                <w:color w:val="auto"/>
                <w:spacing w:val="9"/>
                <w:sz w:val="21"/>
                <w:szCs w:val="21"/>
                <w:u w:val="none" w:color="auto"/>
              </w:rPr>
            </w:pPr>
            <w:r>
              <w:rPr>
                <w:rFonts w:hint="eastAsia" w:ascii="Times New Roman" w:hAnsi="Times New Roman" w:eastAsia="宋体" w:cs="Times New Roman"/>
                <w:color w:val="auto"/>
                <w:spacing w:val="9"/>
                <w:sz w:val="21"/>
                <w:szCs w:val="21"/>
                <w:u w:val="none" w:color="auto"/>
                <w:lang w:val="en-US" w:eastAsia="zh-CN"/>
              </w:rPr>
              <w:t>食堂废水、其他</w:t>
            </w:r>
            <w:r>
              <w:rPr>
                <w:rFonts w:hint="default" w:ascii="Times New Roman" w:hAnsi="Times New Roman" w:eastAsia="宋体" w:cs="Times New Roman"/>
                <w:color w:val="auto"/>
                <w:spacing w:val="9"/>
                <w:sz w:val="21"/>
                <w:szCs w:val="21"/>
                <w:u w:val="none" w:color="auto"/>
              </w:rPr>
              <w:t>生活污水</w:t>
            </w:r>
            <w:r>
              <w:rPr>
                <w:rFonts w:hint="eastAsia" w:ascii="Times New Roman" w:hAnsi="Times New Roman" w:eastAsia="宋体" w:cs="Times New Roman"/>
                <w:color w:val="auto"/>
                <w:spacing w:val="9"/>
                <w:sz w:val="21"/>
                <w:szCs w:val="21"/>
                <w:u w:val="none" w:color="auto"/>
                <w:lang w:eastAsia="zh-CN"/>
              </w:rPr>
              <w:t>、</w:t>
            </w:r>
            <w:r>
              <w:rPr>
                <w:rFonts w:hint="eastAsia" w:ascii="Times New Roman" w:hAnsi="Times New Roman" w:eastAsia="宋体" w:cs="Times New Roman"/>
                <w:color w:val="auto"/>
                <w:spacing w:val="9"/>
                <w:sz w:val="21"/>
                <w:szCs w:val="21"/>
                <w:u w:val="none" w:color="auto"/>
                <w:lang w:val="en-US" w:eastAsia="zh-CN"/>
              </w:rPr>
              <w:t>制软水废水及蓄水箱清洗</w:t>
            </w:r>
            <w:r>
              <w:rPr>
                <w:rFonts w:hint="default" w:ascii="Times New Roman" w:hAnsi="Times New Roman" w:eastAsia="宋体" w:cs="Times New Roman"/>
                <w:color w:val="auto"/>
                <w:spacing w:val="9"/>
                <w:sz w:val="21"/>
                <w:szCs w:val="21"/>
                <w:u w:val="none" w:color="auto"/>
              </w:rPr>
              <w:t>废水</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8"/>
                <w:sz w:val="21"/>
                <w:szCs w:val="21"/>
                <w:u w:val="none" w:color="auto"/>
                <w:lang w:val="en-US" w:eastAsia="zh-CN"/>
              </w:rPr>
              <w:t>隔油池</w:t>
            </w:r>
            <w:r>
              <w:rPr>
                <w:rFonts w:hint="default" w:ascii="Times New Roman" w:hAnsi="Times New Roman" w:cs="Times New Roman"/>
                <w:color w:val="auto"/>
                <w:spacing w:val="8"/>
                <w:sz w:val="21"/>
                <w:szCs w:val="21"/>
                <w:u w:val="none" w:color="auto"/>
                <w:lang w:eastAsia="zh-CN"/>
              </w:rPr>
              <w:t>；</w:t>
            </w:r>
            <w:r>
              <w:rPr>
                <w:rFonts w:hint="default" w:ascii="Times New Roman" w:hAnsi="Times New Roman" w:cs="Times New Roman"/>
                <w:color w:val="auto"/>
                <w:spacing w:val="8"/>
                <w:sz w:val="21"/>
                <w:szCs w:val="21"/>
                <w:u w:val="none" w:color="auto"/>
              </w:rPr>
              <w:t>化粪池（依托已</w:t>
            </w:r>
            <w:r>
              <w:rPr>
                <w:rFonts w:hint="default" w:ascii="Times New Roman" w:hAnsi="Times New Roman" w:cs="Times New Roman"/>
                <w:color w:val="auto"/>
                <w:sz w:val="21"/>
                <w:szCs w:val="21"/>
                <w:u w:val="none" w:color="auto"/>
              </w:rPr>
              <w:t>有）</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满足</w:t>
            </w:r>
            <w:r>
              <w:rPr>
                <w:rFonts w:hint="default" w:ascii="Times New Roman" w:hAnsi="Times New Roman" w:cs="Times New Roman"/>
                <w:color w:val="auto"/>
                <w:sz w:val="21"/>
                <w:szCs w:val="21"/>
                <w:u w:val="none" w:color="auto"/>
              </w:rPr>
              <w:t>《污水综合排放标准》（GB8978-1996）中的三级标准及</w:t>
            </w:r>
            <w:r>
              <w:rPr>
                <w:rFonts w:hint="default" w:ascii="Times New Roman" w:hAnsi="Times New Roman" w:cs="Times New Roman"/>
                <w:color w:val="auto"/>
                <w:spacing w:val="9"/>
                <w:sz w:val="21"/>
                <w:szCs w:val="21"/>
                <w:u w:val="none" w:color="auto"/>
                <w:lang w:eastAsia="zh-CN"/>
              </w:rPr>
              <w:t>鹿坪污水处理厂</w:t>
            </w:r>
            <w:r>
              <w:rPr>
                <w:rFonts w:hint="default" w:ascii="Times New Roman" w:hAnsi="Times New Roman" w:cs="Times New Roman"/>
                <w:color w:val="auto"/>
                <w:spacing w:val="9"/>
                <w:sz w:val="21"/>
                <w:szCs w:val="21"/>
                <w:u w:val="none" w:color="auto"/>
              </w:rPr>
              <w:t>接</w:t>
            </w:r>
            <w:r>
              <w:rPr>
                <w:rFonts w:hint="default" w:ascii="Times New Roman" w:hAnsi="Times New Roman" w:cs="Times New Roman"/>
                <w:color w:val="auto"/>
                <w:spacing w:val="5"/>
                <w:sz w:val="21"/>
                <w:szCs w:val="21"/>
                <w:u w:val="none" w:color="auto"/>
              </w:rPr>
              <w:t>管要求</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0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噪声</w:t>
            </w: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bookmarkStart w:id="113" w:name="bookmark129"/>
            <w:bookmarkEnd w:id="113"/>
            <w:bookmarkStart w:id="114" w:name="_Toc2899"/>
            <w:r>
              <w:rPr>
                <w:rFonts w:hint="default" w:ascii="Times New Roman" w:hAnsi="Times New Roman" w:cs="Times New Roman"/>
                <w:color w:val="auto"/>
                <w:sz w:val="21"/>
                <w:szCs w:val="21"/>
                <w:u w:val="none" w:color="auto"/>
              </w:rPr>
              <w:t>生产</w:t>
            </w:r>
            <w:bookmarkEnd w:id="114"/>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设备减振底座、厂房隔声，风机安装隔声罩等降噪量≥15dB</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A</w:t>
            </w:r>
            <w:r>
              <w:rPr>
                <w:rFonts w:hint="default" w:ascii="Times New Roman" w:hAnsi="Times New Roman" w:cs="Times New Roman"/>
                <w:color w:val="auto"/>
                <w:sz w:val="21"/>
                <w:szCs w:val="21"/>
                <w:u w:val="none" w:color="auto"/>
                <w:lang w:eastAsia="zh-CN"/>
              </w:rPr>
              <w:t>）</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厂界噪声满足《工业企业厂界环境噪声排放标准》（GB12348-2008）中3类标准</w:t>
            </w:r>
          </w:p>
        </w:tc>
        <w:tc>
          <w:tcPr>
            <w:tcW w:w="445" w:type="pct"/>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固废</w:t>
            </w: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生活垃圾</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分类收集后交由环卫</w:t>
            </w:r>
            <w:r>
              <w:rPr>
                <w:rFonts w:hint="default" w:ascii="Times New Roman" w:hAnsi="Times New Roman" w:cs="Times New Roman"/>
                <w:color w:val="auto"/>
                <w:spacing w:val="6"/>
                <w:sz w:val="21"/>
                <w:szCs w:val="21"/>
                <w:u w:val="none" w:color="auto"/>
              </w:rPr>
              <w:t>部门处置</w:t>
            </w:r>
          </w:p>
        </w:tc>
        <w:tc>
          <w:tcPr>
            <w:tcW w:w="1546"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3"/>
                <w:position w:val="3"/>
                <w:sz w:val="21"/>
                <w:szCs w:val="21"/>
                <w:u w:val="none" w:color="auto"/>
              </w:rPr>
              <w:t>/</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7"/>
                <w:sz w:val="21"/>
                <w:szCs w:val="21"/>
                <w:u w:val="none" w:color="auto"/>
              </w:rPr>
              <w:t>一般工业固废</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一个</w:t>
            </w:r>
            <w:r>
              <w:rPr>
                <w:rFonts w:hint="default" w:ascii="Times New Roman" w:hAnsi="Times New Roman" w:eastAsia="Calibri" w:cs="Times New Roman"/>
                <w:color w:val="auto"/>
                <w:spacing w:val="6"/>
                <w:sz w:val="21"/>
                <w:szCs w:val="21"/>
                <w:u w:val="none" w:color="auto"/>
              </w:rPr>
              <w:t>50m</w:t>
            </w:r>
            <w:r>
              <w:rPr>
                <w:rFonts w:hint="default" w:ascii="Times New Roman" w:hAnsi="Times New Roman" w:eastAsia="宋体" w:cs="Times New Roman"/>
                <w:color w:val="auto"/>
                <w:spacing w:val="6"/>
                <w:sz w:val="21"/>
                <w:szCs w:val="21"/>
                <w:u w:val="none" w:color="auto"/>
                <w:vertAlign w:val="superscript"/>
                <w:lang w:val="en-US" w:eastAsia="zh-CN"/>
              </w:rPr>
              <w:t>2</w:t>
            </w:r>
            <w:r>
              <w:rPr>
                <w:rFonts w:hint="default" w:ascii="Times New Roman" w:hAnsi="Times New Roman" w:cs="Times New Roman"/>
                <w:color w:val="auto"/>
                <w:spacing w:val="6"/>
                <w:sz w:val="21"/>
                <w:szCs w:val="21"/>
                <w:u w:val="none" w:color="auto"/>
              </w:rPr>
              <w:t>专用暂存</w:t>
            </w:r>
            <w:r>
              <w:rPr>
                <w:rFonts w:hint="default" w:ascii="Times New Roman" w:hAnsi="Times New Roman" w:cs="Times New Roman"/>
                <w:color w:val="auto"/>
                <w:sz w:val="21"/>
                <w:szCs w:val="21"/>
                <w:u w:val="none" w:color="auto"/>
              </w:rPr>
              <w:t>间</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安全暂存，按照</w:t>
            </w:r>
            <w:r>
              <w:rPr>
                <w:rFonts w:hint="eastAsia" w:ascii="Times New Roman" w:hAnsi="Times New Roman" w:cs="Times New Roman"/>
                <w:color w:val="auto"/>
                <w:spacing w:val="8"/>
                <w:sz w:val="21"/>
                <w:szCs w:val="21"/>
                <w:u w:val="none" w:color="auto"/>
                <w:lang w:eastAsia="zh-CN"/>
              </w:rPr>
              <w:t>《一般工业固体废物贮存、处置场污染控制标准（征求意见稿）》</w:t>
            </w:r>
            <w:r>
              <w:rPr>
                <w:rFonts w:hint="default" w:ascii="Times New Roman" w:hAnsi="Times New Roman" w:cs="Times New Roman"/>
                <w:color w:val="auto"/>
                <w:spacing w:val="6"/>
                <w:sz w:val="21"/>
                <w:szCs w:val="21"/>
                <w:u w:val="none" w:color="auto"/>
              </w:rPr>
              <w:t>及修</w:t>
            </w:r>
            <w:r>
              <w:rPr>
                <w:rFonts w:hint="default" w:ascii="Times New Roman" w:hAnsi="Times New Roman" w:cs="Times New Roman"/>
                <w:color w:val="auto"/>
                <w:spacing w:val="7"/>
                <w:sz w:val="21"/>
                <w:szCs w:val="21"/>
                <w:u w:val="none" w:color="auto"/>
              </w:rPr>
              <w:t>改单要求设置</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危险废物</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一个</w:t>
            </w:r>
            <w:r>
              <w:rPr>
                <w:rFonts w:hint="default" w:ascii="Times New Roman" w:hAnsi="Times New Roman" w:eastAsia="Calibri" w:cs="Times New Roman"/>
                <w:color w:val="auto"/>
                <w:spacing w:val="6"/>
                <w:sz w:val="21"/>
                <w:szCs w:val="21"/>
                <w:u w:val="none" w:color="auto"/>
              </w:rPr>
              <w:t>50m</w:t>
            </w:r>
            <w:r>
              <w:rPr>
                <w:rFonts w:hint="default" w:ascii="Times New Roman" w:hAnsi="Times New Roman" w:eastAsia="宋体" w:cs="Times New Roman"/>
                <w:color w:val="auto"/>
                <w:spacing w:val="6"/>
                <w:sz w:val="21"/>
                <w:szCs w:val="21"/>
                <w:u w:val="none" w:color="auto"/>
                <w:vertAlign w:val="superscript"/>
                <w:lang w:val="en-US" w:eastAsia="zh-CN"/>
              </w:rPr>
              <w:t>2</w:t>
            </w:r>
            <w:r>
              <w:rPr>
                <w:rFonts w:hint="default" w:ascii="Times New Roman" w:hAnsi="Times New Roman" w:cs="Times New Roman"/>
                <w:color w:val="auto"/>
                <w:spacing w:val="6"/>
                <w:sz w:val="21"/>
                <w:szCs w:val="21"/>
                <w:u w:val="none" w:color="auto"/>
              </w:rPr>
              <w:t>专用暂存</w:t>
            </w:r>
            <w:r>
              <w:rPr>
                <w:rFonts w:hint="default" w:ascii="Times New Roman" w:hAnsi="Times New Roman" w:cs="Times New Roman"/>
                <w:color w:val="auto"/>
                <w:sz w:val="21"/>
                <w:szCs w:val="21"/>
                <w:u w:val="none" w:color="auto"/>
              </w:rPr>
              <w:t>间</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pacing w:val="8"/>
                <w:sz w:val="21"/>
                <w:szCs w:val="21"/>
                <w:u w:val="none" w:color="auto"/>
              </w:rPr>
              <w:t>安全暂存，按照</w:t>
            </w:r>
            <w:r>
              <w:rPr>
                <w:rFonts w:hint="default" w:ascii="Times New Roman" w:hAnsi="Times New Roman" w:cs="Times New Roman"/>
                <w:color w:val="auto"/>
                <w:spacing w:val="8"/>
                <w:sz w:val="21"/>
                <w:szCs w:val="21"/>
                <w:u w:val="none" w:color="auto"/>
                <w:lang w:eastAsia="zh-CN"/>
              </w:rPr>
              <w:t>《危险废物贮存污染物控制标准》（GB18597-2023）</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0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地下水、土壤</w:t>
            </w:r>
          </w:p>
        </w:tc>
        <w:tc>
          <w:tcPr>
            <w:tcW w:w="119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both"/>
              <w:textAlignment w:val="baseline"/>
              <w:rPr>
                <w:color w:val="auto"/>
              </w:rPr>
            </w:pPr>
            <w:r>
              <w:rPr>
                <w:rFonts w:hint="default" w:ascii="Times New Roman" w:hAnsi="Times New Roman" w:cs="Times New Roman"/>
                <w:color w:val="auto"/>
                <w:spacing w:val="8"/>
                <w:sz w:val="21"/>
                <w:szCs w:val="21"/>
                <w:u w:val="none" w:color="auto"/>
              </w:rPr>
              <w:t>重点防治区：原料</w:t>
            </w:r>
            <w:r>
              <w:rPr>
                <w:rFonts w:hint="default" w:ascii="Times New Roman" w:hAnsi="Times New Roman" w:cs="Times New Roman"/>
                <w:color w:val="auto"/>
                <w:spacing w:val="7"/>
                <w:sz w:val="21"/>
                <w:szCs w:val="21"/>
                <w:u w:val="none" w:color="auto"/>
              </w:rPr>
              <w:t>库、危废间</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1"/>
                <w:sz w:val="21"/>
                <w:szCs w:val="21"/>
                <w:u w:val="none" w:color="auto"/>
              </w:rPr>
              <w:t>一般防治区：生产区</w:t>
            </w:r>
          </w:p>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1"/>
                <w:sz w:val="21"/>
                <w:szCs w:val="21"/>
                <w:u w:val="none" w:color="auto"/>
              </w:rPr>
              <w:t>简单放置区：办公区</w:t>
            </w:r>
          </w:p>
        </w:tc>
        <w:tc>
          <w:tcPr>
            <w:tcW w:w="111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4"/>
                <w:sz w:val="21"/>
                <w:szCs w:val="21"/>
                <w:u w:val="none" w:color="auto"/>
              </w:rPr>
              <w:t>防渗措施</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满足防渗要求</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3"/>
                <w:sz w:val="21"/>
                <w:szCs w:val="21"/>
                <w:u w:val="none" w:color="auto"/>
              </w:rPr>
              <w:t>绿化</w:t>
            </w:r>
          </w:p>
        </w:tc>
        <w:tc>
          <w:tcPr>
            <w:tcW w:w="2303"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3"/>
                <w:position w:val="3"/>
                <w:sz w:val="21"/>
                <w:szCs w:val="21"/>
                <w:u w:val="none" w:color="auto"/>
              </w:rPr>
              <w:t>/</w:t>
            </w:r>
          </w:p>
        </w:tc>
        <w:tc>
          <w:tcPr>
            <w:tcW w:w="154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依托出租方已有</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风险防范措施</w:t>
            </w:r>
          </w:p>
        </w:tc>
        <w:tc>
          <w:tcPr>
            <w:tcW w:w="3849"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val="en-US" w:eastAsia="zh-CN"/>
              </w:rPr>
              <w:t>洒落物料收集容器</w:t>
            </w:r>
            <w:r>
              <w:rPr>
                <w:rFonts w:hint="eastAsia" w:ascii="Times New Roman" w:hAnsi="Times New Roman" w:cs="Times New Roman"/>
                <w:color w:val="auto"/>
                <w:sz w:val="21"/>
                <w:szCs w:val="21"/>
                <w:u w:val="none" w:color="auto"/>
                <w:lang w:val="en-US" w:eastAsia="zh-CN"/>
              </w:rPr>
              <w:t>；</w:t>
            </w:r>
            <w:r>
              <w:rPr>
                <w:rFonts w:hint="eastAsia" w:ascii="Times New Roman" w:hAnsi="Times New Roman" w:eastAsia="宋体" w:cs="Times New Roman"/>
                <w:color w:val="auto"/>
                <w:spacing w:val="5"/>
                <w:sz w:val="21"/>
                <w:szCs w:val="21"/>
                <w:u w:val="none" w:color="auto"/>
                <w:lang w:val="en-US" w:eastAsia="zh-CN"/>
              </w:rPr>
              <w:t>应急</w:t>
            </w:r>
            <w:r>
              <w:rPr>
                <w:rFonts w:hint="default" w:ascii="Times New Roman" w:hAnsi="Times New Roman" w:cs="Times New Roman"/>
                <w:color w:val="auto"/>
                <w:spacing w:val="5"/>
                <w:sz w:val="21"/>
                <w:szCs w:val="21"/>
                <w:u w:val="none" w:color="auto"/>
              </w:rPr>
              <w:t>事故池</w:t>
            </w:r>
            <w:r>
              <w:rPr>
                <w:rFonts w:hint="eastAsia"/>
                <w:color w:val="auto"/>
                <w:sz w:val="21"/>
                <w:szCs w:val="21"/>
                <w:lang w:eastAsia="zh-CN"/>
              </w:rPr>
              <w:t>（</w:t>
            </w:r>
            <w:r>
              <w:rPr>
                <w:rFonts w:hint="eastAsia"/>
                <w:color w:val="auto"/>
                <w:sz w:val="21"/>
                <w:szCs w:val="21"/>
                <w:lang w:val="en-US" w:eastAsia="zh-CN"/>
              </w:rPr>
              <w:t>依托已有</w:t>
            </w:r>
            <w:r>
              <w:rPr>
                <w:rFonts w:hint="eastAsia"/>
                <w:color w:val="auto"/>
                <w:lang w:eastAsia="zh-CN"/>
              </w:rPr>
              <w:t>）</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849"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灭火器、消防土、消防水泵等</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05"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849"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药品、设施、过滤式防毒面具等</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849"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按规范设计围堰、边沟等，并考虑防腐防渗等特殊处理</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849"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7"/>
                <w:sz w:val="21"/>
                <w:szCs w:val="21"/>
                <w:u w:val="none" w:color="auto"/>
              </w:rPr>
              <w:t>多方位分类别培训</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c>
          <w:tcPr>
            <w:tcW w:w="3849" w:type="pct"/>
            <w:gridSpan w:val="4"/>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考虑泄漏收集、拦截物质</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0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7"/>
                <w:sz w:val="21"/>
                <w:szCs w:val="21"/>
                <w:u w:val="none" w:color="auto"/>
              </w:rPr>
              <w:t>环境管理</w:t>
            </w:r>
          </w:p>
        </w:tc>
        <w:tc>
          <w:tcPr>
            <w:tcW w:w="2528"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设置专门环境管理机构（配备至少</w:t>
            </w:r>
            <w:r>
              <w:rPr>
                <w:rFonts w:hint="default" w:ascii="Times New Roman" w:hAnsi="Times New Roman" w:eastAsia="Calibri" w:cs="Times New Roman"/>
                <w:color w:val="auto"/>
                <w:spacing w:val="9"/>
                <w:sz w:val="21"/>
                <w:szCs w:val="21"/>
                <w:u w:val="none" w:color="auto"/>
              </w:rPr>
              <w:t>1</w:t>
            </w:r>
            <w:r>
              <w:rPr>
                <w:rFonts w:hint="default" w:ascii="Times New Roman" w:hAnsi="Times New Roman" w:cs="Times New Roman"/>
                <w:color w:val="auto"/>
                <w:spacing w:val="9"/>
                <w:sz w:val="21"/>
                <w:szCs w:val="21"/>
                <w:u w:val="none" w:color="auto"/>
              </w:rPr>
              <w:t>名环保人</w:t>
            </w:r>
            <w:r>
              <w:rPr>
                <w:rFonts w:hint="default" w:ascii="Times New Roman" w:hAnsi="Times New Roman" w:cs="Times New Roman"/>
                <w:color w:val="auto"/>
                <w:spacing w:val="-4"/>
                <w:sz w:val="21"/>
                <w:szCs w:val="21"/>
                <w:u w:val="none" w:color="auto"/>
              </w:rPr>
              <w:t>员）</w:t>
            </w:r>
          </w:p>
        </w:tc>
        <w:tc>
          <w:tcPr>
            <w:tcW w:w="132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3"/>
                <w:position w:val="3"/>
                <w:sz w:val="21"/>
                <w:szCs w:val="21"/>
                <w:u w:val="none" w:color="auto"/>
              </w:rPr>
              <w:t>/</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05"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清污分流、各排污口规范化设置</w:t>
            </w:r>
          </w:p>
        </w:tc>
        <w:tc>
          <w:tcPr>
            <w:tcW w:w="2528"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雨污分流、规范化接管口</w:t>
            </w:r>
          </w:p>
        </w:tc>
        <w:tc>
          <w:tcPr>
            <w:tcW w:w="1320"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3"/>
                <w:position w:val="3"/>
                <w:sz w:val="21"/>
                <w:szCs w:val="21"/>
                <w:u w:val="none" w:color="auto"/>
              </w:rPr>
              <w:t>/</w:t>
            </w:r>
          </w:p>
        </w:tc>
        <w:tc>
          <w:tcPr>
            <w:tcW w:w="445"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ascii="Times New Roman" w:hAnsi="Times New Roman" w:cs="Times New Roman"/>
                <w:color w:val="auto"/>
                <w:sz w:val="21"/>
                <w:szCs w:val="21"/>
                <w:u w:val="none" w:color="auto"/>
              </w:rPr>
            </w:pPr>
          </w:p>
        </w:tc>
      </w:tr>
    </w:tbl>
    <w:p>
      <w:pPr>
        <w:rPr>
          <w:rFonts w:ascii="Arial"/>
          <w:color w:val="auto"/>
          <w:sz w:val="21"/>
        </w:rPr>
      </w:pPr>
    </w:p>
    <w:p>
      <w:pPr>
        <w:rPr>
          <w:rFonts w:ascii="Arial" w:hAnsi="Arial" w:eastAsia="Arial" w:cs="Arial"/>
          <w:color w:val="auto"/>
          <w:sz w:val="21"/>
          <w:szCs w:val="21"/>
        </w:rPr>
        <w:sectPr>
          <w:pgSz w:w="11905" w:h="16839"/>
          <w:pgMar w:top="1440" w:right="1803" w:bottom="1440" w:left="1803" w:header="0" w:footer="821"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115" w:name="bookmark114"/>
      <w:bookmarkEnd w:id="115"/>
      <w:bookmarkStart w:id="116" w:name="bookmark116"/>
      <w:bookmarkEnd w:id="116"/>
      <w:bookmarkStart w:id="117" w:name="_Toc20199"/>
      <w:r>
        <w:rPr>
          <w:rFonts w:hint="default" w:ascii="Times New Roman" w:hAnsi="Times New Roman" w:cs="Times New Roman" w:eastAsiaTheme="majorEastAsia"/>
          <w:color w:val="auto"/>
          <w:sz w:val="36"/>
          <w:szCs w:val="36"/>
        </w:rPr>
        <w:t>达标排放与总量控制</w:t>
      </w:r>
      <w:bookmarkEnd w:id="117"/>
    </w:p>
    <w:p>
      <w:pPr>
        <w:pStyle w:val="10"/>
        <w:bidi w:val="0"/>
        <w:spacing w:line="360" w:lineRule="auto"/>
        <w:rPr>
          <w:rFonts w:hint="default" w:ascii="Times New Roman" w:hAnsi="Times New Roman" w:cs="Times New Roman"/>
          <w:color w:val="auto"/>
          <w:sz w:val="32"/>
          <w:szCs w:val="32"/>
        </w:rPr>
      </w:pPr>
      <w:bookmarkStart w:id="118" w:name="_Toc2467"/>
      <w:r>
        <w:rPr>
          <w:rFonts w:hint="default" w:ascii="Times New Roman" w:hAnsi="Times New Roman" w:cs="Times New Roman"/>
          <w:color w:val="auto"/>
          <w:sz w:val="32"/>
          <w:szCs w:val="32"/>
        </w:rPr>
        <w:t>达标排放</w:t>
      </w:r>
      <w:bookmarkEnd w:id="118"/>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达标排放是我国一项重要的污染控制政策，各建设项目必须执行环境保护</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三同时</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制度，确保工程投产后，各污染物均能做到达标排放。</w:t>
      </w:r>
    </w:p>
    <w:p>
      <w:pPr>
        <w:pStyle w:val="11"/>
        <w:bidi w:val="0"/>
        <w:spacing w:line="360" w:lineRule="auto"/>
        <w:ind w:left="851" w:hanging="851"/>
        <w:rPr>
          <w:color w:val="auto"/>
          <w:sz w:val="30"/>
          <w:szCs w:val="30"/>
        </w:rPr>
      </w:pPr>
      <w:r>
        <w:rPr>
          <w:color w:val="auto"/>
          <w:sz w:val="30"/>
          <w:szCs w:val="30"/>
        </w:rPr>
        <w:t>废气达标排放达标分析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该工程大气污染源主要是：生产过程印刷、复合工序产生的VOCs气体以及助燃气天然气燃烧产生的SO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、NOx。有机废气收集后经</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LEL减风增浓+RTO系统</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处理后由1根15m高的排气筒高空排放，排放浓度小于</w:t>
      </w:r>
      <w:r>
        <w:rPr>
          <w:rFonts w:hint="eastAsia" w:ascii="Times New Roman" w:hAnsi="Times New Roman" w:eastAsia="宋体" w:cs="Times New Roman"/>
          <w:color w:val="auto"/>
          <w:szCs w:val="28"/>
          <w:u w:val="none" w:color="auto"/>
          <w:lang w:eastAsia="zh-CN"/>
        </w:rPr>
        <w:t>《印刷工业大气污染物排放标准》（GB41616-2022）</w:t>
      </w:r>
      <w:r>
        <w:rPr>
          <w:rFonts w:hint="eastAsia" w:ascii="Times New Roman" w:hAnsi="Times New Roman" w:eastAsia="宋体" w:cs="Times New Roman"/>
          <w:color w:val="auto"/>
          <w:szCs w:val="28"/>
          <w:u w:val="none" w:color="auto"/>
          <w:lang w:val="en-US" w:eastAsia="zh-CN"/>
        </w:rPr>
        <w:t>表1大气污染物排放限值</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液化</w:t>
      </w:r>
      <w:r>
        <w:rPr>
          <w:rFonts w:hint="default" w:ascii="Times New Roman" w:hAnsi="Times New Roman" w:cs="Times New Roman"/>
          <w:color w:val="auto"/>
          <w:szCs w:val="28"/>
          <w:u w:val="none" w:color="auto"/>
        </w:rPr>
        <w:t>天然气本身即为一种清洁能源，其燃烧产生的SO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、NOx可直接经RTO系统的15m高排气筒高空排放，SO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、NOx排放浓度满足</w:t>
      </w:r>
      <w:r>
        <w:rPr>
          <w:rFonts w:hint="eastAsia" w:ascii="Times New Roman" w:hAnsi="Times New Roman" w:eastAsia="宋体" w:cs="Times New Roman"/>
          <w:color w:val="auto"/>
          <w:szCs w:val="28"/>
          <w:u w:val="none" w:color="auto"/>
          <w:lang w:eastAsia="zh-CN"/>
        </w:rPr>
        <w:t>《印刷工业大气污染物排放标准》（GB41616-2022）表2燃烧装置大气污染物排放限值；</w:t>
      </w:r>
      <w:r>
        <w:rPr>
          <w:rFonts w:hint="eastAsia" w:ascii="Times New Roman" w:hAnsi="Times New Roman" w:eastAsia="宋体" w:cs="Times New Roman"/>
          <w:color w:val="auto"/>
          <w:szCs w:val="28"/>
          <w:u w:val="none" w:color="auto"/>
          <w:lang w:val="en-US" w:eastAsia="zh-CN"/>
        </w:rPr>
        <w:t>厂区内VOCs满足《</w:t>
      </w:r>
      <w:r>
        <w:rPr>
          <w:rFonts w:hint="eastAsia" w:ascii="Times New Roman" w:hAnsi="Times New Roman" w:eastAsia="宋体" w:cs="Times New Roman"/>
          <w:color w:val="auto"/>
          <w:szCs w:val="28"/>
          <w:u w:val="none" w:color="auto"/>
          <w:lang w:eastAsia="zh-CN"/>
        </w:rPr>
        <w:t>印刷工业大气污染物排放标准》（GB41616-2022）</w:t>
      </w:r>
      <w:r>
        <w:rPr>
          <w:rFonts w:hint="eastAsia" w:ascii="Times New Roman" w:hAnsi="Times New Roman" w:eastAsia="宋体" w:cs="Times New Roman"/>
          <w:color w:val="auto"/>
          <w:szCs w:val="28"/>
          <w:u w:val="none" w:color="auto"/>
          <w:lang w:val="en-US" w:eastAsia="zh-CN"/>
        </w:rPr>
        <w:t>表A.1</w:t>
      </w:r>
      <w:r>
        <w:rPr>
          <w:rFonts w:hint="default" w:ascii="Times New Roman" w:hAnsi="Times New Roman" w:eastAsia="宋体" w:cs="Times New Roman"/>
          <w:color w:val="auto"/>
          <w:szCs w:val="28"/>
          <w:u w:val="none" w:color="auto"/>
          <w:lang w:val="en-US" w:eastAsia="zh-CN"/>
        </w:rPr>
        <w:t>厂区内</w:t>
      </w:r>
      <w:r>
        <w:rPr>
          <w:rFonts w:hint="eastAsia" w:ascii="Times New Roman" w:hAnsi="Times New Roman" w:eastAsia="宋体" w:cs="Times New Roman"/>
          <w:color w:val="auto"/>
          <w:szCs w:val="28"/>
          <w:u w:val="none" w:color="auto"/>
          <w:lang w:val="en-US" w:eastAsia="zh-CN"/>
        </w:rPr>
        <w:t>VOCs</w:t>
      </w:r>
      <w:r>
        <w:rPr>
          <w:rFonts w:hint="default" w:ascii="Times New Roman" w:hAnsi="Times New Roman" w:eastAsia="宋体" w:cs="Times New Roman"/>
          <w:color w:val="auto"/>
          <w:szCs w:val="28"/>
          <w:u w:val="none" w:color="auto"/>
          <w:lang w:val="en-US" w:eastAsia="zh-CN"/>
        </w:rPr>
        <w:t>无组织排放限值</w:t>
      </w:r>
      <w:r>
        <w:rPr>
          <w:rFonts w:hint="eastAsia" w:ascii="Times New Roman" w:hAnsi="Times New Roman" w:eastAsia="宋体" w:cs="Times New Roman"/>
          <w:color w:val="auto"/>
          <w:szCs w:val="28"/>
          <w:u w:val="none" w:color="auto"/>
          <w:lang w:val="en-US" w:eastAsia="zh-CN"/>
        </w:rPr>
        <w:t>；厂界VOCs满足</w:t>
      </w:r>
      <w:r>
        <w:rPr>
          <w:rFonts w:hint="default" w:ascii="Times New Roman" w:hAnsi="Times New Roman" w:eastAsia="宋体" w:cs="Times New Roman"/>
          <w:color w:val="auto"/>
          <w:szCs w:val="28"/>
          <w:u w:val="none" w:color="auto"/>
          <w:lang w:eastAsia="zh-CN"/>
        </w:rPr>
        <w:t>《印刷业挥发性有机物排放标准》（DB43/1357-2017）表2中厂界浓度标准限值</w:t>
      </w:r>
      <w:r>
        <w:rPr>
          <w:rFonts w:hint="default" w:ascii="Times New Roman" w:hAnsi="Times New Roman" w:cs="Times New Roman"/>
          <w:color w:val="auto"/>
          <w:szCs w:val="28"/>
          <w:u w:val="none" w:color="auto"/>
        </w:rPr>
        <w:t>。</w:t>
      </w:r>
    </w:p>
    <w:p>
      <w:pPr>
        <w:pStyle w:val="11"/>
        <w:bidi w:val="0"/>
        <w:spacing w:line="360" w:lineRule="auto"/>
        <w:ind w:left="851" w:hanging="851"/>
        <w:rPr>
          <w:color w:val="auto"/>
          <w:sz w:val="30"/>
          <w:szCs w:val="30"/>
        </w:rPr>
      </w:pPr>
      <w:r>
        <w:rPr>
          <w:color w:val="auto"/>
          <w:sz w:val="30"/>
          <w:szCs w:val="30"/>
        </w:rPr>
        <w:t>废水达标排放达标分析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本项目职工</w:t>
      </w:r>
      <w:r>
        <w:rPr>
          <w:rFonts w:hint="eastAsia" w:ascii="Times New Roman" w:hAnsi="Times New Roman" w:eastAsia="宋体" w:cs="Times New Roman"/>
          <w:color w:val="auto"/>
          <w:szCs w:val="28"/>
          <w:u w:val="none" w:color="auto"/>
          <w:lang w:val="en-US" w:eastAsia="zh-CN"/>
        </w:rPr>
        <w:t>食堂废水经隔油池处理后，与其他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废水经化粪池预处理后可达到《污水综合排放标准》（GB8978</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1996）中的三级标准</w:t>
      </w:r>
      <w:r>
        <w:rPr>
          <w:rFonts w:hint="eastAsia" w:ascii="Times New Roman" w:hAnsi="Times New Roman" w:eastAsia="宋体" w:cs="Times New Roman"/>
          <w:color w:val="auto"/>
          <w:szCs w:val="28"/>
          <w:u w:val="none" w:color="auto"/>
          <w:lang w:val="en-US" w:eastAsia="zh-CN"/>
        </w:rPr>
        <w:t>及</w:t>
      </w:r>
      <w:r>
        <w:rPr>
          <w:rFonts w:hint="eastAsia" w:ascii="Times New Roman" w:hAnsi="Times New Roman" w:eastAsia="宋体" w:cs="Times New Roman"/>
          <w:color w:val="auto"/>
          <w:szCs w:val="28"/>
          <w:u w:val="none" w:color="auto"/>
          <w:lang w:eastAsia="zh-CN"/>
        </w:rPr>
        <w:t>鹿坪污水处理厂</w:t>
      </w:r>
      <w:r>
        <w:rPr>
          <w:rFonts w:hint="eastAsia" w:ascii="Times New Roman" w:hAnsi="Times New Roman" w:eastAsia="宋体" w:cs="Times New Roman"/>
          <w:color w:val="auto"/>
          <w:szCs w:val="28"/>
          <w:u w:val="none" w:color="auto"/>
          <w:lang w:val="en-US" w:eastAsia="zh-CN"/>
        </w:rPr>
        <w:t>设计进水水质标准后</w:t>
      </w:r>
      <w:r>
        <w:rPr>
          <w:rFonts w:hint="default" w:ascii="Times New Roman" w:hAnsi="Times New Roman" w:cs="Times New Roman"/>
          <w:color w:val="auto"/>
          <w:szCs w:val="28"/>
          <w:u w:val="none" w:color="auto"/>
        </w:rPr>
        <w:t>，经市政管网排入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处理，经处理后达到《湖南省城镇污水处理厂主要水污染物排放标准》（DB42/T1546-2018）中二级标准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《城镇污水处理厂污染物排放标准》（GB18918-2002）中的一级A标准排放至湘江。</w:t>
      </w:r>
    </w:p>
    <w:p>
      <w:pPr>
        <w:pStyle w:val="11"/>
        <w:bidi w:val="0"/>
        <w:spacing w:line="360" w:lineRule="auto"/>
        <w:ind w:left="851" w:hanging="851"/>
        <w:rPr>
          <w:color w:val="auto"/>
          <w:sz w:val="30"/>
          <w:szCs w:val="30"/>
        </w:rPr>
      </w:pPr>
      <w:r>
        <w:rPr>
          <w:color w:val="auto"/>
          <w:sz w:val="30"/>
          <w:szCs w:val="30"/>
        </w:rPr>
        <w:t>噪声达标排放达标分析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各种生产设备等均安装于车间内，风机以及冷却塔均采取了减振台基础，风机拟置于专门的隔声罩内，从预测结果可知，在采取了环评提出的建议措施后，项目噪声源预测在项目厂界处均可达标，本项目噪声不会对区域环境造成明显影响。</w:t>
      </w:r>
    </w:p>
    <w:p>
      <w:pPr>
        <w:pStyle w:val="11"/>
        <w:bidi w:val="0"/>
        <w:spacing w:line="360" w:lineRule="auto"/>
        <w:ind w:left="851" w:hanging="851"/>
        <w:rPr>
          <w:color w:val="auto"/>
          <w:sz w:val="30"/>
          <w:szCs w:val="30"/>
        </w:rPr>
      </w:pPr>
      <w:r>
        <w:rPr>
          <w:color w:val="auto"/>
          <w:sz w:val="30"/>
          <w:szCs w:val="30"/>
        </w:rPr>
        <w:t>固体废物处置达标分析</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危险废物在符合要求的暂存间暂存后交由有资质单位处置（其中完好无损的废稀释剂桶交由原厂家回用利用，部分破损导致厂家无法回收的需交由有资质单位处置）；一般工业固废可经暂存后由专门的厂家回收利用；生活垃圾可交由市政环卫部门处置。固体废物均得到了妥善处置。</w:t>
      </w:r>
    </w:p>
    <w:p>
      <w:pPr>
        <w:pStyle w:val="10"/>
        <w:bidi w:val="0"/>
        <w:spacing w:line="360" w:lineRule="auto"/>
        <w:rPr>
          <w:rFonts w:hint="default" w:ascii="Times New Roman" w:hAnsi="Times New Roman" w:cs="Times New Roman"/>
          <w:color w:val="auto"/>
          <w:sz w:val="32"/>
          <w:szCs w:val="32"/>
        </w:rPr>
      </w:pPr>
      <w:bookmarkStart w:id="119" w:name="bookmark118"/>
      <w:bookmarkEnd w:id="119"/>
      <w:bookmarkStart w:id="120" w:name="_Toc17046"/>
      <w:r>
        <w:rPr>
          <w:rFonts w:hint="default" w:ascii="Times New Roman" w:hAnsi="Times New Roman" w:cs="Times New Roman"/>
          <w:color w:val="auto"/>
          <w:sz w:val="32"/>
          <w:szCs w:val="32"/>
        </w:rPr>
        <w:t>污染物总量控制</w:t>
      </w:r>
      <w:bookmarkEnd w:id="120"/>
    </w:p>
    <w:p>
      <w:pPr>
        <w:pStyle w:val="11"/>
        <w:bidi w:val="0"/>
        <w:spacing w:line="360" w:lineRule="auto"/>
        <w:ind w:left="851" w:hanging="851"/>
        <w:rPr>
          <w:color w:val="auto"/>
          <w:sz w:val="30"/>
          <w:szCs w:val="30"/>
        </w:rPr>
      </w:pPr>
      <w:r>
        <w:rPr>
          <w:color w:val="auto"/>
          <w:sz w:val="30"/>
          <w:szCs w:val="30"/>
        </w:rPr>
        <w:t>总量控制因子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rPr>
      </w:pPr>
      <w:r>
        <w:rPr>
          <w:rFonts w:hint="eastAsia" w:ascii="Times New Roman" w:hAnsi="Times New Roman" w:cs="Times New Roman"/>
          <w:color w:val="auto"/>
          <w:szCs w:val="28"/>
          <w:u w:val="none" w:color="auto"/>
        </w:rPr>
        <w:t>根据湖南省人民政府办公厅关于印发《湖南省主要污染物排污权有偿使用和交易管理办法》的通知（湘政办发〔2022〕23号），湖南省主要对化学需氧量、氨氮、二氧化硫、氮氧化物、铅、镉、砷、汞、铬、挥发性有机物、总磷等十一类污染物进行有偿使用和交易管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cs="Times New Roman"/>
          <w:color w:val="auto"/>
          <w:szCs w:val="28"/>
          <w:u w:val="none" w:color="auto"/>
        </w:rPr>
        <w:t>综合考虑工程项目的工艺特征和排污特点，并结合项目周围环境状况来确定本项目总量控制因子</w:t>
      </w:r>
      <w:r>
        <w:rPr>
          <w:rFonts w:hint="default" w:ascii="Times New Roman" w:hAnsi="Times New Roman" w:cs="Times New Roman"/>
          <w:color w:val="auto"/>
          <w:szCs w:val="28"/>
          <w:u w:val="none" w:color="auto"/>
        </w:rPr>
        <w:t>，确定本</w:t>
      </w:r>
      <w:r>
        <w:rPr>
          <w:rFonts w:hint="eastAsia" w:ascii="Times New Roman" w:hAnsi="Times New Roman" w:cs="Times New Roman"/>
          <w:color w:val="auto"/>
          <w:szCs w:val="28"/>
          <w:u w:val="none" w:color="auto"/>
          <w:lang w:val="en-US" w:eastAsia="zh-CN"/>
        </w:rPr>
        <w:t>项目</w:t>
      </w:r>
      <w:r>
        <w:rPr>
          <w:rFonts w:hint="default" w:ascii="Times New Roman" w:hAnsi="Times New Roman" w:cs="Times New Roman"/>
          <w:color w:val="auto"/>
          <w:szCs w:val="28"/>
          <w:u w:val="none" w:color="auto"/>
        </w:rPr>
        <w:t>总量控制因子为：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气</w:t>
      </w:r>
      <w:r>
        <w:rPr>
          <w:rFonts w:hint="eastAsia" w:ascii="Times New Roman" w:hAnsi="Times New Roman" w:eastAsia="宋体" w:cs="Times New Roman"/>
          <w:color w:val="auto"/>
          <w:szCs w:val="28"/>
          <w:u w:val="none" w:color="auto"/>
          <w:lang w:val="en-US" w:eastAsia="zh-CN"/>
        </w:rPr>
        <w:t>型污染物</w:t>
      </w:r>
      <w:r>
        <w:rPr>
          <w:rFonts w:hint="default" w:ascii="Times New Roman" w:hAnsi="Times New Roman" w:cs="Times New Roman"/>
          <w:color w:val="auto"/>
          <w:szCs w:val="28"/>
          <w:u w:val="none" w:color="auto"/>
        </w:rPr>
        <w:t>总量控制因子：VOCs、SO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水</w:t>
      </w:r>
      <w:r>
        <w:rPr>
          <w:rFonts w:hint="eastAsia" w:ascii="Times New Roman" w:hAnsi="Times New Roman" w:eastAsia="宋体" w:cs="Times New Roman"/>
          <w:color w:val="auto"/>
          <w:szCs w:val="28"/>
          <w:u w:val="none" w:color="auto"/>
          <w:lang w:val="en-US" w:eastAsia="zh-CN"/>
        </w:rPr>
        <w:t>污染物</w:t>
      </w:r>
      <w:r>
        <w:rPr>
          <w:rFonts w:hint="default" w:ascii="Times New Roman" w:hAnsi="Times New Roman" w:cs="Times New Roman"/>
          <w:color w:val="auto"/>
          <w:szCs w:val="28"/>
          <w:u w:val="none" w:color="auto"/>
        </w:rPr>
        <w:t>总量控制因子：COD、氨氮</w:t>
      </w:r>
      <w:r>
        <w:rPr>
          <w:rFonts w:hint="eastAsia" w:ascii="Times New Roman" w:hAnsi="Times New Roman" w:eastAsia="宋体" w:cs="Times New Roman"/>
          <w:color w:val="auto"/>
          <w:szCs w:val="28"/>
          <w:u w:val="none" w:color="auto"/>
          <w:lang w:eastAsia="zh-CN"/>
        </w:rPr>
        <w:t>。</w:t>
      </w:r>
    </w:p>
    <w:p>
      <w:pPr>
        <w:pStyle w:val="11"/>
        <w:bidi w:val="0"/>
        <w:spacing w:line="360" w:lineRule="auto"/>
        <w:ind w:left="851" w:hanging="851"/>
        <w:rPr>
          <w:color w:val="auto"/>
          <w:sz w:val="30"/>
          <w:szCs w:val="30"/>
        </w:rPr>
      </w:pPr>
      <w:r>
        <w:rPr>
          <w:color w:val="auto"/>
          <w:sz w:val="30"/>
          <w:szCs w:val="30"/>
        </w:rPr>
        <w:t>项目总量控制情况</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（1）项目废水污染因子排放量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w:t>
      </w:r>
      <w:r>
        <w:rPr>
          <w:rFonts w:hint="eastAsia" w:ascii="Times New Roman" w:hAnsi="Times New Roman" w:eastAsia="宋体" w:cs="Times New Roman"/>
          <w:color w:val="auto"/>
          <w:szCs w:val="28"/>
          <w:u w:val="none" w:color="auto"/>
          <w:lang w:val="en-US" w:eastAsia="zh-CN"/>
        </w:rPr>
        <w:t>外排废水主要为职工</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val="en-US" w:eastAsia="zh-CN"/>
        </w:rPr>
        <w:t>及少量制软水废水及蓄水箱清洗</w:t>
      </w:r>
      <w:r>
        <w:rPr>
          <w:rFonts w:hint="default" w:ascii="Times New Roman" w:hAnsi="Times New Roman" w:cs="Times New Roman"/>
          <w:color w:val="auto"/>
          <w:szCs w:val="28"/>
          <w:u w:val="none" w:color="auto"/>
        </w:rPr>
        <w:t>废水</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项目</w:t>
      </w:r>
      <w:r>
        <w:rPr>
          <w:rFonts w:hint="eastAsia" w:ascii="Times New Roman" w:hAnsi="Times New Roman" w:eastAsia="宋体" w:cs="Times New Roman"/>
          <w:color w:val="auto"/>
          <w:szCs w:val="28"/>
          <w:u w:val="none" w:color="auto"/>
          <w:lang w:val="en-US" w:eastAsia="zh-CN"/>
        </w:rPr>
        <w:t>废水</w:t>
      </w:r>
      <w:r>
        <w:rPr>
          <w:rFonts w:hint="default" w:ascii="Times New Roman" w:hAnsi="Times New Roman" w:cs="Times New Roman"/>
          <w:color w:val="auto"/>
          <w:szCs w:val="28"/>
          <w:u w:val="none" w:color="auto"/>
        </w:rPr>
        <w:t>污水排入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根据《国务院关于加强环境保护重点工作的意见》（国发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35号）、《湖南省主要污染物排污权有偿使用和交易管理暂行办法》（湘政发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2010</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15号）等文件要求，本项目污水纳入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总量控制指标内，不另行申请。</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（2）工程废气排放量</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根据工程分析章节分析结果，结合本项目污染物产生特点，在坚持</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清洁生产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和</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达标排放</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原则的前提下，确定本项目污染物总量控制因子为：VOCs、SO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、NOx，主要包括项目生产过程中印刷、复合及工序有组织产生VOCs22.877t/a，以及无组织废气VOCs1.14t/a，本项目VOCs为22.877+1.14=24.0</w:t>
      </w:r>
      <w:r>
        <w:rPr>
          <w:rFonts w:hint="eastAsia" w:ascii="Times New Roman" w:hAnsi="Times New Roman" w:eastAsia="宋体" w:cs="Times New Roman"/>
          <w:color w:val="auto"/>
          <w:szCs w:val="28"/>
          <w:u w:val="none" w:color="auto"/>
          <w:lang w:val="en-US" w:eastAsia="zh-CN"/>
        </w:rPr>
        <w:t>17</w:t>
      </w:r>
      <w:r>
        <w:rPr>
          <w:rFonts w:hint="default" w:ascii="Times New Roman" w:hAnsi="Times New Roman" w:cs="Times New Roman"/>
          <w:color w:val="auto"/>
          <w:szCs w:val="28"/>
          <w:u w:val="none" w:color="auto"/>
        </w:rPr>
        <w:t>t/a。项目RTO蓄热燃烧系统天然气燃烧产生SO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0.0</w:t>
      </w:r>
      <w:r>
        <w:rPr>
          <w:rFonts w:hint="eastAsia" w:ascii="Times New Roman" w:hAnsi="Times New Roman" w:eastAsia="宋体" w:cs="Times New Roman"/>
          <w:color w:val="auto"/>
          <w:szCs w:val="28"/>
          <w:u w:val="none" w:color="auto"/>
          <w:lang w:val="en-US" w:eastAsia="zh-CN"/>
        </w:rPr>
        <w:t>09</w:t>
      </w:r>
      <w:r>
        <w:rPr>
          <w:rFonts w:hint="default" w:ascii="Times New Roman" w:hAnsi="Times New Roman" w:cs="Times New Roman"/>
          <w:color w:val="auto"/>
          <w:szCs w:val="28"/>
          <w:u w:val="none" w:color="auto"/>
        </w:rPr>
        <w:t>t/a、NOx0.</w:t>
      </w:r>
      <w:r>
        <w:rPr>
          <w:rFonts w:hint="eastAsia" w:ascii="Times New Roman" w:hAnsi="Times New Roman" w:eastAsia="宋体" w:cs="Times New Roman"/>
          <w:color w:val="auto"/>
          <w:szCs w:val="28"/>
          <w:u w:val="none" w:color="auto"/>
          <w:lang w:val="en-US" w:eastAsia="zh-CN"/>
        </w:rPr>
        <w:t>0567</w:t>
      </w:r>
      <w:r>
        <w:rPr>
          <w:rFonts w:hint="default" w:ascii="Times New Roman" w:hAnsi="Times New Roman" w:cs="Times New Roman"/>
          <w:color w:val="auto"/>
          <w:szCs w:val="28"/>
          <w:u w:val="none" w:color="auto"/>
        </w:rPr>
        <w:t>t/a。具体控制指标见表</w:t>
      </w:r>
      <w:r>
        <w:rPr>
          <w:rFonts w:hint="eastAsia" w:ascii="Times New Roman" w:hAnsi="Times New Roman" w:eastAsia="宋体" w:cs="Times New Roman"/>
          <w:color w:val="auto"/>
          <w:szCs w:val="28"/>
          <w:u w:val="none" w:color="auto"/>
          <w:lang w:val="en-US" w:eastAsia="zh-CN"/>
        </w:rPr>
        <w:t>9</w:t>
      </w:r>
      <w:r>
        <w:rPr>
          <w:rFonts w:hint="default" w:ascii="Times New Roman" w:hAnsi="Times New Roman" w:cs="Times New Roman"/>
          <w:color w:val="auto"/>
          <w:szCs w:val="28"/>
          <w:u w:val="none" w:color="auto"/>
        </w:rPr>
        <w:t>.2-1。</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9.2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污染物排放总量控制指标</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780"/>
        <w:gridCol w:w="2767"/>
        <w:gridCol w:w="278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污染物类别</w:t>
            </w:r>
          </w:p>
        </w:tc>
        <w:tc>
          <w:tcPr>
            <w:tcW w:w="1661"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预计排放量（</w:t>
            </w:r>
            <w:r>
              <w:rPr>
                <w:rFonts w:hint="default" w:ascii="Times New Roman" w:hAnsi="Times New Roman" w:eastAsia="Times New Roman" w:cs="Times New Roman"/>
                <w:b/>
                <w:bCs/>
                <w:color w:val="auto"/>
                <w:spacing w:val="4"/>
                <w:sz w:val="21"/>
                <w:szCs w:val="21"/>
              </w:rPr>
              <w:t>t/a</w:t>
            </w:r>
            <w:r>
              <w:rPr>
                <w:rFonts w:hint="default" w:ascii="Times New Roman" w:hAnsi="Times New Roman" w:cs="Times New Roman"/>
                <w:b/>
                <w:bCs/>
                <w:color w:val="auto"/>
                <w:spacing w:val="4"/>
                <w:sz w:val="21"/>
                <w:szCs w:val="21"/>
              </w:rPr>
              <w:t>）</w:t>
            </w:r>
          </w:p>
        </w:tc>
        <w:tc>
          <w:tcPr>
            <w:tcW w:w="166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b/>
                <w:bCs/>
                <w:color w:val="auto"/>
                <w:spacing w:val="5"/>
                <w:sz w:val="21"/>
                <w:szCs w:val="21"/>
              </w:rPr>
              <w:t>总量控制建议指标</w:t>
            </w:r>
            <w:r>
              <w:rPr>
                <w:rFonts w:hint="default" w:ascii="Times New Roman" w:hAnsi="Times New Roman" w:cs="Times New Roman"/>
                <w:b/>
                <w:bCs/>
                <w:color w:val="auto"/>
                <w:spacing w:val="5"/>
                <w:sz w:val="21"/>
                <w:szCs w:val="21"/>
                <w:lang w:eastAsia="zh-CN"/>
              </w:rPr>
              <w:t>（</w:t>
            </w:r>
            <w:r>
              <w:rPr>
                <w:rFonts w:hint="default" w:ascii="Times New Roman" w:hAnsi="Times New Roman" w:eastAsia="Times New Roman" w:cs="Times New Roman"/>
                <w:b/>
                <w:bCs/>
                <w:color w:val="auto"/>
                <w:spacing w:val="5"/>
                <w:sz w:val="21"/>
                <w:szCs w:val="21"/>
              </w:rPr>
              <w:t>t/a</w:t>
            </w:r>
            <w:r>
              <w:rPr>
                <w:rFonts w:hint="default" w:ascii="Times New Roman" w:hAnsi="Times New Roman" w:cs="Times New Roman"/>
                <w:b/>
                <w:bCs/>
                <w:color w:val="auto"/>
                <w:spacing w:val="5"/>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5"/>
                <w:sz w:val="21"/>
                <w:szCs w:val="21"/>
              </w:rPr>
              <w:t>VOCs</w:t>
            </w:r>
          </w:p>
        </w:tc>
        <w:tc>
          <w:tcPr>
            <w:tcW w:w="16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Times New Roman" w:cs="Times New Roman"/>
                <w:color w:val="auto"/>
                <w:spacing w:val="4"/>
                <w:sz w:val="21"/>
                <w:szCs w:val="21"/>
              </w:rPr>
              <w:t>24.0</w:t>
            </w:r>
            <w:r>
              <w:rPr>
                <w:rFonts w:hint="eastAsia" w:ascii="Times New Roman" w:hAnsi="Times New Roman" w:eastAsia="宋体" w:cs="Times New Roman"/>
                <w:color w:val="auto"/>
                <w:spacing w:val="4"/>
                <w:sz w:val="21"/>
                <w:szCs w:val="21"/>
                <w:lang w:val="en-US" w:eastAsia="zh-CN"/>
              </w:rPr>
              <w:t>17</w:t>
            </w:r>
          </w:p>
        </w:tc>
        <w:tc>
          <w:tcPr>
            <w:tcW w:w="16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Times New Roman" w:cs="Times New Roman"/>
                <w:color w:val="auto"/>
                <w:spacing w:val="4"/>
                <w:sz w:val="21"/>
                <w:szCs w:val="21"/>
              </w:rPr>
              <w:t>24.0</w:t>
            </w:r>
            <w:r>
              <w:rPr>
                <w:rFonts w:hint="eastAsia" w:ascii="Times New Roman" w:hAnsi="Times New Roman" w:eastAsia="宋体" w:cs="Times New Roman"/>
                <w:color w:val="auto"/>
                <w:spacing w:val="4"/>
                <w:sz w:val="21"/>
                <w:szCs w:val="21"/>
                <w:lang w:val="en-US" w:eastAsia="zh-CN"/>
              </w:rPr>
              <w:t>17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SO</w:t>
            </w:r>
            <w:r>
              <w:rPr>
                <w:rFonts w:hint="default" w:ascii="Times New Roman" w:hAnsi="Times New Roman" w:eastAsia="Times New Roman" w:cs="Times New Roman"/>
                <w:color w:val="auto"/>
                <w:spacing w:val="1"/>
                <w:position w:val="-1"/>
                <w:sz w:val="21"/>
                <w:szCs w:val="21"/>
                <w:vertAlign w:val="subscript"/>
              </w:rPr>
              <w:t>2</w:t>
            </w:r>
          </w:p>
        </w:tc>
        <w:tc>
          <w:tcPr>
            <w:tcW w:w="16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Times New Roman" w:cs="Times New Roman"/>
                <w:color w:val="auto"/>
                <w:spacing w:val="3"/>
                <w:sz w:val="21"/>
                <w:szCs w:val="21"/>
              </w:rPr>
              <w:t>0.0</w:t>
            </w:r>
            <w:r>
              <w:rPr>
                <w:rFonts w:hint="eastAsia" w:ascii="Times New Roman" w:hAnsi="Times New Roman" w:eastAsia="宋体" w:cs="Times New Roman"/>
                <w:color w:val="auto"/>
                <w:spacing w:val="3"/>
                <w:sz w:val="21"/>
                <w:szCs w:val="21"/>
                <w:lang w:val="en-US" w:eastAsia="zh-CN"/>
              </w:rPr>
              <w:t>09</w:t>
            </w:r>
          </w:p>
        </w:tc>
        <w:tc>
          <w:tcPr>
            <w:tcW w:w="278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0.0</w:t>
            </w:r>
            <w:r>
              <w:rPr>
                <w:rFonts w:hint="eastAsia" w:ascii="Times New Roman" w:hAnsi="Times New Roman" w:eastAsia="宋体" w:cs="Times New Roman"/>
                <w:color w:val="auto"/>
                <w:spacing w:val="3"/>
                <w:sz w:val="21"/>
                <w:szCs w:val="21"/>
                <w:lang w:val="en-US" w:eastAsia="zh-CN"/>
              </w:rPr>
              <w:t>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6"/>
                <w:sz w:val="21"/>
                <w:szCs w:val="21"/>
              </w:rPr>
              <w:t>NOx</w:t>
            </w:r>
          </w:p>
        </w:tc>
        <w:tc>
          <w:tcPr>
            <w:tcW w:w="166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Times New Roman" w:cs="Times New Roman"/>
                <w:color w:val="auto"/>
                <w:spacing w:val="-4"/>
                <w:sz w:val="21"/>
                <w:szCs w:val="21"/>
              </w:rPr>
              <w:t>0.</w:t>
            </w:r>
            <w:r>
              <w:rPr>
                <w:rFonts w:hint="eastAsia" w:ascii="Times New Roman" w:hAnsi="Times New Roman" w:eastAsia="宋体" w:cs="Times New Roman"/>
                <w:color w:val="auto"/>
                <w:spacing w:val="-4"/>
                <w:sz w:val="21"/>
                <w:szCs w:val="21"/>
                <w:lang w:val="en-US" w:eastAsia="zh-CN"/>
              </w:rPr>
              <w:t>0567</w:t>
            </w:r>
          </w:p>
        </w:tc>
        <w:tc>
          <w:tcPr>
            <w:tcW w:w="278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0.</w:t>
            </w:r>
            <w:r>
              <w:rPr>
                <w:rFonts w:hint="eastAsia" w:ascii="Times New Roman" w:hAnsi="Times New Roman" w:eastAsia="宋体" w:cs="Times New Roman"/>
                <w:color w:val="auto"/>
                <w:spacing w:val="-4"/>
                <w:sz w:val="21"/>
                <w:szCs w:val="21"/>
                <w:lang w:val="en-US" w:eastAsia="zh-CN"/>
              </w:rPr>
              <w:t>0567</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项目VOCs总量替代方案</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宋体" w:hAnsi="宋体" w:eastAsia="宋体" w:cs="宋体"/>
          <w:sz w:val="24"/>
          <w:szCs w:val="24"/>
          <w:lang w:val="en-US" w:eastAsia="zh-CN"/>
        </w:rPr>
      </w:pPr>
      <w:r>
        <w:rPr>
          <w:rFonts w:hint="default" w:ascii="Times New Roman" w:hAnsi="Times New Roman" w:eastAsia="宋体" w:cs="Times New Roman"/>
          <w:sz w:val="24"/>
          <w:szCs w:val="24"/>
        </w:rPr>
        <w:t>本项目为新建项目，VOCs总量经上文计算共计需24.0</w:t>
      </w:r>
      <w:r>
        <w:rPr>
          <w:rFonts w:hint="default" w:ascii="Times New Roman" w:hAnsi="Times New Roman" w:eastAsia="宋体" w:cs="Times New Roman"/>
          <w:sz w:val="24"/>
          <w:szCs w:val="24"/>
          <w:lang w:val="en-US" w:eastAsia="zh-CN"/>
        </w:rPr>
        <w:t>17</w:t>
      </w:r>
      <w:r>
        <w:rPr>
          <w:rFonts w:hint="default" w:ascii="Times New Roman" w:hAnsi="Times New Roman" w:eastAsia="宋体" w:cs="Times New Roman"/>
          <w:sz w:val="24"/>
          <w:szCs w:val="24"/>
        </w:rPr>
        <w:t>t/a，按照VOCs区域</w:t>
      </w:r>
      <w:r>
        <w:rPr>
          <w:rFonts w:hint="default" w:ascii="Times New Roman" w:hAnsi="Times New Roman" w:eastAsia="宋体" w:cs="Times New Roman"/>
          <w:sz w:val="24"/>
          <w:szCs w:val="24"/>
          <w:lang w:val="en-US" w:eastAsia="zh-CN"/>
        </w:rPr>
        <w:t>等量</w:t>
      </w:r>
      <w:r>
        <w:rPr>
          <w:rFonts w:hint="default" w:ascii="Times New Roman" w:hAnsi="Times New Roman" w:eastAsia="宋体" w:cs="Times New Roman"/>
          <w:sz w:val="24"/>
          <w:szCs w:val="24"/>
        </w:rPr>
        <w:t>消减的原则，本项目VOCs总量来源于</w:t>
      </w:r>
      <w:r>
        <w:rPr>
          <w:rFonts w:hint="default" w:ascii="Times New Roman" w:hAnsi="Times New Roman" w:eastAsia="宋体" w:cs="Times New Roman"/>
          <w:sz w:val="24"/>
          <w:szCs w:val="24"/>
          <w:lang w:val="en-US" w:eastAsia="zh-CN"/>
        </w:rPr>
        <w:t>202</w:t>
      </w:r>
      <w:r>
        <w:rPr>
          <w:rFonts w:hint="default" w:ascii="Times New Roman" w:hAnsi="Times New Roman" w:eastAsia="宋体" w:cs="Times New Roman"/>
          <w:sz w:val="24"/>
          <w:szCs w:val="24"/>
          <w:lang w:val="en" w:eastAsia="zh-CN"/>
        </w:rPr>
        <w:t>4</w:t>
      </w:r>
      <w:r>
        <w:rPr>
          <w:rFonts w:hint="default" w:ascii="Times New Roman" w:hAnsi="Times New Roman" w:eastAsia="宋体" w:cs="Times New Roman"/>
          <w:sz w:val="24"/>
          <w:szCs w:val="24"/>
          <w:lang w:val="en-US" w:eastAsia="zh-CN"/>
        </w:rPr>
        <w:t>年第</w:t>
      </w:r>
      <w:r>
        <w:rPr>
          <w:rFonts w:hint="default" w:ascii="Times New Roman" w:hAnsi="Times New Roman" w:eastAsia="宋体" w:cs="Times New Roman"/>
          <w:sz w:val="24"/>
          <w:szCs w:val="24"/>
          <w:lang w:val="en" w:eastAsia="zh-CN"/>
        </w:rPr>
        <w:t>二、三</w:t>
      </w:r>
      <w:r>
        <w:rPr>
          <w:rFonts w:hint="default" w:ascii="Times New Roman" w:hAnsi="Times New Roman" w:eastAsia="宋体" w:cs="Times New Roman"/>
          <w:sz w:val="24"/>
          <w:szCs w:val="24"/>
          <w:lang w:val="en-US" w:eastAsia="zh-CN"/>
        </w:rPr>
        <w:t>批中央大气污染防治资金项目申报</w:t>
      </w:r>
      <w:r>
        <w:rPr>
          <w:rFonts w:hint="eastAsia" w:ascii="Times New Roman" w:hAnsi="Times New Roman" w:eastAsia="宋体" w:cs="Times New Roman"/>
          <w:sz w:val="24"/>
          <w:szCs w:val="24"/>
          <w:lang w:val="en-US" w:eastAsia="zh-CN"/>
        </w:rPr>
        <w:t>中的部分项目减排量，</w:t>
      </w:r>
      <w:r>
        <w:rPr>
          <w:rFonts w:ascii="宋体" w:hAnsi="宋体" w:eastAsia="宋体" w:cs="宋体"/>
          <w:sz w:val="24"/>
          <w:szCs w:val="24"/>
        </w:rPr>
        <w:t>污染物排放总量控制指标</w:t>
      </w:r>
      <w:r>
        <w:rPr>
          <w:rFonts w:hint="eastAsia" w:ascii="宋体" w:hAnsi="宋体" w:eastAsia="宋体" w:cs="宋体"/>
          <w:sz w:val="24"/>
          <w:szCs w:val="24"/>
          <w:lang w:val="en-US" w:eastAsia="zh-CN"/>
        </w:rPr>
        <w:t>替代来源如下表所示。</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eastAsia" w:ascii="Times New Roman" w:hAnsi="Times New Roman" w:eastAsia="宋体" w:cs="Times New Roman"/>
          <w:b/>
          <w:bCs/>
          <w:color w:val="auto"/>
          <w:spacing w:val="5"/>
          <w:sz w:val="24"/>
          <w:szCs w:val="24"/>
          <w:lang w:eastAsia="zh-CN"/>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9.2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污染物排放</w:t>
      </w:r>
      <w:r>
        <w:rPr>
          <w:rFonts w:hint="eastAsia" w:ascii="Times New Roman" w:hAnsi="Times New Roman" w:eastAsia="宋体" w:cs="Times New Roman"/>
          <w:b/>
          <w:bCs/>
          <w:color w:val="auto"/>
          <w:spacing w:val="5"/>
          <w:sz w:val="24"/>
          <w:szCs w:val="24"/>
          <w:lang w:val="en-US" w:eastAsia="zh-CN"/>
        </w:rPr>
        <w:t>来源</w:t>
      </w:r>
    </w:p>
    <w:tbl>
      <w:tblPr>
        <w:tblStyle w:val="29"/>
        <w:tblW w:w="8315"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15"/>
        <w:gridCol w:w="930"/>
        <w:gridCol w:w="5995"/>
        <w:gridCol w:w="57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污染物类别</w:t>
            </w:r>
          </w:p>
        </w:tc>
        <w:tc>
          <w:tcPr>
            <w:tcW w:w="930" w:type="dxa"/>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总量指标</w:t>
            </w:r>
            <w:r>
              <w:rPr>
                <w:rFonts w:hint="default" w:ascii="Times New Roman" w:hAnsi="Times New Roman" w:cs="Times New Roman"/>
                <w:b/>
                <w:bCs/>
                <w:color w:val="auto"/>
                <w:spacing w:val="6"/>
                <w:sz w:val="21"/>
                <w:szCs w:val="21"/>
                <w:lang w:eastAsia="zh-CN"/>
              </w:rPr>
              <w:t>（</w:t>
            </w:r>
            <w:r>
              <w:rPr>
                <w:rFonts w:hint="default" w:ascii="Times New Roman" w:hAnsi="Times New Roman" w:cs="Times New Roman"/>
                <w:b/>
                <w:bCs/>
                <w:color w:val="auto"/>
                <w:spacing w:val="6"/>
                <w:sz w:val="21"/>
                <w:szCs w:val="21"/>
              </w:rPr>
              <w:t>t/a</w:t>
            </w:r>
            <w:r>
              <w:rPr>
                <w:rFonts w:hint="default" w:ascii="Times New Roman" w:hAnsi="Times New Roman" w:cs="Times New Roman"/>
                <w:b/>
                <w:bCs/>
                <w:color w:val="auto"/>
                <w:spacing w:val="6"/>
                <w:sz w:val="21"/>
                <w:szCs w:val="21"/>
                <w:lang w:eastAsia="zh-CN"/>
              </w:rPr>
              <w:t>）</w:t>
            </w:r>
          </w:p>
        </w:tc>
        <w:tc>
          <w:tcPr>
            <w:tcW w:w="6570" w:type="dxa"/>
            <w:gridSpan w:val="2"/>
            <w:tcBorders>
              <w:bottom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6"/>
                <w:sz w:val="21"/>
                <w:szCs w:val="21"/>
                <w:lang w:eastAsia="zh-CN"/>
              </w:rPr>
            </w:pPr>
            <w:r>
              <w:rPr>
                <w:rFonts w:hint="default" w:ascii="Times New Roman" w:hAnsi="Times New Roman" w:cs="Times New Roman"/>
                <w:b/>
                <w:bCs/>
                <w:color w:val="auto"/>
                <w:spacing w:val="6"/>
                <w:sz w:val="21"/>
                <w:szCs w:val="21"/>
              </w:rPr>
              <w:t>总量来源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6"/>
                <w:sz w:val="21"/>
                <w:szCs w:val="21"/>
              </w:rPr>
            </w:pPr>
          </w:p>
        </w:tc>
        <w:tc>
          <w:tcPr>
            <w:tcW w:w="930" w:type="dxa"/>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6"/>
                <w:sz w:val="21"/>
                <w:szCs w:val="21"/>
              </w:rPr>
            </w:pPr>
          </w:p>
        </w:tc>
        <w:tc>
          <w:tcPr>
            <w:tcW w:w="5995" w:type="dxa"/>
            <w:tcBorders>
              <w:top w:val="single" w:color="auto" w:sz="4" w:space="0"/>
              <w:righ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pacing w:val="6"/>
                <w:sz w:val="21"/>
                <w:szCs w:val="21"/>
                <w:lang w:val="en-US" w:eastAsia="zh-CN"/>
              </w:rPr>
            </w:pPr>
            <w:r>
              <w:rPr>
                <w:rFonts w:hint="eastAsia" w:ascii="Times New Roman" w:hAnsi="Times New Roman" w:cs="Times New Roman"/>
                <w:b/>
                <w:bCs/>
                <w:color w:val="auto"/>
                <w:spacing w:val="6"/>
                <w:sz w:val="21"/>
                <w:szCs w:val="21"/>
                <w:lang w:val="en-US" w:eastAsia="zh-CN"/>
              </w:rPr>
              <w:t>各项目替代量</w:t>
            </w:r>
          </w:p>
        </w:tc>
        <w:tc>
          <w:tcPr>
            <w:tcW w:w="0" w:type="auto"/>
            <w:tcBorders>
              <w:top w:val="single" w:color="auto" w:sz="4" w:space="0"/>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b/>
                <w:bCs/>
                <w:color w:val="auto"/>
                <w:spacing w:val="6"/>
                <w:sz w:val="21"/>
                <w:szCs w:val="21"/>
                <w:lang w:val="en-US" w:eastAsia="zh-CN"/>
              </w:rPr>
            </w:pPr>
            <w:r>
              <w:rPr>
                <w:rFonts w:hint="eastAsia" w:ascii="Times New Roman" w:hAnsi="Times New Roman" w:cs="Times New Roman"/>
                <w:b/>
                <w:bCs/>
                <w:color w:val="auto"/>
                <w:spacing w:val="6"/>
                <w:sz w:val="21"/>
                <w:szCs w:val="21"/>
                <w:lang w:val="en-US" w:eastAsia="zh-CN"/>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5"/>
                <w:sz w:val="21"/>
                <w:szCs w:val="21"/>
              </w:rPr>
              <w:t>VOCs</w:t>
            </w:r>
          </w:p>
        </w:tc>
        <w:tc>
          <w:tcPr>
            <w:tcW w:w="93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Times New Roman" w:cs="Times New Roman"/>
                <w:color w:val="auto"/>
                <w:spacing w:val="4"/>
                <w:sz w:val="21"/>
                <w:szCs w:val="21"/>
              </w:rPr>
              <w:t>24.0</w:t>
            </w:r>
            <w:r>
              <w:rPr>
                <w:rFonts w:hint="eastAsia" w:ascii="Times New Roman" w:hAnsi="Times New Roman" w:eastAsia="宋体" w:cs="Times New Roman"/>
                <w:color w:val="auto"/>
                <w:spacing w:val="4"/>
                <w:sz w:val="21"/>
                <w:szCs w:val="21"/>
                <w:lang w:val="en-US" w:eastAsia="zh-CN"/>
              </w:rPr>
              <w:t>17</w:t>
            </w:r>
          </w:p>
        </w:tc>
        <w:tc>
          <w:tcPr>
            <w:tcW w:w="5995" w:type="dxa"/>
            <w:tcBorders>
              <w:right w:val="single" w:color="auto" w:sz="4" w:space="0"/>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lang w:val="en-US" w:eastAsia="zh-CN"/>
              </w:rPr>
            </w:pPr>
            <w:r>
              <w:rPr>
                <w:rFonts w:hint="eastAsia" w:ascii="Times New Roman" w:hAnsi="Times New Roman" w:eastAsia="Times New Roman" w:cs="Times New Roman"/>
                <w:color w:val="auto"/>
                <w:spacing w:val="4"/>
                <w:sz w:val="21"/>
                <w:szCs w:val="21"/>
                <w:lang w:val="en-US" w:eastAsia="zh-CN"/>
              </w:rPr>
              <w:t>湖南恒创新材料有限公司不干胶产品生产基地（一期工程）VOCs深度治理项目6t</w:t>
            </w:r>
          </w:p>
        </w:tc>
        <w:tc>
          <w:tcPr>
            <w:tcW w:w="0" w:type="auto"/>
            <w:vMerge w:val="restart"/>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lang w:val="en-US" w:eastAsia="zh-CN"/>
              </w:rPr>
            </w:pPr>
            <w:r>
              <w:rPr>
                <w:rFonts w:hint="eastAsia" w:ascii="Times New Roman" w:hAnsi="Times New Roman" w:eastAsia="Times New Roman" w:cs="Times New Roman"/>
                <w:color w:val="auto"/>
                <w:spacing w:val="4"/>
                <w:sz w:val="21"/>
                <w:szCs w:val="21"/>
                <w:lang w:val="en-US" w:eastAsia="zh-CN"/>
              </w:rPr>
              <w:t>24.04t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5"/>
                <w:sz w:val="21"/>
                <w:szCs w:val="21"/>
              </w:rPr>
            </w:pPr>
          </w:p>
        </w:tc>
        <w:tc>
          <w:tcPr>
            <w:tcW w:w="93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rPr>
            </w:pPr>
          </w:p>
        </w:tc>
        <w:tc>
          <w:tcPr>
            <w:tcW w:w="5995" w:type="dxa"/>
            <w:tcBorders>
              <w:right w:val="single" w:color="auto" w:sz="4" w:space="0"/>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lang w:val="en-US"/>
              </w:rPr>
            </w:pPr>
            <w:r>
              <w:rPr>
                <w:rFonts w:hint="eastAsia" w:ascii="Times New Roman" w:hAnsi="Times New Roman" w:eastAsia="Times New Roman" w:cs="Times New Roman"/>
                <w:color w:val="auto"/>
                <w:spacing w:val="4"/>
                <w:sz w:val="21"/>
                <w:szCs w:val="21"/>
                <w:lang w:val="en-US" w:eastAsia="zh-CN"/>
              </w:rPr>
              <w:t>江华恒津包装材料有限公司印刷工序废气深度治理项目8t</w:t>
            </w:r>
          </w:p>
        </w:tc>
        <w:tc>
          <w:tcPr>
            <w:tcW w:w="0" w:type="auto"/>
            <w:vMerge w:val="continue"/>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Times New Roman" w:cs="Times New Roman"/>
                <w:color w:val="auto"/>
                <w:spacing w:val="4"/>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5"/>
                <w:sz w:val="21"/>
                <w:szCs w:val="21"/>
              </w:rPr>
            </w:pPr>
          </w:p>
        </w:tc>
        <w:tc>
          <w:tcPr>
            <w:tcW w:w="93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rPr>
            </w:pPr>
          </w:p>
        </w:tc>
        <w:tc>
          <w:tcPr>
            <w:tcW w:w="5995" w:type="dxa"/>
            <w:tcBorders>
              <w:right w:val="single" w:color="auto" w:sz="4" w:space="0"/>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lang w:val="en-US"/>
              </w:rPr>
            </w:pPr>
            <w:r>
              <w:rPr>
                <w:rFonts w:hint="eastAsia" w:ascii="Times New Roman" w:hAnsi="Times New Roman" w:eastAsia="Times New Roman" w:cs="Times New Roman"/>
                <w:color w:val="auto"/>
                <w:spacing w:val="4"/>
                <w:sz w:val="21"/>
                <w:szCs w:val="21"/>
                <w:lang w:val="en-US" w:eastAsia="zh-CN"/>
              </w:rPr>
              <w:t>湖南尼克爱家科技有限公司喷漆废气深度治理项目1.48t</w:t>
            </w:r>
          </w:p>
        </w:tc>
        <w:tc>
          <w:tcPr>
            <w:tcW w:w="0" w:type="auto"/>
            <w:vMerge w:val="continue"/>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Times New Roman" w:cs="Times New Roman"/>
                <w:color w:val="auto"/>
                <w:spacing w:val="4"/>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5"/>
                <w:sz w:val="21"/>
                <w:szCs w:val="21"/>
              </w:rPr>
            </w:pPr>
          </w:p>
        </w:tc>
        <w:tc>
          <w:tcPr>
            <w:tcW w:w="93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rPr>
            </w:pPr>
          </w:p>
        </w:tc>
        <w:tc>
          <w:tcPr>
            <w:tcW w:w="5995" w:type="dxa"/>
            <w:tcBorders>
              <w:right w:val="single" w:color="auto" w:sz="4" w:space="0"/>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lang w:val="en-US"/>
              </w:rPr>
            </w:pPr>
            <w:r>
              <w:rPr>
                <w:rFonts w:hint="eastAsia" w:ascii="Times New Roman" w:hAnsi="Times New Roman" w:eastAsia="Times New Roman" w:cs="Times New Roman"/>
                <w:color w:val="auto"/>
                <w:spacing w:val="4"/>
                <w:sz w:val="21"/>
                <w:szCs w:val="21"/>
                <w:lang w:val="en-US" w:eastAsia="zh-CN"/>
              </w:rPr>
              <w:t>永州市铭城再生资源利用有限公司挥发性有机物深度治理项目1.05t</w:t>
            </w:r>
          </w:p>
        </w:tc>
        <w:tc>
          <w:tcPr>
            <w:tcW w:w="0" w:type="auto"/>
            <w:vMerge w:val="continue"/>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Times New Roman" w:cs="Times New Roman"/>
                <w:color w:val="auto"/>
                <w:spacing w:val="4"/>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5"/>
                <w:sz w:val="21"/>
                <w:szCs w:val="21"/>
              </w:rPr>
            </w:pPr>
          </w:p>
        </w:tc>
        <w:tc>
          <w:tcPr>
            <w:tcW w:w="93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rPr>
            </w:pPr>
          </w:p>
        </w:tc>
        <w:tc>
          <w:tcPr>
            <w:tcW w:w="5995" w:type="dxa"/>
            <w:tcBorders>
              <w:right w:val="single" w:color="auto" w:sz="4" w:space="0"/>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lang w:val="en-US"/>
              </w:rPr>
            </w:pPr>
            <w:r>
              <w:rPr>
                <w:rFonts w:hint="eastAsia" w:ascii="Times New Roman" w:hAnsi="Times New Roman" w:eastAsia="Times New Roman" w:cs="Times New Roman"/>
                <w:color w:val="auto"/>
                <w:spacing w:val="4"/>
                <w:sz w:val="21"/>
                <w:szCs w:val="21"/>
                <w:lang w:val="en-US" w:eastAsia="zh-CN"/>
              </w:rPr>
              <w:t>蓝山翼德新材料科技有限公司挥发性有机物深度治理项目6.08t</w:t>
            </w:r>
          </w:p>
        </w:tc>
        <w:tc>
          <w:tcPr>
            <w:tcW w:w="0" w:type="auto"/>
            <w:vMerge w:val="continue"/>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Times New Roman" w:cs="Times New Roman"/>
                <w:color w:val="auto"/>
                <w:spacing w:val="4"/>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5"/>
                <w:sz w:val="21"/>
                <w:szCs w:val="21"/>
              </w:rPr>
            </w:pPr>
          </w:p>
        </w:tc>
        <w:tc>
          <w:tcPr>
            <w:tcW w:w="93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pacing w:val="4"/>
                <w:sz w:val="21"/>
                <w:szCs w:val="21"/>
              </w:rPr>
            </w:pPr>
          </w:p>
        </w:tc>
        <w:tc>
          <w:tcPr>
            <w:tcW w:w="5995" w:type="dxa"/>
            <w:tcBorders>
              <w:right w:val="single" w:color="auto" w:sz="4" w:space="0"/>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lang w:val="en-US" w:eastAsia="zh-CN"/>
              </w:rPr>
            </w:pPr>
            <w:r>
              <w:rPr>
                <w:rFonts w:hint="eastAsia"/>
                <w:lang w:val="en-US" w:eastAsia="zh-CN"/>
              </w:rPr>
              <w:t>湖南盈晟智能家具有限公司喷漆废气深度治理项目1</w:t>
            </w:r>
            <w:r>
              <w:rPr>
                <w:rFonts w:hint="eastAsia" w:ascii="Times New Roman" w:hAnsi="Times New Roman" w:eastAsia="Times New Roman" w:cs="Times New Roman"/>
                <w:color w:val="auto"/>
                <w:spacing w:val="4"/>
                <w:sz w:val="21"/>
                <w:szCs w:val="21"/>
                <w:lang w:val="en-US" w:eastAsia="zh-CN"/>
              </w:rPr>
              <w:t>.43t</w:t>
            </w:r>
          </w:p>
        </w:tc>
        <w:tc>
          <w:tcPr>
            <w:tcW w:w="0" w:type="auto"/>
            <w:vMerge w:val="continue"/>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lang w:val="en-US" w:eastAsia="zh-CN"/>
              </w:rPr>
            </w:pPr>
          </w:p>
        </w:tc>
      </w:tr>
    </w:tbl>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宋体" w:hAnsi="宋体" w:eastAsia="宋体" w:cs="宋体"/>
          <w:sz w:val="24"/>
          <w:szCs w:val="24"/>
        </w:rPr>
      </w:pP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sectPr>
          <w:pgSz w:w="11906" w:h="16839"/>
          <w:pgMar w:top="1440" w:right="1803" w:bottom="1440" w:left="1803" w:header="0" w:footer="908"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5"/>
        <w:bidi w:val="0"/>
        <w:rPr>
          <w:rFonts w:hint="default" w:ascii="Times New Roman" w:hAnsi="Times New Roman" w:cs="Times New Roman" w:eastAsiaTheme="majorEastAsia"/>
          <w:color w:val="auto"/>
          <w:sz w:val="36"/>
          <w:szCs w:val="36"/>
        </w:rPr>
      </w:pPr>
      <w:bookmarkStart w:id="121" w:name="bookmark120"/>
      <w:bookmarkEnd w:id="121"/>
      <w:bookmarkStart w:id="122" w:name="_Toc14450"/>
      <w:r>
        <w:rPr>
          <w:rFonts w:hint="default" w:ascii="Times New Roman" w:hAnsi="Times New Roman" w:cs="Times New Roman" w:eastAsiaTheme="majorEastAsia"/>
          <w:color w:val="auto"/>
          <w:sz w:val="36"/>
          <w:szCs w:val="36"/>
        </w:rPr>
        <w:t>环境影响经济损益分析</w:t>
      </w:r>
      <w:bookmarkEnd w:id="122"/>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经济损益分析是对项目的环境影响作出经济评价，重点是对有长期影响的主要环境因子作出经济损益分析。包括对环境不利和有利因子的分析。在效益分析中，考虑直接效益（经济效益）和间接效益（社会效益、环境效益）。本章主要依据建设单位提供的有关资料，对本项目的经济效益、环境效益以及社会效益进行简要的分析。</w:t>
      </w:r>
    </w:p>
    <w:p>
      <w:pPr>
        <w:pStyle w:val="10"/>
        <w:bidi w:val="0"/>
        <w:spacing w:line="360" w:lineRule="auto"/>
        <w:rPr>
          <w:rFonts w:hint="default" w:ascii="Times New Roman" w:hAnsi="Times New Roman" w:cs="Times New Roman"/>
          <w:color w:val="auto"/>
          <w:sz w:val="32"/>
          <w:szCs w:val="32"/>
        </w:rPr>
      </w:pPr>
      <w:bookmarkStart w:id="123" w:name="bookmark122"/>
      <w:bookmarkEnd w:id="123"/>
      <w:bookmarkStart w:id="124" w:name="_Toc8244"/>
      <w:r>
        <w:rPr>
          <w:rFonts w:hint="default" w:ascii="Times New Roman" w:hAnsi="Times New Roman" w:cs="Times New Roman"/>
          <w:color w:val="auto"/>
          <w:sz w:val="32"/>
          <w:szCs w:val="32"/>
        </w:rPr>
        <w:t>环境保护投资估算</w:t>
      </w:r>
      <w:bookmarkEnd w:id="124"/>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为了加强建设项目的环境管理，</w:t>
      </w:r>
      <w:r>
        <w:rPr>
          <w:rFonts w:hint="eastAsia" w:ascii="Times New Roman" w:hAnsi="Times New Roman" w:eastAsia="宋体" w:cs="Times New Roman"/>
          <w:color w:val="auto"/>
          <w:szCs w:val="28"/>
          <w:u w:val="none" w:color="auto"/>
          <w:lang w:eastAsia="zh-CN"/>
        </w:rPr>
        <w:t>防止</w:t>
      </w:r>
      <w:r>
        <w:rPr>
          <w:rFonts w:hint="default" w:ascii="Times New Roman" w:hAnsi="Times New Roman" w:cs="Times New Roman"/>
          <w:color w:val="auto"/>
          <w:szCs w:val="28"/>
          <w:u w:val="none" w:color="auto"/>
        </w:rPr>
        <w:t>生态破坏和环境污染，减轻或防止环境质量下降，建设项目的环保投资必须与主体工程同时设计、同时施工、同时投产使用。本项目的环境保护一次性总投资为</w:t>
      </w:r>
      <w:r>
        <w:rPr>
          <w:rFonts w:hint="eastAsia" w:ascii="Times New Roman" w:hAnsi="Times New Roman" w:eastAsia="宋体" w:cs="Times New Roman"/>
          <w:color w:val="auto"/>
          <w:szCs w:val="28"/>
          <w:u w:val="none" w:color="auto"/>
          <w:lang w:val="en-US" w:eastAsia="zh-CN"/>
        </w:rPr>
        <w:t>435</w:t>
      </w:r>
      <w:r>
        <w:rPr>
          <w:rFonts w:hint="default" w:ascii="Times New Roman" w:hAnsi="Times New Roman" w:cs="Times New Roman"/>
          <w:color w:val="auto"/>
          <w:szCs w:val="28"/>
          <w:u w:val="none" w:color="auto"/>
        </w:rPr>
        <w:t>万元，占项目总投资</w:t>
      </w:r>
      <w:r>
        <w:rPr>
          <w:rFonts w:hint="eastAsia" w:ascii="Times New Roman" w:hAnsi="Times New Roman" w:eastAsia="宋体" w:cs="Times New Roman"/>
          <w:color w:val="auto"/>
          <w:szCs w:val="28"/>
          <w:u w:val="none" w:color="auto"/>
          <w:lang w:eastAsia="zh-CN"/>
        </w:rPr>
        <w:t>5000万元</w:t>
      </w:r>
      <w:r>
        <w:rPr>
          <w:rFonts w:hint="default" w:ascii="Times New Roman" w:hAnsi="Times New Roman" w:cs="Times New Roman"/>
          <w:color w:val="auto"/>
          <w:szCs w:val="28"/>
          <w:u w:val="none" w:color="auto"/>
        </w:rPr>
        <w:t>的</w:t>
      </w:r>
      <w:r>
        <w:rPr>
          <w:rFonts w:hint="eastAsia" w:ascii="Times New Roman" w:hAnsi="Times New Roman" w:eastAsia="宋体" w:cs="Times New Roman"/>
          <w:color w:val="auto"/>
          <w:szCs w:val="28"/>
          <w:u w:val="none" w:color="auto"/>
          <w:lang w:val="en-US" w:eastAsia="zh-CN"/>
        </w:rPr>
        <w:t>8.7</w:t>
      </w:r>
      <w:r>
        <w:rPr>
          <w:rFonts w:hint="default" w:ascii="Times New Roman" w:hAnsi="Times New Roman" w:cs="Times New Roman"/>
          <w:color w:val="auto"/>
          <w:szCs w:val="28"/>
          <w:u w:val="none" w:color="auto"/>
        </w:rPr>
        <w:t>%。费用估算见表</w:t>
      </w:r>
      <w:r>
        <w:rPr>
          <w:rFonts w:hint="eastAsia" w:ascii="Times New Roman" w:hAnsi="Times New Roman" w:eastAsia="宋体" w:cs="Times New Roman"/>
          <w:color w:val="auto"/>
          <w:szCs w:val="28"/>
          <w:u w:val="none" w:color="auto"/>
          <w:lang w:val="en-US" w:eastAsia="zh-CN"/>
        </w:rPr>
        <w:t>10</w:t>
      </w:r>
      <w:r>
        <w:rPr>
          <w:rFonts w:hint="default" w:ascii="Times New Roman" w:hAnsi="Times New Roman" w:cs="Times New Roman"/>
          <w:color w:val="auto"/>
          <w:szCs w:val="28"/>
          <w:u w:val="none" w:color="auto"/>
        </w:rPr>
        <w:t>.1-1。</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10.1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项目一次性环保投资一览表</w:t>
      </w:r>
    </w:p>
    <w:tbl>
      <w:tblPr>
        <w:tblStyle w:val="2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56"/>
        <w:gridCol w:w="373"/>
        <w:gridCol w:w="1069"/>
        <w:gridCol w:w="4349"/>
        <w:gridCol w:w="188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86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3"/>
                <w:sz w:val="21"/>
                <w:szCs w:val="21"/>
              </w:rPr>
              <w:t>类别</w:t>
            </w:r>
          </w:p>
        </w:tc>
        <w:tc>
          <w:tcPr>
            <w:tcW w:w="26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治理措施</w:t>
            </w:r>
          </w:p>
        </w:tc>
        <w:tc>
          <w:tcPr>
            <w:tcW w:w="1128"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b/>
                <w:bCs/>
                <w:color w:val="auto"/>
                <w:spacing w:val="6"/>
                <w:sz w:val="21"/>
                <w:szCs w:val="21"/>
              </w:rPr>
              <w:t>投资费用</w:t>
            </w:r>
            <w:r>
              <w:rPr>
                <w:rFonts w:hint="default" w:ascii="Times New Roman" w:hAnsi="Times New Roman" w:cs="Times New Roman"/>
                <w:b/>
                <w:bCs/>
                <w:color w:val="auto"/>
                <w:spacing w:val="6"/>
                <w:sz w:val="21"/>
                <w:szCs w:val="21"/>
                <w:lang w:eastAsia="zh-CN"/>
              </w:rPr>
              <w:t>（</w:t>
            </w:r>
            <w:r>
              <w:rPr>
                <w:rFonts w:hint="default" w:ascii="Times New Roman" w:hAnsi="Times New Roman" w:cs="Times New Roman"/>
                <w:b/>
                <w:bCs/>
                <w:color w:val="auto"/>
                <w:spacing w:val="6"/>
                <w:sz w:val="21"/>
                <w:szCs w:val="21"/>
              </w:rPr>
              <w:t>万元</w:t>
            </w:r>
            <w:r>
              <w:rPr>
                <w:rFonts w:hint="default" w:ascii="Times New Roman" w:hAnsi="Times New Roman" w:cs="Times New Roman"/>
                <w:b/>
                <w:bCs/>
                <w:color w:val="auto"/>
                <w:spacing w:val="6"/>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1</w:t>
            </w:r>
          </w:p>
        </w:tc>
        <w:tc>
          <w:tcPr>
            <w:tcW w:w="224" w:type="pct"/>
            <w:vMerge w:val="restart"/>
            <w:tcBorders>
              <w:righ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废气</w:t>
            </w:r>
          </w:p>
        </w:tc>
        <w:tc>
          <w:tcPr>
            <w:tcW w:w="642" w:type="pct"/>
            <w:vMerge w:val="restart"/>
            <w:tcBorders>
              <w:left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有机废气</w:t>
            </w:r>
          </w:p>
        </w:tc>
        <w:tc>
          <w:tcPr>
            <w:tcW w:w="26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重点车间密闭</w:t>
            </w:r>
            <w:r>
              <w:rPr>
                <w:rFonts w:hint="default" w:ascii="Times New Roman" w:hAnsi="Times New Roman" w:eastAsia="Calibri" w:cs="Times New Roman"/>
                <w:color w:val="auto"/>
                <w:spacing w:val="9"/>
                <w:sz w:val="21"/>
                <w:szCs w:val="21"/>
              </w:rPr>
              <w:t>+</w:t>
            </w:r>
            <w:r>
              <w:rPr>
                <w:rFonts w:hint="default" w:ascii="Times New Roman" w:hAnsi="Times New Roman" w:cs="Times New Roman"/>
                <w:color w:val="auto"/>
                <w:spacing w:val="9"/>
                <w:sz w:val="21"/>
                <w:szCs w:val="21"/>
              </w:rPr>
              <w:t>集气系统（烘箱负压集气系</w:t>
            </w:r>
            <w:r>
              <w:rPr>
                <w:rFonts w:hint="default" w:ascii="Times New Roman" w:hAnsi="Times New Roman" w:cs="Times New Roman"/>
                <w:color w:val="auto"/>
                <w:spacing w:val="3"/>
                <w:sz w:val="21"/>
                <w:szCs w:val="21"/>
              </w:rPr>
              <w:t>统</w:t>
            </w:r>
            <w:r>
              <w:rPr>
                <w:rFonts w:hint="default" w:ascii="Times New Roman" w:hAnsi="Times New Roman" w:eastAsia="Calibri" w:cs="Times New Roman"/>
                <w:color w:val="auto"/>
                <w:spacing w:val="3"/>
                <w:sz w:val="21"/>
                <w:szCs w:val="21"/>
              </w:rPr>
              <w:t>+</w:t>
            </w:r>
            <w:r>
              <w:rPr>
                <w:rFonts w:hint="eastAsia" w:ascii="Times New Roman" w:hAnsi="Times New Roman" w:eastAsia="宋体" w:cs="Times New Roman"/>
                <w:color w:val="auto"/>
                <w:spacing w:val="3"/>
                <w:sz w:val="21"/>
                <w:szCs w:val="21"/>
                <w:lang w:val="en-US" w:eastAsia="zh-CN"/>
              </w:rPr>
              <w:t>车间</w:t>
            </w:r>
            <w:r>
              <w:rPr>
                <w:rFonts w:hint="default" w:ascii="Times New Roman" w:hAnsi="Times New Roman" w:cs="Times New Roman"/>
                <w:color w:val="auto"/>
                <w:spacing w:val="3"/>
                <w:sz w:val="21"/>
                <w:szCs w:val="21"/>
              </w:rPr>
              <w:t>负压集气系统）</w:t>
            </w:r>
            <w:r>
              <w:rPr>
                <w:rFonts w:hint="default" w:ascii="Times New Roman" w:hAnsi="Times New Roman" w:eastAsia="Calibri" w:cs="Times New Roman"/>
                <w:color w:val="auto"/>
                <w:spacing w:val="3"/>
                <w:sz w:val="21"/>
                <w:szCs w:val="21"/>
              </w:rPr>
              <w:t>+</w:t>
            </w:r>
            <w:r>
              <w:rPr>
                <w:rFonts w:hint="default" w:ascii="Times New Roman" w:hAnsi="Times New Roman" w:cs="Times New Roman"/>
                <w:color w:val="auto"/>
                <w:spacing w:val="3"/>
                <w:sz w:val="21"/>
                <w:szCs w:val="21"/>
              </w:rPr>
              <w:t>一套三室</w:t>
            </w:r>
            <w:r>
              <w:rPr>
                <w:rFonts w:hint="default" w:ascii="Times New Roman" w:hAnsi="Times New Roman" w:eastAsia="Calibri" w:cs="Times New Roman"/>
                <w:color w:val="auto"/>
                <w:sz w:val="21"/>
                <w:szCs w:val="21"/>
              </w:rPr>
              <w:t>RTO</w:t>
            </w:r>
            <w:r>
              <w:rPr>
                <w:rFonts w:hint="default" w:ascii="Times New Roman" w:hAnsi="Times New Roman" w:cs="Times New Roman"/>
                <w:color w:val="auto"/>
                <w:spacing w:val="3"/>
                <w:sz w:val="21"/>
                <w:szCs w:val="21"/>
              </w:rPr>
              <w:t>系</w:t>
            </w:r>
            <w:r>
              <w:rPr>
                <w:rFonts w:hint="default" w:ascii="Times New Roman" w:hAnsi="Times New Roman" w:cs="Times New Roman"/>
                <w:color w:val="auto"/>
                <w:spacing w:val="4"/>
                <w:sz w:val="21"/>
                <w:szCs w:val="21"/>
              </w:rPr>
              <w:t>统</w:t>
            </w:r>
            <w:r>
              <w:rPr>
                <w:rFonts w:hint="default" w:ascii="Times New Roman" w:hAnsi="Times New Roman" w:eastAsia="Calibri" w:cs="Times New Roman"/>
                <w:color w:val="auto"/>
                <w:spacing w:val="4"/>
                <w:sz w:val="21"/>
                <w:szCs w:val="21"/>
              </w:rPr>
              <w:t>+</w:t>
            </w:r>
            <w:r>
              <w:rPr>
                <w:rFonts w:hint="default" w:ascii="Times New Roman" w:hAnsi="Times New Roman" w:cs="Times New Roman"/>
                <w:color w:val="auto"/>
                <w:spacing w:val="4"/>
                <w:sz w:val="21"/>
                <w:szCs w:val="21"/>
              </w:rPr>
              <w:t>一根</w:t>
            </w:r>
            <w:r>
              <w:rPr>
                <w:rFonts w:hint="default" w:ascii="Times New Roman" w:hAnsi="Times New Roman" w:eastAsia="Calibri" w:cs="Times New Roman"/>
                <w:color w:val="auto"/>
                <w:spacing w:val="4"/>
                <w:sz w:val="21"/>
                <w:szCs w:val="21"/>
              </w:rPr>
              <w:t>15m</w:t>
            </w:r>
            <w:r>
              <w:rPr>
                <w:rFonts w:hint="default" w:ascii="Times New Roman" w:hAnsi="Times New Roman" w:cs="Times New Roman"/>
                <w:color w:val="auto"/>
                <w:spacing w:val="4"/>
                <w:sz w:val="21"/>
                <w:szCs w:val="21"/>
              </w:rPr>
              <w:t>高排气筒</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z w:val="21"/>
                <w:szCs w:val="21"/>
              </w:rPr>
              <w:t>3</w:t>
            </w:r>
            <w:r>
              <w:rPr>
                <w:rFonts w:hint="eastAsia" w:ascii="Times New Roman" w:hAnsi="Times New Roman" w:eastAsia="宋体" w:cs="Times New Roman"/>
                <w:color w:val="auto"/>
                <w:sz w:val="21"/>
                <w:szCs w:val="21"/>
                <w:lang w:val="en-US" w:eastAsia="zh-CN"/>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2</w:t>
            </w:r>
          </w:p>
        </w:tc>
        <w:tc>
          <w:tcPr>
            <w:tcW w:w="224" w:type="pct"/>
            <w:vMerge w:val="continue"/>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642" w:type="pct"/>
            <w:vMerge w:val="continue"/>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p>
        </w:tc>
        <w:tc>
          <w:tcPr>
            <w:tcW w:w="26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重点车间密闭，调墨、配胶设置</w:t>
            </w:r>
            <w:r>
              <w:rPr>
                <w:rFonts w:hint="eastAsia" w:ascii="Times New Roman" w:hAnsi="Times New Roman" w:cs="Times New Roman"/>
                <w:color w:val="auto"/>
                <w:spacing w:val="7"/>
                <w:sz w:val="21"/>
                <w:szCs w:val="21"/>
                <w:lang w:val="en-US" w:eastAsia="zh-CN"/>
              </w:rPr>
              <w:t>在</w:t>
            </w:r>
            <w:r>
              <w:rPr>
                <w:rFonts w:hint="default" w:ascii="Times New Roman" w:hAnsi="Times New Roman" w:cs="Times New Roman"/>
                <w:color w:val="auto"/>
                <w:spacing w:val="7"/>
                <w:sz w:val="21"/>
                <w:szCs w:val="21"/>
              </w:rPr>
              <w:t>封闭</w:t>
            </w:r>
            <w:r>
              <w:rPr>
                <w:rFonts w:hint="eastAsia" w:ascii="Times New Roman" w:hAnsi="Times New Roman" w:cs="Times New Roman"/>
                <w:color w:val="auto"/>
                <w:spacing w:val="7"/>
                <w:sz w:val="21"/>
                <w:szCs w:val="21"/>
                <w:lang w:val="en-US" w:eastAsia="zh-CN"/>
              </w:rPr>
              <w:t>车间</w:t>
            </w:r>
            <w:r>
              <w:rPr>
                <w:rFonts w:hint="default" w:ascii="Times New Roman" w:hAnsi="Times New Roman" w:cs="Times New Roman"/>
                <w:color w:val="auto"/>
                <w:spacing w:val="7"/>
                <w:sz w:val="21"/>
                <w:szCs w:val="21"/>
              </w:rPr>
              <w:t>；车间内工作人员佩</w:t>
            </w:r>
            <w:r>
              <w:rPr>
                <w:rFonts w:hint="default" w:ascii="Times New Roman" w:hAnsi="Times New Roman" w:cs="Times New Roman"/>
                <w:color w:val="auto"/>
                <w:spacing w:val="8"/>
                <w:sz w:val="21"/>
                <w:szCs w:val="21"/>
              </w:rPr>
              <w:t>戴专用口罩、穿防护服防护措施</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2"/>
                <w:sz w:val="21"/>
                <w:szCs w:val="21"/>
              </w:rPr>
              <w:t>1</w:t>
            </w:r>
            <w:r>
              <w:rPr>
                <w:rFonts w:hint="eastAsia" w:ascii="Times New Roman" w:hAnsi="Times New Roman" w:eastAsia="宋体" w:cs="Times New Roman"/>
                <w:color w:val="auto"/>
                <w:spacing w:val="-2"/>
                <w:sz w:val="21"/>
                <w:szCs w:val="21"/>
                <w:lang w:val="en-US" w:eastAsia="zh-CN"/>
              </w:rPr>
              <w:t>0</w:t>
            </w:r>
            <w:r>
              <w:rPr>
                <w:rFonts w:hint="default" w:ascii="Times New Roman" w:hAnsi="Times New Roman" w:eastAsia="Calibri" w:cs="Times New Roman"/>
                <w:color w:val="auto"/>
                <w:spacing w:val="-2"/>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3</w:t>
            </w:r>
          </w:p>
        </w:tc>
        <w:tc>
          <w:tcPr>
            <w:tcW w:w="224" w:type="pct"/>
            <w:vMerge w:val="continue"/>
            <w:tcBorders>
              <w:righ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z w:val="21"/>
                <w:szCs w:val="21"/>
                <w:lang w:val="en-US" w:eastAsia="zh-CN"/>
              </w:rPr>
            </w:pPr>
          </w:p>
        </w:tc>
        <w:tc>
          <w:tcPr>
            <w:tcW w:w="642" w:type="pct"/>
            <w:tcBorders>
              <w:left w:val="single" w:color="auto" w:sz="4" w:space="0"/>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食堂油烟</w:t>
            </w:r>
          </w:p>
        </w:tc>
        <w:tc>
          <w:tcPr>
            <w:tcW w:w="26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7"/>
                <w:sz w:val="21"/>
                <w:szCs w:val="21"/>
                <w:lang w:val="en-US" w:eastAsia="zh-CN"/>
              </w:rPr>
            </w:pPr>
            <w:r>
              <w:rPr>
                <w:rFonts w:hint="eastAsia" w:ascii="Times New Roman" w:hAnsi="Times New Roman" w:cs="Times New Roman"/>
                <w:color w:val="auto"/>
                <w:spacing w:val="7"/>
                <w:sz w:val="21"/>
                <w:szCs w:val="21"/>
                <w:lang w:val="en-US" w:eastAsia="zh-CN"/>
              </w:rPr>
              <w:t>油烟净化器+</w:t>
            </w:r>
            <w:r>
              <w:rPr>
                <w:rFonts w:hint="default" w:ascii="Times New Roman" w:hAnsi="Times New Roman" w:cs="Times New Roman"/>
                <w:color w:val="auto"/>
                <w:spacing w:val="4"/>
                <w:sz w:val="21"/>
                <w:szCs w:val="21"/>
              </w:rPr>
              <w:t>一根</w:t>
            </w:r>
            <w:r>
              <w:rPr>
                <w:rFonts w:hint="default" w:ascii="Times New Roman" w:hAnsi="Times New Roman" w:eastAsia="Calibri" w:cs="Times New Roman"/>
                <w:color w:val="auto"/>
                <w:spacing w:val="4"/>
                <w:sz w:val="21"/>
                <w:szCs w:val="21"/>
              </w:rPr>
              <w:t>15m</w:t>
            </w:r>
            <w:r>
              <w:rPr>
                <w:rFonts w:hint="default" w:ascii="Times New Roman" w:hAnsi="Times New Roman" w:cs="Times New Roman"/>
                <w:color w:val="auto"/>
                <w:spacing w:val="4"/>
                <w:sz w:val="21"/>
                <w:szCs w:val="21"/>
              </w:rPr>
              <w:t>高</w:t>
            </w:r>
            <w:r>
              <w:rPr>
                <w:rFonts w:hint="eastAsia" w:ascii="Times New Roman" w:hAnsi="Times New Roman" w:cs="Times New Roman"/>
                <w:color w:val="auto"/>
                <w:spacing w:val="7"/>
                <w:sz w:val="21"/>
                <w:szCs w:val="21"/>
                <w:lang w:val="en-US" w:eastAsia="zh-CN"/>
              </w:rPr>
              <w:t>排烟管</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4</w:t>
            </w:r>
          </w:p>
        </w:tc>
        <w:tc>
          <w:tcPr>
            <w:tcW w:w="866" w:type="pct"/>
            <w:gridSpan w:val="2"/>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废水</w:t>
            </w:r>
          </w:p>
        </w:tc>
        <w:tc>
          <w:tcPr>
            <w:tcW w:w="2610" w:type="pct"/>
            <w:tcBorders>
              <w:bottom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隔油池</w:t>
            </w:r>
          </w:p>
        </w:tc>
        <w:tc>
          <w:tcPr>
            <w:tcW w:w="1128" w:type="pct"/>
            <w:tcBorders>
              <w:bottom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p>
        </w:tc>
        <w:tc>
          <w:tcPr>
            <w:tcW w:w="866" w:type="pct"/>
            <w:gridSpan w:val="2"/>
            <w:vMerge w:val="continue"/>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pacing w:val="5"/>
                <w:sz w:val="21"/>
                <w:szCs w:val="21"/>
              </w:rPr>
            </w:pPr>
          </w:p>
        </w:tc>
        <w:tc>
          <w:tcPr>
            <w:tcW w:w="2610" w:type="pct"/>
            <w:tcBorders>
              <w:top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化粪池</w:t>
            </w:r>
          </w:p>
        </w:tc>
        <w:tc>
          <w:tcPr>
            <w:tcW w:w="1128" w:type="pct"/>
            <w:tcBorders>
              <w:top w:val="single" w:color="auto" w:sz="4" w:space="0"/>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pacing w:val="6"/>
                <w:sz w:val="21"/>
                <w:szCs w:val="21"/>
              </w:rPr>
              <w:t>依托</w:t>
            </w:r>
            <w:r>
              <w:rPr>
                <w:rFonts w:hint="eastAsia" w:ascii="Times New Roman" w:hAnsi="Times New Roman" w:cs="Times New Roman"/>
                <w:color w:val="auto"/>
                <w:spacing w:val="6"/>
                <w:sz w:val="21"/>
                <w:szCs w:val="21"/>
                <w:lang w:val="en-US" w:eastAsia="zh-CN"/>
              </w:rPr>
              <w:t>租赁厂区</w:t>
            </w:r>
            <w:r>
              <w:rPr>
                <w:rFonts w:hint="default" w:ascii="Times New Roman" w:hAnsi="Times New Roman" w:cs="Times New Roman"/>
                <w:color w:val="auto"/>
                <w:spacing w:val="6"/>
                <w:sz w:val="21"/>
                <w:szCs w:val="21"/>
              </w:rPr>
              <w:t>已有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5</w:t>
            </w:r>
          </w:p>
        </w:tc>
        <w:tc>
          <w:tcPr>
            <w:tcW w:w="86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噪声</w:t>
            </w:r>
          </w:p>
        </w:tc>
        <w:tc>
          <w:tcPr>
            <w:tcW w:w="26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增加设备基础减振，车间隔声、隔音等防治</w:t>
            </w:r>
            <w:r>
              <w:rPr>
                <w:rFonts w:hint="default" w:ascii="Times New Roman" w:hAnsi="Times New Roman" w:cs="Times New Roman"/>
                <w:color w:val="auto"/>
                <w:spacing w:val="2"/>
                <w:sz w:val="21"/>
                <w:szCs w:val="21"/>
              </w:rPr>
              <w:t>设施</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Calibri" w:cs="Times New Roman"/>
                <w:snapToGrid w:val="0"/>
                <w:color w:val="auto"/>
                <w:kern w:val="0"/>
                <w:sz w:val="21"/>
                <w:szCs w:val="21"/>
                <w:lang w:val="en-US" w:eastAsia="en-US" w:bidi="ar-SA"/>
              </w:rPr>
            </w:pPr>
            <w:r>
              <w:rPr>
                <w:rFonts w:hint="default" w:ascii="Times New Roman" w:hAnsi="Times New Roman" w:eastAsia="Calibri" w:cs="Times New Roman"/>
                <w:color w:val="auto"/>
                <w:sz w:val="21"/>
                <w:szCs w:val="21"/>
              </w:rPr>
              <w:t>6</w:t>
            </w:r>
          </w:p>
        </w:tc>
        <w:tc>
          <w:tcPr>
            <w:tcW w:w="86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固废</w:t>
            </w:r>
          </w:p>
        </w:tc>
        <w:tc>
          <w:tcPr>
            <w:tcW w:w="26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一般固废收集点，危废暂存间，生活垃圾分</w:t>
            </w:r>
            <w:r>
              <w:rPr>
                <w:rFonts w:hint="default" w:ascii="Times New Roman" w:hAnsi="Times New Roman" w:cs="Times New Roman"/>
                <w:color w:val="auto"/>
                <w:sz w:val="21"/>
                <w:szCs w:val="21"/>
              </w:rPr>
              <w:t>类</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5"/>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Calibri"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7</w:t>
            </w:r>
          </w:p>
        </w:tc>
        <w:tc>
          <w:tcPr>
            <w:tcW w:w="866" w:type="pct"/>
            <w:gridSpan w:val="2"/>
            <w:tcBorders>
              <w:tl2br w:val="nil"/>
              <w:tr2bl w:val="nil"/>
            </w:tcBorders>
            <w:vAlign w:val="center"/>
          </w:tcPr>
          <w:p>
            <w:pPr>
              <w:pStyle w:val="47"/>
              <w:spacing w:line="240" w:lineRule="auto"/>
              <w:rPr>
                <w:rFonts w:hint="eastAsia" w:ascii="Times New Roman" w:hAnsi="Times New Roman" w:eastAsia="Arial" w:cs="Times New Roman"/>
                <w:snapToGrid w:val="0"/>
                <w:color w:val="auto"/>
                <w:kern w:val="0"/>
                <w:sz w:val="21"/>
                <w:szCs w:val="21"/>
                <w:u w:val="none"/>
                <w:lang w:val="en-US" w:eastAsia="zh-CN" w:bidi="ar-SA"/>
              </w:rPr>
            </w:pPr>
            <w:r>
              <w:rPr>
                <w:rFonts w:hint="default" w:ascii="Times New Roman" w:hAnsi="Times New Roman" w:cs="Times New Roman"/>
                <w:color w:val="auto"/>
                <w:sz w:val="21"/>
                <w:szCs w:val="21"/>
                <w:u w:val="none"/>
                <w:lang w:val="en-US" w:eastAsia="zh-CN"/>
              </w:rPr>
              <w:t>土壤、</w:t>
            </w:r>
            <w:r>
              <w:rPr>
                <w:rFonts w:hint="default" w:ascii="Times New Roman" w:hAnsi="Times New Roman" w:cs="Times New Roman"/>
                <w:color w:val="auto"/>
                <w:sz w:val="21"/>
                <w:szCs w:val="21"/>
                <w:u w:val="none"/>
              </w:rPr>
              <w:t>地下水污染防治措施</w:t>
            </w:r>
          </w:p>
        </w:tc>
        <w:tc>
          <w:tcPr>
            <w:tcW w:w="2610" w:type="pct"/>
            <w:tcBorders>
              <w:tl2br w:val="nil"/>
              <w:tr2bl w:val="nil"/>
            </w:tcBorders>
            <w:vAlign w:val="center"/>
          </w:tcPr>
          <w:p>
            <w:pPr>
              <w:pStyle w:val="47"/>
              <w:spacing w:line="240" w:lineRule="auto"/>
              <w:rPr>
                <w:rFonts w:hint="eastAsia" w:ascii="Times New Roman" w:hAnsi="Times New Roman" w:eastAsia="Arial" w:cs="Times New Roman"/>
                <w:snapToGrid w:val="0"/>
                <w:color w:val="auto"/>
                <w:kern w:val="0"/>
                <w:sz w:val="21"/>
                <w:szCs w:val="21"/>
                <w:u w:val="none"/>
                <w:lang w:val="en-US" w:eastAsia="zh-CN" w:bidi="ar-SA"/>
              </w:rPr>
            </w:pPr>
            <w:r>
              <w:rPr>
                <w:rFonts w:hint="default" w:ascii="Times New Roman" w:hAnsi="Times New Roman" w:cs="Times New Roman"/>
                <w:color w:val="auto"/>
                <w:sz w:val="21"/>
                <w:szCs w:val="21"/>
                <w:u w:val="none"/>
              </w:rPr>
              <w:t>采取分区防渗措施：重点防渗区确保渗透系数≤1.0×10</w:t>
            </w:r>
            <w:r>
              <w:rPr>
                <w:rFonts w:hint="default" w:ascii="Times New Roman" w:hAnsi="Times New Roman" w:cs="Times New Roman"/>
                <w:color w:val="auto"/>
                <w:sz w:val="21"/>
                <w:szCs w:val="21"/>
                <w:u w:val="none"/>
                <w:vertAlign w:val="superscript"/>
              </w:rPr>
              <w:t>-10</w:t>
            </w:r>
            <w:r>
              <w:rPr>
                <w:rFonts w:hint="default" w:ascii="Times New Roman" w:hAnsi="Times New Roman" w:cs="Times New Roman"/>
                <w:color w:val="auto"/>
                <w:sz w:val="21"/>
                <w:szCs w:val="21"/>
                <w:u w:val="none"/>
              </w:rPr>
              <w:t>cm/s；一般防渗区确保渗透系数≤1×10</w:t>
            </w:r>
            <w:r>
              <w:rPr>
                <w:rFonts w:hint="default" w:ascii="Times New Roman" w:hAnsi="Times New Roman" w:cs="Times New Roman"/>
                <w:color w:val="auto"/>
                <w:sz w:val="21"/>
                <w:szCs w:val="21"/>
                <w:u w:val="none"/>
                <w:vertAlign w:val="superscript"/>
              </w:rPr>
              <w:t>-7</w:t>
            </w:r>
            <w:r>
              <w:rPr>
                <w:rFonts w:hint="default" w:ascii="Times New Roman" w:hAnsi="Times New Roman" w:cs="Times New Roman"/>
                <w:color w:val="auto"/>
                <w:sz w:val="21"/>
                <w:szCs w:val="21"/>
                <w:u w:val="none"/>
              </w:rPr>
              <w:t>cm/s；其余区域为简单防渗区</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5"/>
                <w:sz w:val="21"/>
                <w:szCs w:val="21"/>
                <w:lang w:val="en-US" w:eastAsia="zh-CN"/>
              </w:rPr>
            </w:pPr>
            <w:r>
              <w:rPr>
                <w:rFonts w:hint="eastAsia" w:ascii="Times New Roman" w:hAnsi="Times New Roman" w:eastAsia="宋体" w:cs="Times New Roman"/>
                <w:color w:val="auto"/>
                <w:spacing w:val="-5"/>
                <w:sz w:val="21"/>
                <w:szCs w:val="21"/>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8</w:t>
            </w:r>
          </w:p>
        </w:tc>
        <w:tc>
          <w:tcPr>
            <w:tcW w:w="866"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风险</w:t>
            </w:r>
          </w:p>
        </w:tc>
        <w:tc>
          <w:tcPr>
            <w:tcW w:w="2610"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7"/>
                <w:sz w:val="21"/>
                <w:szCs w:val="21"/>
                <w:lang w:val="en-US" w:eastAsia="zh-CN"/>
              </w:rPr>
            </w:pPr>
            <w:r>
              <w:rPr>
                <w:rFonts w:hint="eastAsia" w:eastAsia="宋体" w:cs="宋体"/>
                <w:color w:val="auto"/>
                <w:sz w:val="21"/>
                <w:szCs w:val="21"/>
                <w:highlight w:val="none"/>
                <w:u w:val="none"/>
                <w:lang w:val="en-US" w:eastAsia="zh-CN"/>
              </w:rPr>
              <w:t>事故应急池</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pacing w:val="-5"/>
                <w:sz w:val="21"/>
                <w:szCs w:val="21"/>
                <w:lang w:val="en-US" w:eastAsia="zh-CN"/>
              </w:rPr>
            </w:pPr>
            <w:r>
              <w:rPr>
                <w:rFonts w:hint="eastAsia" w:ascii="Times New Roman" w:hAnsi="Times New Roman" w:eastAsia="宋体" w:cs="Times New Roman"/>
                <w:color w:val="auto"/>
                <w:spacing w:val="-5"/>
                <w:sz w:val="21"/>
                <w:szCs w:val="21"/>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3477" w:type="pct"/>
            <w:gridSpan w:val="3"/>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合计</w:t>
            </w:r>
          </w:p>
        </w:tc>
        <w:tc>
          <w:tcPr>
            <w:tcW w:w="112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435</w:t>
            </w:r>
          </w:p>
        </w:tc>
      </w:tr>
    </w:tbl>
    <w:p>
      <w:pPr>
        <w:pStyle w:val="10"/>
        <w:keepNext/>
        <w:keepLines/>
        <w:pageBreakBefore w:val="0"/>
        <w:widowControl/>
        <w:kinsoku w:val="0"/>
        <w:wordWrap/>
        <w:overflowPunct/>
        <w:topLinePunct w:val="0"/>
        <w:autoSpaceDE w:val="0"/>
        <w:autoSpaceDN w:val="0"/>
        <w:bidi w:val="0"/>
        <w:adjustRightInd w:val="0"/>
        <w:snapToGrid w:val="0"/>
        <w:spacing w:before="0" w:beforeLines="50" w:line="360" w:lineRule="auto"/>
        <w:ind w:left="567" w:hanging="567"/>
        <w:textAlignment w:val="baseline"/>
        <w:rPr>
          <w:rFonts w:hint="default" w:ascii="Times New Roman" w:hAnsi="Times New Roman" w:cs="Times New Roman"/>
          <w:color w:val="auto"/>
          <w:sz w:val="32"/>
          <w:szCs w:val="32"/>
        </w:rPr>
      </w:pPr>
      <w:bookmarkStart w:id="125" w:name="bookmark124"/>
      <w:bookmarkEnd w:id="125"/>
      <w:bookmarkStart w:id="126" w:name="_Toc19105"/>
      <w:r>
        <w:rPr>
          <w:rFonts w:hint="default" w:ascii="Times New Roman" w:hAnsi="Times New Roman" w:cs="Times New Roman"/>
          <w:color w:val="auto"/>
          <w:sz w:val="32"/>
          <w:szCs w:val="32"/>
        </w:rPr>
        <w:t>环境效益分析</w:t>
      </w:r>
      <w:bookmarkEnd w:id="126"/>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本项目采取了多种环保措施，经过处理后的废气、污水污染物均能达标排放，固体废弃物能得到集中统一处理。通过这些措施，较大程度上减少了污染物的排放，带来了较好的环境效益。</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（1）废气治理后的环境效益</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本项目有机废气经高效集气后经三室RTO蓄热燃烧系统进行处理，处理后由15m高排气筒高空高排放，VOCs气体的排放量减少了11</w:t>
      </w:r>
      <w:r>
        <w:rPr>
          <w:rFonts w:hint="eastAsia" w:ascii="Times New Roman" w:hAnsi="Times New Roman" w:eastAsia="宋体" w:cs="Times New Roman"/>
          <w:color w:val="auto"/>
          <w:szCs w:val="28"/>
          <w:u w:val="none" w:color="auto"/>
          <w:lang w:val="en-US" w:eastAsia="zh-CN"/>
        </w:rPr>
        <w:t>18</w:t>
      </w:r>
      <w:r>
        <w:rPr>
          <w:rFonts w:hint="default" w:ascii="Times New Roman" w:hAnsi="Times New Roman" w:cs="Times New Roman"/>
          <w:color w:val="auto"/>
          <w:szCs w:val="28"/>
          <w:u w:val="none" w:color="auto"/>
        </w:rPr>
        <w:t>.98</w:t>
      </w:r>
      <w:r>
        <w:rPr>
          <w:rFonts w:hint="eastAsia" w:ascii="Times New Roman" w:hAnsi="Times New Roman" w:eastAsia="宋体" w:cs="Times New Roman"/>
          <w:color w:val="auto"/>
          <w:szCs w:val="28"/>
          <w:u w:val="none" w:color="auto"/>
          <w:lang w:val="en-US" w:eastAsia="zh-CN"/>
        </w:rPr>
        <w:t>3</w:t>
      </w:r>
      <w:r>
        <w:rPr>
          <w:rFonts w:hint="default" w:ascii="Times New Roman" w:hAnsi="Times New Roman" w:cs="Times New Roman"/>
          <w:color w:val="auto"/>
          <w:szCs w:val="28"/>
          <w:u w:val="none" w:color="auto"/>
        </w:rPr>
        <w:t>t/a。</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（2）废水治理后的环境效益</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项目职工</w:t>
      </w:r>
      <w:r>
        <w:rPr>
          <w:rFonts w:hint="eastAsia" w:ascii="Times New Roman" w:hAnsi="Times New Roman" w:eastAsia="宋体" w:cs="Times New Roman"/>
          <w:color w:val="auto"/>
          <w:szCs w:val="28"/>
          <w:u w:val="none" w:color="auto"/>
          <w:lang w:val="en-US" w:eastAsia="zh-CN"/>
        </w:rPr>
        <w:t>食堂废水经隔油池处理后，与其他</w:t>
      </w:r>
      <w:r>
        <w:rPr>
          <w:rFonts w:hint="default" w:ascii="Times New Roman" w:hAnsi="Times New Roman" w:cs="Times New Roman"/>
          <w:color w:val="auto"/>
          <w:szCs w:val="28"/>
          <w:u w:val="none" w:color="auto"/>
        </w:rPr>
        <w:t>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废水经化粪池预处理后可达到《污水综合排放标准》（GB8978</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1996）中的三级标准</w:t>
      </w:r>
      <w:r>
        <w:rPr>
          <w:rFonts w:hint="eastAsia" w:ascii="Times New Roman" w:hAnsi="Times New Roman" w:eastAsia="宋体" w:cs="Times New Roman"/>
          <w:color w:val="auto"/>
          <w:szCs w:val="28"/>
          <w:u w:val="none" w:color="auto"/>
          <w:lang w:val="en-US" w:eastAsia="zh-CN"/>
        </w:rPr>
        <w:t>及</w:t>
      </w:r>
      <w:r>
        <w:rPr>
          <w:rFonts w:hint="eastAsia" w:ascii="Times New Roman" w:hAnsi="Times New Roman" w:eastAsia="宋体" w:cs="Times New Roman"/>
          <w:color w:val="auto"/>
          <w:szCs w:val="28"/>
          <w:u w:val="none" w:color="auto"/>
          <w:lang w:eastAsia="zh-CN"/>
        </w:rPr>
        <w:t>鹿坪污水处理厂</w:t>
      </w:r>
      <w:r>
        <w:rPr>
          <w:rFonts w:hint="eastAsia" w:ascii="Times New Roman" w:hAnsi="Times New Roman" w:eastAsia="宋体" w:cs="Times New Roman"/>
          <w:color w:val="auto"/>
          <w:szCs w:val="28"/>
          <w:u w:val="none" w:color="auto"/>
          <w:lang w:val="en-US" w:eastAsia="zh-CN"/>
        </w:rPr>
        <w:t>设计进水水质标准</w:t>
      </w:r>
      <w:r>
        <w:rPr>
          <w:rFonts w:hint="default" w:ascii="Times New Roman" w:hAnsi="Times New Roman" w:cs="Times New Roman"/>
          <w:color w:val="auto"/>
          <w:szCs w:val="28"/>
          <w:u w:val="none" w:color="auto"/>
        </w:rPr>
        <w:t>，经</w:t>
      </w:r>
      <w:r>
        <w:rPr>
          <w:rFonts w:hint="eastAsia" w:ascii="Times New Roman" w:hAnsi="Times New Roman" w:eastAsia="宋体" w:cs="Times New Roman"/>
          <w:color w:val="auto"/>
          <w:szCs w:val="28"/>
          <w:u w:val="none" w:color="auto"/>
          <w:lang w:eastAsia="zh-CN"/>
        </w:rPr>
        <w:t>污水处理厂</w:t>
      </w:r>
      <w:r>
        <w:rPr>
          <w:rFonts w:hint="default" w:ascii="Times New Roman" w:hAnsi="Times New Roman" w:cs="Times New Roman"/>
          <w:color w:val="auto"/>
          <w:szCs w:val="28"/>
          <w:u w:val="none" w:color="auto"/>
        </w:rPr>
        <w:t>处理达到《湖南省城镇污水处理厂主要水污染物排放标准》（DB42/T1546-2018）中二级标准</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《污水排入城镇下水道水质标准》（GB/T31962-2015）中一级A标准后外排，相比处理前，COD总共减少了</w:t>
      </w:r>
      <w:r>
        <w:rPr>
          <w:rFonts w:hint="eastAsia" w:ascii="Times New Roman" w:hAnsi="Times New Roman" w:eastAsia="宋体" w:cs="Times New Roman"/>
          <w:color w:val="auto"/>
          <w:szCs w:val="28"/>
          <w:u w:val="none" w:color="auto"/>
          <w:lang w:val="en-US" w:eastAsia="zh-CN"/>
        </w:rPr>
        <w:t>1.443</w:t>
      </w:r>
      <w:r>
        <w:rPr>
          <w:rFonts w:hint="default" w:ascii="Times New Roman" w:hAnsi="Times New Roman" w:cs="Times New Roman"/>
          <w:color w:val="auto"/>
          <w:szCs w:val="28"/>
          <w:u w:val="none" w:color="auto"/>
        </w:rPr>
        <w:t>t/a，NH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-N减少了0.</w:t>
      </w:r>
      <w:r>
        <w:rPr>
          <w:rFonts w:hint="eastAsia" w:ascii="Times New Roman" w:hAnsi="Times New Roman" w:eastAsia="宋体" w:cs="Times New Roman"/>
          <w:color w:val="auto"/>
          <w:szCs w:val="28"/>
          <w:u w:val="none" w:color="auto"/>
          <w:lang w:val="en-US" w:eastAsia="zh-CN"/>
        </w:rPr>
        <w:t>178</w:t>
      </w:r>
      <w:r>
        <w:rPr>
          <w:rFonts w:hint="default" w:ascii="Times New Roman" w:hAnsi="Times New Roman" w:cs="Times New Roman"/>
          <w:color w:val="auto"/>
          <w:szCs w:val="28"/>
          <w:u w:val="none" w:color="auto"/>
        </w:rPr>
        <w:t>t/a。</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（3）固体废物治理后的环境效益</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项目产生的固体废物中的一般工业固废均可回收再利用，危险废物得到了有效处置，减少了固废堆存量。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综上所述，本项目通过采取各类环保措施，使废气、废水达标排放，固体废物等到妥善处理，具有显著的环境效益。</w:t>
      </w:r>
    </w:p>
    <w:p>
      <w:pPr>
        <w:pStyle w:val="10"/>
        <w:bidi w:val="0"/>
        <w:spacing w:line="360" w:lineRule="auto"/>
        <w:rPr>
          <w:rFonts w:hint="default" w:ascii="Times New Roman" w:hAnsi="Times New Roman" w:cs="Times New Roman"/>
          <w:color w:val="auto"/>
          <w:sz w:val="32"/>
          <w:szCs w:val="32"/>
        </w:rPr>
      </w:pPr>
      <w:bookmarkStart w:id="127" w:name="bookmark126"/>
      <w:bookmarkEnd w:id="127"/>
      <w:bookmarkStart w:id="128" w:name="_Toc11563"/>
      <w:r>
        <w:rPr>
          <w:rFonts w:hint="default" w:ascii="Times New Roman" w:hAnsi="Times New Roman" w:cs="Times New Roman"/>
          <w:color w:val="auto"/>
          <w:sz w:val="32"/>
          <w:szCs w:val="32"/>
        </w:rPr>
        <w:t>经济效益分析</w:t>
      </w:r>
      <w:bookmarkEnd w:id="128"/>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本项目建成后产生的效益，包括各种投资所产生的直接效益和间接效益（或者</w:t>
      </w:r>
      <w:r>
        <w:rPr>
          <w:rFonts w:hint="eastAsia" w:ascii="Times New Roman" w:hAnsi="Times New Roman" w:eastAsia="宋体" w:cs="Times New Roman"/>
          <w:color w:val="auto"/>
          <w:szCs w:val="28"/>
          <w:u w:val="none" w:color="auto"/>
          <w:lang w:eastAsia="zh-CN"/>
        </w:rPr>
        <w:t>叫作</w:t>
      </w:r>
      <w:r>
        <w:rPr>
          <w:rFonts w:hint="default" w:ascii="Times New Roman" w:hAnsi="Times New Roman" w:cs="Times New Roman"/>
          <w:color w:val="auto"/>
          <w:szCs w:val="28"/>
          <w:u w:val="none" w:color="auto"/>
        </w:rPr>
        <w:t>一级效益，二级效益），直接效益是指企业投资能够直接提供的资源产品效益或者经济效益，比如建成后产品的销售利润等方面，从当前行业的实际情况来看，本项目预计建成后具有良好的经济效益。</w:t>
      </w:r>
    </w:p>
    <w:p>
      <w:pPr>
        <w:pStyle w:val="10"/>
        <w:bidi w:val="0"/>
        <w:spacing w:line="360" w:lineRule="auto"/>
        <w:rPr>
          <w:rFonts w:hint="default" w:ascii="Times New Roman" w:hAnsi="Times New Roman" w:cs="Times New Roman"/>
          <w:color w:val="auto"/>
          <w:sz w:val="32"/>
          <w:szCs w:val="32"/>
        </w:rPr>
      </w:pPr>
      <w:bookmarkStart w:id="129" w:name="bookmark128"/>
      <w:bookmarkEnd w:id="129"/>
      <w:bookmarkStart w:id="130" w:name="_Toc2892"/>
      <w:r>
        <w:rPr>
          <w:rFonts w:hint="default" w:ascii="Times New Roman" w:hAnsi="Times New Roman" w:cs="Times New Roman"/>
          <w:color w:val="auto"/>
          <w:sz w:val="32"/>
          <w:szCs w:val="32"/>
        </w:rPr>
        <w:t>社会效益分析</w:t>
      </w:r>
      <w:bookmarkEnd w:id="130"/>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本工程的社会效益主要体现在以下几个方面：</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（1）本项目的建设可为地方财政增收和区域经济发展做出了较大贡献，刺激当地的经济需求，带动当地和周边地区的经济发展，促进电力、运输、服务等相关行业和基础设施的发展建设，加速当地的经济发</w:t>
      </w:r>
      <w:r>
        <w:rPr>
          <w:rFonts w:hint="eastAsia" w:ascii="Times New Roman" w:hAnsi="Times New Roman" w:eastAsia="宋体" w:cs="Times New Roman"/>
          <w:color w:val="auto"/>
          <w:szCs w:val="28"/>
          <w:u w:val="none" w:color="auto"/>
          <w:lang w:eastAsia="zh-CN"/>
        </w:rPr>
        <w:t>展效</w:t>
      </w:r>
      <w:r>
        <w:rPr>
          <w:rFonts w:hint="default" w:ascii="Times New Roman" w:hAnsi="Times New Roman" w:cs="Times New Roman"/>
          <w:color w:val="auto"/>
          <w:szCs w:val="28"/>
          <w:u w:val="none" w:color="auto"/>
        </w:rPr>
        <w:t>益。</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目前，我国普遍存在农村劳动力过剩的现象。工程建设能为项目所在地区群众提供就业机会。剩余劳动力就地谋生，这既为当地居民降低了就业成本，对当地社会环境的稳定、促进当地经济的发展等起到一定的作用，也为政府减轻了就业压力和经济负担，因此，本工程具有良好的社会效益。</w:t>
      </w:r>
    </w:p>
    <w:p>
      <w:pPr>
        <w:rPr>
          <w:rFonts w:hint="default" w:ascii="Times New Roman" w:hAnsi="Times New Roman" w:cs="Times New Roman" w:eastAsiaTheme="majorEastAsia"/>
          <w:color w:val="auto"/>
          <w:sz w:val="36"/>
          <w:szCs w:val="36"/>
        </w:rPr>
      </w:pPr>
      <w:bookmarkStart w:id="131" w:name="bookmark130"/>
      <w:bookmarkEnd w:id="131"/>
      <w:bookmarkStart w:id="132" w:name="bookmark134"/>
      <w:bookmarkEnd w:id="132"/>
      <w:bookmarkStart w:id="133" w:name="bookmark132"/>
      <w:bookmarkEnd w:id="133"/>
      <w:r>
        <w:rPr>
          <w:rFonts w:hint="default" w:ascii="Times New Roman" w:hAnsi="Times New Roman" w:cs="Times New Roman" w:eastAsiaTheme="majorEastAsia"/>
          <w:color w:val="auto"/>
          <w:sz w:val="36"/>
          <w:szCs w:val="36"/>
        </w:rPr>
        <w:br w:type="page"/>
      </w:r>
    </w:p>
    <w:p>
      <w:pPr>
        <w:pStyle w:val="5"/>
        <w:bidi w:val="0"/>
        <w:rPr>
          <w:rFonts w:hint="default" w:ascii="Times New Roman" w:hAnsi="Times New Roman" w:cs="Times New Roman" w:eastAsiaTheme="majorEastAsia"/>
          <w:color w:val="auto"/>
          <w:sz w:val="36"/>
          <w:szCs w:val="36"/>
        </w:rPr>
      </w:pPr>
      <w:bookmarkStart w:id="134" w:name="_Toc7713"/>
      <w:r>
        <w:rPr>
          <w:rFonts w:hint="default" w:ascii="Times New Roman" w:hAnsi="Times New Roman" w:cs="Times New Roman" w:eastAsiaTheme="majorEastAsia"/>
          <w:color w:val="auto"/>
          <w:sz w:val="36"/>
          <w:szCs w:val="36"/>
        </w:rPr>
        <w:t>环境管理及环境监测计划</w:t>
      </w:r>
      <w:bookmarkEnd w:id="134"/>
    </w:p>
    <w:p>
      <w:pPr>
        <w:pStyle w:val="10"/>
        <w:bidi w:val="0"/>
        <w:spacing w:line="360" w:lineRule="auto"/>
        <w:rPr>
          <w:rFonts w:hint="default" w:ascii="Times New Roman" w:hAnsi="Times New Roman" w:cs="Times New Roman"/>
          <w:color w:val="auto"/>
          <w:sz w:val="32"/>
          <w:szCs w:val="32"/>
        </w:rPr>
      </w:pPr>
      <w:bookmarkStart w:id="135" w:name="_Toc25252"/>
      <w:r>
        <w:rPr>
          <w:rFonts w:hint="default" w:ascii="Times New Roman" w:hAnsi="Times New Roman" w:cs="Times New Roman"/>
          <w:color w:val="auto"/>
          <w:sz w:val="32"/>
          <w:szCs w:val="32"/>
        </w:rPr>
        <w:t>环境管理的目的和意义</w:t>
      </w:r>
      <w:bookmarkEnd w:id="135"/>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管理的目的是对损坏环境质量的人为活动施加影响，以协调经济与环境的关系，既达到发展经济满足人类的需要，又不超出环境容量的限制。建设工程对环境的影响主要来自施工期、运行期的各种作业活动及运行期的风险事故。无论是各种作业活动，还是事故事件，都将会给自然生态环境和人们的生产生活带来较大的影响，为最大限度地减轻项目运营过程中对环境的影响，确保生产线能够环保、安全、高效地生产，建立科学有效的环境管理体制，落实各项环保和安全措施显得尤为重要。通过建立环境管理体系，</w:t>
      </w:r>
      <w:r>
        <w:rPr>
          <w:rFonts w:hint="eastAsia" w:ascii="Times New Roman" w:hAnsi="Times New Roman" w:eastAsia="宋体" w:cs="Times New Roman"/>
          <w:color w:val="auto"/>
          <w:szCs w:val="28"/>
          <w:u w:val="none" w:color="auto"/>
          <w:lang w:eastAsia="zh-CN"/>
        </w:rPr>
        <w:t>增强</w:t>
      </w:r>
      <w:r>
        <w:rPr>
          <w:rFonts w:hint="default" w:ascii="Times New Roman" w:hAnsi="Times New Roman" w:cs="Times New Roman"/>
          <w:color w:val="auto"/>
          <w:szCs w:val="28"/>
          <w:u w:val="none" w:color="auto"/>
        </w:rPr>
        <w:t>员工环保意识、规范企业管理、推行清洁生产，实现污染预防，以实现环境效益、社会效益、经济效益的统一。</w:t>
      </w:r>
    </w:p>
    <w:p>
      <w:pPr>
        <w:pStyle w:val="10"/>
        <w:bidi w:val="0"/>
        <w:spacing w:line="360" w:lineRule="auto"/>
        <w:rPr>
          <w:rFonts w:hint="default" w:ascii="Times New Roman" w:hAnsi="Times New Roman" w:cs="Times New Roman"/>
          <w:color w:val="auto"/>
          <w:sz w:val="32"/>
          <w:szCs w:val="32"/>
        </w:rPr>
      </w:pPr>
      <w:bookmarkStart w:id="136" w:name="bookmark136"/>
      <w:bookmarkEnd w:id="136"/>
      <w:bookmarkStart w:id="137" w:name="_Toc20480"/>
      <w:r>
        <w:rPr>
          <w:rFonts w:hint="default" w:ascii="Times New Roman" w:hAnsi="Times New Roman" w:cs="Times New Roman"/>
          <w:color w:val="auto"/>
          <w:sz w:val="32"/>
          <w:szCs w:val="32"/>
        </w:rPr>
        <w:t>环境管理机构及职责</w:t>
      </w:r>
      <w:bookmarkEnd w:id="137"/>
    </w:p>
    <w:p>
      <w:pPr>
        <w:pStyle w:val="11"/>
        <w:bidi w:val="0"/>
        <w:spacing w:line="360" w:lineRule="auto"/>
        <w:ind w:left="851" w:hanging="851"/>
        <w:rPr>
          <w:color w:val="auto"/>
          <w:sz w:val="30"/>
          <w:szCs w:val="30"/>
        </w:rPr>
      </w:pPr>
      <w:r>
        <w:rPr>
          <w:color w:val="auto"/>
          <w:sz w:val="30"/>
          <w:szCs w:val="30"/>
        </w:rPr>
        <w:t>企业内部环境管理机构的建立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建设项目环境保护设计规范》的要求，随着本工程的实施，该工程项目应建立以总经理负责兼管环保工作、各职能部门各负其责的环境管理体系，设置环保科，配有科长及科员，并配有一定的监测仪器和设备，环保科负责整个生产区环境管理、环境监测及环保制度的贯彻落实。</w:t>
      </w:r>
    </w:p>
    <w:p>
      <w:pPr>
        <w:pStyle w:val="11"/>
        <w:bidi w:val="0"/>
        <w:spacing w:line="360" w:lineRule="auto"/>
        <w:ind w:left="851" w:hanging="851"/>
        <w:rPr>
          <w:color w:val="auto"/>
          <w:sz w:val="30"/>
          <w:szCs w:val="30"/>
        </w:rPr>
      </w:pPr>
      <w:r>
        <w:rPr>
          <w:color w:val="auto"/>
          <w:sz w:val="30"/>
          <w:szCs w:val="30"/>
        </w:rPr>
        <w:t>环境管理机构职责</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1、贯彻执行各项环境保护政策、法规及标准，制定本工程的环境管理办法；</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bookmarkStart w:id="138" w:name="_Toc18447"/>
      <w:r>
        <w:rPr>
          <w:rFonts w:hint="default" w:ascii="Times New Roman" w:hAnsi="Times New Roman" w:cs="Times New Roman"/>
          <w:color w:val="auto"/>
          <w:szCs w:val="28"/>
          <w:u w:val="none" w:color="auto"/>
        </w:rPr>
        <w:t>2、建立</w:t>
      </w:r>
      <w:r>
        <w:rPr>
          <w:rFonts w:hint="eastAsia" w:ascii="Times New Roman" w:hAnsi="Times New Roman" w:eastAsia="宋体" w:cs="Times New Roman"/>
          <w:color w:val="auto"/>
          <w:szCs w:val="28"/>
          <w:u w:val="none" w:color="auto"/>
          <w:lang w:eastAsia="zh-CN"/>
        </w:rPr>
        <w:t>健</w:t>
      </w:r>
      <w:r>
        <w:rPr>
          <w:rFonts w:hint="default" w:ascii="Times New Roman" w:hAnsi="Times New Roman" w:cs="Times New Roman"/>
          <w:color w:val="auto"/>
          <w:szCs w:val="28"/>
          <w:u w:val="none" w:color="auto"/>
        </w:rPr>
        <w:t>全企业的环境管理制度，并实施检查和监督工作；</w:t>
      </w:r>
      <w:bookmarkEnd w:id="138"/>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3、拟定企业的环保工作计划并</w:t>
      </w:r>
      <w:r>
        <w:rPr>
          <w:rFonts w:hint="eastAsia" w:ascii="Times New Roman" w:hAnsi="Times New Roman" w:eastAsia="宋体" w:cs="Times New Roman"/>
          <w:color w:val="auto"/>
          <w:szCs w:val="28"/>
          <w:u w:val="none" w:color="auto"/>
          <w:lang w:eastAsia="zh-CN"/>
        </w:rPr>
        <w:t>实施</w:t>
      </w:r>
      <w:r>
        <w:rPr>
          <w:rFonts w:hint="default" w:ascii="Times New Roman" w:hAnsi="Times New Roman" w:cs="Times New Roman"/>
          <w:color w:val="auto"/>
          <w:szCs w:val="28"/>
          <w:u w:val="none" w:color="auto"/>
        </w:rPr>
        <w:t>，配合企业领导完成环境保护责任目标；</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4、领导并组织企业环境监测工作，检查环保设施的运行情况，建立监控档案；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5、协调企业所在区域的环境管理；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6、开展环保教育和专业培训，提高企业员工的环保素质；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7、组织开展环保研究和学术交流，推广并应用先进环保技术；</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8、负责日常环境保护管理工作；</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9、接受省、市各级环保部门的检查、监督，按要求上报各项环保报表，并定期向上级主管部门汇报环境保护工作情况。</w:t>
      </w:r>
    </w:p>
    <w:p>
      <w:pPr>
        <w:pStyle w:val="10"/>
        <w:bidi w:val="0"/>
        <w:spacing w:line="360" w:lineRule="auto"/>
        <w:rPr>
          <w:rFonts w:hint="default" w:ascii="Times New Roman" w:hAnsi="Times New Roman" w:cs="Times New Roman"/>
          <w:color w:val="auto"/>
          <w:sz w:val="32"/>
          <w:szCs w:val="32"/>
        </w:rPr>
      </w:pPr>
      <w:bookmarkStart w:id="139" w:name="bookmark138"/>
      <w:bookmarkEnd w:id="139"/>
      <w:bookmarkStart w:id="140" w:name="_Toc366"/>
      <w:r>
        <w:rPr>
          <w:rFonts w:hint="default" w:ascii="Times New Roman" w:hAnsi="Times New Roman" w:cs="Times New Roman"/>
          <w:color w:val="auto"/>
          <w:sz w:val="32"/>
          <w:szCs w:val="32"/>
        </w:rPr>
        <w:t>环境管理制度</w:t>
      </w:r>
      <w:bookmarkEnd w:id="140"/>
    </w:p>
    <w:p>
      <w:pPr>
        <w:pStyle w:val="11"/>
        <w:bidi w:val="0"/>
        <w:spacing w:line="360" w:lineRule="auto"/>
        <w:ind w:left="851" w:hanging="851"/>
        <w:rPr>
          <w:color w:val="auto"/>
          <w:sz w:val="30"/>
          <w:szCs w:val="30"/>
        </w:rPr>
      </w:pPr>
      <w:r>
        <w:rPr>
          <w:color w:val="auto"/>
          <w:sz w:val="30"/>
          <w:szCs w:val="30"/>
        </w:rPr>
        <w:t>环境管理体系</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项目建成后，按照国际标准的要求建立环境管理体系，以便全面系统</w:t>
      </w:r>
      <w:r>
        <w:rPr>
          <w:rFonts w:hint="eastAsia" w:ascii="Times New Roman" w:hAnsi="Times New Roman" w:eastAsia="宋体" w:cs="Times New Roman"/>
          <w:color w:val="auto"/>
          <w:szCs w:val="28"/>
          <w:u w:val="none" w:color="auto"/>
          <w:lang w:eastAsia="zh-CN"/>
        </w:rPr>
        <w:t>地</w:t>
      </w:r>
      <w:r>
        <w:rPr>
          <w:rFonts w:hint="default" w:ascii="Times New Roman" w:hAnsi="Times New Roman" w:cs="Times New Roman"/>
          <w:color w:val="auto"/>
          <w:szCs w:val="28"/>
          <w:u w:val="none" w:color="auto"/>
        </w:rPr>
        <w:t>对污染物进行控制，进一步提高能源资源的利用率，及时了解有关环保法律法规及其他要求，更好地遵守法律法规及各项制度。</w:t>
      </w:r>
    </w:p>
    <w:p>
      <w:pPr>
        <w:pStyle w:val="11"/>
        <w:bidi w:val="0"/>
        <w:spacing w:line="360" w:lineRule="auto"/>
        <w:ind w:left="851" w:hanging="851"/>
        <w:rPr>
          <w:color w:val="auto"/>
          <w:sz w:val="30"/>
          <w:szCs w:val="30"/>
        </w:rPr>
      </w:pPr>
      <w:r>
        <w:rPr>
          <w:color w:val="auto"/>
          <w:sz w:val="30"/>
          <w:szCs w:val="30"/>
        </w:rPr>
        <w:t>排污许可制度</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根据《排污许可管理办法》（部令</w:t>
      </w:r>
      <w:r>
        <w:rPr>
          <w:rFonts w:hint="eastAsia" w:ascii="Times New Roman" w:hAnsi="Times New Roman" w:eastAsia="宋体" w:cs="Times New Roman"/>
          <w:color w:val="auto"/>
          <w:szCs w:val="28"/>
          <w:u w:val="none" w:color="auto"/>
          <w:lang w:val="en-US" w:eastAsia="zh-CN"/>
        </w:rPr>
        <w:t xml:space="preserve"> </w:t>
      </w:r>
      <w:r>
        <w:rPr>
          <w:rFonts w:hint="default" w:ascii="Times New Roman" w:hAnsi="Times New Roman" w:cs="Times New Roman"/>
          <w:color w:val="auto"/>
          <w:szCs w:val="28"/>
          <w:u w:val="none" w:color="auto"/>
        </w:rPr>
        <w:t>第</w:t>
      </w:r>
      <w:r>
        <w:rPr>
          <w:rFonts w:hint="eastAsia" w:ascii="Times New Roman" w:hAnsi="Times New Roman" w:eastAsia="宋体" w:cs="Times New Roman"/>
          <w:color w:val="auto"/>
          <w:szCs w:val="28"/>
          <w:u w:val="none" w:color="auto"/>
          <w:lang w:val="en-US" w:eastAsia="zh-CN"/>
        </w:rPr>
        <w:t>32</w:t>
      </w:r>
      <w:r>
        <w:rPr>
          <w:rFonts w:hint="default" w:ascii="Times New Roman" w:hAnsi="Times New Roman" w:cs="Times New Roman"/>
          <w:color w:val="auto"/>
          <w:szCs w:val="28"/>
          <w:u w:val="none" w:color="auto"/>
        </w:rPr>
        <w:t>号），《固定污染源排污许可分类管理名录（2019年版）》（部令</w:t>
      </w:r>
      <w:r>
        <w:rPr>
          <w:rFonts w:hint="eastAsia" w:ascii="Times New Roman" w:hAnsi="Times New Roman" w:cs="Times New Roman"/>
          <w:color w:val="auto"/>
          <w:szCs w:val="28"/>
          <w:u w:val="none" w:color="auto"/>
          <w:lang w:val="en-US" w:eastAsia="zh-CN"/>
        </w:rPr>
        <w:t xml:space="preserve"> </w:t>
      </w:r>
      <w:r>
        <w:rPr>
          <w:rFonts w:hint="default" w:ascii="Times New Roman" w:hAnsi="Times New Roman" w:cs="Times New Roman"/>
          <w:color w:val="auto"/>
          <w:szCs w:val="28"/>
          <w:u w:val="none" w:color="auto"/>
        </w:rPr>
        <w:t>第11号）规定，本项目排污许可管理类别见下表。</w:t>
      </w:r>
    </w:p>
    <w:p>
      <w:pPr>
        <w:pStyle w:val="16"/>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 xml:space="preserve">表 </w:t>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STYLEREF 2 \s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11.3</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SEQ 表 \* ARABIC \s 2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lang w:eastAsia="zh-CN"/>
        </w:rPr>
        <w:t xml:space="preserve">   </w:t>
      </w:r>
      <w:r>
        <w:rPr>
          <w:rFonts w:hint="default" w:ascii="Times New Roman" w:hAnsi="Times New Roman" w:eastAsia="宋体" w:cs="Times New Roman"/>
          <w:b/>
          <w:bCs/>
          <w:color w:val="auto"/>
          <w:sz w:val="24"/>
          <w:szCs w:val="24"/>
        </w:rPr>
        <w:t>排污许可管理类别一览表</w:t>
      </w:r>
    </w:p>
    <w:tbl>
      <w:tblPr>
        <w:tblStyle w:val="23"/>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80"/>
        <w:gridCol w:w="1208"/>
        <w:gridCol w:w="2072"/>
        <w:gridCol w:w="3025"/>
        <w:gridCol w:w="137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7" w:type="pct"/>
            <w:noWrap w:val="0"/>
            <w:vAlign w:val="center"/>
          </w:tcPr>
          <w:p>
            <w:pPr>
              <w:pStyle w:val="48"/>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723" w:type="pct"/>
            <w:noWrap w:val="0"/>
            <w:vAlign w:val="center"/>
          </w:tcPr>
          <w:p>
            <w:pPr>
              <w:pStyle w:val="48"/>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行业类别</w:t>
            </w:r>
          </w:p>
        </w:tc>
        <w:tc>
          <w:tcPr>
            <w:tcW w:w="1240" w:type="pct"/>
            <w:noWrap w:val="0"/>
            <w:vAlign w:val="center"/>
          </w:tcPr>
          <w:p>
            <w:pPr>
              <w:pStyle w:val="48"/>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重点管理</w:t>
            </w:r>
          </w:p>
        </w:tc>
        <w:tc>
          <w:tcPr>
            <w:tcW w:w="1810" w:type="pct"/>
            <w:noWrap w:val="0"/>
            <w:vAlign w:val="center"/>
          </w:tcPr>
          <w:p>
            <w:pPr>
              <w:pStyle w:val="48"/>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简化管理</w:t>
            </w:r>
          </w:p>
        </w:tc>
        <w:tc>
          <w:tcPr>
            <w:tcW w:w="818" w:type="pct"/>
            <w:noWrap w:val="0"/>
            <w:vAlign w:val="center"/>
          </w:tcPr>
          <w:p>
            <w:pPr>
              <w:pStyle w:val="48"/>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登记管理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5"/>
            <w:noWrap w:val="0"/>
            <w:vAlign w:val="center"/>
          </w:tcPr>
          <w:p>
            <w:pPr>
              <w:pStyle w:val="48"/>
              <w:jc w:val="center"/>
              <w:rPr>
                <w:rFonts w:hint="default" w:ascii="Times New Roman" w:hAnsi="Times New Roman" w:cs="Times New Roman"/>
                <w:b/>
                <w:bCs/>
                <w:color w:val="auto"/>
                <w:sz w:val="21"/>
                <w:szCs w:val="21"/>
                <w:lang w:val="en-US" w:eastAsia="zh-CN"/>
              </w:rPr>
            </w:pPr>
            <w:r>
              <w:rPr>
                <w:rFonts w:hint="eastAsia" w:ascii="Times New Roman" w:hAnsi="Times New Roman"/>
                <w:b/>
                <w:bCs/>
                <w:color w:val="auto"/>
                <w:sz w:val="21"/>
                <w:szCs w:val="21"/>
                <w:lang w:val="en-US" w:eastAsia="zh-CN"/>
              </w:rPr>
              <w:t>十八、印刷和记录媒介复制业23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07" w:type="pct"/>
            <w:noWrap w:val="0"/>
            <w:vAlign w:val="center"/>
          </w:tcPr>
          <w:p>
            <w:pPr>
              <w:pStyle w:val="48"/>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39</w:t>
            </w:r>
          </w:p>
        </w:tc>
        <w:tc>
          <w:tcPr>
            <w:tcW w:w="723" w:type="pct"/>
            <w:noWrap w:val="0"/>
            <w:vAlign w:val="center"/>
          </w:tcPr>
          <w:p>
            <w:pPr>
              <w:pStyle w:val="48"/>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印刷231</w:t>
            </w:r>
          </w:p>
        </w:tc>
        <w:tc>
          <w:tcPr>
            <w:tcW w:w="1240" w:type="pct"/>
            <w:noWrap w:val="0"/>
            <w:vAlign w:val="center"/>
          </w:tcPr>
          <w:p>
            <w:pPr>
              <w:pStyle w:val="48"/>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纳入重点排污单位名录的</w:t>
            </w:r>
          </w:p>
        </w:tc>
        <w:tc>
          <w:tcPr>
            <w:tcW w:w="1810" w:type="pct"/>
            <w:noWrap w:val="0"/>
            <w:vAlign w:val="center"/>
          </w:tcPr>
          <w:p>
            <w:pPr>
              <w:pStyle w:val="48"/>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除重点管理以外的年使用80吨级以上溶剂型油墨、涂料等或者10吨及以上溶剂型稀释剂的包装装潢印刷</w:t>
            </w:r>
          </w:p>
        </w:tc>
        <w:tc>
          <w:tcPr>
            <w:tcW w:w="818" w:type="pct"/>
            <w:noWrap w:val="0"/>
            <w:vAlign w:val="center"/>
          </w:tcPr>
          <w:p>
            <w:pPr>
              <w:pStyle w:val="48"/>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其他*</w:t>
            </w:r>
          </w:p>
        </w:tc>
      </w:tr>
    </w:tbl>
    <w:p>
      <w:pPr>
        <w:keepNext w:val="0"/>
        <w:keepLines w:val="0"/>
        <w:pageBreakBefore w:val="0"/>
        <w:widowControl/>
        <w:kinsoku/>
        <w:wordWrap/>
        <w:overflowPunct/>
        <w:topLinePunct w:val="0"/>
        <w:autoSpaceDE w:val="0"/>
        <w:autoSpaceDN w:val="0"/>
        <w:bidi w:val="0"/>
        <w:adjustRightInd w:val="0"/>
        <w:snapToGrid w:val="0"/>
        <w:spacing w:before="120" w:beforeLines="50" w:line="360" w:lineRule="auto"/>
        <w:ind w:firstLine="480" w:firstLineChars="200"/>
        <w:jc w:val="both"/>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本项目属于</w:t>
      </w:r>
      <w:r>
        <w:rPr>
          <w:rFonts w:hint="default" w:ascii="Times New Roman" w:hAnsi="Times New Roman" w:cs="Times New Roman"/>
          <w:b/>
          <w:bCs/>
          <w:color w:val="auto"/>
          <w:sz w:val="24"/>
          <w:szCs w:val="24"/>
          <w:lang w:val="en-US" w:eastAsia="zh-CN"/>
        </w:rPr>
        <w:t>十八、印刷和记录媒介复制业</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除重点管理以外的年使用80吨级以上溶剂型油墨</w:t>
      </w:r>
      <w:r>
        <w:rPr>
          <w:rFonts w:hint="default" w:ascii="Times New Roman" w:hAnsi="Times New Roman" w:cs="Times New Roman"/>
          <w:color w:val="auto"/>
          <w:sz w:val="24"/>
          <w:szCs w:val="24"/>
        </w:rPr>
        <w:t>，从上表可知，本项目排污许可证管理类别为</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lang w:val="en-US" w:eastAsia="zh-CN"/>
        </w:rPr>
        <w:t>简化</w:t>
      </w:r>
      <w:r>
        <w:rPr>
          <w:rFonts w:hint="default" w:ascii="Times New Roman" w:hAnsi="Times New Roman" w:cs="Times New Roman"/>
          <w:color w:val="auto"/>
          <w:sz w:val="24"/>
          <w:szCs w:val="24"/>
        </w:rPr>
        <w:t>管理</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 w:val="24"/>
          <w:szCs w:val="24"/>
        </w:rPr>
        <w:t>根据《排污许可证管理办法（试行）》等相关政策文件要求，企业应在实际投入生产或发生排污前完成排污许可</w:t>
      </w:r>
      <w:r>
        <w:rPr>
          <w:rFonts w:hint="default" w:ascii="Times New Roman" w:hAnsi="Times New Roman" w:cs="Times New Roman"/>
          <w:color w:val="auto"/>
          <w:sz w:val="24"/>
          <w:szCs w:val="24"/>
          <w:lang w:val="en-US" w:eastAsia="zh-CN"/>
        </w:rPr>
        <w:t>登记</w:t>
      </w:r>
      <w:r>
        <w:rPr>
          <w:rFonts w:hint="default" w:ascii="Times New Roman" w:hAnsi="Times New Roman" w:cs="Times New Roman"/>
          <w:color w:val="auto"/>
          <w:sz w:val="24"/>
          <w:szCs w:val="24"/>
        </w:rPr>
        <w:t>相关手续，并定期开展自行监测、记录环境管理台账</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填报排污许可执行报告等。</w:t>
      </w:r>
    </w:p>
    <w:p>
      <w:pPr>
        <w:pStyle w:val="11"/>
        <w:bidi w:val="0"/>
        <w:spacing w:line="360" w:lineRule="auto"/>
        <w:ind w:left="851" w:hanging="851"/>
        <w:rPr>
          <w:color w:val="auto"/>
          <w:sz w:val="30"/>
          <w:szCs w:val="30"/>
        </w:rPr>
      </w:pPr>
      <w:r>
        <w:rPr>
          <w:color w:val="auto"/>
          <w:sz w:val="30"/>
          <w:szCs w:val="30"/>
        </w:rPr>
        <w:t>报告制度</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按《建设项目环境保护管理条例》、《建设项目竣工环境保护验收暂行办法》（国环规环评</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2017</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4号），本项目在正式投产前，应编制</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环境保护设施竣工验收报告</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，自主验收合格后，方可正式投入生产。</w:t>
      </w:r>
    </w:p>
    <w:p>
      <w:pPr>
        <w:pStyle w:val="11"/>
        <w:bidi w:val="0"/>
        <w:spacing w:line="360" w:lineRule="auto"/>
        <w:ind w:left="851" w:hanging="851"/>
        <w:rPr>
          <w:color w:val="auto"/>
          <w:sz w:val="30"/>
          <w:szCs w:val="30"/>
        </w:rPr>
      </w:pPr>
      <w:r>
        <w:rPr>
          <w:color w:val="auto"/>
          <w:sz w:val="30"/>
          <w:szCs w:val="30"/>
        </w:rPr>
        <w:t>污染处理设施的管理制度</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建成投产后，产生的污染物必须经治理达标后方可排放。单位法人要确保污染治理设施能长期、稳定、有效地运行，不得擅自拆除或者闲置污染处理设施，不得故意不正常使用污染处理设施。污染处理设施的管理必须与生产经营活动一起纳入企业日常管理工作的范畴，落实责任人、操作人员、维修人员、运行经费、设备的备品备件、化学药品和其他原辅材料。同时要建立岗位责任制、制定操作规程、建立</w:t>
      </w:r>
      <w:r>
        <w:rPr>
          <w:rFonts w:hint="eastAsia" w:ascii="Times New Roman" w:hAnsi="Times New Roman" w:eastAsia="宋体" w:cs="Times New Roman"/>
          <w:color w:val="auto"/>
          <w:szCs w:val="28"/>
          <w:u w:val="none" w:color="auto"/>
          <w:lang w:eastAsia="zh-CN"/>
        </w:rPr>
        <w:t>管理台账</w:t>
      </w:r>
      <w:r>
        <w:rPr>
          <w:rFonts w:hint="default" w:ascii="Times New Roman" w:hAnsi="Times New Roman" w:cs="Times New Roman"/>
          <w:color w:val="auto"/>
          <w:szCs w:val="28"/>
          <w:u w:val="none" w:color="auto"/>
        </w:rPr>
        <w:t>。</w:t>
      </w:r>
    </w:p>
    <w:p>
      <w:pPr>
        <w:pStyle w:val="11"/>
        <w:bidi w:val="0"/>
        <w:spacing w:line="360" w:lineRule="auto"/>
        <w:ind w:left="851" w:hanging="851"/>
        <w:rPr>
          <w:color w:val="auto"/>
          <w:sz w:val="30"/>
          <w:szCs w:val="30"/>
        </w:rPr>
      </w:pPr>
      <w:r>
        <w:rPr>
          <w:color w:val="auto"/>
          <w:sz w:val="30"/>
          <w:szCs w:val="30"/>
        </w:rPr>
        <w:t>信息公开制度</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建成后，应建立健全环境信息公开制度，及时、完整、准确的按照《企业事业单位环境信息公开办法》（环保部第31号令）等法律法规及技术规范要求，向社会及时公开污染防治设施的建设、运行情况，排放污染物名称、排放方式、排放浓度和总量、超标排放情况和整改情况等信息。</w:t>
      </w:r>
    </w:p>
    <w:p>
      <w:pPr>
        <w:pStyle w:val="11"/>
        <w:bidi w:val="0"/>
        <w:spacing w:line="360" w:lineRule="auto"/>
        <w:ind w:left="851" w:hanging="851"/>
        <w:rPr>
          <w:color w:val="auto"/>
          <w:sz w:val="30"/>
          <w:szCs w:val="30"/>
        </w:rPr>
      </w:pPr>
      <w:r>
        <w:rPr>
          <w:color w:val="auto"/>
          <w:sz w:val="30"/>
          <w:szCs w:val="30"/>
        </w:rPr>
        <w:t>奖惩制度</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企业应设置环境保护奖惩制度，对爱护环保设施，节能降耗，改善环境者实行奖励；对不按环保要求管理，造成环保设施损坏、环境污染和</w:t>
      </w:r>
      <w:r>
        <w:rPr>
          <w:rFonts w:hint="eastAsia" w:ascii="Times New Roman" w:hAnsi="Times New Roman" w:eastAsia="宋体" w:cs="Times New Roman"/>
          <w:color w:val="auto"/>
          <w:szCs w:val="28"/>
          <w:u w:val="none" w:color="auto"/>
          <w:lang w:eastAsia="zh-CN"/>
        </w:rPr>
        <w:t>资</w:t>
      </w:r>
      <w:r>
        <w:rPr>
          <w:rFonts w:hint="default" w:ascii="Times New Roman" w:hAnsi="Times New Roman" w:cs="Times New Roman"/>
          <w:color w:val="auto"/>
          <w:szCs w:val="28"/>
          <w:u w:val="none" w:color="auto"/>
        </w:rPr>
        <w:t>源、能源浪费者予以处罚</w:t>
      </w:r>
    </w:p>
    <w:p>
      <w:pPr>
        <w:pStyle w:val="10"/>
        <w:bidi w:val="0"/>
        <w:spacing w:line="360" w:lineRule="auto"/>
        <w:rPr>
          <w:rFonts w:hint="default" w:ascii="Times New Roman" w:hAnsi="Times New Roman" w:cs="Times New Roman"/>
          <w:color w:val="auto"/>
          <w:sz w:val="32"/>
          <w:szCs w:val="32"/>
        </w:rPr>
      </w:pPr>
      <w:bookmarkStart w:id="141" w:name="bookmark140"/>
      <w:bookmarkEnd w:id="141"/>
      <w:bookmarkStart w:id="142" w:name="_Toc16911"/>
      <w:r>
        <w:rPr>
          <w:rFonts w:hint="default" w:ascii="Times New Roman" w:hAnsi="Times New Roman" w:cs="Times New Roman"/>
          <w:color w:val="auto"/>
          <w:sz w:val="32"/>
          <w:szCs w:val="32"/>
        </w:rPr>
        <w:fldChar w:fldCharType="begin"/>
      </w:r>
      <w:r>
        <w:rPr>
          <w:rFonts w:hint="default" w:ascii="Times New Roman" w:hAnsi="Times New Roman" w:cs="Times New Roman"/>
          <w:color w:val="auto"/>
          <w:sz w:val="32"/>
          <w:szCs w:val="32"/>
        </w:rPr>
        <w:instrText xml:space="preserve"> HYPERLINK "file:///C:/Users/Administrator/Desktop/l" </w:instrText>
      </w:r>
      <w:r>
        <w:rPr>
          <w:rFonts w:hint="default" w:ascii="Times New Roman" w:hAnsi="Times New Roman" w:cs="Times New Roman"/>
          <w:color w:val="auto"/>
          <w:sz w:val="32"/>
          <w:szCs w:val="32"/>
        </w:rPr>
        <w:fldChar w:fldCharType="separate"/>
      </w:r>
      <w:r>
        <w:rPr>
          <w:rFonts w:hint="default" w:ascii="Times New Roman" w:hAnsi="Times New Roman" w:cs="Times New Roman"/>
          <w:color w:val="auto"/>
          <w:sz w:val="32"/>
          <w:szCs w:val="32"/>
        </w:rPr>
        <w:t>项目竣工环保验收管理</w:t>
      </w:r>
      <w:r>
        <w:rPr>
          <w:rFonts w:hint="default" w:ascii="Times New Roman" w:hAnsi="Times New Roman" w:cs="Times New Roman"/>
          <w:color w:val="auto"/>
          <w:sz w:val="32"/>
          <w:szCs w:val="32"/>
        </w:rPr>
        <w:fldChar w:fldCharType="end"/>
      </w:r>
      <w:bookmarkEnd w:id="142"/>
    </w:p>
    <w:p>
      <w:pPr>
        <w:pStyle w:val="11"/>
        <w:bidi w:val="0"/>
        <w:spacing w:line="360" w:lineRule="auto"/>
        <w:ind w:left="851" w:hanging="851"/>
        <w:rPr>
          <w:color w:val="auto"/>
          <w:sz w:val="30"/>
          <w:szCs w:val="30"/>
        </w:rPr>
      </w:pPr>
      <w:r>
        <w:rPr>
          <w:color w:val="auto"/>
          <w:sz w:val="30"/>
          <w:szCs w:val="30"/>
        </w:rPr>
        <w:fldChar w:fldCharType="begin"/>
      </w:r>
      <w:r>
        <w:rPr>
          <w:color w:val="auto"/>
          <w:sz w:val="30"/>
          <w:szCs w:val="30"/>
        </w:rPr>
        <w:instrText xml:space="preserve"> HYPERLINK "file:///C:/Users/Administrator/Desktop/l" </w:instrText>
      </w:r>
      <w:r>
        <w:rPr>
          <w:color w:val="auto"/>
          <w:sz w:val="30"/>
          <w:szCs w:val="30"/>
        </w:rPr>
        <w:fldChar w:fldCharType="separate"/>
      </w:r>
      <w:r>
        <w:rPr>
          <w:color w:val="auto"/>
          <w:sz w:val="30"/>
          <w:szCs w:val="30"/>
        </w:rPr>
        <w:t>环境工程设计</w:t>
      </w:r>
      <w:r>
        <w:rPr>
          <w:color w:val="auto"/>
          <w:sz w:val="30"/>
          <w:szCs w:val="30"/>
        </w:rPr>
        <w:fldChar w:fldCharType="end"/>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本项目竣工验收前必须做好和完成以下方面工作：</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（1）按照环境影响评价文件及其批复要求，落实项目环境工程设计，确保三废稳定达标排放；要求制定风险事故应急预案；</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（2）项目设计阶段应进一步核准、细化环保工程投资概算，环保投资要求做到专款专用，及时到位，确保环保设施与主体工程同时建设；</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（3）建立健全环保组织机构、各项环境管理规章制度，施工期实行环境监理；</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（4）工程污染防治设施必须与主体工程实现</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三同时</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；如需进行试生产，其配套建设的环保设施也必须与主体工程同时投入运行。</w:t>
      </w:r>
    </w:p>
    <w:p>
      <w:pPr>
        <w:pStyle w:val="11"/>
        <w:bidi w:val="0"/>
        <w:spacing w:line="360" w:lineRule="auto"/>
        <w:ind w:left="851" w:hanging="851"/>
        <w:rPr>
          <w:color w:val="auto"/>
          <w:sz w:val="30"/>
          <w:szCs w:val="30"/>
        </w:rPr>
      </w:pPr>
      <w:r>
        <w:rPr>
          <w:color w:val="auto"/>
          <w:sz w:val="30"/>
          <w:szCs w:val="30"/>
        </w:rPr>
        <w:fldChar w:fldCharType="begin"/>
      </w:r>
      <w:r>
        <w:rPr>
          <w:color w:val="auto"/>
          <w:sz w:val="30"/>
          <w:szCs w:val="30"/>
        </w:rPr>
        <w:instrText xml:space="preserve"> HYPERLINK "file:///C:/Users/Administrator/Desktop/l" </w:instrText>
      </w:r>
      <w:r>
        <w:rPr>
          <w:color w:val="auto"/>
          <w:sz w:val="30"/>
          <w:szCs w:val="30"/>
        </w:rPr>
        <w:fldChar w:fldCharType="separate"/>
      </w:r>
      <w:r>
        <w:rPr>
          <w:color w:val="auto"/>
          <w:sz w:val="30"/>
          <w:szCs w:val="30"/>
        </w:rPr>
        <w:t>环保设施竣工验收</w:t>
      </w:r>
      <w:r>
        <w:rPr>
          <w:color w:val="auto"/>
          <w:sz w:val="30"/>
          <w:szCs w:val="30"/>
        </w:rPr>
        <w:fldChar w:fldCharType="end"/>
      </w:r>
      <w:r>
        <w:rPr>
          <w:color w:val="auto"/>
          <w:sz w:val="30"/>
          <w:szCs w:val="30"/>
        </w:rPr>
        <w:t>要求</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（1）验收范围</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1）与项目有关的各项环保设施，包括为防治污染和保护环境所建成或配套建成的治理工程、设备、装置和监测手段，以及各项生态保护设施等；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2）环境影响报告书及其批复文件和有关设计文件规定应采取环保措施。</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工程所有环保设施均应与主体工程同时设计、同时施工、同时投产，按建设项目竣工环境保护验收管理办法，具备环境保护验收条件，建设单位自行开展环境保护验收，同时提交环境保护验收监测报告。竣工验收通过后，建设单位方可正式投产运行。申请环境保护验收条件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①建设项目建设前期环境保护审查、审批手续完备，技术资料与环境保护档案齐全；</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②环境保护设施按批准的环境影响报告书和设计要求建成，环境保护设施经负荷试车检测合格，其污染防治能力适应主体工程的需要；</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③环境保护设施安装质量符合国家和有关部门颁发的专业工程验收规范、规程和检验评定标准；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④具备环境保护设施运转条件，包括经培训的环境保护设施岗位操作人员的到位、管理制度的建设、原材料、动力的落实等，且符合交付使用的其他条件；</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⑤外排污染物符合经批准的设计文件和环境影响报告书中提出的总量控制指标要求；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⑥各项生态保护措施按环境影响报告书规定的要求落实，建设过程中受到破坏并且可恢复的环境已经得到</w:t>
      </w:r>
      <w:r>
        <w:rPr>
          <w:rFonts w:hint="eastAsia" w:ascii="Times New Roman" w:hAnsi="Times New Roman" w:eastAsia="宋体" w:cs="Times New Roman"/>
          <w:color w:val="auto"/>
          <w:szCs w:val="28"/>
          <w:u w:val="none" w:color="auto"/>
          <w:lang w:eastAsia="zh-CN"/>
        </w:rPr>
        <w:t>修复</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⑦环境监测项目、点位、机构设置及人员配备符合环境影响报告书和有关规定的要求；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⑧需对环境敏感点进行环境影响验证，对清洁生产进行指标考核，已按规定要求完成；</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（2）环境保护竣工验收内容</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本项目环境保护竣工验收内容见表1</w:t>
      </w: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.4-1。</w:t>
      </w:r>
    </w:p>
    <w:p>
      <w:pPr>
        <w:pStyle w:val="16"/>
        <w:keepNext/>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11.4</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本项目环境保护竣工验收一览表</w:t>
      </w:r>
    </w:p>
    <w:tbl>
      <w:tblPr>
        <w:tblStyle w:val="29"/>
        <w:tblW w:w="501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39"/>
        <w:gridCol w:w="718"/>
        <w:gridCol w:w="601"/>
        <w:gridCol w:w="1210"/>
        <w:gridCol w:w="2294"/>
        <w:gridCol w:w="318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633" w:type="pct"/>
            <w:gridSpan w:val="2"/>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验收项目</w:t>
            </w:r>
          </w:p>
        </w:tc>
        <w:tc>
          <w:tcPr>
            <w:tcW w:w="36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监测位置</w:t>
            </w:r>
          </w:p>
        </w:tc>
        <w:tc>
          <w:tcPr>
            <w:tcW w:w="72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监测项目</w:t>
            </w:r>
          </w:p>
        </w:tc>
        <w:tc>
          <w:tcPr>
            <w:tcW w:w="137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验收要求</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6"/>
                <w:sz w:val="21"/>
                <w:szCs w:val="21"/>
                <w:lang w:val="en-US" w:eastAsia="zh-CN"/>
              </w:rPr>
            </w:pPr>
            <w:r>
              <w:rPr>
                <w:rFonts w:hint="eastAsia" w:ascii="Times New Roman" w:hAnsi="Times New Roman" w:cs="Times New Roman"/>
                <w:b/>
                <w:bCs/>
                <w:color w:val="auto"/>
                <w:spacing w:val="6"/>
                <w:sz w:val="21"/>
                <w:szCs w:val="21"/>
                <w:lang w:val="en-US" w:eastAsia="zh-CN"/>
              </w:rPr>
              <w:t>执行标准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废气</w:t>
            </w:r>
          </w:p>
        </w:tc>
        <w:tc>
          <w:tcPr>
            <w:tcW w:w="43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生产车间</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（有组织）</w:t>
            </w:r>
          </w:p>
        </w:tc>
        <w:tc>
          <w:tcPr>
            <w:tcW w:w="36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排气筒</w:t>
            </w:r>
          </w:p>
        </w:tc>
        <w:tc>
          <w:tcPr>
            <w:tcW w:w="72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VOCs</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z w:val="21"/>
                <w:szCs w:val="21"/>
              </w:rPr>
              <w:t>SO</w:t>
            </w:r>
            <w:r>
              <w:rPr>
                <w:rFonts w:hint="default" w:ascii="Times New Roman" w:hAnsi="Times New Roman" w:eastAsia="Calibri" w:cs="Times New Roman"/>
                <w:color w:val="auto"/>
                <w:spacing w:val="4"/>
                <w:position w:val="-1"/>
                <w:sz w:val="21"/>
                <w:szCs w:val="21"/>
                <w:vertAlign w:val="subscript"/>
              </w:rPr>
              <w:t>2</w:t>
            </w:r>
            <w:r>
              <w:rPr>
                <w:rFonts w:hint="default" w:ascii="Times New Roman" w:hAnsi="Times New Roman" w:cs="Times New Roman"/>
                <w:color w:val="auto"/>
                <w:spacing w:val="4"/>
                <w:sz w:val="21"/>
                <w:szCs w:val="21"/>
              </w:rPr>
              <w:t>、</w:t>
            </w:r>
            <w:r>
              <w:rPr>
                <w:rFonts w:hint="default" w:ascii="Times New Roman" w:hAnsi="Times New Roman" w:eastAsia="Calibri" w:cs="Times New Roman"/>
                <w:color w:val="auto"/>
                <w:spacing w:val="-1"/>
                <w:sz w:val="21"/>
                <w:szCs w:val="21"/>
              </w:rPr>
              <w:t>NOx</w:t>
            </w:r>
          </w:p>
        </w:tc>
        <w:tc>
          <w:tcPr>
            <w:tcW w:w="1372" w:type="pct"/>
            <w:tcBorders>
              <w:tl2br w:val="nil"/>
              <w:tr2bl w:val="nil"/>
            </w:tcBorders>
            <w:vAlign w:val="center"/>
          </w:tcPr>
          <w:p>
            <w:pPr>
              <w:pStyle w:val="30"/>
              <w:keepNext w:val="0"/>
              <w:keepLines w:val="0"/>
              <w:pageBreakBefore w:val="0"/>
              <w:widowControl w:val="0"/>
              <w:tabs>
                <w:tab w:val="left" w:pos="186"/>
              </w:tabs>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w:t>
            </w:r>
            <w:r>
              <w:rPr>
                <w:rFonts w:hint="default"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有机废气：重点产气点烘箱负压集气、</w:t>
            </w:r>
            <w:r>
              <w:rPr>
                <w:rFonts w:hint="eastAsia" w:ascii="Times New Roman" w:hAnsi="Times New Roman" w:cs="Times New Roman"/>
                <w:color w:val="auto"/>
                <w:spacing w:val="6"/>
                <w:sz w:val="21"/>
                <w:szCs w:val="21"/>
                <w:lang w:val="en-US" w:eastAsia="zh-CN"/>
              </w:rPr>
              <w:t>车间</w:t>
            </w:r>
            <w:r>
              <w:rPr>
                <w:rFonts w:hint="default" w:ascii="Times New Roman" w:hAnsi="Times New Roman" w:cs="Times New Roman"/>
                <w:color w:val="auto"/>
                <w:spacing w:val="6"/>
                <w:sz w:val="21"/>
                <w:szCs w:val="21"/>
              </w:rPr>
              <w:t>负压集气、重点车间密闭各1套；</w:t>
            </w:r>
          </w:p>
          <w:p>
            <w:pPr>
              <w:pStyle w:val="30"/>
              <w:keepNext w:val="0"/>
              <w:keepLines w:val="0"/>
              <w:pageBreakBefore w:val="0"/>
              <w:widowControl w:val="0"/>
              <w:tabs>
                <w:tab w:val="left" w:pos="175"/>
                <w:tab w:val="left" w:pos="177"/>
              </w:tabs>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2</w:t>
            </w:r>
            <w:r>
              <w:rPr>
                <w:rFonts w:hint="default"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rPr>
              <w:t>3室RTO蓄热燃烧系统1套；</w:t>
            </w:r>
          </w:p>
          <w:p>
            <w:pPr>
              <w:keepNext w:val="0"/>
              <w:keepLines w:val="0"/>
              <w:pageBreakBefore w:val="0"/>
              <w:widowControl/>
              <w:suppressLineNumbers w:val="0"/>
              <w:kinsoku w:val="0"/>
              <w:wordWrap/>
              <w:overflowPunct/>
              <w:topLinePunct w:val="0"/>
              <w:autoSpaceDE w:val="0"/>
              <w:autoSpaceDN w:val="0"/>
              <w:bidi w:val="0"/>
              <w:adjustRightInd w:val="0"/>
              <w:snapToGrid w:val="0"/>
              <w:jc w:val="left"/>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1根15m高排气筒排放</w:t>
            </w:r>
          </w:p>
        </w:tc>
        <w:tc>
          <w:tcPr>
            <w:tcW w:w="1909" w:type="pc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jc w:val="left"/>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z w:val="21"/>
                <w:szCs w:val="21"/>
              </w:rPr>
              <w:t>VOCs</w:t>
            </w:r>
            <w:r>
              <w:rPr>
                <w:rFonts w:hint="default" w:ascii="Times New Roman" w:hAnsi="Times New Roman" w:cs="Times New Roman"/>
                <w:color w:val="auto"/>
                <w:spacing w:val="9"/>
                <w:sz w:val="21"/>
                <w:szCs w:val="21"/>
              </w:rPr>
              <w:t>执行</w:t>
            </w:r>
            <w:r>
              <w:rPr>
                <w:rFonts w:hint="default" w:ascii="Times New Roman" w:hAnsi="Times New Roman" w:cs="Times New Roman"/>
                <w:color w:val="auto"/>
                <w:spacing w:val="9"/>
                <w:sz w:val="21"/>
                <w:szCs w:val="21"/>
                <w:lang w:eastAsia="zh-CN"/>
              </w:rPr>
              <w:t>《印刷工业大气污染物排放标准》（GB41616-2022）</w:t>
            </w:r>
            <w:r>
              <w:rPr>
                <w:rFonts w:hint="default" w:ascii="Times New Roman" w:hAnsi="Times New Roman" w:cs="Times New Roman"/>
                <w:color w:val="auto"/>
                <w:spacing w:val="1"/>
                <w:sz w:val="21"/>
                <w:szCs w:val="21"/>
              </w:rPr>
              <w:t>表1</w:t>
            </w:r>
            <w:r>
              <w:rPr>
                <w:rFonts w:hint="default" w:ascii="Times New Roman" w:hAnsi="Times New Roman" w:eastAsia="榛戜綋" w:cs="Times New Roman"/>
                <w:snapToGrid w:val="0"/>
                <w:color w:val="auto"/>
                <w:kern w:val="0"/>
                <w:sz w:val="21"/>
                <w:szCs w:val="21"/>
                <w:lang w:val="en-US" w:eastAsia="zh-CN" w:bidi="ar"/>
              </w:rPr>
              <w:t>大气污染物排放限值</w:t>
            </w:r>
            <w:r>
              <w:rPr>
                <w:rFonts w:hint="default" w:ascii="Times New Roman" w:hAnsi="Times New Roman" w:cs="Times New Roman"/>
                <w:color w:val="auto"/>
                <w:spacing w:val="1"/>
                <w:sz w:val="21"/>
                <w:szCs w:val="21"/>
              </w:rPr>
              <w:t>；</w:t>
            </w:r>
            <w:r>
              <w:rPr>
                <w:rFonts w:hint="default" w:ascii="Times New Roman" w:hAnsi="Times New Roman" w:cs="Times New Roman"/>
                <w:color w:val="auto"/>
                <w:sz w:val="21"/>
                <w:szCs w:val="21"/>
              </w:rPr>
              <w:t>SO</w:t>
            </w:r>
            <w:r>
              <w:rPr>
                <w:rFonts w:hint="default" w:ascii="Times New Roman" w:hAnsi="Times New Roman" w:cs="Times New Roman"/>
                <w:color w:val="auto"/>
                <w:spacing w:val="8"/>
                <w:position w:val="-3"/>
                <w:sz w:val="21"/>
                <w:szCs w:val="21"/>
                <w:vertAlign w:val="subscript"/>
              </w:rPr>
              <w:t>2</w:t>
            </w:r>
            <w:r>
              <w:rPr>
                <w:rFonts w:hint="default" w:ascii="Times New Roman" w:hAnsi="Times New Roman" w:cs="Times New Roman"/>
                <w:color w:val="auto"/>
                <w:spacing w:val="8"/>
                <w:sz w:val="21"/>
                <w:szCs w:val="21"/>
              </w:rPr>
              <w:t>、</w:t>
            </w:r>
            <w:r>
              <w:rPr>
                <w:rFonts w:hint="default" w:ascii="Times New Roman" w:hAnsi="Times New Roman" w:cs="Times New Roman"/>
                <w:color w:val="auto"/>
                <w:sz w:val="21"/>
                <w:szCs w:val="21"/>
              </w:rPr>
              <w:t>NOx</w:t>
            </w:r>
            <w:r>
              <w:rPr>
                <w:rFonts w:hint="default" w:ascii="Times New Roman" w:hAnsi="Times New Roman" w:cs="Times New Roman"/>
                <w:color w:val="auto"/>
                <w:spacing w:val="8"/>
                <w:sz w:val="21"/>
                <w:szCs w:val="21"/>
              </w:rPr>
              <w:t>排放执行</w:t>
            </w:r>
            <w:r>
              <w:rPr>
                <w:rFonts w:hint="default" w:ascii="Times New Roman" w:hAnsi="Times New Roman" w:eastAsia="宋体" w:cs="Times New Roman"/>
                <w:color w:val="auto"/>
                <w:spacing w:val="8"/>
                <w:sz w:val="21"/>
                <w:szCs w:val="21"/>
                <w:lang w:eastAsia="zh-CN"/>
              </w:rPr>
              <w:t>《印刷工业大气污染物排放标准》（GB41616-2022）表2燃烧装置大气污染物排放限值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无组织有机</w:t>
            </w:r>
            <w:r>
              <w:rPr>
                <w:rFonts w:hint="default" w:ascii="Times New Roman" w:hAnsi="Times New Roman" w:cs="Times New Roman"/>
                <w:color w:val="auto"/>
                <w:spacing w:val="5"/>
                <w:sz w:val="21"/>
                <w:szCs w:val="21"/>
              </w:rPr>
              <w:t>废气</w:t>
            </w:r>
          </w:p>
        </w:tc>
        <w:tc>
          <w:tcPr>
            <w:tcW w:w="36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厂界</w:t>
            </w:r>
          </w:p>
        </w:tc>
        <w:tc>
          <w:tcPr>
            <w:tcW w:w="724"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sz w:val="21"/>
                <w:szCs w:val="21"/>
              </w:rPr>
              <w:t>VOCs</w:t>
            </w:r>
          </w:p>
        </w:tc>
        <w:tc>
          <w:tcPr>
            <w:tcW w:w="137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6"/>
                <w:sz w:val="21"/>
                <w:szCs w:val="21"/>
                <w:lang w:val="en-US" w:eastAsia="zh-CN"/>
              </w:rPr>
              <w:t>4</w:t>
            </w:r>
            <w:r>
              <w:rPr>
                <w:rFonts w:hint="default"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重点车间密闭1套</w:t>
            </w:r>
            <w:r>
              <w:rPr>
                <w:rFonts w:hint="default" w:ascii="Times New Roman" w:hAnsi="Times New Roman" w:cs="Times New Roman"/>
                <w:color w:val="auto"/>
                <w:sz w:val="21"/>
                <w:szCs w:val="21"/>
              </w:rPr>
              <w:t>；</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8"/>
                <w:sz w:val="21"/>
                <w:szCs w:val="21"/>
                <w:lang w:val="en-US" w:eastAsia="zh-CN"/>
              </w:rPr>
              <w:t>5</w:t>
            </w:r>
            <w:r>
              <w:rPr>
                <w:rFonts w:hint="default" w:ascii="Times New Roman" w:hAnsi="Times New Roman" w:cs="Times New Roman"/>
                <w:color w:val="auto"/>
                <w:spacing w:val="8"/>
                <w:sz w:val="21"/>
                <w:szCs w:val="21"/>
                <w:lang w:eastAsia="zh-CN"/>
              </w:rPr>
              <w:t>、</w:t>
            </w:r>
            <w:r>
              <w:rPr>
                <w:rFonts w:hint="default" w:ascii="Times New Roman" w:hAnsi="Times New Roman" w:cs="Times New Roman"/>
                <w:color w:val="auto"/>
                <w:spacing w:val="8"/>
                <w:sz w:val="21"/>
                <w:szCs w:val="21"/>
              </w:rPr>
              <w:t>车间内工作人员佩戴专用口罩、穿防护</w:t>
            </w:r>
            <w:r>
              <w:rPr>
                <w:rFonts w:hint="default" w:ascii="Times New Roman" w:hAnsi="Times New Roman" w:cs="Times New Roman"/>
                <w:color w:val="auto"/>
                <w:spacing w:val="6"/>
                <w:sz w:val="21"/>
                <w:szCs w:val="21"/>
              </w:rPr>
              <w:t>服防护措施</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10"/>
                <w:sz w:val="21"/>
                <w:szCs w:val="21"/>
              </w:rPr>
            </w:pPr>
            <w:r>
              <w:rPr>
                <w:rFonts w:hint="default" w:ascii="Times New Roman" w:hAnsi="Times New Roman" w:cs="Times New Roman"/>
                <w:color w:val="auto"/>
                <w:sz w:val="21"/>
                <w:szCs w:val="21"/>
                <w:highlight w:val="none"/>
              </w:rPr>
              <w:t>VOCs</w:t>
            </w:r>
            <w:r>
              <w:rPr>
                <w:rFonts w:hint="eastAsia" w:ascii="Times New Roman" w:hAnsi="Times New Roman" w:cs="Times New Roman"/>
                <w:color w:val="auto"/>
                <w:spacing w:val="10"/>
                <w:sz w:val="21"/>
                <w:szCs w:val="21"/>
                <w:highlight w:val="none"/>
                <w:lang w:eastAsia="zh-CN"/>
              </w:rPr>
              <w:t>厂界浓度满足《印刷业挥发性有机物排放标准》（DB43/1357-2017）表2中厂界浓度标准限值</w:t>
            </w:r>
            <w:r>
              <w:rPr>
                <w:rFonts w:hint="default" w:ascii="Times New Roman" w:hAnsi="Times New Roman" w:cs="Times New Roman"/>
                <w:color w:val="auto"/>
                <w:spacing w:val="10"/>
                <w:sz w:val="21"/>
                <w:szCs w:val="21"/>
                <w:highlight w:val="none"/>
              </w:rPr>
              <w:t>；厂区内</w:t>
            </w:r>
            <w:r>
              <w:rPr>
                <w:rFonts w:hint="default" w:ascii="Times New Roman" w:hAnsi="Times New Roman" w:cs="Times New Roman"/>
                <w:color w:val="auto"/>
                <w:sz w:val="21"/>
                <w:szCs w:val="21"/>
                <w:highlight w:val="none"/>
              </w:rPr>
              <w:t>VOCs</w:t>
            </w:r>
            <w:r>
              <w:rPr>
                <w:rFonts w:hint="default" w:ascii="Times New Roman" w:hAnsi="Times New Roman" w:cs="Times New Roman"/>
                <w:color w:val="auto"/>
                <w:spacing w:val="10"/>
                <w:sz w:val="21"/>
                <w:szCs w:val="21"/>
                <w:highlight w:val="none"/>
              </w:rPr>
              <w:t>无组织排放满</w:t>
            </w:r>
            <w:r>
              <w:rPr>
                <w:rFonts w:hint="default" w:ascii="Times New Roman" w:hAnsi="Times New Roman" w:cs="Times New Roman"/>
                <w:color w:val="auto"/>
                <w:spacing w:val="3"/>
                <w:sz w:val="21"/>
                <w:szCs w:val="21"/>
                <w:highlight w:val="none"/>
              </w:rPr>
              <w:t>足</w:t>
            </w:r>
            <w:r>
              <w:rPr>
                <w:rFonts w:hint="eastAsia" w:ascii="Times New Roman" w:hAnsi="Times New Roman" w:cs="Times New Roman"/>
                <w:color w:val="auto"/>
                <w:spacing w:val="3"/>
                <w:sz w:val="21"/>
                <w:szCs w:val="21"/>
                <w:highlight w:val="none"/>
                <w:lang w:eastAsia="zh-CN"/>
              </w:rPr>
              <w:t>《印刷工业大气污染物排放标准》（GB41616-2022）表A.1厂区内VOCs无组织排放限值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废水</w:t>
            </w:r>
          </w:p>
        </w:tc>
        <w:tc>
          <w:tcPr>
            <w:tcW w:w="43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7"/>
                <w:sz w:val="21"/>
                <w:szCs w:val="21"/>
                <w:lang w:val="en-US" w:eastAsia="zh-CN"/>
              </w:rPr>
              <w:t>综合废水</w:t>
            </w:r>
          </w:p>
        </w:tc>
        <w:tc>
          <w:tcPr>
            <w:tcW w:w="36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排放口</w:t>
            </w:r>
          </w:p>
        </w:tc>
        <w:tc>
          <w:tcPr>
            <w:tcW w:w="72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Calibri" w:cs="Times New Roman"/>
                <w:color w:val="auto"/>
                <w:spacing w:val="-17"/>
                <w:position w:val="1"/>
                <w:sz w:val="21"/>
                <w:szCs w:val="21"/>
                <w:u w:val="none" w:color="auto"/>
              </w:rPr>
              <w:t>pH</w:t>
            </w:r>
            <w:r>
              <w:rPr>
                <w:rFonts w:hint="default" w:ascii="Times New Roman" w:hAnsi="Times New Roman" w:cs="Times New Roman"/>
                <w:color w:val="auto"/>
                <w:spacing w:val="-17"/>
                <w:position w:val="2"/>
                <w:sz w:val="21"/>
                <w:szCs w:val="21"/>
                <w:u w:val="none" w:color="auto"/>
              </w:rPr>
              <w:t>、</w:t>
            </w:r>
            <w:r>
              <w:rPr>
                <w:rFonts w:hint="default" w:ascii="Times New Roman" w:hAnsi="Times New Roman" w:eastAsia="Calibri" w:cs="Times New Roman"/>
                <w:color w:val="auto"/>
                <w:spacing w:val="-17"/>
                <w:position w:val="1"/>
                <w:sz w:val="21"/>
                <w:szCs w:val="21"/>
                <w:u w:val="none" w:color="auto"/>
              </w:rPr>
              <w:t>COD</w:t>
            </w:r>
            <w:r>
              <w:rPr>
                <w:rFonts w:hint="default" w:ascii="Times New Roman" w:hAnsi="Times New Roman" w:cs="Times New Roman"/>
                <w:color w:val="auto"/>
                <w:spacing w:val="-17"/>
                <w:position w:val="2"/>
                <w:sz w:val="21"/>
                <w:szCs w:val="21"/>
                <w:u w:val="none" w:color="auto"/>
              </w:rPr>
              <w:t>、氨氮、</w:t>
            </w:r>
            <w:r>
              <w:rPr>
                <w:rFonts w:hint="default" w:ascii="Times New Roman" w:hAnsi="Times New Roman" w:eastAsia="Calibri" w:cs="Times New Roman"/>
                <w:color w:val="auto"/>
                <w:spacing w:val="-17"/>
                <w:position w:val="1"/>
                <w:sz w:val="21"/>
                <w:szCs w:val="21"/>
                <w:u w:val="none" w:color="auto"/>
              </w:rPr>
              <w:t>BOD</w:t>
            </w:r>
            <w:r>
              <w:rPr>
                <w:rFonts w:hint="default" w:ascii="Times New Roman" w:hAnsi="Times New Roman" w:eastAsia="Calibri" w:cs="Times New Roman"/>
                <w:color w:val="auto"/>
                <w:spacing w:val="13"/>
                <w:w w:val="107"/>
                <w:sz w:val="21"/>
                <w:szCs w:val="21"/>
                <w:u w:val="none" w:color="auto"/>
                <w:vertAlign w:val="subscript"/>
              </w:rPr>
              <w:t>5</w:t>
            </w:r>
            <w:r>
              <w:rPr>
                <w:rFonts w:hint="default" w:ascii="Times New Roman" w:hAnsi="Times New Roman" w:cs="Times New Roman"/>
                <w:color w:val="auto"/>
                <w:spacing w:val="-28"/>
                <w:position w:val="2"/>
                <w:sz w:val="21"/>
                <w:szCs w:val="21"/>
                <w:u w:val="none" w:color="auto"/>
              </w:rPr>
              <w:t>、</w:t>
            </w:r>
            <w:r>
              <w:rPr>
                <w:rFonts w:hint="default" w:ascii="Times New Roman" w:hAnsi="Times New Roman" w:eastAsia="Calibri" w:cs="Times New Roman"/>
                <w:color w:val="auto"/>
                <w:spacing w:val="-2"/>
                <w:sz w:val="21"/>
                <w:szCs w:val="21"/>
                <w:u w:val="none" w:color="auto"/>
              </w:rPr>
              <w:t>SS</w:t>
            </w:r>
            <w:r>
              <w:rPr>
                <w:rFonts w:hint="default" w:ascii="Times New Roman" w:hAnsi="Times New Roman" w:cs="Times New Roman"/>
                <w:color w:val="auto"/>
                <w:spacing w:val="-2"/>
                <w:sz w:val="21"/>
                <w:szCs w:val="21"/>
                <w:u w:val="none" w:color="auto"/>
              </w:rPr>
              <w:t>、</w:t>
            </w:r>
            <w:r>
              <w:rPr>
                <w:rFonts w:hint="default" w:ascii="Times New Roman" w:hAnsi="Times New Roman" w:eastAsia="Calibri" w:cs="Times New Roman"/>
                <w:color w:val="auto"/>
                <w:spacing w:val="-2"/>
                <w:sz w:val="21"/>
                <w:szCs w:val="21"/>
                <w:u w:val="none" w:color="auto"/>
              </w:rPr>
              <w:t>TP</w:t>
            </w:r>
            <w:r>
              <w:rPr>
                <w:rFonts w:hint="default" w:ascii="Times New Roman" w:hAnsi="Times New Roman" w:eastAsia="宋体" w:cs="Times New Roman"/>
                <w:color w:val="auto"/>
                <w:spacing w:val="-2"/>
                <w:sz w:val="21"/>
                <w:szCs w:val="21"/>
                <w:u w:val="none" w:color="auto"/>
                <w:lang w:eastAsia="zh-CN"/>
              </w:rPr>
              <w:t>、</w:t>
            </w:r>
            <w:r>
              <w:rPr>
                <w:rFonts w:hint="default" w:ascii="Times New Roman" w:hAnsi="Times New Roman" w:eastAsia="宋体" w:cs="Times New Roman"/>
                <w:color w:val="auto"/>
                <w:spacing w:val="-2"/>
                <w:sz w:val="21"/>
                <w:szCs w:val="21"/>
                <w:u w:val="none" w:color="auto"/>
                <w:lang w:val="en-US" w:eastAsia="zh-CN"/>
              </w:rPr>
              <w:t>动植物油</w:t>
            </w:r>
          </w:p>
        </w:tc>
        <w:tc>
          <w:tcPr>
            <w:tcW w:w="137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化粪池*</w:t>
            </w:r>
            <w:r>
              <w:rPr>
                <w:rFonts w:hint="eastAsia" w:ascii="Times New Roman" w:hAnsi="Times New Roman" w:cs="Times New Roman"/>
                <w:color w:val="auto"/>
                <w:spacing w:val="2"/>
                <w:sz w:val="21"/>
                <w:szCs w:val="21"/>
                <w:lang w:eastAsia="zh-CN"/>
              </w:rPr>
              <w:t>：</w:t>
            </w:r>
            <w:r>
              <w:rPr>
                <w:rFonts w:hint="default" w:ascii="Times New Roman" w:hAnsi="Times New Roman" w:cs="Times New Roman"/>
                <w:color w:val="auto"/>
                <w:spacing w:val="2"/>
                <w:sz w:val="21"/>
                <w:szCs w:val="21"/>
              </w:rPr>
              <w:t>1套</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2"/>
                <w:sz w:val="21"/>
                <w:szCs w:val="21"/>
                <w:lang w:val="en-US" w:eastAsia="zh-CN"/>
              </w:rPr>
              <w:t>隔油池：1套</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16"/>
                <w:sz w:val="21"/>
                <w:szCs w:val="21"/>
              </w:rPr>
            </w:pPr>
            <w:r>
              <w:rPr>
                <w:rFonts w:hint="default" w:ascii="Times New Roman" w:hAnsi="Times New Roman" w:cs="Times New Roman"/>
                <w:color w:val="auto"/>
                <w:spacing w:val="16"/>
                <w:sz w:val="21"/>
                <w:szCs w:val="21"/>
              </w:rPr>
              <w:t>满足《污水综合排放标准》（</w:t>
            </w:r>
            <w:r>
              <w:rPr>
                <w:rFonts w:hint="default" w:ascii="Times New Roman" w:hAnsi="Times New Roman" w:cs="Times New Roman"/>
                <w:color w:val="auto"/>
                <w:sz w:val="21"/>
                <w:szCs w:val="21"/>
              </w:rPr>
              <w:t>GB</w:t>
            </w:r>
            <w:r>
              <w:rPr>
                <w:rFonts w:hint="default" w:ascii="Times New Roman" w:hAnsi="Times New Roman" w:cs="Times New Roman"/>
                <w:color w:val="auto"/>
                <w:spacing w:val="16"/>
                <w:sz w:val="21"/>
                <w:szCs w:val="21"/>
              </w:rPr>
              <w:t>8978</w:t>
            </w:r>
            <w:r>
              <w:rPr>
                <w:rFonts w:hint="default" w:ascii="Times New Roman" w:hAnsi="Times New Roman" w:cs="Times New Roman"/>
                <w:color w:val="auto"/>
                <w:spacing w:val="6"/>
                <w:sz w:val="21"/>
                <w:szCs w:val="21"/>
              </w:rPr>
              <w:t>-1996）三级标准</w:t>
            </w:r>
            <w:r>
              <w:rPr>
                <w:rFonts w:hint="default" w:ascii="Times New Roman" w:hAnsi="Times New Roman" w:cs="Times New Roman"/>
                <w:color w:val="auto"/>
                <w:spacing w:val="6"/>
                <w:sz w:val="21"/>
                <w:szCs w:val="21"/>
                <w:lang w:val="en-US" w:eastAsia="zh-CN"/>
              </w:rPr>
              <w:t>及</w:t>
            </w:r>
            <w:r>
              <w:rPr>
                <w:rFonts w:hint="default" w:ascii="Times New Roman" w:hAnsi="Times New Roman" w:cs="Times New Roman"/>
                <w:color w:val="auto"/>
                <w:sz w:val="21"/>
                <w:szCs w:val="21"/>
              </w:rPr>
              <w:t>鹿坪污水处理厂进水水质要求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噪声</w:t>
            </w:r>
          </w:p>
        </w:tc>
        <w:tc>
          <w:tcPr>
            <w:tcW w:w="43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噪声污染防</w:t>
            </w:r>
            <w:r>
              <w:rPr>
                <w:rFonts w:hint="default" w:ascii="Times New Roman" w:hAnsi="Times New Roman" w:cs="Times New Roman"/>
                <w:color w:val="auto"/>
                <w:spacing w:val="5"/>
                <w:sz w:val="21"/>
                <w:szCs w:val="21"/>
              </w:rPr>
              <w:t>治措施</w:t>
            </w:r>
          </w:p>
        </w:tc>
        <w:tc>
          <w:tcPr>
            <w:tcW w:w="36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厂界</w:t>
            </w:r>
          </w:p>
        </w:tc>
        <w:tc>
          <w:tcPr>
            <w:tcW w:w="724"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等效连续</w:t>
            </w:r>
            <w:r>
              <w:rPr>
                <w:rFonts w:hint="default" w:ascii="Times New Roman" w:hAnsi="Times New Roman" w:eastAsia="Calibri" w:cs="Times New Roman"/>
                <w:color w:val="auto"/>
                <w:spacing w:val="4"/>
                <w:sz w:val="21"/>
                <w:szCs w:val="21"/>
              </w:rPr>
              <w:t>A</w:t>
            </w:r>
            <w:r>
              <w:rPr>
                <w:rFonts w:hint="default" w:ascii="Times New Roman" w:hAnsi="Times New Roman" w:cs="Times New Roman"/>
                <w:color w:val="auto"/>
                <w:spacing w:val="4"/>
                <w:sz w:val="21"/>
                <w:szCs w:val="21"/>
              </w:rPr>
              <w:t>声级</w:t>
            </w:r>
          </w:p>
        </w:tc>
        <w:tc>
          <w:tcPr>
            <w:tcW w:w="137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u w:val="none"/>
              </w:rPr>
              <w:t>合理布局</w:t>
            </w:r>
            <w:r>
              <w:rPr>
                <w:rFonts w:hint="eastAsia" w:ascii="Times New Roman" w:hAnsi="Times New Roman" w:cs="Times New Roman"/>
                <w:color w:val="auto"/>
                <w:sz w:val="21"/>
                <w:szCs w:val="21"/>
                <w:u w:val="none"/>
                <w:lang w:eastAsia="zh-CN"/>
              </w:rPr>
              <w:t>、</w:t>
            </w:r>
            <w:r>
              <w:rPr>
                <w:rFonts w:hint="default" w:ascii="Times New Roman" w:hAnsi="Times New Roman" w:cs="Times New Roman"/>
                <w:color w:val="auto"/>
                <w:sz w:val="21"/>
                <w:szCs w:val="21"/>
                <w:u w:val="none"/>
              </w:rPr>
              <w:t>加强</w:t>
            </w:r>
            <w:r>
              <w:rPr>
                <w:rFonts w:hint="eastAsia" w:ascii="Times New Roman" w:hAnsi="Times New Roman" w:cs="Times New Roman"/>
                <w:color w:val="auto"/>
                <w:sz w:val="21"/>
                <w:szCs w:val="21"/>
                <w:u w:val="none"/>
                <w:lang w:val="en-US" w:eastAsia="zh-CN"/>
              </w:rPr>
              <w:t>设备</w:t>
            </w:r>
            <w:r>
              <w:rPr>
                <w:rFonts w:hint="default" w:ascii="Times New Roman" w:hAnsi="Times New Roman" w:cs="Times New Roman"/>
                <w:color w:val="auto"/>
                <w:sz w:val="21"/>
                <w:szCs w:val="21"/>
                <w:u w:val="none"/>
              </w:rPr>
              <w:t>保养</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达到《工业企业厂界环境噪声排放标准》</w:t>
            </w:r>
            <w:r>
              <w:rPr>
                <w:rFonts w:hint="default" w:ascii="Times New Roman" w:hAnsi="Times New Roman" w:cs="Times New Roman"/>
                <w:color w:val="auto"/>
                <w:spacing w:val="5"/>
                <w:sz w:val="21"/>
                <w:szCs w:val="21"/>
              </w:rPr>
              <w:t>（</w:t>
            </w:r>
            <w:r>
              <w:rPr>
                <w:rFonts w:hint="default" w:ascii="Times New Roman" w:hAnsi="Times New Roman" w:eastAsia="Calibri" w:cs="Times New Roman"/>
                <w:color w:val="auto"/>
                <w:sz w:val="21"/>
                <w:szCs w:val="21"/>
              </w:rPr>
              <w:t>GB</w:t>
            </w:r>
            <w:r>
              <w:rPr>
                <w:rFonts w:hint="default" w:ascii="Times New Roman" w:hAnsi="Times New Roman" w:eastAsia="Calibri" w:cs="Times New Roman"/>
                <w:color w:val="auto"/>
                <w:spacing w:val="5"/>
                <w:sz w:val="21"/>
                <w:szCs w:val="21"/>
              </w:rPr>
              <w:t>12348-2008</w:t>
            </w:r>
            <w:r>
              <w:rPr>
                <w:rFonts w:hint="default" w:ascii="Times New Roman" w:hAnsi="Times New Roman" w:cs="Times New Roman"/>
                <w:color w:val="auto"/>
                <w:spacing w:val="5"/>
                <w:sz w:val="21"/>
                <w:szCs w:val="21"/>
              </w:rPr>
              <w:t>）中</w:t>
            </w:r>
            <w:r>
              <w:rPr>
                <w:rFonts w:hint="default" w:ascii="Times New Roman" w:hAnsi="Times New Roman" w:eastAsia="Calibri" w:cs="Times New Roman"/>
                <w:color w:val="auto"/>
                <w:spacing w:val="5"/>
                <w:sz w:val="21"/>
                <w:szCs w:val="21"/>
              </w:rPr>
              <w:t>3</w:t>
            </w:r>
            <w:r>
              <w:rPr>
                <w:rFonts w:hint="default" w:ascii="Times New Roman" w:hAnsi="Times New Roman" w:cs="Times New Roman"/>
                <w:color w:val="auto"/>
                <w:spacing w:val="5"/>
                <w:sz w:val="21"/>
                <w:szCs w:val="21"/>
              </w:rPr>
              <w:t>类标准要求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固废</w:t>
            </w:r>
          </w:p>
        </w:tc>
        <w:tc>
          <w:tcPr>
            <w:tcW w:w="43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生活垃圾</w:t>
            </w:r>
          </w:p>
        </w:tc>
        <w:tc>
          <w:tcPr>
            <w:tcW w:w="2457" w:type="pct"/>
            <w:gridSpan w:val="3"/>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分类收集后交由环卫部门处置</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9"/>
                <w:sz w:val="21"/>
                <w:szCs w:val="21"/>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203"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0"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一般固废处置措施</w:t>
            </w:r>
          </w:p>
        </w:tc>
        <w:tc>
          <w:tcPr>
            <w:tcW w:w="2457" w:type="pct"/>
            <w:gridSpan w:val="3"/>
            <w:tcBorders>
              <w:bottom w:val="single" w:color="auto" w:sz="4" w:space="0"/>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废边角料和不合格品由专门的单位收集后再利用</w:t>
            </w:r>
          </w:p>
        </w:tc>
        <w:tc>
          <w:tcPr>
            <w:tcW w:w="1909" w:type="pct"/>
            <w:tcBorders>
              <w:bottom w:val="single" w:color="auto" w:sz="4" w:space="0"/>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9"/>
                <w:sz w:val="21"/>
                <w:szCs w:val="21"/>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203"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0" w:type="pct"/>
            <w:vMerge w:val="continue"/>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7"/>
                <w:sz w:val="21"/>
                <w:szCs w:val="21"/>
              </w:rPr>
            </w:pPr>
          </w:p>
        </w:tc>
        <w:tc>
          <w:tcPr>
            <w:tcW w:w="2457" w:type="pct"/>
            <w:gridSpan w:val="3"/>
            <w:tcBorders>
              <w:top w:val="single" w:color="auto" w:sz="4" w:space="0"/>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9"/>
                <w:sz w:val="21"/>
                <w:szCs w:val="21"/>
              </w:rPr>
            </w:pPr>
            <w:r>
              <w:rPr>
                <w:rFonts w:hint="eastAsia" w:ascii="Times New Roman" w:hAnsi="Times New Roman" w:cs="Times New Roman"/>
                <w:color w:val="auto"/>
                <w:sz w:val="21"/>
                <w:szCs w:val="21"/>
                <w:u w:val="none" w:color="auto"/>
                <w:lang w:val="en-US" w:eastAsia="zh-CN"/>
              </w:rPr>
              <w:t>废交换树脂由更换厂家直接带走</w:t>
            </w:r>
          </w:p>
        </w:tc>
        <w:tc>
          <w:tcPr>
            <w:tcW w:w="1909" w:type="pct"/>
            <w:tcBorders>
              <w:top w:val="single" w:color="auto" w:sz="4" w:space="0"/>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8"/>
                <w:sz w:val="21"/>
                <w:szCs w:val="21"/>
                <w:lang w:val="en-US" w:eastAsia="zh-CN"/>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30"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危险废物处置措施</w:t>
            </w:r>
          </w:p>
        </w:tc>
        <w:tc>
          <w:tcPr>
            <w:tcW w:w="2457" w:type="pct"/>
            <w:gridSpan w:val="3"/>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Calibri" w:cs="Times New Roman"/>
                <w:color w:val="auto"/>
                <w:spacing w:val="8"/>
                <w:position w:val="1"/>
                <w:sz w:val="21"/>
                <w:szCs w:val="21"/>
              </w:rPr>
              <w:t>①</w:t>
            </w:r>
            <w:r>
              <w:rPr>
                <w:rFonts w:hint="default" w:ascii="Times New Roman" w:hAnsi="Times New Roman" w:cs="Times New Roman"/>
                <w:color w:val="auto"/>
                <w:spacing w:val="7"/>
                <w:position w:val="1"/>
                <w:sz w:val="21"/>
                <w:szCs w:val="21"/>
              </w:rPr>
              <w:t>建设</w:t>
            </w:r>
            <w:r>
              <w:rPr>
                <w:rFonts w:hint="default" w:ascii="Times New Roman" w:hAnsi="Times New Roman" w:cs="Times New Roman"/>
                <w:color w:val="auto"/>
                <w:spacing w:val="8"/>
                <w:sz w:val="21"/>
                <w:szCs w:val="21"/>
              </w:rPr>
              <w:t>危废暂存间，危废暂存间设置在综合仓库内，面积为</w:t>
            </w:r>
            <w:r>
              <w:rPr>
                <w:rFonts w:hint="default" w:ascii="Times New Roman" w:hAnsi="Times New Roman" w:eastAsia="Calibri" w:cs="Times New Roman"/>
                <w:color w:val="auto"/>
                <w:spacing w:val="8"/>
                <w:sz w:val="21"/>
                <w:szCs w:val="21"/>
              </w:rPr>
              <w:t>50m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cs="Times New Roman"/>
                <w:color w:val="auto"/>
                <w:spacing w:val="8"/>
                <w:sz w:val="21"/>
                <w:szCs w:val="21"/>
              </w:rPr>
              <w:t>，危废暂存间应</w:t>
            </w:r>
            <w:r>
              <w:rPr>
                <w:rFonts w:hint="default" w:ascii="Times New Roman" w:hAnsi="Times New Roman" w:cs="Times New Roman"/>
                <w:color w:val="auto"/>
                <w:spacing w:val="7"/>
                <w:sz w:val="21"/>
                <w:szCs w:val="21"/>
              </w:rPr>
              <w:t>封闭，</w:t>
            </w:r>
            <w:r>
              <w:rPr>
                <w:rFonts w:hint="default" w:ascii="Times New Roman" w:hAnsi="Times New Roman" w:cs="Times New Roman"/>
                <w:color w:val="auto"/>
                <w:spacing w:val="9"/>
                <w:sz w:val="21"/>
                <w:szCs w:val="21"/>
              </w:rPr>
              <w:t>做好防雨、防风、防渗漏、防扬散措施，应设置渗出液收集设施</w:t>
            </w:r>
            <w:r>
              <w:rPr>
                <w:rFonts w:hint="eastAsia" w:ascii="Times New Roman" w:hAnsi="Times New Roman" w:cs="Times New Roman"/>
                <w:color w:val="auto"/>
                <w:spacing w:val="9"/>
                <w:sz w:val="21"/>
                <w:szCs w:val="21"/>
                <w:lang w:eastAsia="zh-CN"/>
              </w:rPr>
              <w:t>；</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z w:val="21"/>
                <w:szCs w:val="21"/>
              </w:rPr>
            </w:pPr>
            <w:r>
              <w:rPr>
                <w:rFonts w:hint="default" w:ascii="Times New Roman" w:hAnsi="Times New Roman" w:eastAsia="Calibri" w:cs="Times New Roman"/>
                <w:color w:val="auto"/>
                <w:spacing w:val="8"/>
                <w:position w:val="1"/>
                <w:sz w:val="21"/>
                <w:szCs w:val="21"/>
              </w:rPr>
              <w:t>②</w:t>
            </w:r>
            <w:r>
              <w:rPr>
                <w:rFonts w:hint="default" w:ascii="Times New Roman" w:hAnsi="Times New Roman" w:cs="Times New Roman"/>
                <w:color w:val="auto"/>
                <w:spacing w:val="8"/>
                <w:position w:val="1"/>
                <w:sz w:val="21"/>
                <w:szCs w:val="21"/>
              </w:rPr>
              <w:t>危险废物暂存后，</w:t>
            </w:r>
            <w:r>
              <w:rPr>
                <w:rFonts w:hint="eastAsia" w:ascii="Times New Roman" w:hAnsi="Times New Roman" w:cs="Times New Roman"/>
                <w:color w:val="auto"/>
                <w:spacing w:val="8"/>
                <w:position w:val="1"/>
                <w:sz w:val="21"/>
                <w:szCs w:val="21"/>
                <w:lang w:eastAsia="zh-CN"/>
              </w:rPr>
              <w:t>交由</w:t>
            </w:r>
            <w:r>
              <w:rPr>
                <w:rFonts w:hint="default" w:ascii="Times New Roman" w:hAnsi="Times New Roman" w:cs="Times New Roman"/>
                <w:color w:val="auto"/>
                <w:spacing w:val="8"/>
                <w:position w:val="1"/>
                <w:sz w:val="21"/>
                <w:szCs w:val="21"/>
              </w:rPr>
              <w:t>相关单位处置利用</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Calibri" w:cs="Times New Roman"/>
                <w:color w:val="auto"/>
                <w:spacing w:val="8"/>
                <w:position w:val="1"/>
                <w:sz w:val="21"/>
                <w:szCs w:val="21"/>
              </w:rPr>
            </w:pPr>
            <w:r>
              <w:rPr>
                <w:rFonts w:hint="default" w:ascii="Times New Roman" w:hAnsi="Times New Roman" w:cs="Times New Roman"/>
                <w:color w:val="auto"/>
                <w:spacing w:val="8"/>
                <w:position w:val="1"/>
                <w:sz w:val="21"/>
                <w:szCs w:val="21"/>
              </w:rPr>
              <w:t>《危险废物贮存污染控制标准》</w:t>
            </w:r>
            <w:r>
              <w:rPr>
                <w:rFonts w:hint="default" w:ascii="Times New Roman" w:hAnsi="Times New Roman" w:cs="Times New Roman"/>
                <w:color w:val="auto"/>
                <w:spacing w:val="8"/>
                <w:position w:val="1"/>
                <w:sz w:val="21"/>
                <w:szCs w:val="21"/>
                <w:lang w:eastAsia="zh-CN"/>
              </w:rPr>
              <w:t>（</w:t>
            </w:r>
            <w:r>
              <w:rPr>
                <w:rFonts w:hint="default" w:ascii="Times New Roman" w:hAnsi="Times New Roman" w:eastAsia="宋体" w:cs="Times New Roman"/>
                <w:color w:val="auto"/>
                <w:position w:val="1"/>
                <w:sz w:val="21"/>
                <w:szCs w:val="21"/>
                <w:lang w:eastAsia="zh-CN"/>
              </w:rPr>
              <w:t>GB18597-2023）</w:t>
            </w:r>
            <w:r>
              <w:rPr>
                <w:rFonts w:hint="default" w:ascii="Times New Roman" w:hAnsi="Times New Roman" w:cs="Times New Roman"/>
                <w:color w:val="auto"/>
                <w:spacing w:val="8"/>
                <w:position w:val="1"/>
                <w:sz w:val="21"/>
                <w:szCs w:val="21"/>
              </w:rPr>
              <w:t>及其修改单要</w:t>
            </w:r>
            <w:r>
              <w:rPr>
                <w:rFonts w:hint="default" w:ascii="Times New Roman" w:hAnsi="Times New Roman" w:cs="Times New Roman"/>
                <w:color w:val="auto"/>
                <w:spacing w:val="7"/>
                <w:position w:val="1"/>
                <w:sz w:val="21"/>
                <w:szCs w:val="21"/>
              </w:rPr>
              <w:t>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风险防范措施</w:t>
            </w:r>
          </w:p>
        </w:tc>
        <w:tc>
          <w:tcPr>
            <w:tcW w:w="2887" w:type="pct"/>
            <w:gridSpan w:val="4"/>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洒落物料收集容器；</w:t>
            </w:r>
          </w:p>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eastAsia" w:ascii="Times New Roman" w:hAnsi="Times New Roman" w:eastAsia="宋体" w:cs="Times New Roman"/>
                <w:color w:val="auto"/>
                <w:spacing w:val="5"/>
                <w:sz w:val="21"/>
                <w:szCs w:val="21"/>
                <w:lang w:val="en-US" w:eastAsia="zh-CN"/>
              </w:rPr>
              <w:t>应急</w:t>
            </w:r>
            <w:r>
              <w:rPr>
                <w:rFonts w:hint="default" w:ascii="Times New Roman" w:hAnsi="Times New Roman" w:cs="Times New Roman"/>
                <w:color w:val="auto"/>
                <w:spacing w:val="5"/>
                <w:sz w:val="21"/>
                <w:szCs w:val="21"/>
              </w:rPr>
              <w:t>事故池</w:t>
            </w:r>
            <w:r>
              <w:rPr>
                <w:rFonts w:hint="default" w:ascii="Times New Roman" w:hAnsi="Times New Roman" w:cs="Times New Roman"/>
                <w:color w:val="auto"/>
                <w:spacing w:val="2"/>
                <w:sz w:val="21"/>
                <w:szCs w:val="21"/>
              </w:rPr>
              <w:t>*</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5"/>
                <w:sz w:val="21"/>
                <w:szCs w:val="21"/>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continue"/>
            <w:tcBorders>
              <w:tl2br w:val="nil"/>
              <w:tr2bl w:val="nil"/>
            </w:tcBorders>
            <w:textDirection w:val="tbRlV"/>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887" w:type="pct"/>
            <w:gridSpan w:val="4"/>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灭火器、消防土、消防水泵等</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9"/>
                <w:sz w:val="21"/>
                <w:szCs w:val="21"/>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continue"/>
            <w:tcBorders>
              <w:tl2br w:val="nil"/>
              <w:tr2bl w:val="nil"/>
            </w:tcBorders>
            <w:textDirection w:val="tbRlV"/>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887" w:type="pct"/>
            <w:gridSpan w:val="4"/>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药品、设施、过滤式防毒面具等</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9"/>
                <w:sz w:val="21"/>
                <w:szCs w:val="21"/>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continue"/>
            <w:tcBorders>
              <w:tl2br w:val="nil"/>
              <w:tr2bl w:val="nil"/>
            </w:tcBorders>
            <w:textDirection w:val="tbRlV"/>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887" w:type="pct"/>
            <w:gridSpan w:val="4"/>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按规范设计围堰、边沟等，并考虑防腐防渗等特殊处理</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9"/>
                <w:sz w:val="21"/>
                <w:szCs w:val="21"/>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continue"/>
            <w:tcBorders>
              <w:tl2br w:val="nil"/>
              <w:tr2bl w:val="nil"/>
            </w:tcBorders>
            <w:textDirection w:val="tbRlV"/>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887" w:type="pct"/>
            <w:gridSpan w:val="4"/>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多方位分类别培训</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7"/>
                <w:sz w:val="21"/>
                <w:szCs w:val="21"/>
              </w:rPr>
            </w:pPr>
            <w:r>
              <w:rPr>
                <w:rFonts w:hint="eastAsia" w:ascii="Times New Roman" w:hAnsi="Times New Roman" w:cs="Times New Roman"/>
                <w:color w:val="auto"/>
                <w:spacing w:val="8"/>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03" w:type="pct"/>
            <w:vMerge w:val="continue"/>
            <w:tcBorders>
              <w:tl2br w:val="nil"/>
              <w:tr2bl w:val="nil"/>
            </w:tcBorders>
            <w:textDirection w:val="tbRlV"/>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2887" w:type="pct"/>
            <w:gridSpan w:val="4"/>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考虑泄漏收集、拦截物质</w:t>
            </w:r>
          </w:p>
        </w:tc>
        <w:tc>
          <w:tcPr>
            <w:tcW w:w="190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9"/>
                <w:sz w:val="21"/>
                <w:szCs w:val="21"/>
              </w:rPr>
            </w:pPr>
            <w:r>
              <w:rPr>
                <w:rFonts w:hint="eastAsia" w:ascii="Times New Roman" w:hAnsi="Times New Roman" w:cs="Times New Roman"/>
                <w:color w:val="auto"/>
                <w:spacing w:val="8"/>
                <w:sz w:val="21"/>
                <w:szCs w:val="21"/>
                <w:lang w:val="en-US" w:eastAsia="zh-CN"/>
              </w:rPr>
              <w:t>/</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*为依托设施，验收时该依托设施正常运行即可。</w:t>
      </w:r>
    </w:p>
    <w:p>
      <w:pPr>
        <w:pStyle w:val="10"/>
        <w:keepNext w:val="0"/>
        <w:keepLines w:val="0"/>
        <w:pageBreakBefore w:val="0"/>
        <w:widowControl w:val="0"/>
        <w:kinsoku w:val="0"/>
        <w:wordWrap/>
        <w:overflowPunct/>
        <w:topLinePunct w:val="0"/>
        <w:autoSpaceDE w:val="0"/>
        <w:autoSpaceDN w:val="0"/>
        <w:bidi w:val="0"/>
        <w:adjustRightInd w:val="0"/>
        <w:snapToGrid w:val="0"/>
        <w:spacing w:line="360" w:lineRule="auto"/>
        <w:ind w:left="567" w:hanging="567"/>
        <w:textAlignment w:val="baseline"/>
        <w:rPr>
          <w:rFonts w:hint="default" w:ascii="Times New Roman" w:hAnsi="Times New Roman" w:cs="Times New Roman"/>
          <w:color w:val="auto"/>
          <w:sz w:val="32"/>
          <w:szCs w:val="32"/>
        </w:rPr>
      </w:pPr>
      <w:bookmarkStart w:id="143" w:name="bookmark142"/>
      <w:bookmarkEnd w:id="143"/>
      <w:bookmarkStart w:id="144" w:name="_Toc32027"/>
      <w:r>
        <w:rPr>
          <w:rFonts w:hint="default" w:ascii="Times New Roman" w:hAnsi="Times New Roman" w:cs="Times New Roman"/>
          <w:color w:val="auto"/>
          <w:sz w:val="32"/>
          <w:szCs w:val="32"/>
        </w:rPr>
        <w:t>监测计划</w:t>
      </w:r>
      <w:bookmarkEnd w:id="144"/>
    </w:p>
    <w:p>
      <w:pPr>
        <w:pStyle w:val="11"/>
        <w:keepNext w:val="0"/>
        <w:keepLines w:val="0"/>
        <w:pageBreakBefore w:val="0"/>
        <w:widowControl w:val="0"/>
        <w:kinsoku w:val="0"/>
        <w:wordWrap/>
        <w:overflowPunct/>
        <w:topLinePunct w:val="0"/>
        <w:autoSpaceDE w:val="0"/>
        <w:autoSpaceDN w:val="0"/>
        <w:bidi w:val="0"/>
        <w:adjustRightInd w:val="0"/>
        <w:snapToGrid w:val="0"/>
        <w:spacing w:line="360" w:lineRule="auto"/>
        <w:ind w:left="850" w:hanging="850"/>
        <w:textAlignment w:val="baseline"/>
        <w:rPr>
          <w:color w:val="auto"/>
          <w:sz w:val="30"/>
          <w:szCs w:val="30"/>
        </w:rPr>
      </w:pPr>
      <w:r>
        <w:rPr>
          <w:color w:val="auto"/>
          <w:sz w:val="30"/>
          <w:szCs w:val="30"/>
        </w:rPr>
        <w:t>环境监测机构</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安全环境保护专业机构需人员1</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2人，其职责与工作内容主要有：</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（1）认真执行上级有关文件指示，建立、健全各项规章制度。</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（2）按时对项目周边的生态环境整治效果进行监测。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（3）按时委托</w:t>
      </w:r>
      <w:r>
        <w:rPr>
          <w:rFonts w:hint="eastAsia" w:eastAsia="宋体"/>
          <w:color w:val="auto"/>
          <w:lang w:val="en-US" w:eastAsia="zh-CN"/>
        </w:rPr>
        <w:t>有资质的第三方环境监测机构</w:t>
      </w:r>
      <w:r>
        <w:rPr>
          <w:rFonts w:hint="default" w:ascii="Times New Roman" w:hAnsi="Times New Roman" w:cs="Times New Roman"/>
          <w:color w:val="auto"/>
          <w:szCs w:val="28"/>
          <w:u w:val="none" w:color="auto"/>
        </w:rPr>
        <w:t>对全厂污染物排放源及环保设施的净化效果进行定期监测。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（4）负责监测数据的整理分析并向环保部门按时上报工作，以及原始记录的日常管理与按期归档工作。</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（5）参加本厂环境污染事故的调查分析。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（6）完成环保部门交给的</w:t>
      </w:r>
      <w:r>
        <w:rPr>
          <w:rFonts w:hint="eastAsia" w:ascii="Times New Roman" w:hAnsi="Times New Roman" w:eastAsia="宋体" w:cs="Times New Roman"/>
          <w:color w:val="auto"/>
          <w:szCs w:val="28"/>
          <w:u w:val="none" w:color="auto"/>
          <w:lang w:eastAsia="zh-CN"/>
        </w:rPr>
        <w:t>其他</w:t>
      </w:r>
      <w:r>
        <w:rPr>
          <w:rFonts w:hint="default" w:ascii="Times New Roman" w:hAnsi="Times New Roman" w:cs="Times New Roman"/>
          <w:color w:val="auto"/>
          <w:szCs w:val="28"/>
          <w:u w:val="none" w:color="auto"/>
        </w:rPr>
        <w:t>工作。</w:t>
      </w:r>
    </w:p>
    <w:p>
      <w:pPr>
        <w:pStyle w:val="11"/>
        <w:keepNext/>
        <w:keepLines w:val="0"/>
        <w:pageBreakBefore w:val="0"/>
        <w:widowControl/>
        <w:kinsoku w:val="0"/>
        <w:wordWrap/>
        <w:overflowPunct/>
        <w:topLinePunct w:val="0"/>
        <w:autoSpaceDE w:val="0"/>
        <w:autoSpaceDN w:val="0"/>
        <w:bidi w:val="0"/>
        <w:adjustRightInd w:val="0"/>
        <w:snapToGrid w:val="0"/>
        <w:spacing w:line="360" w:lineRule="auto"/>
        <w:ind w:left="850" w:hanging="850"/>
        <w:textAlignment w:val="baseline"/>
        <w:rPr>
          <w:color w:val="auto"/>
          <w:sz w:val="30"/>
          <w:szCs w:val="30"/>
        </w:rPr>
      </w:pPr>
      <w:r>
        <w:rPr>
          <w:color w:val="auto"/>
          <w:sz w:val="30"/>
          <w:szCs w:val="30"/>
        </w:rPr>
        <w:t>监测项目及监测周期</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根据企业的生产和排污情况，同时根据《排污单位自行监测技术指南 总则》（HJ819-2017）、</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排污单位自行监测技术指南</w:t>
      </w:r>
      <w:r>
        <w:rPr>
          <w:rFonts w:hint="eastAsia" w:ascii="Times New Roman" w:hAnsi="Times New Roman" w:cs="Times New Roman"/>
          <w:color w:val="auto"/>
          <w:szCs w:val="28"/>
          <w:u w:val="none" w:color="auto"/>
          <w:lang w:val="en-US" w:eastAsia="zh-CN"/>
        </w:rPr>
        <w:t xml:space="preserve"> </w:t>
      </w:r>
      <w:r>
        <w:rPr>
          <w:rFonts w:hint="default" w:ascii="Times New Roman" w:hAnsi="Times New Roman" w:cs="Times New Roman"/>
          <w:color w:val="auto"/>
          <w:szCs w:val="28"/>
          <w:u w:val="none" w:color="auto"/>
        </w:rPr>
        <w:t>印刷工业</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HJ1246-2022</w:t>
      </w:r>
      <w:r>
        <w:rPr>
          <w:rFonts w:hint="eastAsia" w:ascii="Times New Roman" w:hAnsi="Times New Roman" w:cs="Times New Roman"/>
          <w:color w:val="auto"/>
          <w:szCs w:val="28"/>
          <w:u w:val="none" w:color="auto"/>
          <w:lang w:eastAsia="zh-CN"/>
        </w:rPr>
        <w:t>）、</w:t>
      </w:r>
      <w:r>
        <w:rPr>
          <w:rFonts w:hint="default" w:ascii="Times New Roman" w:hAnsi="Times New Roman" w:cs="Times New Roman"/>
          <w:color w:val="auto"/>
          <w:szCs w:val="28"/>
          <w:u w:val="none" w:color="auto"/>
        </w:rPr>
        <w:t>《排污许可证申请与核发技术规范</w:t>
      </w:r>
      <w:r>
        <w:rPr>
          <w:rFonts w:hint="eastAsia" w:ascii="Times New Roman" w:hAnsi="Times New Roman" w:eastAsia="宋体" w:cs="Times New Roman"/>
          <w:color w:val="auto"/>
          <w:szCs w:val="28"/>
          <w:u w:val="none" w:color="auto"/>
          <w:lang w:val="en-US" w:eastAsia="zh-CN"/>
        </w:rPr>
        <w:t>-</w:t>
      </w:r>
      <w:r>
        <w:rPr>
          <w:rFonts w:hint="default" w:ascii="Times New Roman" w:hAnsi="Times New Roman" w:cs="Times New Roman"/>
          <w:color w:val="auto"/>
          <w:szCs w:val="28"/>
          <w:u w:val="none" w:color="auto"/>
        </w:rPr>
        <w:t>印刷工业》（HJ1066-2019）确定监测工作计划。</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环境监测起到两方面的作用，一是企业通过环境监测，分析生产工艺各排污环节是否正常，同时确定污染治理设施的运行状况，为污染治理工艺参数的调整等提供依据；</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二是通过环境监督性监测，确保企业按国家、地方环境保护法律、法规办事，保证企业达标排放及满足地方总量控制指标等要求。建设单位应委托具有资格的监测机构来进行环境监测。</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根据本工程的性质特点，环境监测主要针对营运期废气、废水和厂界噪声进行监测。</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（1）大气污染物监测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有组织废气：</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eastAsia="zh-CN"/>
        </w:rPr>
      </w:pPr>
      <w:r>
        <w:rPr>
          <w:rFonts w:hint="default" w:ascii="Times New Roman" w:hAnsi="Times New Roman" w:cs="Times New Roman"/>
          <w:color w:val="auto"/>
          <w:szCs w:val="28"/>
          <w:u w:val="none" w:color="auto"/>
        </w:rPr>
        <w:t>监测项目：</w:t>
      </w:r>
      <w:r>
        <w:rPr>
          <w:rFonts w:hint="eastAsia" w:ascii="Times New Roman" w:hAnsi="Times New Roman" w:eastAsia="宋体" w:cs="Times New Roman"/>
          <w:color w:val="auto"/>
          <w:szCs w:val="28"/>
          <w:u w:val="none" w:color="auto"/>
          <w:lang w:val="en-US" w:eastAsia="zh-CN"/>
        </w:rPr>
        <w:t>NMHC</w:t>
      </w:r>
      <w:r>
        <w:rPr>
          <w:rFonts w:hint="default" w:ascii="Times New Roman" w:hAnsi="Times New Roman" w:cs="Times New Roman"/>
          <w:color w:val="auto"/>
          <w:szCs w:val="28"/>
          <w:u w:val="none" w:color="auto"/>
        </w:rPr>
        <w:t>、SO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油烟</w:t>
      </w:r>
      <w:r>
        <w:rPr>
          <w:rFonts w:hint="eastAsia" w:ascii="Times New Roman" w:hAnsi="Times New Roman" w:eastAsia="宋体" w:cs="Times New Roman"/>
          <w:color w:val="auto"/>
          <w:szCs w:val="28"/>
          <w:u w:val="none" w:color="auto"/>
          <w:lang w:eastAsia="zh-CN"/>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监测频率：</w:t>
      </w:r>
      <w:r>
        <w:rPr>
          <w:rFonts w:hint="eastAsia" w:ascii="Times New Roman" w:hAnsi="Times New Roman" w:eastAsia="宋体" w:cs="Times New Roman"/>
          <w:color w:val="auto"/>
          <w:szCs w:val="28"/>
          <w:u w:val="none" w:color="auto"/>
          <w:lang w:val="en-US" w:eastAsia="zh-CN"/>
        </w:rPr>
        <w:t>N</w:t>
      </w:r>
      <w:r>
        <w:rPr>
          <w:rFonts w:hint="eastAsia" w:ascii="Times New Roman" w:hAnsi="Times New Roman" w:cs="Times New Roman"/>
          <w:color w:val="auto"/>
          <w:szCs w:val="28"/>
          <w:u w:val="none" w:color="auto"/>
          <w:lang w:val="en-US" w:eastAsia="zh-CN"/>
        </w:rPr>
        <w:t>MHC</w:t>
      </w:r>
      <w:r>
        <w:rPr>
          <w:rFonts w:hint="default" w:ascii="Times New Roman" w:hAnsi="Times New Roman" w:cs="Times New Roman"/>
          <w:color w:val="auto"/>
          <w:szCs w:val="28"/>
          <w:u w:val="none" w:color="auto"/>
        </w:rPr>
        <w:t>、SO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、NOx验收监测一次、每</w:t>
      </w:r>
      <w:r>
        <w:rPr>
          <w:rFonts w:hint="eastAsia" w:ascii="Times New Roman" w:hAnsi="Times New Roman" w:eastAsia="宋体" w:cs="Times New Roman"/>
          <w:color w:val="auto"/>
          <w:szCs w:val="28"/>
          <w:u w:val="none" w:color="auto"/>
          <w:lang w:val="en-US" w:eastAsia="zh-CN"/>
        </w:rPr>
        <w:t>半</w:t>
      </w:r>
      <w:r>
        <w:rPr>
          <w:rFonts w:hint="default" w:ascii="Times New Roman" w:hAnsi="Times New Roman" w:cs="Times New Roman"/>
          <w:color w:val="auto"/>
          <w:szCs w:val="28"/>
          <w:u w:val="none" w:color="auto"/>
        </w:rPr>
        <w:t>年进行一次</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油烟</w:t>
      </w:r>
      <w:r>
        <w:rPr>
          <w:rFonts w:hint="default" w:ascii="Times New Roman" w:hAnsi="Times New Roman" w:cs="Times New Roman"/>
          <w:color w:val="auto"/>
          <w:szCs w:val="28"/>
          <w:u w:val="none" w:color="auto"/>
        </w:rPr>
        <w:t>验收监测一次。</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监测布点：排气筒进气口处、出气口处。</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无组织废气：</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监测项目：</w:t>
      </w:r>
      <w:r>
        <w:rPr>
          <w:rFonts w:hint="eastAsia" w:ascii="Times New Roman" w:hAnsi="Times New Roman" w:eastAsia="宋体" w:cs="Times New Roman"/>
          <w:color w:val="auto"/>
          <w:szCs w:val="28"/>
          <w:u w:val="none" w:color="auto"/>
          <w:lang w:val="en-US" w:eastAsia="zh-CN"/>
        </w:rPr>
        <w:t>NMHC</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监测频率：验收监测一次、每年进行一次。</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监测布点：上、下风方向厂界及</w:t>
      </w:r>
      <w:r>
        <w:rPr>
          <w:rFonts w:hint="eastAsia" w:ascii="Times New Roman" w:hAnsi="Times New Roman" w:eastAsia="宋体" w:cs="Times New Roman"/>
          <w:color w:val="auto"/>
          <w:szCs w:val="28"/>
          <w:u w:val="none" w:color="auto"/>
          <w:lang w:val="en-US" w:eastAsia="zh-CN"/>
        </w:rPr>
        <w:t>厂房外</w:t>
      </w:r>
      <w:r>
        <w:rPr>
          <w:rFonts w:hint="default" w:ascii="Times New Roman" w:hAnsi="Times New Roman" w:cs="Times New Roman"/>
          <w:color w:val="auto"/>
          <w:szCs w:val="28"/>
          <w:u w:val="none" w:color="auto"/>
        </w:rPr>
        <w:t>设无组织</w:t>
      </w:r>
      <w:r>
        <w:rPr>
          <w:rFonts w:hint="eastAsia" w:ascii="Times New Roman" w:hAnsi="Times New Roman" w:eastAsia="宋体" w:cs="Times New Roman"/>
          <w:color w:val="auto"/>
          <w:szCs w:val="28"/>
          <w:u w:val="none" w:color="auto"/>
          <w:lang w:val="en-US" w:eastAsia="zh-CN"/>
        </w:rPr>
        <w:t>监控</w:t>
      </w:r>
      <w:r>
        <w:rPr>
          <w:rFonts w:hint="default" w:ascii="Times New Roman" w:hAnsi="Times New Roman" w:cs="Times New Roman"/>
          <w:color w:val="auto"/>
          <w:szCs w:val="28"/>
          <w:u w:val="none" w:color="auto"/>
        </w:rPr>
        <w:t>点</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（2）废水污染物监测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监测位置：</w:t>
      </w:r>
      <w:r>
        <w:rPr>
          <w:rFonts w:hint="eastAsia" w:ascii="Times New Roman" w:hAnsi="Times New Roman" w:eastAsia="宋体" w:cs="Times New Roman"/>
          <w:color w:val="auto"/>
          <w:szCs w:val="28"/>
          <w:u w:val="none" w:color="auto"/>
          <w:lang w:val="en-US" w:eastAsia="zh-CN"/>
        </w:rPr>
        <w:t>废水总</w:t>
      </w:r>
      <w:r>
        <w:rPr>
          <w:rFonts w:hint="default" w:ascii="Times New Roman" w:hAnsi="Times New Roman" w:cs="Times New Roman"/>
          <w:color w:val="auto"/>
          <w:szCs w:val="28"/>
          <w:u w:val="none" w:color="auto"/>
        </w:rPr>
        <w:t>排放口；</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监测因子：pH、COD</w:t>
      </w:r>
      <w:r>
        <w:rPr>
          <w:rFonts w:hint="default" w:ascii="Times New Roman" w:hAnsi="Times New Roman" w:cs="Times New Roman"/>
          <w:color w:val="auto"/>
          <w:szCs w:val="28"/>
          <w:u w:val="none" w:color="auto"/>
          <w:vertAlign w:val="subscript"/>
        </w:rPr>
        <w:t>Cr</w:t>
      </w:r>
      <w:r>
        <w:rPr>
          <w:rFonts w:hint="default" w:ascii="Times New Roman" w:hAnsi="Times New Roman" w:cs="Times New Roman"/>
          <w:color w:val="auto"/>
          <w:szCs w:val="28"/>
          <w:u w:val="none" w:color="auto"/>
        </w:rPr>
        <w:t>、BOD</w:t>
      </w:r>
      <w:r>
        <w:rPr>
          <w:rFonts w:hint="default" w:ascii="Times New Roman" w:hAnsi="Times New Roman" w:cs="Times New Roman"/>
          <w:color w:val="auto"/>
          <w:szCs w:val="28"/>
          <w:u w:val="none" w:color="auto"/>
          <w:vertAlign w:val="subscript"/>
        </w:rPr>
        <w:t>5</w:t>
      </w:r>
      <w:r>
        <w:rPr>
          <w:rFonts w:hint="default" w:ascii="Times New Roman" w:hAnsi="Times New Roman" w:cs="Times New Roman"/>
          <w:color w:val="auto"/>
          <w:szCs w:val="28"/>
          <w:u w:val="none" w:color="auto"/>
        </w:rPr>
        <w:t>、NH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-N、SS、TP</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动植物油</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监测频次：验收监测一次、每</w:t>
      </w:r>
      <w:r>
        <w:rPr>
          <w:rFonts w:hint="eastAsia" w:ascii="Times New Roman" w:hAnsi="Times New Roman" w:eastAsia="宋体" w:cs="Times New Roman"/>
          <w:color w:val="auto"/>
          <w:szCs w:val="28"/>
          <w:u w:val="none" w:color="auto"/>
          <w:lang w:val="en-US" w:eastAsia="zh-CN"/>
        </w:rPr>
        <w:t>年</w:t>
      </w:r>
      <w:r>
        <w:rPr>
          <w:rFonts w:hint="default" w:ascii="Times New Roman" w:hAnsi="Times New Roman" w:cs="Times New Roman"/>
          <w:color w:val="auto"/>
          <w:szCs w:val="28"/>
          <w:u w:val="none" w:color="auto"/>
        </w:rPr>
        <w:t>进行一次。</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（3）噪声监测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监测项目：等效连续A声级。</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监测布点：在厂界东面、南面、西面、北面围墙外1m处各设1个点。监测频率：验收监测一次、每</w:t>
      </w:r>
      <w:r>
        <w:rPr>
          <w:rFonts w:hint="eastAsia" w:ascii="Times New Roman" w:hAnsi="Times New Roman" w:eastAsia="宋体" w:cs="Times New Roman"/>
          <w:color w:val="auto"/>
          <w:szCs w:val="28"/>
          <w:u w:val="none" w:color="auto"/>
          <w:lang w:val="en-US" w:eastAsia="zh-CN"/>
        </w:rPr>
        <w:t>季度</w:t>
      </w:r>
      <w:r>
        <w:rPr>
          <w:rFonts w:hint="default" w:ascii="Times New Roman" w:hAnsi="Times New Roman" w:cs="Times New Roman"/>
          <w:color w:val="auto"/>
          <w:szCs w:val="28"/>
          <w:u w:val="none" w:color="auto"/>
        </w:rPr>
        <w:t>进行一次。</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监测内容具体见表1</w:t>
      </w: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.5-2。</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本项目竣工验收监测一览表</w:t>
      </w:r>
    </w:p>
    <w:tbl>
      <w:tblPr>
        <w:tblStyle w:val="29"/>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01"/>
        <w:gridCol w:w="2814"/>
        <w:gridCol w:w="2736"/>
        <w:gridCol w:w="197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b/>
                <w:bCs/>
                <w:color w:val="auto"/>
                <w:spacing w:val="3"/>
                <w:sz w:val="21"/>
                <w:szCs w:val="21"/>
                <w:u w:val="none" w:color="auto"/>
              </w:rPr>
              <w:t>类别</w:t>
            </w:r>
          </w:p>
        </w:tc>
        <w:tc>
          <w:tcPr>
            <w:tcW w:w="168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b/>
                <w:bCs/>
                <w:color w:val="auto"/>
                <w:spacing w:val="7"/>
                <w:sz w:val="21"/>
                <w:szCs w:val="21"/>
                <w:u w:val="none" w:color="auto"/>
              </w:rPr>
              <w:t>竣工验收监测点位置</w:t>
            </w:r>
          </w:p>
        </w:tc>
        <w:tc>
          <w:tcPr>
            <w:tcW w:w="16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b/>
                <w:bCs/>
                <w:color w:val="auto"/>
                <w:spacing w:val="6"/>
                <w:sz w:val="21"/>
                <w:szCs w:val="21"/>
                <w:u w:val="none" w:color="auto"/>
              </w:rPr>
              <w:t>监测项目</w:t>
            </w:r>
          </w:p>
        </w:tc>
        <w:tc>
          <w:tcPr>
            <w:tcW w:w="1185"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6"/>
                <w:sz w:val="21"/>
                <w:szCs w:val="21"/>
                <w:u w:val="none" w:color="auto"/>
                <w:lang w:val="en-US" w:eastAsia="zh-CN"/>
              </w:rPr>
            </w:pPr>
            <w:r>
              <w:rPr>
                <w:rFonts w:hint="eastAsia" w:ascii="Times New Roman" w:hAnsi="Times New Roman" w:cs="Times New Roman"/>
                <w:b/>
                <w:bCs/>
                <w:color w:val="auto"/>
                <w:spacing w:val="6"/>
                <w:sz w:val="21"/>
                <w:szCs w:val="21"/>
                <w:u w:val="none" w:color="auto"/>
                <w:lang w:val="en-US" w:eastAsia="zh-CN"/>
              </w:rPr>
              <w:t>监测频次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Merge w:val="restar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废气</w:t>
            </w:r>
          </w:p>
        </w:tc>
        <w:tc>
          <w:tcPr>
            <w:tcW w:w="168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8"/>
                <w:sz w:val="21"/>
                <w:szCs w:val="21"/>
                <w:u w:val="none" w:color="auto"/>
                <w:lang w:val="en-US" w:eastAsia="zh-CN"/>
              </w:rPr>
              <w:t>有机</w:t>
            </w:r>
            <w:r>
              <w:rPr>
                <w:rFonts w:hint="eastAsia" w:ascii="Times New Roman" w:hAnsi="Times New Roman" w:eastAsia="宋体" w:cs="Times New Roman"/>
                <w:color w:val="auto"/>
                <w:spacing w:val="8"/>
                <w:sz w:val="21"/>
                <w:szCs w:val="21"/>
                <w:u w:val="none" w:color="auto"/>
                <w:lang w:val="en-US" w:eastAsia="zh-CN"/>
              </w:rPr>
              <w:t>废气</w:t>
            </w:r>
            <w:r>
              <w:rPr>
                <w:rFonts w:hint="default" w:ascii="Times New Roman" w:hAnsi="Times New Roman" w:eastAsia="宋体" w:cs="Times New Roman"/>
                <w:color w:val="auto"/>
                <w:spacing w:val="8"/>
                <w:sz w:val="21"/>
                <w:szCs w:val="21"/>
                <w:u w:val="none" w:color="auto"/>
              </w:rPr>
              <w:t>排气筒进气口、出气口处有组织监</w:t>
            </w:r>
            <w:r>
              <w:rPr>
                <w:rFonts w:hint="default" w:ascii="Times New Roman" w:hAnsi="Times New Roman" w:cs="Times New Roman"/>
                <w:color w:val="auto"/>
                <w:spacing w:val="8"/>
                <w:sz w:val="21"/>
                <w:szCs w:val="21"/>
                <w:u w:val="none" w:color="auto"/>
              </w:rPr>
              <w:t>测</w:t>
            </w:r>
          </w:p>
        </w:tc>
        <w:tc>
          <w:tcPr>
            <w:tcW w:w="16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eastAsia" w:ascii="Times New Roman" w:hAnsi="Times New Roman" w:eastAsia="宋体" w:cs="Times New Roman"/>
                <w:color w:val="auto"/>
                <w:szCs w:val="28"/>
                <w:u w:val="none" w:color="auto"/>
                <w:lang w:val="en-US" w:eastAsia="zh-CN"/>
              </w:rPr>
              <w:t>N</w:t>
            </w:r>
            <w:r>
              <w:rPr>
                <w:rFonts w:hint="eastAsia" w:ascii="Times New Roman" w:hAnsi="Times New Roman" w:cs="Times New Roman"/>
                <w:color w:val="auto"/>
                <w:szCs w:val="28"/>
                <w:u w:val="none" w:color="auto"/>
                <w:lang w:val="en-US" w:eastAsia="zh-CN"/>
              </w:rPr>
              <w:t>MHC</w:t>
            </w:r>
            <w:r>
              <w:rPr>
                <w:rFonts w:hint="default" w:ascii="Times New Roman" w:hAnsi="Times New Roman" w:cs="Times New Roman"/>
                <w:color w:val="auto"/>
                <w:spacing w:val="9"/>
                <w:sz w:val="21"/>
                <w:szCs w:val="21"/>
                <w:u w:val="none" w:color="auto"/>
              </w:rPr>
              <w:t>、</w:t>
            </w:r>
            <w:r>
              <w:rPr>
                <w:rFonts w:hint="default" w:ascii="Times New Roman" w:hAnsi="Times New Roman" w:eastAsia="Calibri" w:cs="Times New Roman"/>
                <w:color w:val="auto"/>
                <w:sz w:val="21"/>
                <w:szCs w:val="21"/>
                <w:u w:val="none" w:color="auto"/>
              </w:rPr>
              <w:t>SO</w:t>
            </w:r>
            <w:r>
              <w:rPr>
                <w:rFonts w:hint="default" w:ascii="Times New Roman" w:hAnsi="Times New Roman" w:eastAsia="Calibri" w:cs="Times New Roman"/>
                <w:color w:val="auto"/>
                <w:spacing w:val="9"/>
                <w:position w:val="-1"/>
                <w:sz w:val="21"/>
                <w:szCs w:val="21"/>
                <w:u w:val="none" w:color="auto"/>
                <w:vertAlign w:val="subscript"/>
              </w:rPr>
              <w:t>2</w:t>
            </w:r>
            <w:r>
              <w:rPr>
                <w:rFonts w:hint="default" w:ascii="Times New Roman" w:hAnsi="Times New Roman" w:cs="Times New Roman"/>
                <w:color w:val="auto"/>
                <w:spacing w:val="9"/>
                <w:sz w:val="21"/>
                <w:szCs w:val="21"/>
                <w:u w:val="none" w:color="auto"/>
              </w:rPr>
              <w:t>、</w:t>
            </w:r>
            <w:r>
              <w:rPr>
                <w:rFonts w:hint="default" w:ascii="Times New Roman" w:hAnsi="Times New Roman" w:eastAsia="Calibri" w:cs="Times New Roman"/>
                <w:color w:val="auto"/>
                <w:sz w:val="21"/>
                <w:szCs w:val="21"/>
                <w:u w:val="none" w:color="auto"/>
              </w:rPr>
              <w:t>NOx</w:t>
            </w:r>
          </w:p>
        </w:tc>
        <w:tc>
          <w:tcPr>
            <w:tcW w:w="1185" w:type="pct"/>
            <w:vMerge w:val="restar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4"/>
                <w:sz w:val="21"/>
                <w:szCs w:val="21"/>
                <w:u w:val="none" w:color="auto"/>
              </w:rPr>
            </w:pPr>
            <w:r>
              <w:rPr>
                <w:rFonts w:hint="eastAsia" w:ascii="Times New Roman" w:hAnsi="Times New Roman" w:eastAsia="Calibri" w:cs="Times New Roman"/>
                <w:color w:val="auto"/>
                <w:spacing w:val="4"/>
                <w:sz w:val="21"/>
                <w:szCs w:val="21"/>
                <w:u w:val="none" w:color="auto"/>
                <w:lang w:val="en-US" w:eastAsia="zh-CN"/>
              </w:rPr>
              <w:t>2天，每天3个样品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168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8"/>
                <w:sz w:val="21"/>
                <w:szCs w:val="21"/>
                <w:u w:val="none" w:color="auto"/>
                <w:lang w:val="en-US" w:eastAsia="zh-CN"/>
              </w:rPr>
            </w:pPr>
            <w:r>
              <w:rPr>
                <w:rFonts w:hint="eastAsia" w:ascii="Times New Roman" w:hAnsi="Times New Roman" w:cs="Times New Roman"/>
                <w:color w:val="auto"/>
                <w:spacing w:val="8"/>
                <w:sz w:val="21"/>
                <w:szCs w:val="21"/>
                <w:u w:val="none" w:color="auto"/>
                <w:lang w:val="en-US" w:eastAsia="zh-CN"/>
              </w:rPr>
              <w:t>厂房外无组织排放点</w:t>
            </w:r>
          </w:p>
        </w:tc>
        <w:tc>
          <w:tcPr>
            <w:tcW w:w="164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4"/>
                <w:sz w:val="21"/>
                <w:szCs w:val="21"/>
                <w:u w:val="none" w:color="auto"/>
              </w:rPr>
            </w:pPr>
            <w:r>
              <w:rPr>
                <w:rFonts w:hint="eastAsia" w:ascii="Times New Roman" w:hAnsi="Times New Roman" w:eastAsia="宋体" w:cs="Times New Roman"/>
                <w:color w:val="auto"/>
                <w:szCs w:val="28"/>
                <w:u w:val="none" w:color="auto"/>
                <w:lang w:val="en-US" w:eastAsia="zh-CN"/>
              </w:rPr>
              <w:t>N</w:t>
            </w:r>
            <w:r>
              <w:rPr>
                <w:rFonts w:hint="eastAsia" w:ascii="Times New Roman" w:hAnsi="Times New Roman" w:cs="Times New Roman"/>
                <w:color w:val="auto"/>
                <w:szCs w:val="28"/>
                <w:u w:val="none" w:color="auto"/>
                <w:lang w:val="en-US" w:eastAsia="zh-CN"/>
              </w:rPr>
              <w:t>MHC</w:t>
            </w:r>
          </w:p>
        </w:tc>
        <w:tc>
          <w:tcPr>
            <w:tcW w:w="1185"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4"/>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168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u w:val="none" w:color="auto"/>
                <w:lang w:val="en-US" w:eastAsia="zh-CN" w:bidi="ar-SA"/>
              </w:rPr>
            </w:pPr>
            <w:r>
              <w:rPr>
                <w:rFonts w:hint="eastAsia" w:ascii="Times New Roman" w:hAnsi="Times New Roman" w:cs="Times New Roman"/>
                <w:color w:val="auto"/>
                <w:spacing w:val="8"/>
                <w:sz w:val="21"/>
                <w:szCs w:val="21"/>
                <w:u w:val="none" w:color="auto"/>
                <w:lang w:val="en-US" w:eastAsia="zh-CN"/>
              </w:rPr>
              <w:t>厂</w:t>
            </w:r>
            <w:r>
              <w:rPr>
                <w:rFonts w:hint="default" w:ascii="Times New Roman" w:hAnsi="Times New Roman" w:cs="Times New Roman"/>
                <w:color w:val="auto"/>
                <w:spacing w:val="8"/>
                <w:sz w:val="21"/>
                <w:szCs w:val="21"/>
                <w:u w:val="none" w:color="auto"/>
              </w:rPr>
              <w:t>界无组织排放点</w:t>
            </w:r>
          </w:p>
        </w:tc>
        <w:tc>
          <w:tcPr>
            <w:tcW w:w="164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Calibri" w:cs="Times New Roman"/>
                <w:snapToGrid w:val="0"/>
                <w:color w:val="auto"/>
                <w:kern w:val="0"/>
                <w:sz w:val="21"/>
                <w:szCs w:val="21"/>
                <w:u w:val="none" w:color="auto"/>
                <w:lang w:val="en-US" w:eastAsia="en-US" w:bidi="ar-SA"/>
              </w:rPr>
            </w:pPr>
            <w:r>
              <w:rPr>
                <w:rFonts w:hint="eastAsia" w:ascii="Times New Roman" w:hAnsi="Times New Roman" w:eastAsia="宋体" w:cs="Times New Roman"/>
                <w:color w:val="auto"/>
                <w:szCs w:val="28"/>
                <w:u w:val="none" w:color="auto"/>
                <w:lang w:val="en-US" w:eastAsia="zh-CN"/>
              </w:rPr>
              <w:t>N</w:t>
            </w:r>
            <w:r>
              <w:rPr>
                <w:rFonts w:hint="eastAsia" w:ascii="Times New Roman" w:hAnsi="Times New Roman" w:cs="Times New Roman"/>
                <w:color w:val="auto"/>
                <w:szCs w:val="28"/>
                <w:u w:val="none" w:color="auto"/>
                <w:lang w:val="en-US" w:eastAsia="zh-CN"/>
              </w:rPr>
              <w:t>MHC</w:t>
            </w:r>
          </w:p>
        </w:tc>
        <w:tc>
          <w:tcPr>
            <w:tcW w:w="1185"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4"/>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168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食堂油烟废气排放口</w:t>
            </w:r>
          </w:p>
        </w:tc>
        <w:tc>
          <w:tcPr>
            <w:tcW w:w="164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油烟</w:t>
            </w:r>
          </w:p>
        </w:tc>
        <w:tc>
          <w:tcPr>
            <w:tcW w:w="1185" w:type="pct"/>
            <w:vMerge w:val="continue"/>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Calibri" w:cs="Times New Roman"/>
                <w:color w:val="auto"/>
                <w:spacing w:val="4"/>
                <w:sz w:val="21"/>
                <w:szCs w:val="21"/>
                <w:u w:val="none" w:color="auto"/>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废水</w:t>
            </w:r>
          </w:p>
        </w:tc>
        <w:tc>
          <w:tcPr>
            <w:tcW w:w="168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项目厂区化粪池排口</w:t>
            </w:r>
          </w:p>
        </w:tc>
        <w:tc>
          <w:tcPr>
            <w:tcW w:w="1642"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Calibri" w:cs="Times New Roman"/>
                <w:color w:val="auto"/>
                <w:position w:val="1"/>
                <w:sz w:val="21"/>
                <w:szCs w:val="21"/>
                <w:u w:val="none" w:color="auto"/>
              </w:rPr>
              <w:t>pH</w:t>
            </w:r>
            <w:r>
              <w:rPr>
                <w:rFonts w:hint="default" w:ascii="Times New Roman" w:hAnsi="Times New Roman" w:cs="Times New Roman"/>
                <w:color w:val="auto"/>
                <w:spacing w:val="2"/>
                <w:position w:val="1"/>
                <w:sz w:val="21"/>
                <w:szCs w:val="21"/>
                <w:u w:val="none" w:color="auto"/>
              </w:rPr>
              <w:t>、</w:t>
            </w:r>
            <w:r>
              <w:rPr>
                <w:rFonts w:hint="default" w:ascii="Times New Roman" w:hAnsi="Times New Roman" w:eastAsia="Calibri" w:cs="Times New Roman"/>
                <w:color w:val="auto"/>
                <w:position w:val="1"/>
                <w:sz w:val="21"/>
                <w:szCs w:val="21"/>
                <w:u w:val="none" w:color="auto"/>
              </w:rPr>
              <w:t>COD</w:t>
            </w:r>
            <w:r>
              <w:rPr>
                <w:rFonts w:hint="default" w:ascii="Times New Roman" w:hAnsi="Times New Roman" w:eastAsia="Calibri" w:cs="Times New Roman"/>
                <w:color w:val="auto"/>
                <w:sz w:val="21"/>
                <w:szCs w:val="21"/>
                <w:u w:val="none" w:color="auto"/>
                <w:vertAlign w:val="subscript"/>
              </w:rPr>
              <w:t>Cr</w:t>
            </w:r>
            <w:r>
              <w:rPr>
                <w:rFonts w:hint="default" w:ascii="Times New Roman" w:hAnsi="Times New Roman" w:cs="Times New Roman"/>
                <w:color w:val="auto"/>
                <w:spacing w:val="2"/>
                <w:position w:val="1"/>
                <w:sz w:val="21"/>
                <w:szCs w:val="21"/>
                <w:u w:val="none" w:color="auto"/>
              </w:rPr>
              <w:t>、</w:t>
            </w:r>
            <w:r>
              <w:rPr>
                <w:rFonts w:hint="default" w:ascii="Times New Roman" w:hAnsi="Times New Roman" w:eastAsia="Calibri" w:cs="Times New Roman"/>
                <w:color w:val="auto"/>
                <w:position w:val="1"/>
                <w:sz w:val="21"/>
                <w:szCs w:val="21"/>
                <w:u w:val="none" w:color="auto"/>
              </w:rPr>
              <w:t>BOD</w:t>
            </w:r>
            <w:r>
              <w:rPr>
                <w:rFonts w:hint="default" w:ascii="Times New Roman" w:hAnsi="Times New Roman" w:eastAsia="Calibri" w:cs="Times New Roman"/>
                <w:color w:val="auto"/>
                <w:spacing w:val="2"/>
                <w:sz w:val="21"/>
                <w:szCs w:val="21"/>
                <w:u w:val="none" w:color="auto"/>
                <w:vertAlign w:val="subscript"/>
              </w:rPr>
              <w:t>5</w:t>
            </w:r>
            <w:r>
              <w:rPr>
                <w:rFonts w:hint="default" w:ascii="Times New Roman" w:hAnsi="Times New Roman" w:cs="Times New Roman"/>
                <w:color w:val="auto"/>
                <w:spacing w:val="2"/>
                <w:position w:val="1"/>
                <w:sz w:val="21"/>
                <w:szCs w:val="21"/>
                <w:u w:val="none" w:color="auto"/>
              </w:rPr>
              <w:t>、</w:t>
            </w:r>
            <w:r>
              <w:rPr>
                <w:rFonts w:hint="default" w:ascii="Times New Roman" w:hAnsi="Times New Roman" w:eastAsia="Calibri" w:cs="Times New Roman"/>
                <w:color w:val="auto"/>
                <w:position w:val="1"/>
                <w:sz w:val="21"/>
                <w:szCs w:val="21"/>
                <w:u w:val="none" w:color="auto"/>
              </w:rPr>
              <w:t>NH</w:t>
            </w:r>
            <w:r>
              <w:rPr>
                <w:rFonts w:hint="default" w:ascii="Times New Roman" w:hAnsi="Times New Roman" w:eastAsia="Calibri" w:cs="Times New Roman"/>
                <w:color w:val="auto"/>
                <w:spacing w:val="2"/>
                <w:sz w:val="21"/>
                <w:szCs w:val="21"/>
                <w:u w:val="none" w:color="auto"/>
                <w:vertAlign w:val="subscript"/>
              </w:rPr>
              <w:t>3</w:t>
            </w:r>
            <w:r>
              <w:rPr>
                <w:rFonts w:hint="default" w:ascii="Times New Roman" w:hAnsi="Times New Roman" w:eastAsia="Calibri" w:cs="Times New Roman"/>
                <w:color w:val="auto"/>
                <w:spacing w:val="2"/>
                <w:position w:val="1"/>
                <w:sz w:val="21"/>
                <w:szCs w:val="21"/>
                <w:u w:val="none" w:color="auto"/>
              </w:rPr>
              <w:t>-N</w:t>
            </w:r>
            <w:r>
              <w:rPr>
                <w:rFonts w:hint="default" w:ascii="Times New Roman" w:hAnsi="Times New Roman" w:cs="Times New Roman"/>
                <w:color w:val="auto"/>
                <w:spacing w:val="2"/>
                <w:position w:val="1"/>
                <w:sz w:val="21"/>
                <w:szCs w:val="21"/>
                <w:u w:val="none" w:color="auto"/>
              </w:rPr>
              <w:t>、</w:t>
            </w:r>
            <w:r>
              <w:rPr>
                <w:rFonts w:hint="default" w:ascii="Times New Roman" w:hAnsi="Times New Roman" w:eastAsia="Calibri" w:cs="Times New Roman"/>
                <w:color w:val="auto"/>
                <w:position w:val="1"/>
                <w:sz w:val="21"/>
                <w:szCs w:val="21"/>
                <w:u w:val="none" w:color="auto"/>
              </w:rPr>
              <w:t>SS</w:t>
            </w:r>
            <w:r>
              <w:rPr>
                <w:rFonts w:hint="default" w:ascii="Times New Roman" w:hAnsi="Times New Roman" w:cs="Times New Roman"/>
                <w:color w:val="auto"/>
                <w:spacing w:val="2"/>
                <w:position w:val="1"/>
                <w:sz w:val="21"/>
                <w:szCs w:val="21"/>
                <w:u w:val="none" w:color="auto"/>
              </w:rPr>
              <w:t>、</w:t>
            </w:r>
            <w:r>
              <w:rPr>
                <w:rFonts w:hint="default" w:ascii="Times New Roman" w:hAnsi="Times New Roman" w:eastAsia="Calibri" w:cs="Times New Roman"/>
                <w:color w:val="auto"/>
                <w:position w:val="1"/>
                <w:sz w:val="21"/>
                <w:szCs w:val="21"/>
                <w:u w:val="none" w:color="auto"/>
              </w:rPr>
              <w:t>TP</w:t>
            </w:r>
            <w:r>
              <w:rPr>
                <w:rFonts w:hint="eastAsia" w:ascii="Times New Roman" w:hAnsi="Times New Roman" w:eastAsia="宋体" w:cs="Times New Roman"/>
                <w:color w:val="auto"/>
                <w:position w:val="1"/>
                <w:sz w:val="21"/>
                <w:szCs w:val="21"/>
                <w:u w:val="none" w:color="auto"/>
                <w:lang w:eastAsia="zh-CN"/>
              </w:rPr>
              <w:t>、</w:t>
            </w:r>
            <w:r>
              <w:rPr>
                <w:rFonts w:hint="eastAsia" w:ascii="Times New Roman" w:hAnsi="Times New Roman" w:eastAsia="宋体" w:cs="Times New Roman"/>
                <w:color w:val="auto"/>
                <w:position w:val="1"/>
                <w:sz w:val="21"/>
                <w:szCs w:val="21"/>
                <w:u w:val="none" w:color="auto"/>
                <w:lang w:val="en-US" w:eastAsia="zh-CN"/>
              </w:rPr>
              <w:t>动植物油</w:t>
            </w:r>
          </w:p>
        </w:tc>
        <w:tc>
          <w:tcPr>
            <w:tcW w:w="1185"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4"/>
                <w:sz w:val="21"/>
                <w:szCs w:val="21"/>
                <w:u w:val="none" w:color="auto"/>
              </w:rPr>
            </w:pPr>
            <w:r>
              <w:rPr>
                <w:rFonts w:hint="eastAsia" w:ascii="Times New Roman" w:hAnsi="Times New Roman" w:eastAsia="Calibri" w:cs="Times New Roman"/>
                <w:color w:val="auto"/>
                <w:spacing w:val="4"/>
                <w:sz w:val="21"/>
                <w:szCs w:val="21"/>
                <w:u w:val="none" w:color="auto"/>
                <w:lang w:val="en-US" w:eastAsia="zh-CN"/>
              </w:rPr>
              <w:t>2天，每天4次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1"/>
                <w:sz w:val="21"/>
                <w:szCs w:val="21"/>
                <w:u w:val="none" w:color="auto"/>
              </w:rPr>
              <w:t>噪声</w:t>
            </w:r>
          </w:p>
        </w:tc>
        <w:tc>
          <w:tcPr>
            <w:tcW w:w="1689" w:type="pct"/>
            <w:tcBorders>
              <w:tl2br w:val="nil"/>
              <w:tr2bl w:val="nil"/>
            </w:tcBorders>
            <w:vAlign w:val="center"/>
          </w:tcPr>
          <w:p>
            <w:pPr>
              <w:pStyle w:val="30"/>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项目厂界东、南、西、北</w:t>
            </w:r>
          </w:p>
        </w:tc>
        <w:tc>
          <w:tcPr>
            <w:tcW w:w="1642"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LAeq</w:t>
            </w:r>
          </w:p>
        </w:tc>
        <w:tc>
          <w:tcPr>
            <w:tcW w:w="1185" w:type="pct"/>
            <w:tcBorders>
              <w:tl2br w:val="nil"/>
              <w:tr2bl w:val="nil"/>
            </w:tcBorders>
            <w:vAlign w:val="center"/>
          </w:tcPr>
          <w:p>
            <w:pPr>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pacing w:val="4"/>
                <w:sz w:val="21"/>
                <w:szCs w:val="21"/>
                <w:u w:val="none" w:color="auto"/>
              </w:rPr>
            </w:pPr>
            <w:r>
              <w:rPr>
                <w:rFonts w:hint="eastAsia" w:ascii="Times New Roman" w:hAnsi="Times New Roman" w:eastAsia="Calibri" w:cs="Times New Roman"/>
                <w:color w:val="auto"/>
                <w:spacing w:val="4"/>
                <w:sz w:val="21"/>
                <w:szCs w:val="21"/>
                <w:u w:val="none" w:color="auto"/>
                <w:lang w:val="en-US" w:eastAsia="zh-CN"/>
              </w:rPr>
              <w:t>2天，每天昼夜各1次</w:t>
            </w:r>
          </w:p>
        </w:tc>
      </w:tr>
    </w:tbl>
    <w:p>
      <w:pPr>
        <w:pStyle w:val="31"/>
        <w:keepNext w:val="0"/>
        <w:keepLines w:val="0"/>
        <w:pageBreakBefore w:val="0"/>
        <w:widowControl/>
        <w:kinsoku/>
        <w:wordWrap w:val="0"/>
        <w:overflowPunct/>
        <w:topLinePunct w:val="0"/>
        <w:autoSpaceDE w:val="0"/>
        <w:autoSpaceDN w:val="0"/>
        <w:bidi w:val="0"/>
        <w:adjustRightInd w:val="0"/>
        <w:snapToGrid w:val="0"/>
        <w:spacing w:before="0" w:beforeLines="50"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日常监测内容具体见表1</w:t>
      </w:r>
      <w:r>
        <w:rPr>
          <w:rFonts w:hint="eastAsia" w:ascii="Times New Roman" w:hAnsi="Times New Roman" w:eastAsia="宋体" w:cs="Times New Roman"/>
          <w:color w:val="auto"/>
          <w:szCs w:val="28"/>
          <w:u w:val="none" w:color="auto"/>
          <w:lang w:val="en-US" w:eastAsia="zh-CN"/>
        </w:rPr>
        <w:t>1</w:t>
      </w:r>
      <w:r>
        <w:rPr>
          <w:rFonts w:hint="default" w:ascii="Times New Roman" w:hAnsi="Times New Roman" w:cs="Times New Roman"/>
          <w:color w:val="auto"/>
          <w:szCs w:val="28"/>
          <w:u w:val="none" w:color="auto"/>
        </w:rPr>
        <w:t>.5-3。</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color w:val="auto"/>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2</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本项目日常监测一览表</w:t>
      </w:r>
    </w:p>
    <w:tbl>
      <w:tblPr>
        <w:tblStyle w:val="29"/>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00"/>
        <w:gridCol w:w="691"/>
        <w:gridCol w:w="1883"/>
        <w:gridCol w:w="3403"/>
        <w:gridCol w:w="157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b/>
                <w:bCs/>
                <w:color w:val="auto"/>
                <w:spacing w:val="3"/>
                <w:sz w:val="21"/>
                <w:szCs w:val="21"/>
                <w:u w:val="none" w:color="auto"/>
              </w:rPr>
              <w:t>类别</w:t>
            </w:r>
          </w:p>
        </w:tc>
        <w:tc>
          <w:tcPr>
            <w:tcW w:w="1539"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b/>
                <w:bCs/>
                <w:color w:val="auto"/>
                <w:spacing w:val="6"/>
                <w:sz w:val="21"/>
                <w:szCs w:val="21"/>
                <w:u w:val="none" w:color="auto"/>
              </w:rPr>
              <w:t>常规监测点位置</w:t>
            </w:r>
          </w:p>
        </w:tc>
        <w:tc>
          <w:tcPr>
            <w:tcW w:w="2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b/>
                <w:bCs/>
                <w:color w:val="auto"/>
                <w:spacing w:val="6"/>
                <w:sz w:val="21"/>
                <w:szCs w:val="21"/>
                <w:u w:val="none" w:color="auto"/>
              </w:rPr>
              <w:t>监测项目</w:t>
            </w:r>
          </w:p>
        </w:tc>
        <w:tc>
          <w:tcPr>
            <w:tcW w:w="94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b/>
                <w:bCs/>
                <w:color w:val="auto"/>
                <w:spacing w:val="6"/>
                <w:sz w:val="21"/>
                <w:szCs w:val="21"/>
                <w:u w:val="none" w:color="auto"/>
              </w:rPr>
              <w:t>监测时间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79"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废气</w:t>
            </w:r>
          </w:p>
        </w:tc>
        <w:tc>
          <w:tcPr>
            <w:tcW w:w="413" w:type="pct"/>
            <w:vMerge w:val="restar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3"/>
                <w:sz w:val="21"/>
                <w:szCs w:val="21"/>
                <w:u w:val="none" w:color="auto"/>
              </w:rPr>
              <w:t>无组</w:t>
            </w:r>
            <w:r>
              <w:rPr>
                <w:rFonts w:hint="default" w:ascii="Times New Roman" w:hAnsi="Times New Roman" w:cs="Times New Roman"/>
                <w:color w:val="auto"/>
                <w:sz w:val="21"/>
                <w:szCs w:val="21"/>
                <w:u w:val="none" w:color="auto"/>
              </w:rPr>
              <w:t>织</w:t>
            </w:r>
          </w:p>
        </w:tc>
        <w:tc>
          <w:tcPr>
            <w:tcW w:w="112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3"/>
                <w:sz w:val="21"/>
                <w:szCs w:val="21"/>
                <w:u w:val="none" w:color="auto"/>
              </w:rPr>
              <w:t>厂界</w:t>
            </w:r>
          </w:p>
        </w:tc>
        <w:tc>
          <w:tcPr>
            <w:tcW w:w="20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eastAsia" w:ascii="Times New Roman" w:hAnsi="Times New Roman" w:eastAsia="宋体" w:cs="Times New Roman"/>
                <w:color w:val="auto"/>
                <w:szCs w:val="28"/>
                <w:u w:val="none" w:color="auto"/>
                <w:lang w:val="en-US" w:eastAsia="zh-CN"/>
              </w:rPr>
              <w:t>N</w:t>
            </w:r>
            <w:r>
              <w:rPr>
                <w:rFonts w:hint="eastAsia" w:ascii="Times New Roman" w:hAnsi="Times New Roman" w:cs="Times New Roman"/>
                <w:color w:val="auto"/>
                <w:szCs w:val="28"/>
                <w:u w:val="none" w:color="auto"/>
                <w:lang w:val="en-US" w:eastAsia="zh-CN"/>
              </w:rPr>
              <w:t>MHC</w:t>
            </w:r>
          </w:p>
        </w:tc>
        <w:tc>
          <w:tcPr>
            <w:tcW w:w="94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8"/>
                <w:sz w:val="21"/>
                <w:szCs w:val="21"/>
                <w:u w:val="none" w:color="auto"/>
                <w:lang w:val="en-US" w:eastAsia="zh-CN"/>
              </w:rPr>
              <w:t>一次/</w:t>
            </w:r>
            <w:r>
              <w:rPr>
                <w:rFonts w:hint="default" w:ascii="Times New Roman" w:hAnsi="Times New Roman" w:cs="Times New Roman"/>
                <w:color w:val="auto"/>
                <w:spacing w:val="8"/>
                <w:sz w:val="21"/>
                <w:szCs w:val="21"/>
                <w:u w:val="none" w:color="auto"/>
              </w:rPr>
              <w:t>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7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413"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112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6"/>
                <w:sz w:val="21"/>
                <w:szCs w:val="21"/>
                <w:u w:val="none" w:color="auto"/>
              </w:rPr>
              <w:t>厂区内</w:t>
            </w:r>
          </w:p>
        </w:tc>
        <w:tc>
          <w:tcPr>
            <w:tcW w:w="20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eastAsia" w:ascii="Times New Roman" w:hAnsi="Times New Roman" w:eastAsia="宋体" w:cs="Times New Roman"/>
                <w:color w:val="auto"/>
                <w:szCs w:val="28"/>
                <w:u w:val="none" w:color="auto"/>
                <w:lang w:val="en-US" w:eastAsia="zh-CN"/>
              </w:rPr>
              <w:t>N</w:t>
            </w:r>
            <w:r>
              <w:rPr>
                <w:rFonts w:hint="eastAsia" w:ascii="Times New Roman" w:hAnsi="Times New Roman" w:cs="Times New Roman"/>
                <w:color w:val="auto"/>
                <w:szCs w:val="28"/>
                <w:u w:val="none" w:color="auto"/>
                <w:lang w:val="en-US" w:eastAsia="zh-CN"/>
              </w:rPr>
              <w:t>MHC</w:t>
            </w:r>
          </w:p>
        </w:tc>
        <w:tc>
          <w:tcPr>
            <w:tcW w:w="94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8"/>
                <w:sz w:val="21"/>
                <w:szCs w:val="21"/>
                <w:u w:val="none" w:color="auto"/>
                <w:lang w:val="en-US" w:eastAsia="zh-CN"/>
              </w:rPr>
              <w:t>一次/</w:t>
            </w:r>
            <w:r>
              <w:rPr>
                <w:rFonts w:hint="default" w:ascii="Times New Roman" w:hAnsi="Times New Roman" w:cs="Times New Roman"/>
                <w:color w:val="auto"/>
                <w:spacing w:val="8"/>
                <w:sz w:val="21"/>
                <w:szCs w:val="21"/>
                <w:u w:val="none" w:color="auto"/>
              </w:rPr>
              <w:t>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79"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p>
        </w:tc>
        <w:tc>
          <w:tcPr>
            <w:tcW w:w="413"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4"/>
                <w:sz w:val="21"/>
                <w:szCs w:val="21"/>
                <w:u w:val="none" w:color="auto"/>
              </w:rPr>
              <w:t>有组</w:t>
            </w:r>
            <w:r>
              <w:rPr>
                <w:rFonts w:hint="default" w:ascii="Times New Roman" w:hAnsi="Times New Roman" w:cs="Times New Roman"/>
                <w:color w:val="auto"/>
                <w:sz w:val="21"/>
                <w:szCs w:val="21"/>
                <w:u w:val="none" w:color="auto"/>
              </w:rPr>
              <w:t>织</w:t>
            </w:r>
          </w:p>
        </w:tc>
        <w:tc>
          <w:tcPr>
            <w:tcW w:w="1126"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eastAsia="Calibri" w:cs="Times New Roman"/>
                <w:color w:val="auto"/>
                <w:sz w:val="21"/>
                <w:szCs w:val="21"/>
                <w:u w:val="none" w:color="auto"/>
              </w:rPr>
              <w:t>RTO</w:t>
            </w:r>
            <w:r>
              <w:rPr>
                <w:rFonts w:hint="default" w:ascii="Times New Roman" w:hAnsi="Times New Roman" w:cs="Times New Roman"/>
                <w:color w:val="auto"/>
                <w:spacing w:val="9"/>
                <w:sz w:val="21"/>
                <w:szCs w:val="21"/>
                <w:u w:val="none" w:color="auto"/>
              </w:rPr>
              <w:t>系统排气筒进气口、出</w:t>
            </w:r>
            <w:r>
              <w:rPr>
                <w:rFonts w:hint="default" w:ascii="Times New Roman" w:hAnsi="Times New Roman" w:cs="Times New Roman"/>
                <w:color w:val="auto"/>
                <w:spacing w:val="4"/>
                <w:sz w:val="21"/>
                <w:szCs w:val="21"/>
                <w:u w:val="none" w:color="auto"/>
              </w:rPr>
              <w:t>气口</w:t>
            </w:r>
          </w:p>
        </w:tc>
        <w:tc>
          <w:tcPr>
            <w:tcW w:w="2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eastAsia" w:ascii="Times New Roman" w:hAnsi="Times New Roman" w:eastAsia="宋体" w:cs="Times New Roman"/>
                <w:color w:val="auto"/>
                <w:szCs w:val="28"/>
                <w:u w:val="none" w:color="auto"/>
                <w:lang w:val="en-US" w:eastAsia="zh-CN"/>
              </w:rPr>
              <w:t>N</w:t>
            </w:r>
            <w:r>
              <w:rPr>
                <w:rFonts w:hint="eastAsia" w:ascii="Times New Roman" w:hAnsi="Times New Roman" w:cs="Times New Roman"/>
                <w:color w:val="auto"/>
                <w:szCs w:val="28"/>
                <w:u w:val="none" w:color="auto"/>
                <w:lang w:val="en-US" w:eastAsia="zh-CN"/>
              </w:rPr>
              <w:t>MHC</w:t>
            </w:r>
            <w:r>
              <w:rPr>
                <w:rFonts w:hint="default" w:ascii="Times New Roman" w:hAnsi="Times New Roman" w:cs="Times New Roman"/>
                <w:color w:val="auto"/>
                <w:spacing w:val="8"/>
                <w:sz w:val="21"/>
                <w:szCs w:val="21"/>
                <w:u w:val="none" w:color="auto"/>
              </w:rPr>
              <w:t>、</w:t>
            </w:r>
            <w:r>
              <w:rPr>
                <w:rFonts w:hint="default" w:ascii="Times New Roman" w:hAnsi="Times New Roman" w:eastAsia="Calibri" w:cs="Times New Roman"/>
                <w:color w:val="auto"/>
                <w:sz w:val="21"/>
                <w:szCs w:val="21"/>
                <w:u w:val="none" w:color="auto"/>
              </w:rPr>
              <w:t>SO</w:t>
            </w:r>
            <w:r>
              <w:rPr>
                <w:rFonts w:hint="default" w:ascii="Times New Roman" w:hAnsi="Times New Roman" w:eastAsia="Calibri" w:cs="Times New Roman"/>
                <w:color w:val="auto"/>
                <w:spacing w:val="8"/>
                <w:position w:val="-1"/>
                <w:sz w:val="21"/>
                <w:szCs w:val="21"/>
                <w:u w:val="none" w:color="auto"/>
                <w:vertAlign w:val="subscript"/>
              </w:rPr>
              <w:t>2</w:t>
            </w:r>
            <w:r>
              <w:rPr>
                <w:rFonts w:hint="default" w:ascii="Times New Roman" w:hAnsi="Times New Roman" w:cs="Times New Roman"/>
                <w:color w:val="auto"/>
                <w:spacing w:val="8"/>
                <w:sz w:val="21"/>
                <w:szCs w:val="21"/>
                <w:u w:val="none" w:color="auto"/>
              </w:rPr>
              <w:t>、</w:t>
            </w:r>
            <w:r>
              <w:rPr>
                <w:rFonts w:hint="default" w:ascii="Times New Roman" w:hAnsi="Times New Roman" w:eastAsia="Calibri" w:cs="Times New Roman"/>
                <w:color w:val="auto"/>
                <w:sz w:val="21"/>
                <w:szCs w:val="21"/>
                <w:u w:val="none" w:color="auto"/>
              </w:rPr>
              <w:t>NOx</w:t>
            </w:r>
          </w:p>
        </w:tc>
        <w:tc>
          <w:tcPr>
            <w:tcW w:w="94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8"/>
                <w:sz w:val="21"/>
                <w:szCs w:val="21"/>
                <w:u w:val="none" w:color="auto"/>
                <w:lang w:val="en-US" w:eastAsia="zh-CN"/>
              </w:rPr>
              <w:t>一次/半</w:t>
            </w:r>
            <w:r>
              <w:rPr>
                <w:rFonts w:hint="default" w:ascii="Times New Roman" w:hAnsi="Times New Roman" w:cs="Times New Roman"/>
                <w:color w:val="auto"/>
                <w:spacing w:val="8"/>
                <w:sz w:val="21"/>
                <w:szCs w:val="21"/>
                <w:u w:val="none" w:color="auto"/>
              </w:rPr>
              <w:t>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废水</w:t>
            </w:r>
          </w:p>
        </w:tc>
        <w:tc>
          <w:tcPr>
            <w:tcW w:w="1539"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7"/>
                <w:sz w:val="21"/>
                <w:szCs w:val="21"/>
                <w:u w:val="none" w:color="auto"/>
              </w:rPr>
              <w:t>化粪池排口</w:t>
            </w:r>
          </w:p>
        </w:tc>
        <w:tc>
          <w:tcPr>
            <w:tcW w:w="2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Calibri" w:cs="Times New Roman"/>
                <w:color w:val="auto"/>
                <w:position w:val="2"/>
                <w:sz w:val="21"/>
                <w:szCs w:val="21"/>
                <w:u w:val="none" w:color="auto"/>
              </w:rPr>
              <w:t>pH</w:t>
            </w:r>
            <w:r>
              <w:rPr>
                <w:rFonts w:hint="default" w:ascii="Times New Roman" w:hAnsi="Times New Roman" w:cs="Times New Roman"/>
                <w:color w:val="auto"/>
                <w:spacing w:val="1"/>
                <w:position w:val="1"/>
                <w:sz w:val="21"/>
                <w:szCs w:val="21"/>
                <w:u w:val="none" w:color="auto"/>
              </w:rPr>
              <w:t>、</w:t>
            </w:r>
            <w:r>
              <w:rPr>
                <w:rFonts w:hint="default" w:ascii="Times New Roman" w:hAnsi="Times New Roman" w:eastAsia="Calibri" w:cs="Times New Roman"/>
                <w:color w:val="auto"/>
                <w:position w:val="2"/>
                <w:sz w:val="21"/>
                <w:szCs w:val="21"/>
                <w:u w:val="none" w:color="auto"/>
              </w:rPr>
              <w:t>COD</w:t>
            </w:r>
            <w:r>
              <w:rPr>
                <w:rFonts w:hint="default" w:ascii="Times New Roman" w:hAnsi="Times New Roman" w:eastAsia="Calibri" w:cs="Times New Roman"/>
                <w:color w:val="auto"/>
                <w:sz w:val="21"/>
                <w:szCs w:val="21"/>
                <w:u w:val="none" w:color="auto"/>
                <w:vertAlign w:val="subscript"/>
              </w:rPr>
              <w:t>Cr</w:t>
            </w:r>
            <w:r>
              <w:rPr>
                <w:rFonts w:hint="default" w:ascii="Times New Roman" w:hAnsi="Times New Roman" w:cs="Times New Roman"/>
                <w:color w:val="auto"/>
                <w:spacing w:val="1"/>
                <w:position w:val="1"/>
                <w:sz w:val="21"/>
                <w:szCs w:val="21"/>
                <w:u w:val="none" w:color="auto"/>
              </w:rPr>
              <w:t>、</w:t>
            </w:r>
            <w:r>
              <w:rPr>
                <w:rFonts w:hint="default" w:ascii="Times New Roman" w:hAnsi="Times New Roman" w:eastAsia="Calibri" w:cs="Times New Roman"/>
                <w:color w:val="auto"/>
                <w:position w:val="2"/>
                <w:sz w:val="21"/>
                <w:szCs w:val="21"/>
                <w:u w:val="none" w:color="auto"/>
              </w:rPr>
              <w:t>BOD</w:t>
            </w:r>
            <w:r>
              <w:rPr>
                <w:rFonts w:hint="default" w:ascii="Times New Roman" w:hAnsi="Times New Roman" w:eastAsia="Calibri" w:cs="Times New Roman"/>
                <w:color w:val="auto"/>
                <w:spacing w:val="1"/>
                <w:sz w:val="21"/>
                <w:szCs w:val="21"/>
                <w:u w:val="none" w:color="auto"/>
                <w:vertAlign w:val="subscript"/>
              </w:rPr>
              <w:t>5</w:t>
            </w:r>
            <w:r>
              <w:rPr>
                <w:rFonts w:hint="default" w:ascii="Times New Roman" w:hAnsi="Times New Roman" w:cs="Times New Roman"/>
                <w:color w:val="auto"/>
                <w:spacing w:val="1"/>
                <w:position w:val="1"/>
                <w:sz w:val="21"/>
                <w:szCs w:val="21"/>
                <w:u w:val="none" w:color="auto"/>
              </w:rPr>
              <w:t>、</w:t>
            </w:r>
            <w:r>
              <w:rPr>
                <w:rFonts w:hint="default" w:ascii="Times New Roman" w:hAnsi="Times New Roman" w:eastAsia="Calibri" w:cs="Times New Roman"/>
                <w:color w:val="auto"/>
                <w:position w:val="2"/>
                <w:sz w:val="21"/>
                <w:szCs w:val="21"/>
                <w:u w:val="none" w:color="auto"/>
              </w:rPr>
              <w:t>NH</w:t>
            </w:r>
            <w:r>
              <w:rPr>
                <w:rFonts w:hint="default" w:ascii="Times New Roman" w:hAnsi="Times New Roman" w:eastAsia="Calibri" w:cs="Times New Roman"/>
                <w:color w:val="auto"/>
                <w:spacing w:val="1"/>
                <w:sz w:val="21"/>
                <w:szCs w:val="21"/>
                <w:u w:val="none" w:color="auto"/>
                <w:vertAlign w:val="subscript"/>
              </w:rPr>
              <w:t>3</w:t>
            </w:r>
            <w:r>
              <w:rPr>
                <w:rFonts w:hint="default" w:ascii="Times New Roman" w:hAnsi="Times New Roman" w:eastAsia="Calibri" w:cs="Times New Roman"/>
                <w:color w:val="auto"/>
                <w:spacing w:val="1"/>
                <w:position w:val="2"/>
                <w:sz w:val="21"/>
                <w:szCs w:val="21"/>
                <w:u w:val="none" w:color="auto"/>
              </w:rPr>
              <w:t>-N</w:t>
            </w:r>
            <w:r>
              <w:rPr>
                <w:rFonts w:hint="default" w:ascii="Times New Roman" w:hAnsi="Times New Roman" w:cs="Times New Roman"/>
                <w:color w:val="auto"/>
                <w:spacing w:val="1"/>
                <w:position w:val="1"/>
                <w:sz w:val="21"/>
                <w:szCs w:val="21"/>
                <w:u w:val="none" w:color="auto"/>
              </w:rPr>
              <w:t>、</w:t>
            </w:r>
            <w:r>
              <w:rPr>
                <w:rFonts w:hint="default" w:ascii="Times New Roman" w:hAnsi="Times New Roman" w:eastAsia="Calibri" w:cs="Times New Roman"/>
                <w:color w:val="auto"/>
                <w:position w:val="2"/>
                <w:sz w:val="21"/>
                <w:szCs w:val="21"/>
                <w:u w:val="none" w:color="auto"/>
              </w:rPr>
              <w:t>SS</w:t>
            </w:r>
            <w:r>
              <w:rPr>
                <w:rFonts w:hint="default" w:ascii="Times New Roman" w:hAnsi="Times New Roman" w:cs="Times New Roman"/>
                <w:color w:val="auto"/>
                <w:spacing w:val="1"/>
                <w:position w:val="1"/>
                <w:sz w:val="21"/>
                <w:szCs w:val="21"/>
                <w:u w:val="none" w:color="auto"/>
              </w:rPr>
              <w:t>、</w:t>
            </w:r>
            <w:r>
              <w:rPr>
                <w:rFonts w:hint="default" w:ascii="Times New Roman" w:hAnsi="Times New Roman" w:eastAsia="Calibri" w:cs="Times New Roman"/>
                <w:color w:val="auto"/>
                <w:position w:val="2"/>
                <w:sz w:val="21"/>
                <w:szCs w:val="21"/>
                <w:u w:val="none" w:color="auto"/>
              </w:rPr>
              <w:t>TP</w:t>
            </w:r>
            <w:r>
              <w:rPr>
                <w:rFonts w:hint="eastAsia" w:ascii="Times New Roman" w:hAnsi="Times New Roman" w:eastAsia="宋体" w:cs="Times New Roman"/>
                <w:color w:val="auto"/>
                <w:position w:val="2"/>
                <w:sz w:val="21"/>
                <w:szCs w:val="21"/>
                <w:u w:val="none" w:color="auto"/>
                <w:lang w:eastAsia="zh-CN"/>
              </w:rPr>
              <w:t>、</w:t>
            </w:r>
            <w:r>
              <w:rPr>
                <w:rFonts w:hint="eastAsia" w:ascii="Times New Roman" w:hAnsi="Times New Roman" w:eastAsia="宋体" w:cs="Times New Roman"/>
                <w:color w:val="auto"/>
                <w:position w:val="2"/>
                <w:sz w:val="21"/>
                <w:szCs w:val="21"/>
                <w:u w:val="none" w:color="auto"/>
                <w:lang w:val="en-US" w:eastAsia="zh-CN"/>
              </w:rPr>
              <w:t>动植物油</w:t>
            </w:r>
          </w:p>
        </w:tc>
        <w:tc>
          <w:tcPr>
            <w:tcW w:w="94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8"/>
                <w:sz w:val="21"/>
                <w:szCs w:val="21"/>
                <w:u w:val="none" w:color="auto"/>
                <w:lang w:val="en-US" w:eastAsia="zh-CN"/>
              </w:rPr>
              <w:t>一次/</w:t>
            </w:r>
            <w:r>
              <w:rPr>
                <w:rFonts w:hint="default" w:ascii="Times New Roman" w:hAnsi="Times New Roman" w:cs="Times New Roman"/>
                <w:color w:val="auto"/>
                <w:spacing w:val="8"/>
                <w:sz w:val="21"/>
                <w:szCs w:val="21"/>
                <w:u w:val="none" w:color="auto"/>
              </w:rPr>
              <w:t>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1"/>
                <w:sz w:val="21"/>
                <w:szCs w:val="21"/>
                <w:u w:val="none" w:color="auto"/>
              </w:rPr>
              <w:t>噪声</w:t>
            </w:r>
          </w:p>
        </w:tc>
        <w:tc>
          <w:tcPr>
            <w:tcW w:w="1539"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9"/>
                <w:sz w:val="21"/>
                <w:szCs w:val="21"/>
                <w:u w:val="none" w:color="auto"/>
              </w:rPr>
              <w:t>项目厂界东、南、西、北</w:t>
            </w:r>
          </w:p>
        </w:tc>
        <w:tc>
          <w:tcPr>
            <w:tcW w:w="20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u w:val="none" w:color="auto"/>
              </w:rPr>
            </w:pPr>
            <w:r>
              <w:rPr>
                <w:rFonts w:hint="default" w:ascii="Times New Roman" w:hAnsi="Times New Roman" w:eastAsia="Calibri" w:cs="Times New Roman"/>
                <w:color w:val="auto"/>
                <w:spacing w:val="-1"/>
                <w:sz w:val="21"/>
                <w:szCs w:val="21"/>
                <w:u w:val="none" w:color="auto"/>
              </w:rPr>
              <w:t>LAeq</w:t>
            </w:r>
          </w:p>
        </w:tc>
        <w:tc>
          <w:tcPr>
            <w:tcW w:w="94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8"/>
                <w:sz w:val="21"/>
                <w:szCs w:val="21"/>
                <w:u w:val="none" w:color="auto"/>
                <w:lang w:val="en-US" w:eastAsia="zh-CN"/>
              </w:rPr>
              <w:t>一次/季度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7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5"/>
                <w:sz w:val="21"/>
                <w:szCs w:val="21"/>
                <w:u w:val="none" w:color="auto"/>
              </w:rPr>
              <w:t>固废</w:t>
            </w:r>
          </w:p>
        </w:tc>
        <w:tc>
          <w:tcPr>
            <w:tcW w:w="1539" w:type="pct"/>
            <w:gridSpan w:val="2"/>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7"/>
                <w:sz w:val="21"/>
                <w:szCs w:val="21"/>
                <w:u w:val="none" w:color="auto"/>
              </w:rPr>
              <w:t>各类固体废物</w:t>
            </w:r>
          </w:p>
        </w:tc>
        <w:tc>
          <w:tcPr>
            <w:tcW w:w="203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pacing w:val="8"/>
                <w:sz w:val="21"/>
                <w:szCs w:val="21"/>
                <w:u w:val="none" w:color="auto"/>
              </w:rPr>
              <w:t>统计产生量；处理量</w:t>
            </w:r>
            <w:r>
              <w:rPr>
                <w:rFonts w:hint="default" w:ascii="Times New Roman" w:hAnsi="Times New Roman" w:eastAsia="Calibri" w:cs="Times New Roman"/>
                <w:color w:val="auto"/>
                <w:spacing w:val="8"/>
                <w:sz w:val="21"/>
                <w:szCs w:val="21"/>
                <w:u w:val="none" w:color="auto"/>
              </w:rPr>
              <w:t>/</w:t>
            </w:r>
            <w:r>
              <w:rPr>
                <w:rFonts w:hint="default" w:ascii="Times New Roman" w:hAnsi="Times New Roman" w:cs="Times New Roman"/>
                <w:color w:val="auto"/>
                <w:spacing w:val="8"/>
                <w:sz w:val="21"/>
                <w:szCs w:val="21"/>
                <w:u w:val="none" w:color="auto"/>
              </w:rPr>
              <w:t>处理方式；外售量</w:t>
            </w:r>
            <w:r>
              <w:rPr>
                <w:rFonts w:hint="default" w:ascii="Times New Roman" w:hAnsi="Times New Roman" w:eastAsia="Calibri" w:cs="Times New Roman"/>
                <w:color w:val="auto"/>
                <w:spacing w:val="8"/>
                <w:sz w:val="21"/>
                <w:szCs w:val="21"/>
                <w:u w:val="none" w:color="auto"/>
              </w:rPr>
              <w:t>/</w:t>
            </w:r>
            <w:r>
              <w:rPr>
                <w:rFonts w:hint="default" w:ascii="Times New Roman" w:hAnsi="Times New Roman" w:cs="Times New Roman"/>
                <w:color w:val="auto"/>
                <w:spacing w:val="8"/>
                <w:sz w:val="21"/>
                <w:szCs w:val="21"/>
                <w:u w:val="none" w:color="auto"/>
              </w:rPr>
              <w:t>外售去向；贮存量</w:t>
            </w:r>
            <w:r>
              <w:rPr>
                <w:rFonts w:hint="default" w:ascii="Times New Roman" w:hAnsi="Times New Roman" w:eastAsia="Calibri" w:cs="Times New Roman"/>
                <w:color w:val="auto"/>
                <w:spacing w:val="8"/>
                <w:sz w:val="21"/>
                <w:szCs w:val="21"/>
                <w:u w:val="none" w:color="auto"/>
              </w:rPr>
              <w:t>/</w:t>
            </w:r>
            <w:r>
              <w:rPr>
                <w:rFonts w:hint="default" w:ascii="Times New Roman" w:hAnsi="Times New Roman" w:cs="Times New Roman"/>
                <w:color w:val="auto"/>
                <w:spacing w:val="8"/>
                <w:sz w:val="21"/>
                <w:szCs w:val="21"/>
                <w:u w:val="none" w:color="auto"/>
              </w:rPr>
              <w:t>贮存方式</w:t>
            </w:r>
          </w:p>
        </w:tc>
        <w:tc>
          <w:tcPr>
            <w:tcW w:w="944"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pacing w:val="-12"/>
                <w:sz w:val="21"/>
                <w:szCs w:val="21"/>
                <w:u w:val="none" w:color="auto"/>
                <w:lang w:eastAsia="zh-CN"/>
              </w:rPr>
              <w:t>台账统计</w:t>
            </w:r>
            <w:r>
              <w:rPr>
                <w:rFonts w:hint="default" w:ascii="Times New Roman" w:hAnsi="Times New Roman" w:cs="Times New Roman"/>
                <w:color w:val="auto"/>
                <w:spacing w:val="-12"/>
                <w:sz w:val="21"/>
                <w:szCs w:val="21"/>
                <w:u w:val="none" w:color="auto"/>
              </w:rPr>
              <w:t>，年</w:t>
            </w:r>
            <w:r>
              <w:rPr>
                <w:rFonts w:hint="default" w:ascii="Times New Roman" w:hAnsi="Times New Roman" w:cs="Times New Roman"/>
                <w:color w:val="auto"/>
                <w:spacing w:val="7"/>
                <w:sz w:val="21"/>
                <w:szCs w:val="21"/>
                <w:u w:val="none" w:color="auto"/>
              </w:rPr>
              <w:t>报一次</w:t>
            </w:r>
          </w:p>
        </w:tc>
      </w:tr>
    </w:tbl>
    <w:p>
      <w:pPr>
        <w:pStyle w:val="11"/>
        <w:keepNext w:val="0"/>
        <w:keepLines w:val="0"/>
        <w:pageBreakBefore w:val="0"/>
        <w:widowControl/>
        <w:kinsoku w:val="0"/>
        <w:wordWrap/>
        <w:overflowPunct/>
        <w:topLinePunct w:val="0"/>
        <w:autoSpaceDE w:val="0"/>
        <w:autoSpaceDN w:val="0"/>
        <w:bidi w:val="0"/>
        <w:adjustRightInd w:val="0"/>
        <w:snapToGrid w:val="0"/>
        <w:spacing w:before="0" w:beforeLines="50" w:line="360" w:lineRule="auto"/>
        <w:ind w:left="850" w:hanging="850"/>
        <w:textAlignment w:val="baseline"/>
        <w:rPr>
          <w:color w:val="auto"/>
          <w:sz w:val="30"/>
          <w:szCs w:val="30"/>
        </w:rPr>
      </w:pPr>
      <w:r>
        <w:rPr>
          <w:color w:val="auto"/>
          <w:sz w:val="30"/>
          <w:szCs w:val="30"/>
        </w:rPr>
        <w:t>监测机构</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本项目运营期</w:t>
      </w:r>
      <w:r>
        <w:rPr>
          <w:rFonts w:hint="default" w:ascii="Times New Roman" w:hAnsi="Times New Roman" w:cs="Times New Roman"/>
          <w:color w:val="auto"/>
          <w:szCs w:val="28"/>
          <w:u w:val="none" w:color="auto"/>
        </w:rPr>
        <w:t>监测主要</w:t>
      </w:r>
      <w:r>
        <w:rPr>
          <w:rFonts w:hint="eastAsia" w:ascii="Times New Roman" w:hAnsi="Times New Roman" w:eastAsia="宋体" w:cs="Times New Roman"/>
          <w:color w:val="auto"/>
          <w:szCs w:val="28"/>
          <w:u w:val="none" w:color="auto"/>
          <w:lang w:val="en-US" w:eastAsia="zh-CN"/>
        </w:rPr>
        <w:t>包括废气、废水及噪声</w:t>
      </w:r>
      <w:r>
        <w:rPr>
          <w:rFonts w:hint="default" w:ascii="Times New Roman" w:hAnsi="Times New Roman" w:cs="Times New Roman"/>
          <w:color w:val="auto"/>
          <w:szCs w:val="28"/>
          <w:u w:val="none" w:color="auto"/>
        </w:rPr>
        <w:t>，监测可委托具有环境监测质量认证资质的单位承担，企业应主动承担相应的监测费用。</w:t>
      </w:r>
    </w:p>
    <w:p>
      <w:pPr>
        <w:pStyle w:val="10"/>
        <w:bidi w:val="0"/>
        <w:spacing w:line="360" w:lineRule="auto"/>
        <w:rPr>
          <w:rFonts w:hint="default" w:ascii="Times New Roman" w:hAnsi="Times New Roman" w:cs="Times New Roman"/>
          <w:color w:val="auto"/>
          <w:sz w:val="32"/>
          <w:szCs w:val="32"/>
        </w:rPr>
      </w:pPr>
      <w:bookmarkStart w:id="145" w:name="_Toc8733"/>
      <w:r>
        <w:rPr>
          <w:rFonts w:hint="default" w:ascii="Times New Roman" w:hAnsi="Times New Roman" w:cs="Times New Roman"/>
          <w:color w:val="auto"/>
          <w:sz w:val="32"/>
          <w:szCs w:val="32"/>
        </w:rPr>
        <w:t>排污口设置及规范化管理</w:t>
      </w:r>
      <w:bookmarkEnd w:id="145"/>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根据《关于开展排放口规范化整治工作的通知》（环发</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1999</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24号）的要求，对项目排污口规整提出如下要求：</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（1）废气</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①对厂区排气筒数量、高度进行编号、归档并设置标志；</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②新增排气筒应设置便于人工采样、监测的采样口，采样口的设置应符合《污染源监测技术规范》要求。采样口必须设置常备电源，设置直径不小于75mm的采样口，如无法满足要求的，由环境监测站确定。</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③根据《固定源废气监测技术规范》（HJ/T397-2007），采样位置应优先选择在垂直管段，应避开烟道弯头和断面急剧变化的部位。采样位置应设置在距弯头、阀门、变径管下游方向不小于6倍直径，和距上述部件上游方向不小于3倍直径处。</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（2）噪声</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①厂界噪声测点应在法定厂界外1m、高度1.2m以上的噪声敏感处；</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②在固定噪声源对外界影响最大处设置监测点。</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（3）废水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排污口必须具备方便采样和流量测定的条件，一般排放口视污水流量的大小参照《适应排污水口尺寸表》的有关规格要求设置，并安装流量计，污水面低于地面标高或高于地面超过1m的，应加建采样台或楼梯（宽度不小于800m）。</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（4）设置标志要求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根据国家标准《环境保护图形标志—排放口（源）》和国家环保总局《排污口规范化整治要求（试行）》的技术要求，企业所有排污口必须按照</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便于采样，便于计量监测，便于日常现场监督检查</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的原则和规范化要求，设置排污口标志牌，标志牌应设置在排污口（采样点）附近且醒目处，高度为标志牌上缘离地面2米，排污口附近1米范围内有建筑物的，设平面式标志牌，无建筑物的设立式标志牌。规范化排污口的有关设置（如力形标志牌、计量装置、监控装置等）属环保设施，排污单位必须负责日常的维护保养，任何单位和个人不得擅自拆除。</w:t>
      </w:r>
    </w:p>
    <w:p>
      <w:pPr>
        <w:pStyle w:val="16"/>
        <w:keepNext w:val="0"/>
        <w:keepLines w:val="0"/>
        <w:pageBreakBefore w:val="0"/>
        <w:widowControl/>
        <w:numPr>
          <w:ilvl w:val="0"/>
          <w:numId w:val="0"/>
        </w:numPr>
        <w:tabs>
          <w:tab w:val="left" w:pos="0"/>
        </w:tabs>
        <w:kinsoku w:val="0"/>
        <w:wordWrap/>
        <w:overflowPunct/>
        <w:topLinePunct w:val="0"/>
        <w:autoSpaceDE w:val="0"/>
        <w:autoSpaceDN w:val="0"/>
        <w:bidi w:val="0"/>
        <w:adjustRightInd w:val="0"/>
        <w:snapToGrid w:val="0"/>
        <w:spacing w:line="240" w:lineRule="auto"/>
        <w:ind w:leftChars="0"/>
        <w:jc w:val="center"/>
        <w:textAlignment w:val="baseline"/>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 xml:space="preserve">表 </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STYLEREF 2 \s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11.5</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fldChar w:fldCharType="begin"/>
      </w:r>
      <w:r>
        <w:rPr>
          <w:rFonts w:hint="default" w:ascii="Times New Roman" w:hAnsi="Times New Roman" w:eastAsia="宋体" w:cs="Times New Roman"/>
          <w:b/>
          <w:bCs/>
          <w:color w:val="auto"/>
          <w:spacing w:val="5"/>
          <w:sz w:val="24"/>
          <w:szCs w:val="24"/>
        </w:rPr>
        <w:instrText xml:space="preserve"> SEQ 表 \* ARABIC \s 2 </w:instrText>
      </w:r>
      <w:r>
        <w:rPr>
          <w:rFonts w:hint="default" w:ascii="Times New Roman" w:hAnsi="Times New Roman" w:eastAsia="宋体" w:cs="Times New Roman"/>
          <w:b/>
          <w:bCs/>
          <w:color w:val="auto"/>
          <w:spacing w:val="5"/>
          <w:sz w:val="24"/>
          <w:szCs w:val="24"/>
        </w:rPr>
        <w:fldChar w:fldCharType="separate"/>
      </w: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5"/>
          <w:sz w:val="24"/>
          <w:szCs w:val="24"/>
        </w:rPr>
        <w:fldChar w:fldCharType="end"/>
      </w:r>
      <w:r>
        <w:rPr>
          <w:rFonts w:hint="eastAsia" w:ascii="Times New Roman" w:hAnsi="Times New Roman" w:eastAsia="宋体" w:cs="Times New Roman"/>
          <w:b/>
          <w:bCs/>
          <w:color w:val="auto"/>
          <w:spacing w:val="5"/>
          <w:sz w:val="24"/>
          <w:szCs w:val="24"/>
          <w:lang w:eastAsia="zh-CN"/>
        </w:rPr>
        <w:t xml:space="preserve">   </w:t>
      </w:r>
      <w:r>
        <w:rPr>
          <w:rFonts w:hint="default" w:ascii="Times New Roman" w:hAnsi="Times New Roman" w:eastAsia="宋体" w:cs="Times New Roman"/>
          <w:b/>
          <w:bCs/>
          <w:color w:val="auto"/>
          <w:spacing w:val="5"/>
          <w:sz w:val="24"/>
          <w:szCs w:val="24"/>
        </w:rPr>
        <w:t>环境保护图形标志</w:t>
      </w:r>
    </w:p>
    <w:p>
      <w:pPr>
        <w:spacing w:line="25" w:lineRule="exact"/>
        <w:rPr>
          <w:color w:val="auto"/>
        </w:rPr>
      </w:pPr>
    </w:p>
    <w:tbl>
      <w:tblPr>
        <w:tblStyle w:val="29"/>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02"/>
        <w:gridCol w:w="2579"/>
        <w:gridCol w:w="2721"/>
        <w:gridCol w:w="1049"/>
        <w:gridCol w:w="143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9"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4"/>
                <w:sz w:val="21"/>
                <w:szCs w:val="21"/>
              </w:rPr>
              <w:t>序号</w:t>
            </w:r>
          </w:p>
        </w:tc>
        <w:tc>
          <w:tcPr>
            <w:tcW w:w="1537"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提示图形符合</w:t>
            </w:r>
          </w:p>
        </w:tc>
        <w:tc>
          <w:tcPr>
            <w:tcW w:w="1622"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警告图形标志</w:t>
            </w:r>
          </w:p>
        </w:tc>
        <w:tc>
          <w:tcPr>
            <w:tcW w:w="6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名称</w:t>
            </w:r>
          </w:p>
        </w:tc>
        <w:tc>
          <w:tcPr>
            <w:tcW w:w="85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功能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9" w:type="pct"/>
            <w:tcBorders>
              <w:tl2br w:val="nil"/>
              <w:tr2bl w:val="nil"/>
            </w:tcBorders>
            <w:vAlign w:val="center"/>
          </w:tcPr>
          <w:p>
            <w:pPr>
              <w:pStyle w:val="40"/>
              <w:rPr>
                <w:rFonts w:hint="default" w:ascii="Times New Roman" w:hAnsi="Times New Roman" w:eastAsia="Calibri" w:cs="Times New Roman"/>
                <w:color w:val="auto"/>
                <w:sz w:val="21"/>
                <w:szCs w:val="21"/>
              </w:rPr>
            </w:pPr>
            <w:r>
              <w:rPr>
                <w:rFonts w:eastAsia="宋体"/>
                <w:color w:val="auto"/>
                <w:kern w:val="2"/>
                <w:sz w:val="21"/>
                <w:szCs w:val="21"/>
                <w:lang w:val="en-US" w:eastAsia="zh-CN"/>
              </w:rPr>
              <w:t>1</w:t>
            </w:r>
          </w:p>
        </w:tc>
        <w:tc>
          <w:tcPr>
            <w:tcW w:w="1537"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533525" cy="1435100"/>
                  <wp:effectExtent l="0" t="0" r="9525" b="12700"/>
                  <wp:docPr id="11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4"/>
                          <pic:cNvPicPr>
                            <a:picLocks noChangeAspect="true"/>
                          </pic:cNvPicPr>
                        </pic:nvPicPr>
                        <pic:blipFill>
                          <a:blip r:embed="rId46"/>
                          <a:stretch>
                            <a:fillRect/>
                          </a:stretch>
                        </pic:blipFill>
                        <pic:spPr>
                          <a:xfrm>
                            <a:off x="0" y="0"/>
                            <a:ext cx="1533525" cy="1435100"/>
                          </a:xfrm>
                          <a:prstGeom prst="rect">
                            <a:avLst/>
                          </a:prstGeom>
                          <a:noFill/>
                          <a:ln>
                            <a:noFill/>
                          </a:ln>
                        </pic:spPr>
                      </pic:pic>
                    </a:graphicData>
                  </a:graphic>
                </wp:inline>
              </w:drawing>
            </w:r>
          </w:p>
        </w:tc>
        <w:tc>
          <w:tcPr>
            <w:tcW w:w="1622"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627505" cy="1433195"/>
                  <wp:effectExtent l="0" t="0" r="10795" b="14605"/>
                  <wp:docPr id="11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5" name="图片 5"/>
                          <pic:cNvPicPr>
                            <a:picLocks noChangeAspect="true"/>
                          </pic:cNvPicPr>
                        </pic:nvPicPr>
                        <pic:blipFill>
                          <a:blip r:embed="rId47"/>
                          <a:stretch>
                            <a:fillRect/>
                          </a:stretch>
                        </pic:blipFill>
                        <pic:spPr>
                          <a:xfrm>
                            <a:off x="0" y="0"/>
                            <a:ext cx="1627505" cy="1433195"/>
                          </a:xfrm>
                          <a:prstGeom prst="rect">
                            <a:avLst/>
                          </a:prstGeom>
                          <a:noFill/>
                          <a:ln>
                            <a:noFill/>
                          </a:ln>
                        </pic:spPr>
                      </pic:pic>
                    </a:graphicData>
                  </a:graphic>
                </wp:inline>
              </w:drawing>
            </w:r>
          </w:p>
        </w:tc>
        <w:tc>
          <w:tcPr>
            <w:tcW w:w="6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污水排放口</w:t>
            </w:r>
          </w:p>
        </w:tc>
        <w:tc>
          <w:tcPr>
            <w:tcW w:w="85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表示污水向水体</w:t>
            </w:r>
            <w:r>
              <w:rPr>
                <w:rFonts w:hint="default" w:ascii="Times New Roman" w:hAnsi="Times New Roman" w:cs="Times New Roman"/>
                <w:color w:val="auto"/>
                <w:spacing w:val="4"/>
                <w:sz w:val="21"/>
                <w:szCs w:val="21"/>
              </w:rPr>
              <w:t>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9" w:type="pct"/>
            <w:tcBorders>
              <w:tl2br w:val="nil"/>
              <w:tr2bl w:val="nil"/>
            </w:tcBorders>
            <w:vAlign w:val="center"/>
          </w:tcPr>
          <w:p>
            <w:pPr>
              <w:pStyle w:val="40"/>
              <w:rPr>
                <w:rFonts w:hint="default" w:ascii="Times New Roman" w:hAnsi="Times New Roman" w:eastAsia="Calibri" w:cs="Times New Roman"/>
                <w:color w:val="auto"/>
                <w:sz w:val="21"/>
                <w:szCs w:val="21"/>
              </w:rPr>
            </w:pPr>
            <w:r>
              <w:rPr>
                <w:rFonts w:eastAsia="宋体"/>
                <w:color w:val="auto"/>
                <w:kern w:val="2"/>
                <w:sz w:val="21"/>
                <w:szCs w:val="21"/>
                <w:lang w:val="en-US" w:eastAsia="zh-CN"/>
              </w:rPr>
              <w:t>2</w:t>
            </w:r>
          </w:p>
        </w:tc>
        <w:tc>
          <w:tcPr>
            <w:tcW w:w="1537"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522095" cy="1442085"/>
                  <wp:effectExtent l="0" t="0" r="1905" b="5715"/>
                  <wp:docPr id="117"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true"/>
                          </pic:cNvPicPr>
                        </pic:nvPicPr>
                        <pic:blipFill>
                          <a:blip r:embed="rId48"/>
                          <a:stretch>
                            <a:fillRect/>
                          </a:stretch>
                        </pic:blipFill>
                        <pic:spPr>
                          <a:xfrm>
                            <a:off x="0" y="0"/>
                            <a:ext cx="1522095" cy="1442085"/>
                          </a:xfrm>
                          <a:prstGeom prst="rect">
                            <a:avLst/>
                          </a:prstGeom>
                          <a:noFill/>
                          <a:ln>
                            <a:noFill/>
                          </a:ln>
                        </pic:spPr>
                      </pic:pic>
                    </a:graphicData>
                  </a:graphic>
                </wp:inline>
              </w:drawing>
            </w:r>
          </w:p>
        </w:tc>
        <w:tc>
          <w:tcPr>
            <w:tcW w:w="1622"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642745" cy="1443355"/>
                  <wp:effectExtent l="0" t="0" r="14605" b="4445"/>
                  <wp:docPr id="11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9" name="图片 7"/>
                          <pic:cNvPicPr>
                            <a:picLocks noChangeAspect="true"/>
                          </pic:cNvPicPr>
                        </pic:nvPicPr>
                        <pic:blipFill>
                          <a:blip r:embed="rId49"/>
                          <a:stretch>
                            <a:fillRect/>
                          </a:stretch>
                        </pic:blipFill>
                        <pic:spPr>
                          <a:xfrm>
                            <a:off x="0" y="0"/>
                            <a:ext cx="1642745" cy="1443355"/>
                          </a:xfrm>
                          <a:prstGeom prst="rect">
                            <a:avLst/>
                          </a:prstGeom>
                          <a:noFill/>
                          <a:ln>
                            <a:noFill/>
                          </a:ln>
                        </pic:spPr>
                      </pic:pic>
                    </a:graphicData>
                  </a:graphic>
                </wp:inline>
              </w:drawing>
            </w:r>
          </w:p>
        </w:tc>
        <w:tc>
          <w:tcPr>
            <w:tcW w:w="6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废气排放口</w:t>
            </w:r>
          </w:p>
        </w:tc>
        <w:tc>
          <w:tcPr>
            <w:tcW w:w="85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表示废气向大气</w:t>
            </w:r>
            <w:r>
              <w:rPr>
                <w:rFonts w:hint="default" w:ascii="Times New Roman" w:hAnsi="Times New Roman" w:cs="Times New Roman"/>
                <w:color w:val="auto"/>
                <w:spacing w:val="7"/>
                <w:sz w:val="21"/>
                <w:szCs w:val="21"/>
              </w:rPr>
              <w:t>环境排放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359" w:type="pct"/>
            <w:tcBorders>
              <w:tl2br w:val="nil"/>
              <w:tr2bl w:val="nil"/>
            </w:tcBorders>
            <w:vAlign w:val="center"/>
          </w:tcPr>
          <w:p>
            <w:pPr>
              <w:pStyle w:val="40"/>
              <w:rPr>
                <w:rFonts w:hint="default" w:ascii="Times New Roman" w:hAnsi="Times New Roman" w:eastAsia="Calibri" w:cs="Times New Roman"/>
                <w:color w:val="auto"/>
                <w:sz w:val="21"/>
                <w:szCs w:val="21"/>
              </w:rPr>
            </w:pPr>
            <w:r>
              <w:rPr>
                <w:rFonts w:eastAsia="宋体"/>
                <w:color w:val="auto"/>
                <w:kern w:val="2"/>
                <w:sz w:val="21"/>
                <w:szCs w:val="21"/>
                <w:lang w:val="en-US" w:eastAsia="zh-CN"/>
              </w:rPr>
              <w:t>3</w:t>
            </w:r>
          </w:p>
        </w:tc>
        <w:tc>
          <w:tcPr>
            <w:tcW w:w="1537"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534160" cy="1504950"/>
                  <wp:effectExtent l="0" t="0" r="8890" b="0"/>
                  <wp:docPr id="12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1" name="图片 8"/>
                          <pic:cNvPicPr>
                            <a:picLocks noChangeAspect="true"/>
                          </pic:cNvPicPr>
                        </pic:nvPicPr>
                        <pic:blipFill>
                          <a:blip r:embed="rId50"/>
                          <a:stretch>
                            <a:fillRect/>
                          </a:stretch>
                        </pic:blipFill>
                        <pic:spPr>
                          <a:xfrm>
                            <a:off x="0" y="0"/>
                            <a:ext cx="1534160" cy="1504950"/>
                          </a:xfrm>
                          <a:prstGeom prst="rect">
                            <a:avLst/>
                          </a:prstGeom>
                          <a:noFill/>
                          <a:ln>
                            <a:noFill/>
                          </a:ln>
                        </pic:spPr>
                      </pic:pic>
                    </a:graphicData>
                  </a:graphic>
                </wp:inline>
              </w:drawing>
            </w:r>
          </w:p>
        </w:tc>
        <w:tc>
          <w:tcPr>
            <w:tcW w:w="1622"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645920" cy="1449070"/>
                  <wp:effectExtent l="0" t="0" r="11430" b="17780"/>
                  <wp:docPr id="12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3" name="图片 9"/>
                          <pic:cNvPicPr>
                            <a:picLocks noChangeAspect="true"/>
                          </pic:cNvPicPr>
                        </pic:nvPicPr>
                        <pic:blipFill>
                          <a:blip r:embed="rId51"/>
                          <a:stretch>
                            <a:fillRect/>
                          </a:stretch>
                        </pic:blipFill>
                        <pic:spPr>
                          <a:xfrm>
                            <a:off x="0" y="0"/>
                            <a:ext cx="1645920" cy="1449070"/>
                          </a:xfrm>
                          <a:prstGeom prst="rect">
                            <a:avLst/>
                          </a:prstGeom>
                          <a:noFill/>
                          <a:ln>
                            <a:noFill/>
                          </a:ln>
                        </pic:spPr>
                      </pic:pic>
                    </a:graphicData>
                  </a:graphic>
                </wp:inline>
              </w:drawing>
            </w:r>
          </w:p>
        </w:tc>
        <w:tc>
          <w:tcPr>
            <w:tcW w:w="6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噪声排放源</w:t>
            </w:r>
          </w:p>
        </w:tc>
        <w:tc>
          <w:tcPr>
            <w:tcW w:w="85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表示噪声向外环</w:t>
            </w:r>
            <w:r>
              <w:rPr>
                <w:rFonts w:hint="default" w:ascii="Times New Roman" w:hAnsi="Times New Roman" w:cs="Times New Roman"/>
                <w:color w:val="auto"/>
                <w:spacing w:val="6"/>
                <w:sz w:val="21"/>
                <w:szCs w:val="21"/>
              </w:rPr>
              <w:t>境排放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9" w:type="pct"/>
            <w:tcBorders>
              <w:tl2br w:val="nil"/>
              <w:tr2bl w:val="nil"/>
            </w:tcBorders>
            <w:vAlign w:val="center"/>
          </w:tcPr>
          <w:p>
            <w:pPr>
              <w:pStyle w:val="40"/>
              <w:rPr>
                <w:rFonts w:hint="default" w:ascii="Times New Roman" w:hAnsi="Times New Roman" w:eastAsia="Calibri" w:cs="Times New Roman"/>
                <w:color w:val="auto"/>
                <w:sz w:val="21"/>
                <w:szCs w:val="21"/>
              </w:rPr>
            </w:pPr>
            <w:r>
              <w:rPr>
                <w:rFonts w:eastAsia="宋体"/>
                <w:color w:val="auto"/>
                <w:kern w:val="2"/>
                <w:sz w:val="21"/>
                <w:szCs w:val="21"/>
                <w:lang w:val="en-US" w:eastAsia="zh-CN"/>
              </w:rPr>
              <w:t>4</w:t>
            </w:r>
          </w:p>
        </w:tc>
        <w:tc>
          <w:tcPr>
            <w:tcW w:w="1537"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565910" cy="1448435"/>
                  <wp:effectExtent l="0" t="0" r="15240" b="18415"/>
                  <wp:docPr id="125"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5" name="图片 10"/>
                          <pic:cNvPicPr>
                            <a:picLocks noChangeAspect="true"/>
                          </pic:cNvPicPr>
                        </pic:nvPicPr>
                        <pic:blipFill>
                          <a:blip r:embed="rId52"/>
                          <a:stretch>
                            <a:fillRect/>
                          </a:stretch>
                        </pic:blipFill>
                        <pic:spPr>
                          <a:xfrm>
                            <a:off x="0" y="0"/>
                            <a:ext cx="1565910" cy="1448435"/>
                          </a:xfrm>
                          <a:prstGeom prst="rect">
                            <a:avLst/>
                          </a:prstGeom>
                          <a:noFill/>
                          <a:ln>
                            <a:noFill/>
                          </a:ln>
                        </pic:spPr>
                      </pic:pic>
                    </a:graphicData>
                  </a:graphic>
                </wp:inline>
              </w:drawing>
            </w:r>
          </w:p>
        </w:tc>
        <w:tc>
          <w:tcPr>
            <w:tcW w:w="1622" w:type="pct"/>
            <w:tcBorders>
              <w:tl2br w:val="nil"/>
              <w:tr2bl w:val="nil"/>
            </w:tcBorders>
            <w:vAlign w:val="center"/>
          </w:tcPr>
          <w:p>
            <w:pPr>
              <w:pStyle w:val="40"/>
              <w:rPr>
                <w:rFonts w:hint="default" w:ascii="Times New Roman" w:hAnsi="Times New Roman" w:cs="Times New Roman"/>
                <w:color w:val="auto"/>
                <w:sz w:val="21"/>
                <w:szCs w:val="21"/>
              </w:rPr>
            </w:pPr>
            <w:r>
              <w:rPr>
                <w:rFonts w:eastAsia="宋体"/>
                <w:color w:val="auto"/>
                <w:kern w:val="2"/>
                <w:sz w:val="21"/>
                <w:szCs w:val="21"/>
                <w:lang w:val="en-US" w:eastAsia="zh-CN"/>
              </w:rPr>
              <w:drawing>
                <wp:inline distT="0" distB="0" distL="114300" distR="114300">
                  <wp:extent cx="1659255" cy="1464945"/>
                  <wp:effectExtent l="0" t="0" r="17145" b="1905"/>
                  <wp:docPr id="127"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true"/>
                          </pic:cNvPicPr>
                        </pic:nvPicPr>
                        <pic:blipFill>
                          <a:blip r:embed="rId53"/>
                          <a:stretch>
                            <a:fillRect/>
                          </a:stretch>
                        </pic:blipFill>
                        <pic:spPr>
                          <a:xfrm>
                            <a:off x="0" y="0"/>
                            <a:ext cx="1659255" cy="1464945"/>
                          </a:xfrm>
                          <a:prstGeom prst="rect">
                            <a:avLst/>
                          </a:prstGeom>
                          <a:noFill/>
                          <a:ln>
                            <a:noFill/>
                          </a:ln>
                        </pic:spPr>
                      </pic:pic>
                    </a:graphicData>
                  </a:graphic>
                </wp:inline>
              </w:drawing>
            </w:r>
          </w:p>
        </w:tc>
        <w:tc>
          <w:tcPr>
            <w:tcW w:w="6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一般固体废物</w:t>
            </w:r>
          </w:p>
        </w:tc>
        <w:tc>
          <w:tcPr>
            <w:tcW w:w="85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表示一般固体废物贮存、处置场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z w:val="21"/>
                <w:szCs w:val="21"/>
              </w:rPr>
              <w:t>5</w:t>
            </w:r>
          </w:p>
        </w:tc>
        <w:tc>
          <w:tcPr>
            <w:tcW w:w="153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auto"/>
                <w:sz w:val="21"/>
                <w:szCs w:val="21"/>
              </w:rPr>
            </w:pPr>
            <w:r>
              <w:rPr>
                <w:rFonts w:hint="default" w:ascii="Times New Roman" w:hAnsi="Times New Roman" w:eastAsia="Calibri" w:cs="Times New Roman"/>
                <w:color w:val="auto"/>
                <w:spacing w:val="3"/>
                <w:position w:val="3"/>
                <w:sz w:val="21"/>
                <w:szCs w:val="21"/>
              </w:rPr>
              <w:t>/</w:t>
            </w:r>
          </w:p>
        </w:tc>
        <w:tc>
          <w:tcPr>
            <w:tcW w:w="1622"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ascii="宋体" w:hAnsi="Courier New"/>
                <w:color w:val="auto"/>
                <w:kern w:val="2"/>
                <w:lang w:val="en-US" w:eastAsia="zh-CN"/>
              </w:rPr>
              <w:drawing>
                <wp:inline distT="0" distB="0" distL="114300" distR="114300">
                  <wp:extent cx="1649730" cy="1387475"/>
                  <wp:effectExtent l="0" t="0" r="7620" b="3175"/>
                  <wp:docPr id="69"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true"/>
                          </pic:cNvPicPr>
                        </pic:nvPicPr>
                        <pic:blipFill>
                          <a:blip r:embed="rId54"/>
                          <a:stretch>
                            <a:fillRect/>
                          </a:stretch>
                        </pic:blipFill>
                        <pic:spPr>
                          <a:xfrm>
                            <a:off x="0" y="0"/>
                            <a:ext cx="1649730" cy="1387475"/>
                          </a:xfrm>
                          <a:prstGeom prst="rect">
                            <a:avLst/>
                          </a:prstGeom>
                          <a:noFill/>
                          <a:ln>
                            <a:noFill/>
                          </a:ln>
                        </pic:spPr>
                      </pic:pic>
                    </a:graphicData>
                  </a:graphic>
                </wp:inline>
              </w:drawing>
            </w:r>
          </w:p>
        </w:tc>
        <w:tc>
          <w:tcPr>
            <w:tcW w:w="62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危险废物</w:t>
            </w:r>
          </w:p>
        </w:tc>
        <w:tc>
          <w:tcPr>
            <w:tcW w:w="855" w:type="pct"/>
            <w:tcBorders>
              <w:tl2br w:val="nil"/>
              <w:tr2bl w:val="nil"/>
            </w:tcBorders>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表示危险废物贮存、处置场</w:t>
            </w:r>
          </w:p>
        </w:tc>
      </w:tr>
    </w:tbl>
    <w:p>
      <w:pPr>
        <w:rPr>
          <w:rFonts w:hint="default" w:ascii="Times New Roman" w:hAnsi="Times New Roman" w:cs="Times New Roman" w:eastAsiaTheme="majorEastAsia"/>
          <w:color w:val="auto"/>
          <w:sz w:val="36"/>
          <w:szCs w:val="36"/>
        </w:rPr>
      </w:pPr>
      <w:bookmarkStart w:id="146" w:name="bookmark144"/>
      <w:bookmarkEnd w:id="146"/>
      <w:bookmarkStart w:id="147" w:name="bookmark146"/>
      <w:bookmarkEnd w:id="147"/>
      <w:r>
        <w:rPr>
          <w:rFonts w:hint="default" w:ascii="Times New Roman" w:hAnsi="Times New Roman" w:cs="Times New Roman" w:eastAsiaTheme="majorEastAsia"/>
          <w:color w:val="auto"/>
          <w:sz w:val="36"/>
          <w:szCs w:val="36"/>
        </w:rPr>
        <w:br w:type="page"/>
      </w:r>
    </w:p>
    <w:p>
      <w:pPr>
        <w:pStyle w:val="5"/>
        <w:bidi w:val="0"/>
        <w:rPr>
          <w:rFonts w:hint="default" w:ascii="Times New Roman" w:hAnsi="Times New Roman" w:cs="Times New Roman" w:eastAsiaTheme="majorEastAsia"/>
          <w:color w:val="auto"/>
          <w:sz w:val="36"/>
          <w:szCs w:val="36"/>
        </w:rPr>
      </w:pPr>
      <w:bookmarkStart w:id="148" w:name="_Toc2520"/>
      <w:r>
        <w:rPr>
          <w:rFonts w:hint="default" w:ascii="Times New Roman" w:hAnsi="Times New Roman" w:cs="Times New Roman" w:eastAsiaTheme="majorEastAsia"/>
          <w:color w:val="auto"/>
          <w:sz w:val="36"/>
          <w:szCs w:val="36"/>
        </w:rPr>
        <w:t>结论与建议</w:t>
      </w:r>
      <w:bookmarkEnd w:id="148"/>
    </w:p>
    <w:p>
      <w:pPr>
        <w:pStyle w:val="10"/>
        <w:bidi w:val="0"/>
        <w:spacing w:line="360" w:lineRule="auto"/>
        <w:rPr>
          <w:rFonts w:hint="default" w:ascii="Times New Roman" w:hAnsi="Times New Roman" w:cs="Times New Roman"/>
          <w:color w:val="auto"/>
          <w:sz w:val="32"/>
          <w:szCs w:val="32"/>
        </w:rPr>
      </w:pPr>
      <w:bookmarkStart w:id="149" w:name="_Toc722"/>
      <w:r>
        <w:rPr>
          <w:rFonts w:hint="default" w:ascii="Times New Roman" w:hAnsi="Times New Roman" w:cs="Times New Roman"/>
          <w:color w:val="auto"/>
          <w:sz w:val="32"/>
          <w:szCs w:val="32"/>
        </w:rPr>
        <w:t>结论</w:t>
      </w:r>
      <w:bookmarkEnd w:id="149"/>
    </w:p>
    <w:p>
      <w:pPr>
        <w:pStyle w:val="11"/>
        <w:bidi w:val="0"/>
        <w:spacing w:line="360" w:lineRule="auto"/>
        <w:ind w:left="851" w:hanging="851"/>
        <w:rPr>
          <w:color w:val="auto"/>
          <w:sz w:val="30"/>
          <w:szCs w:val="30"/>
        </w:rPr>
      </w:pPr>
      <w:r>
        <w:rPr>
          <w:color w:val="auto"/>
          <w:sz w:val="30"/>
          <w:szCs w:val="30"/>
        </w:rPr>
        <w:t>建设项目概况</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eastAsia="zh-CN"/>
        </w:rPr>
        <w:t>永州大道包装有限公司</w:t>
      </w:r>
      <w:r>
        <w:rPr>
          <w:rFonts w:hint="default" w:ascii="Times New Roman" w:hAnsi="Times New Roman" w:cs="Times New Roman"/>
          <w:color w:val="auto"/>
          <w:szCs w:val="28"/>
          <w:u w:val="none" w:color="auto"/>
        </w:rPr>
        <w:t>拟在</w:t>
      </w:r>
      <w:r>
        <w:rPr>
          <w:rFonts w:hint="eastAsia" w:ascii="Times New Roman" w:hAnsi="Times New Roman" w:eastAsia="宋体" w:cs="Times New Roman"/>
          <w:color w:val="auto"/>
          <w:szCs w:val="28"/>
          <w:u w:val="none" w:color="auto"/>
          <w:lang w:eastAsia="zh-CN"/>
        </w:rPr>
        <w:t>永州市零陵高新技术产业开发区河西片区瑞翔大道南侧厂房</w:t>
      </w:r>
      <w:r>
        <w:rPr>
          <w:rFonts w:hint="default" w:ascii="Times New Roman" w:hAnsi="Times New Roman" w:cs="Times New Roman"/>
          <w:color w:val="auto"/>
          <w:szCs w:val="28"/>
          <w:u w:val="none" w:color="auto"/>
        </w:rPr>
        <w:t>建设</w:t>
      </w:r>
      <w:r>
        <w:rPr>
          <w:rFonts w:hint="eastAsia" w:ascii="Times New Roman" w:hAnsi="Times New Roman" w:eastAsia="宋体" w:cs="Times New Roman"/>
          <w:color w:val="auto"/>
          <w:szCs w:val="28"/>
          <w:u w:val="none" w:color="auto"/>
          <w:lang w:eastAsia="zh-CN"/>
        </w:rPr>
        <w:t>塑料软包装卷膜及袋包印刷包装生产项目</w:t>
      </w:r>
      <w:r>
        <w:rPr>
          <w:rFonts w:hint="default" w:ascii="Times New Roman" w:hAnsi="Times New Roman" w:cs="Times New Roman"/>
          <w:color w:val="auto"/>
          <w:szCs w:val="28"/>
          <w:u w:val="none" w:color="auto"/>
        </w:rPr>
        <w:t>，项目租用已建好的厂房作为生产车间，占地面积</w:t>
      </w:r>
      <w:r>
        <w:rPr>
          <w:rFonts w:hint="eastAsia" w:ascii="Times New Roman" w:hAnsi="Times New Roman" w:eastAsia="宋体" w:cs="Times New Roman"/>
          <w:color w:val="auto"/>
          <w:szCs w:val="28"/>
          <w:u w:val="none" w:color="auto"/>
          <w:lang w:val="en-US" w:eastAsia="zh-CN"/>
        </w:rPr>
        <w:t>约11000m</w:t>
      </w:r>
      <w:r>
        <w:rPr>
          <w:rFonts w:hint="default" w:ascii="Times New Roman" w:hAnsi="Times New Roman" w:cs="Times New Roman"/>
          <w:color w:val="auto"/>
          <w:szCs w:val="28"/>
          <w:u w:val="none" w:color="auto"/>
          <w:vertAlign w:val="superscript"/>
        </w:rPr>
        <w:t>2</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总建筑面积8462m</w:t>
      </w:r>
      <w:r>
        <w:rPr>
          <w:rFonts w:hint="default" w:ascii="Times New Roman" w:hAnsi="Times New Roman" w:cs="Times New Roman"/>
          <w:color w:val="auto"/>
          <w:szCs w:val="28"/>
          <w:u w:val="none" w:color="auto"/>
          <w:vertAlign w:val="superscript"/>
        </w:rPr>
        <w:t>2</w:t>
      </w:r>
      <w:r>
        <w:rPr>
          <w:rFonts w:hint="default" w:ascii="Times New Roman" w:hAnsi="Times New Roman" w:cs="Times New Roman"/>
          <w:color w:val="auto"/>
          <w:szCs w:val="28"/>
          <w:u w:val="none" w:color="auto"/>
        </w:rPr>
        <w:t>，建成后可年产软包装袋4000吨，软包装卷膜2000吨，其他包装袋、膜1000吨。项目总投资为</w:t>
      </w:r>
      <w:r>
        <w:rPr>
          <w:rFonts w:hint="eastAsia" w:ascii="Times New Roman" w:hAnsi="Times New Roman" w:eastAsia="宋体" w:cs="Times New Roman"/>
          <w:color w:val="auto"/>
          <w:szCs w:val="28"/>
          <w:u w:val="none" w:color="auto"/>
          <w:lang w:eastAsia="zh-CN"/>
        </w:rPr>
        <w:t>5000万元</w:t>
      </w:r>
      <w:r>
        <w:rPr>
          <w:rFonts w:hint="default" w:ascii="Times New Roman" w:hAnsi="Times New Roman" w:cs="Times New Roman"/>
          <w:color w:val="auto"/>
          <w:szCs w:val="28"/>
          <w:u w:val="none" w:color="auto"/>
        </w:rPr>
        <w:t>，环保总投资</w:t>
      </w:r>
      <w:r>
        <w:rPr>
          <w:rFonts w:hint="eastAsia" w:ascii="Times New Roman" w:hAnsi="Times New Roman" w:eastAsia="宋体" w:cs="Times New Roman"/>
          <w:color w:val="auto"/>
          <w:szCs w:val="28"/>
          <w:u w:val="none" w:color="auto"/>
          <w:lang w:val="en-US" w:eastAsia="zh-CN"/>
        </w:rPr>
        <w:t>425</w:t>
      </w:r>
      <w:r>
        <w:rPr>
          <w:rFonts w:hint="default" w:ascii="Times New Roman" w:hAnsi="Times New Roman" w:cs="Times New Roman"/>
          <w:color w:val="auto"/>
          <w:szCs w:val="28"/>
          <w:u w:val="none" w:color="auto"/>
        </w:rPr>
        <w:t>万元/a，占项目总投资的</w:t>
      </w:r>
      <w:r>
        <w:rPr>
          <w:rFonts w:hint="eastAsia" w:ascii="Times New Roman" w:hAnsi="Times New Roman" w:eastAsia="宋体" w:cs="Times New Roman"/>
          <w:color w:val="auto"/>
          <w:szCs w:val="28"/>
          <w:u w:val="none" w:color="auto"/>
          <w:lang w:val="en-US" w:eastAsia="zh-CN"/>
        </w:rPr>
        <w:t>8.5</w:t>
      </w:r>
      <w:r>
        <w:rPr>
          <w:rFonts w:hint="default" w:ascii="Times New Roman" w:hAnsi="Times New Roman" w:cs="Times New Roman"/>
          <w:color w:val="auto"/>
          <w:szCs w:val="28"/>
          <w:u w:val="none" w:color="auto"/>
        </w:rPr>
        <w:t>%。</w:t>
      </w:r>
    </w:p>
    <w:p>
      <w:pPr>
        <w:pStyle w:val="11"/>
        <w:bidi w:val="0"/>
        <w:spacing w:line="360" w:lineRule="auto"/>
        <w:ind w:left="851" w:hanging="851"/>
        <w:rPr>
          <w:color w:val="auto"/>
          <w:sz w:val="30"/>
          <w:szCs w:val="30"/>
        </w:rPr>
      </w:pPr>
      <w:r>
        <w:rPr>
          <w:color w:val="auto"/>
          <w:sz w:val="30"/>
          <w:szCs w:val="30"/>
        </w:rPr>
        <w:t>环境质量现状调查</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（1）环境空气</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本环评大气环境质量现状监测项目</w:t>
      </w:r>
      <w:r>
        <w:rPr>
          <w:rFonts w:hint="eastAsia" w:ascii="Times New Roman" w:hAnsi="Times New Roman" w:eastAsia="宋体" w:cs="Times New Roman"/>
          <w:color w:val="auto"/>
          <w:szCs w:val="28"/>
          <w:u w:val="none" w:color="auto"/>
          <w:lang w:eastAsia="zh-CN"/>
        </w:rPr>
        <w:t>包括两个</w:t>
      </w:r>
      <w:r>
        <w:rPr>
          <w:rFonts w:hint="default" w:ascii="Times New Roman" w:hAnsi="Times New Roman" w:cs="Times New Roman"/>
          <w:color w:val="auto"/>
          <w:szCs w:val="28"/>
          <w:u w:val="none" w:color="auto"/>
        </w:rPr>
        <w:t>部分：常规监测因子SO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、PM</w:t>
      </w:r>
      <w:r>
        <w:rPr>
          <w:rFonts w:hint="default" w:ascii="Times New Roman" w:hAnsi="Times New Roman" w:cs="Times New Roman"/>
          <w:color w:val="auto"/>
          <w:szCs w:val="28"/>
          <w:u w:val="none" w:color="auto"/>
          <w:vertAlign w:val="subscript"/>
        </w:rPr>
        <w:t>10</w:t>
      </w:r>
      <w:r>
        <w:rPr>
          <w:rFonts w:hint="default" w:ascii="Times New Roman" w:hAnsi="Times New Roman" w:cs="Times New Roman"/>
          <w:color w:val="auto"/>
          <w:szCs w:val="28"/>
          <w:u w:val="none" w:color="auto"/>
        </w:rPr>
        <w:t>、CO、臭氧、PM</w:t>
      </w:r>
      <w:r>
        <w:rPr>
          <w:rFonts w:hint="default" w:ascii="Times New Roman" w:hAnsi="Times New Roman" w:cs="Times New Roman"/>
          <w:color w:val="auto"/>
          <w:szCs w:val="28"/>
          <w:u w:val="none" w:color="auto"/>
          <w:vertAlign w:val="subscript"/>
        </w:rPr>
        <w:t>2.5</w:t>
      </w:r>
      <w:r>
        <w:rPr>
          <w:rFonts w:hint="default" w:ascii="Times New Roman" w:hAnsi="Times New Roman" w:cs="Times New Roman"/>
          <w:color w:val="auto"/>
          <w:szCs w:val="28"/>
          <w:u w:val="none" w:color="auto"/>
        </w:rPr>
        <w:t>；特征监测因子VOCs。从监测统计结果来看，项目所在区域SO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的年平均浓度、CO的24小时平均浓度、O</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的日最大8h平均浓度、PM</w:t>
      </w:r>
      <w:r>
        <w:rPr>
          <w:rFonts w:hint="default" w:ascii="Times New Roman" w:hAnsi="Times New Roman" w:cs="Times New Roman"/>
          <w:color w:val="auto"/>
          <w:szCs w:val="28"/>
          <w:u w:val="none" w:color="auto"/>
          <w:vertAlign w:val="subscript"/>
        </w:rPr>
        <w:t>10</w:t>
      </w:r>
      <w:r>
        <w:rPr>
          <w:rFonts w:hint="default" w:ascii="Times New Roman" w:hAnsi="Times New Roman" w:cs="Times New Roman"/>
          <w:color w:val="auto"/>
          <w:szCs w:val="28"/>
          <w:u w:val="none" w:color="auto"/>
        </w:rPr>
        <w:t>的年</w:t>
      </w:r>
      <w:r>
        <w:rPr>
          <w:rFonts w:hint="eastAsia" w:ascii="Times New Roman" w:hAnsi="Times New Roman" w:eastAsia="宋体" w:cs="Times New Roman"/>
          <w:color w:val="auto"/>
          <w:szCs w:val="28"/>
          <w:u w:val="none" w:color="auto"/>
          <w:lang w:eastAsia="zh-CN"/>
        </w:rPr>
        <w:t>平均</w:t>
      </w:r>
      <w:r>
        <w:rPr>
          <w:rFonts w:hint="default" w:ascii="Times New Roman" w:hAnsi="Times New Roman" w:cs="Times New Roman"/>
          <w:color w:val="auto"/>
          <w:szCs w:val="28"/>
          <w:u w:val="none" w:color="auto"/>
        </w:rPr>
        <w:t>浓度均可达到《环境空气质量标准》（GB3095-2012）中二级标准限值要求，但</w:t>
      </w:r>
      <w:r>
        <w:rPr>
          <w:rFonts w:hint="eastAsia" w:ascii="Times New Roman" w:hAnsi="Times New Roman" w:eastAsia="宋体" w:cs="Times New Roman"/>
          <w:color w:val="auto"/>
          <w:szCs w:val="28"/>
          <w:u w:val="none" w:color="auto"/>
          <w:lang w:val="en-US" w:eastAsia="zh-CN"/>
        </w:rPr>
        <w:t>2023年零陵区</w:t>
      </w:r>
      <w:r>
        <w:rPr>
          <w:rFonts w:hint="default" w:ascii="Times New Roman" w:hAnsi="Times New Roman" w:cs="Times New Roman"/>
          <w:color w:val="auto"/>
          <w:szCs w:val="28"/>
          <w:u w:val="none" w:color="auto"/>
        </w:rPr>
        <w:t>PM</w:t>
      </w:r>
      <w:r>
        <w:rPr>
          <w:rFonts w:hint="default" w:ascii="Times New Roman" w:hAnsi="Times New Roman" w:cs="Times New Roman"/>
          <w:color w:val="auto"/>
          <w:szCs w:val="28"/>
          <w:u w:val="none" w:color="auto"/>
          <w:vertAlign w:val="subscript"/>
        </w:rPr>
        <w:t>2.5</w:t>
      </w:r>
      <w:r>
        <w:rPr>
          <w:rFonts w:hint="default" w:ascii="Times New Roman" w:hAnsi="Times New Roman" w:cs="Times New Roman"/>
          <w:color w:val="auto"/>
          <w:szCs w:val="28"/>
          <w:u w:val="none" w:color="auto"/>
        </w:rPr>
        <w:t>的年平均浓度出现超标</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判定该区域为不达标区</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引用</w:t>
      </w:r>
      <w:r>
        <w:rPr>
          <w:rFonts w:hint="default" w:ascii="Times New Roman" w:hAnsi="Times New Roman" w:cs="Times New Roman"/>
          <w:color w:val="auto"/>
          <w:szCs w:val="28"/>
          <w:u w:val="none" w:color="auto"/>
        </w:rPr>
        <w:t>监测</w:t>
      </w:r>
      <w:r>
        <w:rPr>
          <w:rFonts w:hint="eastAsia" w:ascii="Times New Roman" w:hAnsi="Times New Roman" w:eastAsia="宋体" w:cs="Times New Roman"/>
          <w:color w:val="auto"/>
          <w:szCs w:val="28"/>
          <w:u w:val="none" w:color="auto"/>
          <w:lang w:val="en-US" w:eastAsia="zh-CN"/>
        </w:rPr>
        <w:t>数据</w:t>
      </w:r>
      <w:r>
        <w:rPr>
          <w:rFonts w:hint="default" w:ascii="Times New Roman" w:hAnsi="Times New Roman" w:cs="Times New Roman"/>
          <w:color w:val="auto"/>
          <w:szCs w:val="28"/>
          <w:u w:val="none" w:color="auto"/>
        </w:rPr>
        <w:t>中TVOC满足《环境影响评价技术导则</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大气环境》（HJ2.2-2018）附录D的参考限值。</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（2）水环境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eastAsia="宋体" w:cs="Times New Roman"/>
          <w:color w:val="auto"/>
          <w:szCs w:val="28"/>
          <w:u w:val="none" w:color="auto"/>
          <w:lang w:val="en-US" w:eastAsia="zh-CN"/>
        </w:rPr>
      </w:pPr>
      <w:r>
        <w:rPr>
          <w:rFonts w:hint="eastAsia" w:ascii="Times New Roman" w:hAnsi="Times New Roman" w:eastAsia="宋体" w:cs="Times New Roman"/>
          <w:color w:val="auto"/>
          <w:szCs w:val="28"/>
          <w:u w:val="none" w:color="auto"/>
          <w:lang w:val="en-US" w:eastAsia="zh-CN"/>
        </w:rPr>
        <w:t>根据</w:t>
      </w:r>
      <w:r>
        <w:rPr>
          <w:rFonts w:hint="default" w:ascii="Times New Roman" w:hAnsi="Times New Roman" w:cs="Times New Roman"/>
          <w:color w:val="auto"/>
          <w:szCs w:val="28"/>
          <w:u w:val="none" w:color="auto"/>
        </w:rPr>
        <w:t>永州市环境质量简报（202</w:t>
      </w:r>
      <w:r>
        <w:rPr>
          <w:rFonts w:hint="eastAsia" w:ascii="Times New Roman" w:hAnsi="Times New Roman" w:cs="Times New Roman"/>
          <w:color w:val="auto"/>
          <w:szCs w:val="28"/>
          <w:u w:val="none" w:color="auto"/>
        </w:rPr>
        <w:t>3</w:t>
      </w:r>
      <w:r>
        <w:rPr>
          <w:rFonts w:hint="default" w:ascii="Times New Roman" w:hAnsi="Times New Roman" w:cs="Times New Roman"/>
          <w:color w:val="auto"/>
          <w:szCs w:val="28"/>
          <w:u w:val="none" w:color="auto"/>
        </w:rPr>
        <w:t>年12月），永州市境内52个地表水监控断面（含省控断面湘江老埠头），所有断面均达标，达标率为100%，湘江老埠头断面水质监测结果全部满足Ⅱ类指标要求（湘江老埠头</w:t>
      </w:r>
      <w:r>
        <w:rPr>
          <w:rFonts w:hint="eastAsia" w:ascii="Times New Roman" w:hAnsi="Times New Roman" w:eastAsia="宋体" w:cs="Times New Roman"/>
          <w:color w:val="auto"/>
          <w:szCs w:val="28"/>
          <w:u w:val="none" w:color="auto"/>
          <w:lang w:eastAsia="zh-CN"/>
        </w:rPr>
        <w:t>断面</w:t>
      </w:r>
      <w:r>
        <w:rPr>
          <w:rFonts w:hint="default" w:ascii="Times New Roman" w:hAnsi="Times New Roman" w:cs="Times New Roman"/>
          <w:color w:val="auto"/>
          <w:szCs w:val="28"/>
          <w:u w:val="none" w:color="auto"/>
        </w:rPr>
        <w:t>水环境功能区划为工业用水区、景观娱乐用水，执行Ⅲ类标准）。</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eastAsia" w:ascii="Times New Roman" w:hAnsi="Times New Roman" w:eastAsia="宋体" w:cs="Times New Roman"/>
          <w:color w:val="auto"/>
          <w:szCs w:val="28"/>
          <w:u w:val="none" w:color="auto"/>
          <w:lang w:val="en-US" w:eastAsia="zh-CN"/>
        </w:rPr>
        <w:t>根据引用监测结果可知，监测期间</w:t>
      </w:r>
      <w:r>
        <w:rPr>
          <w:rFonts w:hint="default" w:ascii="Times New Roman" w:hAnsi="Times New Roman" w:cs="Times New Roman"/>
          <w:color w:val="auto"/>
          <w:sz w:val="24"/>
          <w:szCs w:val="24"/>
        </w:rPr>
        <w:t>鹿坪污水处理厂排入湘江上游500m</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鹿坪污水处理厂排入湘江下游500m</w:t>
      </w:r>
      <w:r>
        <w:rPr>
          <w:rFonts w:hint="eastAsia" w:ascii="Times New Roman" w:hAnsi="Times New Roman" w:eastAsia="宋体" w:cs="Times New Roman"/>
          <w:color w:val="auto"/>
          <w:sz w:val="24"/>
          <w:szCs w:val="24"/>
          <w:lang w:val="en-US" w:eastAsia="zh-CN"/>
        </w:rPr>
        <w:t>处</w:t>
      </w:r>
      <w:r>
        <w:rPr>
          <w:rFonts w:hint="default" w:ascii="Times New Roman" w:hAnsi="Times New Roman" w:cs="Times New Roman"/>
          <w:color w:val="auto"/>
          <w:szCs w:val="28"/>
          <w:u w:val="none" w:color="auto"/>
        </w:rPr>
        <w:t>水质监测因子均达到《地表水环境质量标准》（GB3838-2002）Ⅲ类标准要求，项目区域水环境质量现状良好。</w:t>
      </w:r>
    </w:p>
    <w:p>
      <w:pPr>
        <w:spacing w:before="37" w:line="360" w:lineRule="auto"/>
        <w:ind w:left="491"/>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（3）声环境</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监测结果表明，项目东侧、南侧、西侧、北侧噪声监测值均满足《声环境质量标准》（GB3096-2008）中3类标准要求，所在区域声环境质量较好。</w:t>
      </w:r>
    </w:p>
    <w:p>
      <w:pPr>
        <w:spacing w:before="37" w:line="360" w:lineRule="auto"/>
        <w:ind w:left="491"/>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5"/>
          <w:sz w:val="24"/>
          <w:szCs w:val="24"/>
        </w:rPr>
        <w:t>（</w:t>
      </w:r>
      <w:r>
        <w:rPr>
          <w:rFonts w:hint="default" w:ascii="Times New Roman" w:hAnsi="Times New Roman" w:eastAsia="Calibri" w:cs="Times New Roman"/>
          <w:b/>
          <w:bCs/>
          <w:color w:val="auto"/>
          <w:spacing w:val="-5"/>
          <w:sz w:val="24"/>
          <w:szCs w:val="24"/>
        </w:rPr>
        <w:t>4</w:t>
      </w:r>
      <w:r>
        <w:rPr>
          <w:rFonts w:hint="default" w:ascii="Times New Roman" w:hAnsi="Times New Roman" w:eastAsia="宋体" w:cs="Times New Roman"/>
          <w:b/>
          <w:bCs/>
          <w:color w:val="auto"/>
          <w:spacing w:val="-5"/>
          <w:sz w:val="24"/>
          <w:szCs w:val="24"/>
        </w:rPr>
        <w:t>）生态环境</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周边植被覆盖率较低，主要树种为城市道路两侧园林绿化，街道和空隙地的观赏树木和花草。根据调查，本工程区域内无挂牌保护的名胜古迹和需特殊保护的文物单位，邻近工程区没有文物保护单位，建设项目区域内没有国家规定保护的珍稀动植物。</w:t>
      </w:r>
    </w:p>
    <w:p>
      <w:pPr>
        <w:pStyle w:val="11"/>
        <w:bidi w:val="0"/>
        <w:spacing w:line="360" w:lineRule="auto"/>
        <w:ind w:left="851" w:hanging="851"/>
        <w:rPr>
          <w:color w:val="auto"/>
          <w:sz w:val="30"/>
          <w:szCs w:val="30"/>
        </w:rPr>
      </w:pPr>
      <w:r>
        <w:rPr>
          <w:color w:val="auto"/>
          <w:sz w:val="30"/>
          <w:szCs w:val="30"/>
        </w:rPr>
        <w:t>项目环境影响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项目租用已建好的厂房进行建设，</w:t>
      </w:r>
      <w:r>
        <w:rPr>
          <w:rFonts w:hint="eastAsia" w:ascii="Times New Roman" w:hAnsi="Times New Roman" w:eastAsia="宋体" w:cs="Times New Roman"/>
          <w:color w:val="auto"/>
          <w:szCs w:val="28"/>
          <w:u w:val="none" w:color="auto"/>
          <w:lang w:val="en-US" w:eastAsia="zh-CN"/>
        </w:rPr>
        <w:t>仅进行</w:t>
      </w:r>
      <w:r>
        <w:rPr>
          <w:rFonts w:hint="default" w:ascii="Times New Roman" w:hAnsi="Times New Roman" w:cs="Times New Roman"/>
          <w:color w:val="auto"/>
          <w:szCs w:val="28"/>
          <w:u w:val="none" w:color="auto"/>
        </w:rPr>
        <w:t>设备安装。因此</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本次环评主要对其运营期环境影响进行分析。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（1）大气环境影响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本项目在生产过程中，重点车间（印刷、复合）密闭，车间印刷机、复合机产气点设置高效负压集气系统，收集排放的有机废气，该工段产生的有机废气通过</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LEL减风增浓+三室RTO蓄热燃烧系统（处理效率≥98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，项目取98</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处理后由DA001排气筒15m高排放；RTO蓄热燃烧系统采用天然气燃烧，燃烧废气经处理后进入DA001排气筒15m高达标排放。项目外排废气VOCs有组织排放达到</w:t>
      </w:r>
      <w:r>
        <w:rPr>
          <w:rFonts w:hint="eastAsia" w:ascii="Times New Roman" w:hAnsi="Times New Roman" w:eastAsia="宋体" w:cs="Times New Roman"/>
          <w:color w:val="auto"/>
          <w:szCs w:val="28"/>
          <w:u w:val="none" w:color="auto"/>
          <w:lang w:eastAsia="zh-CN"/>
        </w:rPr>
        <w:t>《印刷工业大气污染物排放标准》（GB41616-2022）</w:t>
      </w:r>
      <w:r>
        <w:rPr>
          <w:rFonts w:hint="default" w:ascii="Times New Roman" w:hAnsi="Times New Roman" w:cs="Times New Roman"/>
          <w:color w:val="auto"/>
          <w:szCs w:val="28"/>
          <w:u w:val="none" w:color="auto"/>
        </w:rPr>
        <w:t>表1中浓度标准限值；VOCs</w:t>
      </w:r>
      <w:r>
        <w:rPr>
          <w:rFonts w:hint="eastAsia" w:ascii="Times New Roman" w:hAnsi="Times New Roman" w:eastAsia="宋体" w:cs="Times New Roman"/>
          <w:color w:val="auto"/>
          <w:szCs w:val="28"/>
          <w:u w:val="none" w:color="auto"/>
          <w:lang w:eastAsia="zh-CN"/>
        </w:rPr>
        <w:t>厂界浓度满足《印刷业挥发性有机物排放标准》（DB43/1357-2017）表2中厂界浓度标准限值</w:t>
      </w:r>
      <w:r>
        <w:rPr>
          <w:rFonts w:hint="default" w:ascii="Times New Roman" w:hAnsi="Times New Roman" w:cs="Times New Roman"/>
          <w:color w:val="auto"/>
          <w:szCs w:val="28"/>
          <w:u w:val="none" w:color="auto"/>
        </w:rPr>
        <w:t>；厂区内VOCs无组织排放满足</w:t>
      </w:r>
      <w:r>
        <w:rPr>
          <w:rFonts w:hint="eastAsia" w:ascii="Times New Roman" w:hAnsi="Times New Roman" w:eastAsia="宋体" w:cs="Times New Roman"/>
          <w:color w:val="auto"/>
          <w:szCs w:val="28"/>
          <w:u w:val="none" w:color="auto"/>
          <w:lang w:eastAsia="zh-CN"/>
        </w:rPr>
        <w:t>《印刷工业大气污染物排放标准》（GB41616-2022）表A.1厂区内VOCs无组织排放限值</w:t>
      </w:r>
      <w:r>
        <w:rPr>
          <w:rFonts w:hint="default" w:ascii="Times New Roman" w:hAnsi="Times New Roman" w:cs="Times New Roman"/>
          <w:color w:val="auto"/>
          <w:szCs w:val="28"/>
          <w:u w:val="none" w:color="auto"/>
        </w:rPr>
        <w:t>；天然气燃烧产生的SO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、NOx排放浓度满足</w:t>
      </w:r>
      <w:r>
        <w:rPr>
          <w:rFonts w:hint="eastAsia" w:ascii="Times New Roman" w:hAnsi="Times New Roman" w:eastAsia="宋体" w:cs="Times New Roman"/>
          <w:color w:val="auto"/>
          <w:szCs w:val="28"/>
          <w:u w:val="none" w:color="auto"/>
          <w:lang w:eastAsia="zh-CN"/>
        </w:rPr>
        <w:t>《印刷工业大气污染物排放标准》（GB41616-2022）表2燃烧装置大气污染物排放限值</w:t>
      </w:r>
      <w:r>
        <w:rPr>
          <w:rFonts w:hint="default" w:ascii="Times New Roman" w:hAnsi="Times New Roman" w:cs="Times New Roman"/>
          <w:color w:val="auto"/>
          <w:szCs w:val="28"/>
          <w:u w:val="none" w:color="auto"/>
        </w:rPr>
        <w:t>。在采取上述措施基础上，本项目废气排放对周围环境影响较小。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（2）地表水环境影响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本项目废水主要为职工生活污水</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eastAsia" w:ascii="Times New Roman" w:hAnsi="Times New Roman" w:eastAsia="宋体" w:cs="Times New Roman"/>
          <w:color w:val="auto"/>
          <w:szCs w:val="28"/>
          <w:u w:val="none" w:color="auto"/>
          <w:lang w:val="en-US" w:eastAsia="zh-CN"/>
        </w:rPr>
        <w:t>废水</w:t>
      </w:r>
      <w:r>
        <w:rPr>
          <w:rFonts w:hint="default" w:ascii="Times New Roman" w:hAnsi="Times New Roman" w:cs="Times New Roman"/>
          <w:color w:val="auto"/>
          <w:szCs w:val="28"/>
          <w:u w:val="none" w:color="auto"/>
        </w:rPr>
        <w:t>经预处理后达到《污水综合排放标准》（GB8978-1996）</w:t>
      </w:r>
      <w:r>
        <w:rPr>
          <w:rFonts w:hint="eastAsia" w:ascii="Times New Roman" w:hAnsi="Times New Roman" w:eastAsia="宋体" w:cs="Times New Roman"/>
          <w:color w:val="auto"/>
          <w:szCs w:val="28"/>
          <w:u w:val="none" w:color="auto"/>
          <w:lang w:val="en-US" w:eastAsia="zh-CN"/>
        </w:rPr>
        <w:t>表4中</w:t>
      </w:r>
      <w:r>
        <w:rPr>
          <w:rFonts w:hint="default" w:ascii="Times New Roman" w:hAnsi="Times New Roman" w:cs="Times New Roman"/>
          <w:color w:val="auto"/>
          <w:szCs w:val="28"/>
          <w:u w:val="none" w:color="auto"/>
        </w:rPr>
        <w:t>三级标准</w:t>
      </w:r>
      <w:r>
        <w:rPr>
          <w:rFonts w:hint="eastAsia" w:ascii="Times New Roman" w:hAnsi="Times New Roman" w:eastAsia="宋体" w:cs="Times New Roman"/>
          <w:color w:val="auto"/>
          <w:szCs w:val="28"/>
          <w:u w:val="none" w:color="auto"/>
          <w:lang w:val="en-US" w:eastAsia="zh-CN"/>
        </w:rPr>
        <w:t>及</w:t>
      </w:r>
      <w:r>
        <w:rPr>
          <w:rFonts w:hint="eastAsia" w:ascii="Times New Roman" w:hAnsi="Times New Roman" w:cs="Times New Roman"/>
          <w:color w:val="auto"/>
          <w:szCs w:val="28"/>
          <w:u w:val="none" w:color="auto"/>
        </w:rPr>
        <w:t>鹿坪污水处理厂</w:t>
      </w:r>
      <w:r>
        <w:rPr>
          <w:rFonts w:hint="eastAsia" w:ascii="Times New Roman" w:hAnsi="Times New Roman" w:eastAsia="宋体" w:cs="Times New Roman"/>
          <w:color w:val="auto"/>
          <w:szCs w:val="28"/>
          <w:u w:val="none" w:color="auto"/>
          <w:lang w:val="en-US" w:eastAsia="zh-CN"/>
        </w:rPr>
        <w:t>设计进水水质要求</w:t>
      </w:r>
      <w:r>
        <w:rPr>
          <w:rFonts w:hint="default" w:ascii="Times New Roman" w:hAnsi="Times New Roman" w:cs="Times New Roman"/>
          <w:color w:val="auto"/>
          <w:szCs w:val="28"/>
          <w:u w:val="none" w:color="auto"/>
        </w:rPr>
        <w:t>，通过市政截污管网排入</w:t>
      </w:r>
      <w:r>
        <w:rPr>
          <w:rFonts w:hint="eastAsia" w:ascii="Times New Roman" w:hAnsi="Times New Roman" w:eastAsia="宋体" w:cs="Times New Roman"/>
          <w:color w:val="auto"/>
          <w:szCs w:val="28"/>
          <w:u w:val="none" w:color="auto"/>
          <w:lang w:eastAsia="zh-CN"/>
        </w:rPr>
        <w:t>鹿坪污水处理厂</w:t>
      </w:r>
      <w:r>
        <w:rPr>
          <w:rFonts w:hint="default" w:ascii="Times New Roman" w:hAnsi="Times New Roman" w:cs="Times New Roman"/>
          <w:color w:val="auto"/>
          <w:szCs w:val="28"/>
          <w:u w:val="none" w:color="auto"/>
        </w:rPr>
        <w:t>处理，对周围地表水环境影响较小。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（3）噪声影响</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本工程噪声源主要来自冷却塔、风机以及部分生产</w:t>
      </w:r>
      <w:r>
        <w:rPr>
          <w:rFonts w:hint="eastAsia" w:ascii="Times New Roman" w:hAnsi="Times New Roman" w:eastAsia="宋体" w:cs="Times New Roman"/>
          <w:color w:val="auto"/>
          <w:szCs w:val="28"/>
          <w:u w:val="none" w:color="auto"/>
          <w:lang w:eastAsia="zh-CN"/>
        </w:rPr>
        <w:t>加工</w:t>
      </w:r>
      <w:r>
        <w:rPr>
          <w:rFonts w:hint="default" w:ascii="Times New Roman" w:hAnsi="Times New Roman" w:cs="Times New Roman"/>
          <w:color w:val="auto"/>
          <w:szCs w:val="28"/>
          <w:u w:val="none" w:color="auto"/>
        </w:rPr>
        <w:t>设备作业时产生的机械噪声。通过厂房隔声，对于噪声设备采取消音、减振等措施后，可有效减轻噪声对环境的影响，确保厂界噪声达到相应标准要求。</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（4）固体废物影响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本项目投产后产生的固体废物为生活垃圾、一般废物和危险废物，生活垃圾分类收集后交由环卫部门处置；一般废物由专门的单位收集后回收利用；危险废物根据《危险废物贮存污染控制标准》</w:t>
      </w:r>
      <w:r>
        <w:rPr>
          <w:rFonts w:hint="eastAsia" w:ascii="Times New Roman" w:hAnsi="Times New Roman" w:eastAsia="宋体" w:cs="Times New Roman"/>
          <w:color w:val="auto"/>
          <w:szCs w:val="28"/>
          <w:u w:val="none" w:color="auto"/>
          <w:lang w:eastAsia="zh-CN"/>
        </w:rPr>
        <w:t>（GB18597-2023）</w:t>
      </w:r>
      <w:r>
        <w:rPr>
          <w:rFonts w:hint="default" w:ascii="Times New Roman" w:hAnsi="Times New Roman" w:cs="Times New Roman"/>
          <w:color w:val="auto"/>
          <w:szCs w:val="28"/>
          <w:u w:val="none" w:color="auto"/>
        </w:rPr>
        <w:t>中的相关规定建设专门的危险废物贮存场所，并委托具有资质的单位进行处理（其中完好无损的废稀释剂桶交由原厂家</w:t>
      </w:r>
      <w:r>
        <w:rPr>
          <w:rFonts w:hint="eastAsia" w:ascii="Times New Roman" w:hAnsi="Times New Roman" w:eastAsia="宋体" w:cs="Times New Roman"/>
          <w:color w:val="auto"/>
          <w:szCs w:val="28"/>
          <w:u w:val="none" w:color="auto"/>
          <w:lang w:eastAsia="zh-CN"/>
        </w:rPr>
        <w:t>回收</w:t>
      </w:r>
      <w:r>
        <w:rPr>
          <w:rFonts w:hint="default" w:ascii="Times New Roman" w:hAnsi="Times New Roman" w:cs="Times New Roman"/>
          <w:color w:val="auto"/>
          <w:szCs w:val="28"/>
          <w:u w:val="none" w:color="auto"/>
        </w:rPr>
        <w:t>利用，部分破损导致厂家无法回收的需交由有资质单位处置），不得随意丢弃。固体废物通过合理有效的处理措施后，对外环境影响较小。</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（5）地下水、土壤环境影响</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项目实际情况，其正常运营情况下，不会对区域地下水、土壤环境产生影响。其潜在风险主要体现在风险状况下VOCs物料贮存区发生泄漏遇明火发生火灾，危废暂存泄漏，影响主要为灭火过程中产生的消防废水以及有机液体，从地表渗透从而污染地下水、土壤的风险。但考虑项目所在地位于</w:t>
      </w:r>
      <w:r>
        <w:rPr>
          <w:rFonts w:hint="eastAsia" w:ascii="Times New Roman" w:hAnsi="Times New Roman" w:eastAsia="宋体" w:cs="Times New Roman"/>
          <w:color w:val="auto"/>
          <w:szCs w:val="28"/>
          <w:u w:val="none" w:color="auto"/>
          <w:lang w:eastAsia="zh-CN"/>
        </w:rPr>
        <w:t>零陵高新技术产业开发区河西片区</w:t>
      </w:r>
      <w:r>
        <w:rPr>
          <w:rFonts w:hint="default" w:ascii="Times New Roman" w:hAnsi="Times New Roman" w:cs="Times New Roman"/>
          <w:color w:val="auto"/>
          <w:szCs w:val="28"/>
          <w:u w:val="none" w:color="auto"/>
        </w:rPr>
        <w:t>已建厂房内，场内除绿化景观带以外，其余地面均已硬化处理，能够有效降低消防废水及渗滤液对地下水的污染风险，再进一步加强了防渗及各项管理措施后，项目对地下水、土壤环境影响较小。</w:t>
      </w:r>
    </w:p>
    <w:p>
      <w:pPr>
        <w:pStyle w:val="11"/>
        <w:bidi w:val="0"/>
        <w:spacing w:line="360" w:lineRule="auto"/>
        <w:ind w:left="851" w:hanging="851"/>
        <w:rPr>
          <w:color w:val="auto"/>
          <w:sz w:val="30"/>
          <w:szCs w:val="30"/>
        </w:rPr>
      </w:pPr>
      <w:r>
        <w:rPr>
          <w:color w:val="auto"/>
          <w:sz w:val="30"/>
          <w:szCs w:val="30"/>
        </w:rPr>
        <w:t>环境风险分析</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根据最大可信事故分析，本项目可能发生的事故主要包括VOCs物料贮存区</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RTO天然气储罐区</w:t>
      </w:r>
      <w:r>
        <w:rPr>
          <w:rFonts w:hint="default" w:ascii="Times New Roman" w:hAnsi="Times New Roman" w:cs="Times New Roman"/>
          <w:color w:val="auto"/>
          <w:szCs w:val="28"/>
          <w:u w:val="none" w:color="auto"/>
        </w:rPr>
        <w:t>泄漏发生火灾风险，一旦发生事故，后果较为严重。通过对项目运营期可能发生的环境风险事故进行分析，在落实风险管理的前提下，采取火灾、泄漏事故排放等事故预防管理措施和实施有效的事故应急处理预案的前提下，事故的环境风险处于可接受水平。</w:t>
      </w:r>
    </w:p>
    <w:p>
      <w:pPr>
        <w:pStyle w:val="11"/>
        <w:bidi w:val="0"/>
        <w:spacing w:line="360" w:lineRule="auto"/>
        <w:ind w:left="851" w:hanging="851"/>
        <w:rPr>
          <w:color w:val="auto"/>
          <w:sz w:val="30"/>
          <w:szCs w:val="30"/>
        </w:rPr>
      </w:pPr>
      <w:r>
        <w:rPr>
          <w:color w:val="auto"/>
          <w:sz w:val="30"/>
          <w:szCs w:val="30"/>
        </w:rPr>
        <w:t>总量控制</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根据工程分析章节分析结果，结合本项目污染物产生特点，本项目</w:t>
      </w:r>
      <w:r>
        <w:rPr>
          <w:rFonts w:hint="eastAsia" w:ascii="Times New Roman" w:hAnsi="Times New Roman" w:eastAsia="宋体" w:cs="Times New Roman"/>
          <w:color w:val="auto"/>
          <w:szCs w:val="28"/>
          <w:u w:val="none" w:color="auto"/>
          <w:lang w:val="en-US" w:eastAsia="zh-CN"/>
        </w:rPr>
        <w:t>制软水废水及蓄水箱清洗</w:t>
      </w:r>
      <w:r>
        <w:rPr>
          <w:rFonts w:hint="default" w:ascii="Times New Roman" w:hAnsi="Times New Roman" w:cs="Times New Roman"/>
          <w:color w:val="auto"/>
          <w:szCs w:val="28"/>
          <w:u w:val="none" w:color="auto"/>
        </w:rPr>
        <w:t>废水</w:t>
      </w:r>
      <w:r>
        <w:rPr>
          <w:rFonts w:hint="eastAsia" w:ascii="Times New Roman" w:hAnsi="Times New Roman" w:eastAsia="宋体" w:cs="Times New Roman"/>
          <w:color w:val="auto"/>
          <w:szCs w:val="28"/>
          <w:u w:val="none" w:color="auto"/>
          <w:lang w:val="en-US" w:eastAsia="zh-CN"/>
        </w:rPr>
        <w:t>水质简单，其主要污染物为SS，与</w:t>
      </w:r>
      <w:r>
        <w:rPr>
          <w:rFonts w:hint="default" w:ascii="Times New Roman" w:hAnsi="Times New Roman" w:cs="Times New Roman"/>
          <w:color w:val="auto"/>
          <w:szCs w:val="28"/>
          <w:u w:val="none" w:color="auto"/>
        </w:rPr>
        <w:t>职工生活污水</w:t>
      </w:r>
      <w:r>
        <w:rPr>
          <w:rFonts w:hint="eastAsia" w:ascii="Times New Roman" w:hAnsi="Times New Roman" w:eastAsia="宋体" w:cs="Times New Roman"/>
          <w:color w:val="auto"/>
          <w:szCs w:val="28"/>
          <w:u w:val="none" w:color="auto"/>
          <w:lang w:val="en-US" w:eastAsia="zh-CN"/>
        </w:rPr>
        <w:t>经化粪池处理后纳入</w:t>
      </w:r>
      <w:r>
        <w:rPr>
          <w:rFonts w:hint="eastAsia" w:ascii="Times New Roman" w:hAnsi="Times New Roman" w:eastAsia="宋体" w:cs="Times New Roman"/>
          <w:color w:val="auto"/>
          <w:szCs w:val="28"/>
          <w:u w:val="none" w:color="auto"/>
          <w:lang w:eastAsia="zh-CN"/>
        </w:rPr>
        <w:t>鹿坪污水处理厂</w:t>
      </w:r>
      <w:r>
        <w:rPr>
          <w:rFonts w:hint="eastAsia" w:ascii="Times New Roman" w:hAnsi="Times New Roman" w:eastAsia="宋体" w:cs="Times New Roman"/>
          <w:color w:val="auto"/>
          <w:szCs w:val="28"/>
          <w:u w:val="none" w:color="auto"/>
          <w:lang w:val="en-US" w:eastAsia="zh-CN"/>
        </w:rPr>
        <w:t>处理</w:t>
      </w: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废水中</w:t>
      </w:r>
      <w:r>
        <w:rPr>
          <w:rFonts w:hint="default" w:ascii="Times New Roman" w:hAnsi="Times New Roman" w:cs="Times New Roman"/>
          <w:color w:val="auto"/>
          <w:szCs w:val="28"/>
          <w:u w:val="none" w:color="auto"/>
        </w:rPr>
        <w:t>COD、NH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-N总量已纳入污水处理厂内指标，本环评不建议另设COD、NH</w:t>
      </w:r>
      <w:r>
        <w:rPr>
          <w:rFonts w:hint="default" w:ascii="Times New Roman" w:hAnsi="Times New Roman" w:cs="Times New Roman"/>
          <w:color w:val="auto"/>
          <w:szCs w:val="28"/>
          <w:u w:val="none" w:color="auto"/>
          <w:vertAlign w:val="subscript"/>
        </w:rPr>
        <w:t>3</w:t>
      </w:r>
      <w:r>
        <w:rPr>
          <w:rFonts w:hint="default" w:ascii="Times New Roman" w:hAnsi="Times New Roman" w:cs="Times New Roman"/>
          <w:color w:val="auto"/>
          <w:szCs w:val="28"/>
          <w:u w:val="none" w:color="auto"/>
        </w:rPr>
        <w:t>-N总量控制指标。</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本环评建议该项目总量控制指标为VOCs24.0</w:t>
      </w:r>
      <w:r>
        <w:rPr>
          <w:rFonts w:hint="eastAsia" w:ascii="Times New Roman" w:hAnsi="Times New Roman" w:eastAsia="宋体" w:cs="Times New Roman"/>
          <w:color w:val="auto"/>
          <w:szCs w:val="28"/>
          <w:u w:val="none" w:color="auto"/>
          <w:lang w:val="en-US" w:eastAsia="zh-CN"/>
        </w:rPr>
        <w:t>17</w:t>
      </w:r>
      <w:r>
        <w:rPr>
          <w:rFonts w:hint="default" w:ascii="Times New Roman" w:hAnsi="Times New Roman" w:cs="Times New Roman"/>
          <w:color w:val="auto"/>
          <w:szCs w:val="28"/>
          <w:u w:val="none" w:color="auto"/>
        </w:rPr>
        <w:t>t/a、SO</w:t>
      </w:r>
      <w:r>
        <w:rPr>
          <w:rFonts w:hint="default" w:ascii="Times New Roman" w:hAnsi="Times New Roman" w:cs="Times New Roman"/>
          <w:color w:val="auto"/>
          <w:szCs w:val="28"/>
          <w:u w:val="none" w:color="auto"/>
          <w:vertAlign w:val="subscript"/>
        </w:rPr>
        <w:t>2</w:t>
      </w:r>
      <w:r>
        <w:rPr>
          <w:rFonts w:hint="default" w:ascii="Times New Roman" w:hAnsi="Times New Roman" w:cs="Times New Roman"/>
          <w:color w:val="auto"/>
          <w:szCs w:val="28"/>
          <w:u w:val="none" w:color="auto"/>
        </w:rPr>
        <w:t>0.0</w:t>
      </w:r>
      <w:r>
        <w:rPr>
          <w:rFonts w:hint="eastAsia" w:ascii="Times New Roman" w:hAnsi="Times New Roman" w:eastAsia="宋体" w:cs="Times New Roman"/>
          <w:color w:val="auto"/>
          <w:szCs w:val="28"/>
          <w:u w:val="none" w:color="auto"/>
          <w:lang w:val="en-US" w:eastAsia="zh-CN"/>
        </w:rPr>
        <w:t>09</w:t>
      </w:r>
      <w:r>
        <w:rPr>
          <w:rFonts w:hint="default" w:ascii="Times New Roman" w:hAnsi="Times New Roman" w:cs="Times New Roman"/>
          <w:color w:val="auto"/>
          <w:szCs w:val="28"/>
          <w:u w:val="none" w:color="auto"/>
        </w:rPr>
        <w:t>t/a、NOx0.</w:t>
      </w:r>
      <w:r>
        <w:rPr>
          <w:rFonts w:hint="eastAsia" w:ascii="Times New Roman" w:hAnsi="Times New Roman" w:eastAsia="宋体" w:cs="Times New Roman"/>
          <w:color w:val="auto"/>
          <w:szCs w:val="28"/>
          <w:u w:val="none" w:color="auto"/>
          <w:lang w:val="en-US" w:eastAsia="zh-CN"/>
        </w:rPr>
        <w:t>0567</w:t>
      </w:r>
      <w:r>
        <w:rPr>
          <w:rFonts w:hint="default" w:ascii="Times New Roman" w:hAnsi="Times New Roman" w:cs="Times New Roman"/>
          <w:color w:val="auto"/>
          <w:szCs w:val="28"/>
          <w:u w:val="none" w:color="auto"/>
        </w:rPr>
        <w:t>t/a。大气污染物均作为总量考核因子。</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本项目工程所有工业固废均进行合理处理处置，实现工业固体废弃物零排放。</w:t>
      </w:r>
    </w:p>
    <w:p>
      <w:pPr>
        <w:pStyle w:val="11"/>
        <w:bidi w:val="0"/>
        <w:spacing w:line="360" w:lineRule="auto"/>
        <w:ind w:left="851" w:hanging="851"/>
        <w:rPr>
          <w:color w:val="auto"/>
          <w:sz w:val="30"/>
          <w:szCs w:val="30"/>
        </w:rPr>
      </w:pPr>
      <w:r>
        <w:rPr>
          <w:color w:val="auto"/>
          <w:sz w:val="30"/>
          <w:szCs w:val="30"/>
        </w:rPr>
        <w:t>产业政策、规划符合性和选址合理性结论</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根据前文分析，本项目属于《产业结构调整指导目录（2024年本）》</w:t>
      </w:r>
      <w:r>
        <w:rPr>
          <w:rFonts w:hint="default" w:ascii="Times New Roman" w:hAnsi="Times New Roman" w:cs="Times New Roman"/>
          <w:color w:val="auto"/>
          <w:szCs w:val="28"/>
          <w:u w:val="none" w:color="auto"/>
          <w:lang w:val="en-US" w:eastAsia="zh-CN"/>
        </w:rPr>
        <w:t>允许类，项目的建设符合国家的产业政策</w:t>
      </w:r>
      <w:r>
        <w:rPr>
          <w:rFonts w:hint="eastAsia" w:ascii="Times New Roman" w:hAnsi="Times New Roman" w:cs="Times New Roman"/>
          <w:color w:val="auto"/>
          <w:szCs w:val="28"/>
          <w:u w:val="none" w:color="auto"/>
          <w:lang w:val="en-US" w:eastAsia="zh-CN"/>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项目建设符合</w:t>
      </w:r>
      <w:r>
        <w:rPr>
          <w:rFonts w:hint="default" w:ascii="Times New Roman" w:hAnsi="Times New Roman" w:cs="Times New Roman"/>
          <w:color w:val="auto"/>
          <w:szCs w:val="28"/>
          <w:u w:val="none" w:color="auto"/>
          <w:lang w:val="en-US" w:eastAsia="zh-CN"/>
        </w:rPr>
        <w:t>《2020年挥发性有机物治理攻坚方案》（环大气〔2020〕33号）</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《重点行业挥发性有机物综合治理方案》（环大气〔2019〕53号）</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《挥发性有机物无组织排放控制标准》（GB37822</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2019）</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《湖南省VOCS污染防治三年实施方案（2018</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2020年）》</w:t>
      </w:r>
      <w:r>
        <w:rPr>
          <w:rFonts w:hint="eastAsia" w:ascii="Times New Roman" w:hAnsi="Times New Roman" w:cs="Times New Roman"/>
          <w:color w:val="auto"/>
          <w:szCs w:val="28"/>
          <w:u w:val="none" w:color="auto"/>
          <w:lang w:val="en-US" w:eastAsia="zh-CN"/>
        </w:rPr>
        <w:t>、</w:t>
      </w:r>
      <w:r>
        <w:rPr>
          <w:rFonts w:hint="default" w:ascii="Times New Roman" w:hAnsi="Times New Roman" w:cs="Times New Roman"/>
          <w:color w:val="auto"/>
          <w:szCs w:val="28"/>
          <w:u w:val="none" w:color="auto"/>
          <w:lang w:val="en-US" w:eastAsia="zh-CN"/>
        </w:rPr>
        <w:t>《挥发性有机物污染防治技术政策》（公告2013年第31号）</w:t>
      </w:r>
      <w:r>
        <w:rPr>
          <w:rFonts w:hint="eastAsia" w:ascii="Times New Roman" w:hAnsi="Times New Roman" w:cs="Times New Roman"/>
          <w:color w:val="auto"/>
          <w:szCs w:val="28"/>
          <w:u w:val="none" w:color="auto"/>
          <w:lang w:val="en-US" w:eastAsia="zh-CN"/>
        </w:rPr>
        <w:t>等行业政策。</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eastAsia" w:ascii="Times New Roman" w:hAnsi="Times New Roman" w:cs="Times New Roman"/>
          <w:color w:val="auto"/>
          <w:szCs w:val="28"/>
          <w:u w:val="none" w:color="auto"/>
          <w:lang w:val="en-US" w:eastAsia="zh-CN"/>
        </w:rPr>
      </w:pPr>
      <w:r>
        <w:rPr>
          <w:rFonts w:hint="eastAsia" w:ascii="Times New Roman" w:hAnsi="Times New Roman" w:cs="Times New Roman"/>
          <w:color w:val="auto"/>
          <w:szCs w:val="28"/>
          <w:u w:val="none" w:color="auto"/>
          <w:lang w:val="en-US" w:eastAsia="zh-CN"/>
        </w:rPr>
        <w:t>项目选址位于</w:t>
      </w:r>
      <w:r>
        <w:rPr>
          <w:rFonts w:hint="default" w:ascii="Times New Roman" w:hAnsi="Times New Roman" w:cs="Times New Roman"/>
          <w:color w:val="auto"/>
          <w:szCs w:val="28"/>
          <w:u w:val="none" w:color="auto"/>
          <w:lang w:val="en-US" w:eastAsia="zh-CN"/>
        </w:rPr>
        <w:t>零陵高新技术产业开发区</w:t>
      </w:r>
      <w:r>
        <w:rPr>
          <w:rFonts w:hint="eastAsia" w:ascii="Times New Roman" w:hAnsi="Times New Roman" w:cs="Times New Roman"/>
          <w:color w:val="auto"/>
          <w:szCs w:val="28"/>
          <w:u w:val="none" w:color="auto"/>
          <w:lang w:val="en-US" w:eastAsia="zh-CN"/>
        </w:rPr>
        <w:t>河西片区范围内，</w:t>
      </w:r>
      <w:r>
        <w:rPr>
          <w:rFonts w:hint="default" w:ascii="Times New Roman" w:hAnsi="Times New Roman" w:cs="Times New Roman"/>
          <w:color w:val="auto"/>
          <w:szCs w:val="28"/>
          <w:u w:val="none" w:color="auto"/>
          <w:lang w:val="en-US" w:eastAsia="zh-CN"/>
        </w:rPr>
        <w:t>各污染物均达标排放，符合环境准入负面清单管理的相关要求</w:t>
      </w:r>
      <w:r>
        <w:rPr>
          <w:rFonts w:hint="eastAsia" w:ascii="Times New Roman" w:hAnsi="Times New Roman" w:cs="Times New Roman"/>
          <w:color w:val="auto"/>
          <w:szCs w:val="28"/>
          <w:u w:val="none" w:color="auto"/>
          <w:lang w:val="en-US" w:eastAsia="zh-CN"/>
        </w:rPr>
        <w:t>；满足《湖南省生态环境分区管控总体管控要求暨省级以上产业园区生态环境准入清单》中零陵高新技术产业开发区生态环境准入要求。</w:t>
      </w:r>
      <w:r>
        <w:rPr>
          <w:rFonts w:hint="default" w:ascii="Times New Roman" w:hAnsi="Times New Roman" w:cs="Times New Roman"/>
          <w:color w:val="auto"/>
          <w:szCs w:val="28"/>
          <w:u w:val="none" w:color="auto"/>
          <w:lang w:val="en-US" w:eastAsia="zh-CN"/>
        </w:rPr>
        <w:t>《湖南省长江经济带负面发展清单实施细则（试行）》</w:t>
      </w:r>
      <w:r>
        <w:rPr>
          <w:rFonts w:hint="eastAsia" w:ascii="Times New Roman" w:hAnsi="Times New Roman" w:cs="Times New Roman"/>
          <w:color w:val="auto"/>
          <w:szCs w:val="28"/>
          <w:u w:val="none" w:color="auto"/>
          <w:lang w:val="en-US" w:eastAsia="zh-CN"/>
        </w:rPr>
        <w:t>，《永州市“十四五”生态环境保护规划》《湖南省大气污染防治“守护蓝天”攻坚行动计划（2023-2025年）》</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lang w:val="en-US" w:eastAsia="zh-CN"/>
        </w:rPr>
      </w:pPr>
      <w:r>
        <w:rPr>
          <w:rFonts w:hint="default" w:ascii="Times New Roman" w:hAnsi="Times New Roman" w:cs="Times New Roman"/>
          <w:color w:val="auto"/>
          <w:szCs w:val="28"/>
          <w:u w:val="none" w:color="auto"/>
          <w:lang w:val="en-US" w:eastAsia="zh-CN"/>
        </w:rPr>
        <w:t>根据《</w:t>
      </w:r>
      <w:r>
        <w:rPr>
          <w:rFonts w:hint="eastAsia" w:ascii="Times New Roman" w:hAnsi="Times New Roman" w:cs="Times New Roman"/>
          <w:color w:val="auto"/>
          <w:szCs w:val="28"/>
          <w:u w:val="none" w:color="auto"/>
          <w:lang w:val="en-US" w:eastAsia="zh-CN"/>
        </w:rPr>
        <w:t>零陵高新技术产业开发区（河西片区）控制性详细规划</w:t>
      </w:r>
      <w:r>
        <w:rPr>
          <w:rFonts w:hint="default" w:ascii="Times New Roman" w:hAnsi="Times New Roman" w:cs="Times New Roman"/>
          <w:color w:val="auto"/>
          <w:szCs w:val="28"/>
          <w:u w:val="none" w:color="auto"/>
          <w:lang w:val="en-US" w:eastAsia="zh-CN"/>
        </w:rPr>
        <w:t>》</w:t>
      </w:r>
      <w:r>
        <w:rPr>
          <w:rFonts w:hint="eastAsia" w:ascii="Times New Roman" w:hAnsi="Times New Roman" w:cs="Times New Roman"/>
          <w:b w:val="0"/>
          <w:bCs w:val="0"/>
          <w:color w:val="auto"/>
          <w:szCs w:val="28"/>
          <w:u w:val="none" w:color="auto"/>
          <w:lang w:val="en-US" w:eastAsia="zh-CN"/>
        </w:rPr>
        <w:t>——</w:t>
      </w:r>
      <w:r>
        <w:rPr>
          <w:rFonts w:hint="eastAsia" w:ascii="Times New Roman" w:hAnsi="Times New Roman" w:cs="Times New Roman"/>
          <w:color w:val="auto"/>
          <w:szCs w:val="28"/>
          <w:u w:val="none" w:color="auto"/>
          <w:lang w:val="en-US" w:eastAsia="zh-CN"/>
        </w:rPr>
        <w:t>土地使用规划图</w:t>
      </w:r>
      <w:r>
        <w:rPr>
          <w:rFonts w:hint="default" w:ascii="Times New Roman" w:hAnsi="Times New Roman" w:cs="Times New Roman"/>
          <w:color w:val="auto"/>
          <w:szCs w:val="28"/>
          <w:u w:val="none" w:color="auto"/>
          <w:lang w:val="en-US" w:eastAsia="zh-CN"/>
        </w:rPr>
        <w:t>，项目用地性质属于</w:t>
      </w:r>
      <w:r>
        <w:rPr>
          <w:rFonts w:hint="eastAsia" w:ascii="Times New Roman" w:hAnsi="Times New Roman" w:cs="Times New Roman"/>
          <w:color w:val="auto"/>
          <w:szCs w:val="28"/>
          <w:u w:val="none" w:color="auto"/>
          <w:lang w:val="en-US" w:eastAsia="zh-CN"/>
        </w:rPr>
        <w:t>一类</w:t>
      </w:r>
      <w:r>
        <w:rPr>
          <w:rFonts w:hint="default" w:ascii="Times New Roman" w:hAnsi="Times New Roman" w:cs="Times New Roman"/>
          <w:color w:val="auto"/>
          <w:szCs w:val="28"/>
          <w:u w:val="none" w:color="auto"/>
          <w:lang w:val="en-US" w:eastAsia="zh-CN"/>
        </w:rPr>
        <w:t>工业用地，符合土地利用规划要求。</w:t>
      </w:r>
      <w:r>
        <w:rPr>
          <w:rFonts w:hint="eastAsia" w:ascii="Times New Roman" w:hAnsi="Times New Roman" w:cs="Times New Roman"/>
          <w:color w:val="auto"/>
          <w:szCs w:val="28"/>
          <w:u w:val="none" w:color="auto"/>
          <w:lang w:val="en-US" w:eastAsia="zh-CN"/>
        </w:rPr>
        <w:t>项目建设符合《</w:t>
      </w:r>
      <w:r>
        <w:rPr>
          <w:rFonts w:hint="default" w:ascii="Times New Roman" w:hAnsi="Times New Roman" w:cs="Times New Roman"/>
          <w:color w:val="auto"/>
          <w:szCs w:val="28"/>
          <w:u w:val="none" w:color="auto"/>
          <w:lang w:val="en-US" w:eastAsia="zh-CN"/>
        </w:rPr>
        <w:t>零陵高新技术产业开发区调区扩区规划环境影响报告书</w:t>
      </w:r>
      <w:r>
        <w:rPr>
          <w:rFonts w:hint="eastAsia" w:ascii="Times New Roman" w:hAnsi="Times New Roman" w:cs="Times New Roman"/>
          <w:color w:val="auto"/>
          <w:szCs w:val="28"/>
          <w:u w:val="none" w:color="auto"/>
          <w:lang w:val="en-US" w:eastAsia="zh-CN"/>
        </w:rPr>
        <w:t>》及其审查意见的函相关要求，且本项目建设单位已与零陵高新技术产业开发区</w:t>
      </w:r>
      <w:r>
        <w:rPr>
          <w:rFonts w:hint="default" w:ascii="Times New Roman" w:hAnsi="Times New Roman" w:cs="Times New Roman"/>
          <w:color w:val="auto"/>
          <w:szCs w:val="28"/>
          <w:u w:val="none" w:color="auto"/>
          <w:lang w:val="en-US" w:eastAsia="zh-CN"/>
        </w:rPr>
        <w:t>管委会</w:t>
      </w:r>
      <w:r>
        <w:rPr>
          <w:rFonts w:hint="eastAsia" w:ascii="Times New Roman" w:hAnsi="Times New Roman" w:cs="Times New Roman"/>
          <w:color w:val="auto"/>
          <w:szCs w:val="28"/>
          <w:u w:val="none" w:color="auto"/>
          <w:lang w:val="en-US" w:eastAsia="zh-CN"/>
        </w:rPr>
        <w:t>签订入园合同。</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本项目厂址周围无自然保护区、名胜古迹、生活饮用水源地、生态脆弱敏感区和其他需要特殊保护的敏感目标。项目厂址外环境关系较为简单，周边均为工业用地，</w:t>
      </w:r>
      <w:r>
        <w:rPr>
          <w:rFonts w:hint="eastAsia" w:ascii="Times New Roman" w:hAnsi="Times New Roman" w:eastAsia="宋体" w:cs="Times New Roman"/>
          <w:color w:val="auto"/>
          <w:szCs w:val="28"/>
          <w:u w:val="none" w:color="auto"/>
          <w:lang w:val="en-US" w:eastAsia="zh-CN"/>
        </w:rPr>
        <w:t>2</w:t>
      </w:r>
      <w:r>
        <w:rPr>
          <w:rFonts w:hint="default" w:ascii="Times New Roman" w:hAnsi="Times New Roman" w:cs="Times New Roman"/>
          <w:color w:val="auto"/>
          <w:szCs w:val="28"/>
          <w:u w:val="none" w:color="auto"/>
        </w:rPr>
        <w:t>00m范围内无规划居民用地存在，无集中居住区、学校、医院等环境敏感点。项目在采取本报告提出的污染防治措施并确保其正常有效运行的前提下，污染物均能达标排放，对周围环境污染影响小，符合区域环境功能要求。从环境保护角度分析，项目选址合理、可行。</w:t>
      </w:r>
    </w:p>
    <w:p>
      <w:pPr>
        <w:pStyle w:val="11"/>
        <w:bidi w:val="0"/>
        <w:spacing w:line="360" w:lineRule="auto"/>
        <w:ind w:left="851" w:hanging="851"/>
        <w:rPr>
          <w:color w:val="auto"/>
          <w:sz w:val="30"/>
          <w:szCs w:val="30"/>
        </w:rPr>
      </w:pPr>
      <w:r>
        <w:rPr>
          <w:color w:val="auto"/>
          <w:sz w:val="30"/>
          <w:szCs w:val="30"/>
        </w:rPr>
        <w:t>公众参与</w:t>
      </w:r>
    </w:p>
    <w:p>
      <w:pPr>
        <w:keepNext w:val="0"/>
        <w:keepLines w:val="0"/>
        <w:pageBreakBefore w:val="0"/>
        <w:widowControl/>
        <w:kinsoku/>
        <w:wordWrap/>
        <w:overflowPunct/>
        <w:topLinePunct/>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sz w:val="24"/>
          <w:szCs w:val="24"/>
          <w:u w:val="none" w:color="auto"/>
        </w:rPr>
      </w:pPr>
      <w:r>
        <w:rPr>
          <w:rFonts w:hint="default" w:ascii="Times New Roman" w:hAnsi="Times New Roman" w:eastAsia="宋体" w:cs="Times New Roman"/>
          <w:color w:val="auto"/>
          <w:spacing w:val="0"/>
          <w:w w:val="100"/>
          <w:sz w:val="24"/>
          <w:szCs w:val="24"/>
          <w:highlight w:val="none"/>
          <w:u w:val="none" w:color="auto"/>
        </w:rPr>
        <w:t>202</w:t>
      </w:r>
      <w:r>
        <w:rPr>
          <w:rFonts w:hint="eastAsia" w:ascii="Times New Roman" w:hAnsi="Times New Roman" w:eastAsia="宋体" w:cs="Times New Roman"/>
          <w:color w:val="auto"/>
          <w:spacing w:val="0"/>
          <w:w w:val="100"/>
          <w:sz w:val="24"/>
          <w:szCs w:val="24"/>
          <w:highlight w:val="none"/>
          <w:u w:val="none" w:color="auto"/>
          <w:lang w:val="en-US" w:eastAsia="zh-CN"/>
        </w:rPr>
        <w:t>4</w:t>
      </w:r>
      <w:r>
        <w:rPr>
          <w:rFonts w:hint="default" w:ascii="Times New Roman" w:hAnsi="Times New Roman" w:eastAsia="宋体" w:cs="Times New Roman"/>
          <w:color w:val="auto"/>
          <w:spacing w:val="0"/>
          <w:w w:val="100"/>
          <w:sz w:val="24"/>
          <w:szCs w:val="24"/>
          <w:highlight w:val="none"/>
          <w:u w:val="none" w:color="auto"/>
        </w:rPr>
        <w:t>年</w:t>
      </w:r>
      <w:r>
        <w:rPr>
          <w:rFonts w:hint="eastAsia" w:ascii="Times New Roman" w:hAnsi="Times New Roman" w:eastAsia="宋体" w:cs="Times New Roman"/>
          <w:color w:val="auto"/>
          <w:spacing w:val="0"/>
          <w:w w:val="100"/>
          <w:sz w:val="24"/>
          <w:szCs w:val="24"/>
          <w:highlight w:val="none"/>
          <w:u w:val="none" w:color="auto"/>
          <w:lang w:val="en-US" w:eastAsia="zh-CN"/>
        </w:rPr>
        <w:t>10</w:t>
      </w:r>
      <w:r>
        <w:rPr>
          <w:rFonts w:hint="default" w:ascii="Times New Roman" w:hAnsi="Times New Roman" w:eastAsia="宋体" w:cs="Times New Roman"/>
          <w:color w:val="auto"/>
          <w:spacing w:val="0"/>
          <w:w w:val="100"/>
          <w:sz w:val="24"/>
          <w:szCs w:val="24"/>
          <w:highlight w:val="none"/>
          <w:u w:val="none" w:color="auto"/>
        </w:rPr>
        <w:t>月</w:t>
      </w:r>
      <w:r>
        <w:rPr>
          <w:rFonts w:hint="eastAsia" w:ascii="Times New Roman" w:hAnsi="Times New Roman" w:eastAsia="宋体" w:cs="Times New Roman"/>
          <w:color w:val="auto"/>
          <w:spacing w:val="0"/>
          <w:w w:val="100"/>
          <w:sz w:val="24"/>
          <w:szCs w:val="24"/>
          <w:highlight w:val="none"/>
          <w:u w:val="none" w:color="auto"/>
          <w:lang w:val="en-US" w:eastAsia="zh-CN"/>
        </w:rPr>
        <w:t>15</w:t>
      </w:r>
      <w:r>
        <w:rPr>
          <w:rFonts w:hint="default" w:ascii="Times New Roman" w:hAnsi="Times New Roman" w:eastAsia="宋体" w:cs="Times New Roman"/>
          <w:color w:val="auto"/>
          <w:spacing w:val="0"/>
          <w:w w:val="100"/>
          <w:sz w:val="24"/>
          <w:szCs w:val="24"/>
          <w:highlight w:val="none"/>
          <w:u w:val="none" w:color="auto"/>
        </w:rPr>
        <w:t>日，</w:t>
      </w:r>
      <w:r>
        <w:rPr>
          <w:rFonts w:hint="default" w:ascii="Times New Roman" w:hAnsi="Times New Roman" w:eastAsia="宋体" w:cs="Times New Roman"/>
          <w:color w:val="auto"/>
          <w:spacing w:val="0"/>
          <w:w w:val="100"/>
          <w:sz w:val="24"/>
          <w:szCs w:val="24"/>
          <w:u w:val="none" w:color="auto"/>
        </w:rPr>
        <w:t>建设单位</w:t>
      </w:r>
      <w:r>
        <w:rPr>
          <w:rFonts w:hint="eastAsia" w:ascii="Times New Roman" w:hAnsi="Times New Roman" w:eastAsia="宋体" w:cs="Times New Roman"/>
          <w:color w:val="auto"/>
          <w:spacing w:val="0"/>
          <w:w w:val="100"/>
          <w:sz w:val="24"/>
          <w:szCs w:val="24"/>
          <w:u w:val="none" w:color="auto"/>
          <w:lang w:eastAsia="zh-CN"/>
        </w:rPr>
        <w:t>永州大道包装有限公司</w:t>
      </w:r>
      <w:r>
        <w:rPr>
          <w:rFonts w:hint="default" w:ascii="Times New Roman" w:hAnsi="Times New Roman" w:eastAsia="宋体" w:cs="Times New Roman"/>
          <w:color w:val="auto"/>
          <w:spacing w:val="0"/>
          <w:w w:val="100"/>
          <w:sz w:val="24"/>
          <w:szCs w:val="24"/>
          <w:u w:val="none" w:color="auto"/>
        </w:rPr>
        <w:t>委托</w:t>
      </w:r>
      <w:r>
        <w:rPr>
          <w:rFonts w:hint="eastAsia" w:ascii="Times New Roman" w:hAnsi="Times New Roman" w:eastAsia="宋体" w:cs="Times New Roman"/>
          <w:color w:val="auto"/>
          <w:spacing w:val="0"/>
          <w:w w:val="100"/>
          <w:sz w:val="24"/>
          <w:szCs w:val="24"/>
          <w:u w:val="none" w:color="auto"/>
          <w:lang w:eastAsia="zh-CN"/>
        </w:rPr>
        <w:t>湖南振德环保科技有限公司</w:t>
      </w:r>
      <w:r>
        <w:rPr>
          <w:rFonts w:hint="default" w:ascii="Times New Roman" w:hAnsi="Times New Roman" w:eastAsia="宋体" w:cs="Times New Roman"/>
          <w:color w:val="auto"/>
          <w:spacing w:val="0"/>
          <w:w w:val="100"/>
          <w:sz w:val="24"/>
          <w:szCs w:val="24"/>
          <w:u w:val="none" w:color="auto"/>
        </w:rPr>
        <w:t>开展本项目的环境影响评价工作。依据《环境影响评价公众参与办法》，建设单位按要求开展了公众参与工作。</w:t>
      </w:r>
    </w:p>
    <w:p>
      <w:pPr>
        <w:keepNext w:val="0"/>
        <w:keepLines w:val="0"/>
        <w:pageBreakBefore w:val="0"/>
        <w:widowControl/>
        <w:kinsoku/>
        <w:wordWrap/>
        <w:overflowPunct/>
        <w:topLinePunct/>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sz w:val="24"/>
          <w:szCs w:val="24"/>
          <w:u w:val="none" w:color="auto"/>
        </w:rPr>
      </w:pPr>
      <w:r>
        <w:rPr>
          <w:rFonts w:hint="default" w:ascii="Times New Roman" w:hAnsi="Times New Roman" w:eastAsia="宋体" w:cs="Times New Roman"/>
          <w:color w:val="auto"/>
          <w:spacing w:val="0"/>
          <w:w w:val="100"/>
          <w:sz w:val="24"/>
          <w:szCs w:val="24"/>
          <w:u w:val="none" w:color="auto"/>
        </w:rPr>
        <w:t>本项目公众参与工作如下：</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eastAsia="宋体" w:cs="Times New Roman"/>
          <w:color w:val="auto"/>
          <w:spacing w:val="0"/>
          <w:w w:val="100"/>
          <w:sz w:val="24"/>
          <w:szCs w:val="24"/>
          <w:u w:val="none" w:color="auto"/>
        </w:rPr>
        <w:t>根据《环境影响评价公众参与办法》（生态环境部令第4号），为规范环境影响评价公众参与，保障公众环境保护知情权、参与权、表达权和监督权，遵循依法、有序、公开、便利原则。签订环评委托后，</w:t>
      </w:r>
      <w:r>
        <w:rPr>
          <w:rFonts w:ascii="宋体" w:hAnsi="宋体" w:eastAsia="宋体" w:cs="宋体"/>
          <w:color w:val="auto"/>
          <w:spacing w:val="0"/>
          <w:w w:val="100"/>
          <w:sz w:val="24"/>
          <w:szCs w:val="24"/>
          <w:u w:val="none" w:color="auto"/>
        </w:rPr>
        <w:t>于</w:t>
      </w:r>
      <w:r>
        <w:rPr>
          <w:rFonts w:ascii="Times New Roman" w:hAnsi="Times New Roman" w:eastAsia="Times New Roman" w:cs="Times New Roman"/>
          <w:color w:val="auto"/>
          <w:spacing w:val="0"/>
          <w:w w:val="100"/>
          <w:sz w:val="24"/>
          <w:szCs w:val="24"/>
          <w:u w:val="none" w:color="auto"/>
        </w:rPr>
        <w:t>202</w:t>
      </w:r>
      <w:r>
        <w:rPr>
          <w:rFonts w:hint="eastAsia" w:ascii="Times New Roman" w:hAnsi="Times New Roman" w:eastAsia="宋体" w:cs="Times New Roman"/>
          <w:color w:val="auto"/>
          <w:spacing w:val="0"/>
          <w:w w:val="100"/>
          <w:sz w:val="24"/>
          <w:szCs w:val="24"/>
          <w:u w:val="none" w:color="auto"/>
          <w:lang w:val="en-US" w:eastAsia="zh-CN"/>
        </w:rPr>
        <w:t>4</w:t>
      </w:r>
      <w:r>
        <w:rPr>
          <w:rFonts w:ascii="宋体" w:hAnsi="宋体" w:eastAsia="宋体" w:cs="宋体"/>
          <w:color w:val="auto"/>
          <w:spacing w:val="0"/>
          <w:w w:val="100"/>
          <w:sz w:val="24"/>
          <w:szCs w:val="24"/>
          <w:u w:val="none" w:color="auto"/>
        </w:rPr>
        <w:t>年</w:t>
      </w:r>
      <w:r>
        <w:rPr>
          <w:rFonts w:hint="eastAsia" w:ascii="Times New Roman" w:hAnsi="Times New Roman" w:eastAsia="宋体" w:cs="Times New Roman"/>
          <w:color w:val="auto"/>
          <w:spacing w:val="0"/>
          <w:w w:val="100"/>
          <w:sz w:val="24"/>
          <w:szCs w:val="24"/>
          <w:u w:val="none" w:color="auto"/>
          <w:lang w:val="en-US" w:eastAsia="zh-CN"/>
        </w:rPr>
        <w:t>10</w:t>
      </w:r>
      <w:r>
        <w:rPr>
          <w:rFonts w:ascii="宋体" w:hAnsi="宋体" w:eastAsia="宋体" w:cs="宋体"/>
          <w:color w:val="auto"/>
          <w:spacing w:val="0"/>
          <w:w w:val="100"/>
          <w:sz w:val="24"/>
          <w:szCs w:val="24"/>
          <w:u w:val="none" w:color="auto"/>
        </w:rPr>
        <w:t>月</w:t>
      </w:r>
      <w:r>
        <w:rPr>
          <w:rFonts w:hint="eastAsia" w:ascii="Times New Roman" w:hAnsi="Times New Roman" w:eastAsia="宋体" w:cs="Times New Roman"/>
          <w:color w:val="auto"/>
          <w:spacing w:val="0"/>
          <w:w w:val="100"/>
          <w:sz w:val="24"/>
          <w:szCs w:val="24"/>
          <w:u w:val="none" w:color="auto"/>
          <w:lang w:val="en-US" w:eastAsia="zh-CN"/>
        </w:rPr>
        <w:t>21</w:t>
      </w:r>
      <w:r>
        <w:rPr>
          <w:rFonts w:ascii="宋体" w:hAnsi="宋体" w:eastAsia="宋体" w:cs="宋体"/>
          <w:color w:val="auto"/>
          <w:spacing w:val="0"/>
          <w:w w:val="100"/>
          <w:sz w:val="24"/>
          <w:szCs w:val="24"/>
          <w:u w:val="none" w:color="auto"/>
        </w:rPr>
        <w:t>日在</w:t>
      </w:r>
      <w:r>
        <w:rPr>
          <w:rFonts w:hint="eastAsia" w:ascii="宋体" w:hAnsi="宋体" w:eastAsia="宋体" w:cs="宋体"/>
          <w:color w:val="auto"/>
          <w:spacing w:val="0"/>
          <w:w w:val="100"/>
          <w:sz w:val="24"/>
          <w:szCs w:val="24"/>
          <w:u w:val="none" w:color="auto"/>
          <w:lang w:val="en-US" w:eastAsia="zh-CN"/>
        </w:rPr>
        <w:t>全国建设项目环境信息公示平台</w:t>
      </w:r>
      <w:r>
        <w:rPr>
          <w:rFonts w:ascii="宋体" w:hAnsi="宋体" w:eastAsia="宋体" w:cs="宋体"/>
          <w:color w:val="auto"/>
          <w:spacing w:val="0"/>
          <w:w w:val="100"/>
          <w:sz w:val="24"/>
          <w:szCs w:val="24"/>
          <w:u w:val="none" w:color="auto"/>
        </w:rPr>
        <w:t>进行了环境影响评价第一次网</w:t>
      </w:r>
      <w:r>
        <w:rPr>
          <w:rFonts w:hint="default" w:ascii="Times New Roman" w:hAnsi="Times New Roman" w:eastAsia="宋体" w:cs="Times New Roman"/>
          <w:color w:val="auto"/>
          <w:spacing w:val="0"/>
          <w:w w:val="100"/>
          <w:sz w:val="24"/>
          <w:szCs w:val="24"/>
          <w:u w:val="none" w:color="auto"/>
        </w:rPr>
        <w:t>上公示</w:t>
      </w:r>
      <w:r>
        <w:rPr>
          <w:rFonts w:hint="default" w:ascii="Times New Roman" w:hAnsi="Times New Roman" w:eastAsia="宋体" w:cs="Times New Roman"/>
          <w:color w:val="auto"/>
          <w:spacing w:val="0"/>
          <w:w w:val="100"/>
          <w:sz w:val="24"/>
          <w:szCs w:val="24"/>
          <w:u w:val="none" w:color="auto"/>
          <w:lang w:eastAsia="zh-CN"/>
        </w:rPr>
        <w:t>（</w:t>
      </w:r>
      <w:r>
        <w:rPr>
          <w:rFonts w:hint="default" w:ascii="Times New Roman" w:hAnsi="Times New Roman" w:cs="Times New Roman"/>
          <w:color w:val="auto"/>
          <w:spacing w:val="0"/>
          <w:w w:val="100"/>
          <w:sz w:val="24"/>
          <w:szCs w:val="24"/>
          <w:u w:val="none" w:color="auto"/>
        </w:rPr>
        <w:t>https://www.eiacloud.com/gs/detail/1?id=41021z31Wr</w:t>
      </w:r>
      <w:r>
        <w:rPr>
          <w:rFonts w:hint="default" w:ascii="Times New Roman" w:hAnsi="Times New Roman" w:eastAsia="宋体" w:cs="Times New Roman"/>
          <w:color w:val="auto"/>
          <w:spacing w:val="0"/>
          <w:w w:val="100"/>
          <w:sz w:val="24"/>
          <w:szCs w:val="24"/>
          <w:u w:val="none" w:color="auto"/>
          <w:lang w:eastAsia="zh-CN"/>
        </w:rPr>
        <w:t>）</w:t>
      </w:r>
      <w:r>
        <w:rPr>
          <w:rFonts w:hint="default" w:ascii="Times New Roman" w:hAnsi="Times New Roman" w:eastAsia="宋体" w:cs="Times New Roman"/>
          <w:color w:val="auto"/>
          <w:spacing w:val="0"/>
          <w:w w:val="100"/>
          <w:sz w:val="24"/>
          <w:szCs w:val="24"/>
          <w:u w:val="none" w:color="auto"/>
        </w:rPr>
        <w:t>，公示时间为签订合同后</w:t>
      </w:r>
      <w:r>
        <w:rPr>
          <w:rFonts w:hint="eastAsia" w:ascii="Times New Roman" w:hAnsi="Times New Roman" w:eastAsia="宋体" w:cs="Times New Roman"/>
          <w:color w:val="auto"/>
          <w:spacing w:val="0"/>
          <w:w w:val="100"/>
          <w:sz w:val="24"/>
          <w:szCs w:val="24"/>
          <w:u w:val="none" w:color="auto"/>
          <w:lang w:val="en-US" w:eastAsia="zh-CN"/>
        </w:rPr>
        <w:t>6</w:t>
      </w:r>
      <w:r>
        <w:rPr>
          <w:rFonts w:hint="default" w:ascii="Times New Roman" w:hAnsi="Times New Roman" w:eastAsia="宋体" w:cs="Times New Roman"/>
          <w:color w:val="auto"/>
          <w:spacing w:val="0"/>
          <w:w w:val="100"/>
          <w:sz w:val="24"/>
          <w:szCs w:val="24"/>
          <w:u w:val="none" w:color="auto"/>
        </w:rPr>
        <w:t>个自然日（</w:t>
      </w:r>
      <w:r>
        <w:rPr>
          <w:rFonts w:hint="eastAsia" w:ascii="Times New Roman" w:hAnsi="Times New Roman" w:eastAsia="宋体" w:cs="Times New Roman"/>
          <w:color w:val="auto"/>
          <w:spacing w:val="0"/>
          <w:w w:val="100"/>
          <w:sz w:val="24"/>
          <w:szCs w:val="24"/>
          <w:u w:val="none" w:color="auto"/>
          <w:lang w:val="en-US" w:eastAsia="zh-CN"/>
        </w:rPr>
        <w:t>4</w:t>
      </w:r>
      <w:r>
        <w:rPr>
          <w:rFonts w:hint="default" w:ascii="Times New Roman" w:hAnsi="Times New Roman" w:eastAsia="宋体" w:cs="Times New Roman"/>
          <w:color w:val="auto"/>
          <w:spacing w:val="0"/>
          <w:w w:val="100"/>
          <w:sz w:val="24"/>
          <w:szCs w:val="24"/>
          <w:u w:val="none" w:color="auto"/>
        </w:rPr>
        <w:t>个工作日）。本报告编制完成后，于202</w:t>
      </w:r>
      <w:r>
        <w:rPr>
          <w:rFonts w:hint="eastAsia" w:ascii="Times New Roman" w:hAnsi="Times New Roman" w:eastAsia="宋体" w:cs="Times New Roman"/>
          <w:color w:val="auto"/>
          <w:spacing w:val="0"/>
          <w:w w:val="100"/>
          <w:sz w:val="24"/>
          <w:szCs w:val="24"/>
          <w:u w:val="none" w:color="auto"/>
          <w:lang w:val="en-US" w:eastAsia="zh-CN"/>
        </w:rPr>
        <w:t>4</w:t>
      </w:r>
      <w:r>
        <w:rPr>
          <w:rFonts w:hint="default" w:ascii="Times New Roman" w:hAnsi="Times New Roman" w:eastAsia="宋体" w:cs="Times New Roman"/>
          <w:color w:val="auto"/>
          <w:spacing w:val="0"/>
          <w:w w:val="100"/>
          <w:sz w:val="24"/>
          <w:szCs w:val="24"/>
          <w:u w:val="none" w:color="auto"/>
        </w:rPr>
        <w:t>年</w:t>
      </w:r>
      <w:r>
        <w:rPr>
          <w:rFonts w:hint="eastAsia" w:ascii="Times New Roman" w:hAnsi="Times New Roman" w:eastAsia="宋体" w:cs="Times New Roman"/>
          <w:color w:val="auto"/>
          <w:spacing w:val="0"/>
          <w:w w:val="100"/>
          <w:sz w:val="24"/>
          <w:szCs w:val="24"/>
          <w:u w:val="none" w:color="auto"/>
          <w:lang w:val="en-US" w:eastAsia="zh-CN"/>
        </w:rPr>
        <w:t>11</w:t>
      </w:r>
      <w:r>
        <w:rPr>
          <w:rFonts w:hint="default" w:ascii="Times New Roman" w:hAnsi="Times New Roman" w:eastAsia="宋体" w:cs="Times New Roman"/>
          <w:color w:val="auto"/>
          <w:spacing w:val="0"/>
          <w:w w:val="100"/>
          <w:sz w:val="24"/>
          <w:szCs w:val="24"/>
          <w:u w:val="none" w:color="auto"/>
        </w:rPr>
        <w:t>月</w:t>
      </w:r>
      <w:r>
        <w:rPr>
          <w:rFonts w:hint="eastAsia" w:ascii="Times New Roman" w:hAnsi="Times New Roman" w:eastAsia="宋体" w:cs="Times New Roman"/>
          <w:color w:val="auto"/>
          <w:spacing w:val="0"/>
          <w:w w:val="100"/>
          <w:sz w:val="24"/>
          <w:szCs w:val="24"/>
          <w:u w:val="none" w:color="auto"/>
          <w:lang w:val="en-US" w:eastAsia="zh-CN"/>
        </w:rPr>
        <w:t>1</w:t>
      </w:r>
      <w:r>
        <w:rPr>
          <w:rFonts w:hint="default" w:ascii="Times New Roman" w:hAnsi="Times New Roman" w:eastAsia="宋体" w:cs="Times New Roman"/>
          <w:color w:val="auto"/>
          <w:spacing w:val="0"/>
          <w:w w:val="100"/>
          <w:sz w:val="24"/>
          <w:szCs w:val="24"/>
          <w:u w:val="none" w:color="auto"/>
        </w:rPr>
        <w:t>日</w:t>
      </w:r>
      <w:r>
        <w:rPr>
          <w:rFonts w:ascii="宋体" w:hAnsi="宋体" w:eastAsia="宋体" w:cs="宋体"/>
          <w:color w:val="auto"/>
          <w:spacing w:val="0"/>
          <w:w w:val="100"/>
          <w:sz w:val="24"/>
          <w:szCs w:val="24"/>
          <w:u w:val="none" w:color="auto"/>
        </w:rPr>
        <w:t>在</w:t>
      </w:r>
      <w:r>
        <w:rPr>
          <w:rFonts w:hint="eastAsia" w:ascii="宋体" w:hAnsi="宋体" w:eastAsia="宋体" w:cs="宋体"/>
          <w:color w:val="auto"/>
          <w:spacing w:val="0"/>
          <w:w w:val="100"/>
          <w:sz w:val="24"/>
          <w:szCs w:val="24"/>
          <w:u w:val="none" w:color="auto"/>
          <w:lang w:val="en-US" w:eastAsia="zh-CN"/>
        </w:rPr>
        <w:t>全国建设项目环境信息公示平台</w:t>
      </w:r>
      <w:r>
        <w:rPr>
          <w:rFonts w:hint="default" w:ascii="Times New Roman" w:hAnsi="Times New Roman" w:eastAsia="宋体" w:cs="Times New Roman"/>
          <w:color w:val="auto"/>
          <w:spacing w:val="0"/>
          <w:w w:val="100"/>
          <w:sz w:val="24"/>
          <w:szCs w:val="24"/>
          <w:u w:val="none" w:color="auto"/>
        </w:rPr>
        <w:t>对环境影响报告书征求意见稿进行了公示</w:t>
      </w:r>
      <w:r>
        <w:rPr>
          <w:rFonts w:hint="default" w:ascii="Times New Roman" w:hAnsi="Times New Roman" w:eastAsia="宋体" w:cs="Times New Roman"/>
          <w:color w:val="auto"/>
          <w:spacing w:val="0"/>
          <w:w w:val="100"/>
          <w:sz w:val="24"/>
          <w:szCs w:val="24"/>
          <w:u w:val="none" w:color="auto"/>
          <w:lang w:eastAsia="zh-CN"/>
        </w:rPr>
        <w:t>（</w:t>
      </w:r>
      <w:r>
        <w:rPr>
          <w:rFonts w:hint="default" w:ascii="Times New Roman" w:hAnsi="Times New Roman" w:cs="Times New Roman"/>
          <w:color w:val="auto"/>
          <w:spacing w:val="0"/>
          <w:w w:val="100"/>
          <w:sz w:val="24"/>
          <w:szCs w:val="24"/>
          <w:u w:val="none" w:color="auto"/>
        </w:rPr>
        <w:t>https://www.eiacloud.com/gs/detail/1?id=41021z31Wr</w:t>
      </w:r>
      <w:r>
        <w:rPr>
          <w:rFonts w:hint="default" w:ascii="Times New Roman" w:hAnsi="Times New Roman" w:eastAsia="宋体" w:cs="Times New Roman"/>
          <w:color w:val="auto"/>
          <w:spacing w:val="0"/>
          <w:w w:val="100"/>
          <w:sz w:val="24"/>
          <w:szCs w:val="24"/>
          <w:u w:val="none" w:color="auto"/>
          <w:lang w:eastAsia="zh-CN"/>
        </w:rPr>
        <w:t>）</w:t>
      </w:r>
      <w:r>
        <w:rPr>
          <w:rFonts w:hint="default" w:ascii="Times New Roman" w:hAnsi="Times New Roman" w:eastAsia="宋体" w:cs="Times New Roman"/>
          <w:color w:val="auto"/>
          <w:spacing w:val="0"/>
          <w:w w:val="100"/>
          <w:sz w:val="24"/>
          <w:szCs w:val="24"/>
          <w:u w:val="none" w:color="auto"/>
        </w:rPr>
        <w:t>，</w:t>
      </w:r>
      <w:r>
        <w:rPr>
          <w:rFonts w:hint="default" w:ascii="Times New Roman" w:hAnsi="Times New Roman" w:cs="Times New Roman"/>
          <w:color w:val="auto"/>
          <w:spacing w:val="0"/>
          <w:w w:val="100"/>
          <w:sz w:val="24"/>
          <w:szCs w:val="24"/>
          <w:u w:val="none" w:color="auto"/>
        </w:rPr>
        <w:t>同期在现场张贴了公告，并于202</w:t>
      </w:r>
      <w:r>
        <w:rPr>
          <w:rFonts w:hint="eastAsia" w:ascii="Times New Roman" w:hAnsi="Times New Roman" w:cs="Times New Roman"/>
          <w:color w:val="auto"/>
          <w:spacing w:val="0"/>
          <w:w w:val="100"/>
          <w:sz w:val="24"/>
          <w:szCs w:val="24"/>
          <w:u w:val="none" w:color="auto"/>
          <w:lang w:val="en-US" w:eastAsia="zh-CN"/>
        </w:rPr>
        <w:t>4</w:t>
      </w:r>
      <w:r>
        <w:rPr>
          <w:rFonts w:hint="default" w:ascii="Times New Roman" w:hAnsi="Times New Roman" w:cs="Times New Roman"/>
          <w:color w:val="auto"/>
          <w:spacing w:val="0"/>
          <w:w w:val="100"/>
          <w:sz w:val="24"/>
          <w:szCs w:val="24"/>
          <w:u w:val="none" w:color="auto"/>
        </w:rPr>
        <w:t>年</w:t>
      </w:r>
      <w:r>
        <w:rPr>
          <w:rFonts w:hint="eastAsia" w:ascii="Times New Roman" w:hAnsi="Times New Roman" w:cs="Times New Roman"/>
          <w:color w:val="auto"/>
          <w:spacing w:val="0"/>
          <w:w w:val="100"/>
          <w:sz w:val="24"/>
          <w:szCs w:val="24"/>
          <w:u w:val="none" w:color="auto"/>
          <w:lang w:val="en-US" w:eastAsia="zh-CN"/>
        </w:rPr>
        <w:t>11</w:t>
      </w:r>
      <w:r>
        <w:rPr>
          <w:rFonts w:hint="default" w:ascii="Times New Roman" w:hAnsi="Times New Roman" w:cs="Times New Roman"/>
          <w:color w:val="auto"/>
          <w:spacing w:val="0"/>
          <w:w w:val="100"/>
          <w:sz w:val="24"/>
          <w:szCs w:val="24"/>
          <w:u w:val="none" w:color="auto"/>
        </w:rPr>
        <w:t>月</w:t>
      </w:r>
      <w:r>
        <w:rPr>
          <w:rFonts w:hint="eastAsia" w:ascii="Times New Roman" w:hAnsi="Times New Roman" w:cs="Times New Roman"/>
          <w:color w:val="auto"/>
          <w:spacing w:val="0"/>
          <w:w w:val="100"/>
          <w:sz w:val="24"/>
          <w:szCs w:val="24"/>
          <w:u w:val="none" w:color="auto"/>
          <w:lang w:val="en-US" w:eastAsia="zh-CN"/>
        </w:rPr>
        <w:t>11</w:t>
      </w:r>
      <w:r>
        <w:rPr>
          <w:rFonts w:hint="default" w:ascii="Times New Roman" w:hAnsi="Times New Roman" w:cs="Times New Roman"/>
          <w:color w:val="auto"/>
          <w:spacing w:val="0"/>
          <w:w w:val="100"/>
          <w:sz w:val="24"/>
          <w:szCs w:val="24"/>
          <w:u w:val="none" w:color="auto"/>
        </w:rPr>
        <w:t>日、</w:t>
      </w:r>
      <w:r>
        <w:rPr>
          <w:rFonts w:hint="eastAsia" w:ascii="Times New Roman" w:hAnsi="Times New Roman" w:cs="Times New Roman"/>
          <w:color w:val="auto"/>
          <w:spacing w:val="0"/>
          <w:w w:val="100"/>
          <w:sz w:val="24"/>
          <w:szCs w:val="24"/>
          <w:u w:val="none" w:color="auto"/>
          <w:lang w:val="en-US" w:eastAsia="zh-CN"/>
        </w:rPr>
        <w:t>11</w:t>
      </w:r>
      <w:r>
        <w:rPr>
          <w:rFonts w:hint="default" w:ascii="Times New Roman" w:hAnsi="Times New Roman" w:cs="Times New Roman"/>
          <w:color w:val="auto"/>
          <w:spacing w:val="0"/>
          <w:w w:val="100"/>
          <w:sz w:val="24"/>
          <w:szCs w:val="24"/>
          <w:u w:val="none" w:color="auto"/>
        </w:rPr>
        <w:t>月</w:t>
      </w:r>
      <w:r>
        <w:rPr>
          <w:rFonts w:hint="eastAsia" w:ascii="Times New Roman" w:hAnsi="Times New Roman" w:cs="Times New Roman"/>
          <w:color w:val="auto"/>
          <w:spacing w:val="0"/>
          <w:w w:val="100"/>
          <w:sz w:val="24"/>
          <w:szCs w:val="24"/>
          <w:u w:val="none" w:color="auto"/>
          <w:lang w:val="en-US" w:eastAsia="zh-CN"/>
        </w:rPr>
        <w:t>12</w:t>
      </w:r>
      <w:r>
        <w:rPr>
          <w:rFonts w:hint="default" w:ascii="Times New Roman" w:hAnsi="Times New Roman" w:cs="Times New Roman"/>
          <w:color w:val="auto"/>
          <w:spacing w:val="0"/>
          <w:w w:val="100"/>
          <w:sz w:val="24"/>
          <w:szCs w:val="24"/>
          <w:u w:val="none" w:color="auto"/>
        </w:rPr>
        <w:t>日分别在《</w:t>
      </w:r>
      <w:r>
        <w:rPr>
          <w:rFonts w:hint="eastAsia" w:ascii="Times New Roman" w:hAnsi="Times New Roman" w:cs="Times New Roman"/>
          <w:color w:val="auto"/>
          <w:spacing w:val="0"/>
          <w:w w:val="100"/>
          <w:sz w:val="24"/>
          <w:szCs w:val="24"/>
          <w:u w:val="none" w:color="auto"/>
          <w:lang w:val="en-US" w:eastAsia="zh-CN"/>
        </w:rPr>
        <w:t>环球时报</w:t>
      </w:r>
      <w:r>
        <w:rPr>
          <w:rFonts w:hint="default" w:ascii="Times New Roman" w:hAnsi="Times New Roman" w:cs="Times New Roman"/>
          <w:color w:val="auto"/>
          <w:spacing w:val="0"/>
          <w:w w:val="100"/>
          <w:sz w:val="24"/>
          <w:szCs w:val="24"/>
          <w:u w:val="none" w:color="auto"/>
        </w:rPr>
        <w:t>》进行了公示。</w:t>
      </w:r>
      <w:r>
        <w:rPr>
          <w:rFonts w:hint="default" w:ascii="Times New Roman" w:hAnsi="Times New Roman" w:eastAsia="宋体" w:cs="Times New Roman"/>
          <w:color w:val="auto"/>
          <w:spacing w:val="0"/>
          <w:w w:val="100"/>
          <w:sz w:val="24"/>
          <w:szCs w:val="24"/>
          <w:u w:val="none" w:color="auto"/>
        </w:rPr>
        <w:t>所有公示期间，无公众向建设单位及环评单位提出与环境影响评价相关的意见。</w:t>
      </w:r>
    </w:p>
    <w:p>
      <w:pPr>
        <w:pStyle w:val="11"/>
        <w:bidi w:val="0"/>
        <w:spacing w:line="360" w:lineRule="auto"/>
        <w:ind w:left="851" w:hanging="851"/>
        <w:rPr>
          <w:color w:val="auto"/>
          <w:sz w:val="30"/>
          <w:szCs w:val="30"/>
        </w:rPr>
      </w:pPr>
      <w:r>
        <w:rPr>
          <w:color w:val="auto"/>
          <w:sz w:val="30"/>
          <w:szCs w:val="30"/>
        </w:rPr>
        <w:t>评价结论</w:t>
      </w:r>
    </w:p>
    <w:p>
      <w:pPr>
        <w:keepNext w:val="0"/>
        <w:keepLines w:val="0"/>
        <w:pageBreakBefore w:val="0"/>
        <w:widowControl/>
        <w:kinsoku/>
        <w:wordWrap/>
        <w:overflowPunct/>
        <w:topLinePunct w:val="0"/>
        <w:autoSpaceDE w:val="0"/>
        <w:autoSpaceDN w:val="0"/>
        <w:bidi w:val="0"/>
        <w:adjustRightInd w:val="0"/>
        <w:snapToGrid w:val="0"/>
        <w:spacing w:before="78" w:line="384" w:lineRule="auto"/>
        <w:ind w:left="0" w:right="28" w:firstLine="482"/>
        <w:jc w:val="both"/>
        <w:textAlignment w:val="baseline"/>
        <w:rPr>
          <w:rFonts w:ascii="宋体" w:hAnsi="宋体" w:eastAsia="宋体" w:cs="宋体"/>
          <w:color w:val="auto"/>
          <w:sz w:val="24"/>
          <w:szCs w:val="24"/>
        </w:rPr>
      </w:pPr>
      <w:r>
        <w:rPr>
          <w:rFonts w:ascii="宋体" w:hAnsi="宋体" w:eastAsia="宋体" w:cs="宋体"/>
          <w:b/>
          <w:bCs/>
          <w:color w:val="auto"/>
          <w:spacing w:val="-2"/>
          <w:sz w:val="24"/>
          <w:szCs w:val="24"/>
        </w:rPr>
        <w:t>综上所述，</w:t>
      </w:r>
      <w:r>
        <w:rPr>
          <w:rFonts w:hint="default" w:ascii="宋体" w:hAnsi="宋体" w:eastAsia="宋体" w:cs="宋体"/>
          <w:b/>
          <w:bCs/>
          <w:color w:val="auto"/>
          <w:spacing w:val="-2"/>
          <w:sz w:val="24"/>
          <w:szCs w:val="24"/>
        </w:rPr>
        <w:t>本项目符合产业政策，基本符合</w:t>
      </w:r>
      <w:r>
        <w:rPr>
          <w:rFonts w:hint="eastAsia" w:ascii="宋体" w:hAnsi="宋体" w:eastAsia="宋体" w:cs="宋体"/>
          <w:b/>
          <w:bCs/>
          <w:color w:val="auto"/>
          <w:spacing w:val="-2"/>
          <w:sz w:val="24"/>
          <w:szCs w:val="24"/>
          <w:lang w:eastAsia="zh-CN"/>
        </w:rPr>
        <w:t>零陵高新技术产业开发区河西片区</w:t>
      </w:r>
      <w:r>
        <w:rPr>
          <w:rFonts w:hint="default" w:ascii="宋体" w:hAnsi="宋体" w:eastAsia="宋体" w:cs="宋体"/>
          <w:b/>
          <w:bCs/>
          <w:color w:val="auto"/>
          <w:spacing w:val="-2"/>
          <w:sz w:val="24"/>
          <w:szCs w:val="24"/>
        </w:rPr>
        <w:t>规划要求。项目具有较好的经济效益和社会效益，评价区域环境质量可接受。</w:t>
      </w:r>
      <w:r>
        <w:rPr>
          <w:rFonts w:hint="eastAsia" w:ascii="宋体" w:hAnsi="宋体" w:eastAsia="宋体" w:cs="宋体"/>
          <w:b/>
          <w:bCs/>
          <w:color w:val="auto"/>
          <w:spacing w:val="-2"/>
          <w:sz w:val="24"/>
          <w:szCs w:val="24"/>
          <w:lang w:val="en-US" w:eastAsia="zh-CN"/>
        </w:rPr>
        <w:t>本项目</w:t>
      </w:r>
      <w:r>
        <w:rPr>
          <w:rFonts w:hint="default" w:ascii="宋体" w:hAnsi="宋体" w:eastAsia="宋体" w:cs="宋体"/>
          <w:b/>
          <w:bCs/>
          <w:color w:val="auto"/>
          <w:spacing w:val="-2"/>
          <w:sz w:val="24"/>
          <w:szCs w:val="24"/>
        </w:rPr>
        <w:t>污染物排放严格执行现阶段污染物的排放标准，生产正常工况排污对环境的影响程度不大。项目位于</w:t>
      </w:r>
      <w:r>
        <w:rPr>
          <w:rFonts w:hint="eastAsia" w:ascii="宋体" w:hAnsi="宋体" w:eastAsia="宋体" w:cs="宋体"/>
          <w:b/>
          <w:bCs/>
          <w:color w:val="auto"/>
          <w:spacing w:val="-2"/>
          <w:sz w:val="24"/>
          <w:szCs w:val="24"/>
          <w:lang w:eastAsia="zh-CN"/>
        </w:rPr>
        <w:t>零陵高新技术产业开发区河西片区</w:t>
      </w:r>
      <w:r>
        <w:rPr>
          <w:rFonts w:hint="default" w:ascii="宋体" w:hAnsi="宋体" w:eastAsia="宋体" w:cs="宋体"/>
          <w:b/>
          <w:bCs/>
          <w:color w:val="auto"/>
          <w:spacing w:val="-2"/>
          <w:sz w:val="24"/>
          <w:szCs w:val="24"/>
        </w:rPr>
        <w:t>，从土地利用、区位条件等方面衡量，选址可行，在贯彻</w:t>
      </w:r>
      <w:r>
        <w:rPr>
          <w:rFonts w:hint="eastAsia" w:ascii="宋体" w:hAnsi="宋体" w:eastAsia="宋体" w:cs="宋体"/>
          <w:b/>
          <w:bCs/>
          <w:color w:val="auto"/>
          <w:spacing w:val="-2"/>
          <w:sz w:val="24"/>
          <w:szCs w:val="24"/>
          <w:lang w:eastAsia="zh-CN"/>
        </w:rPr>
        <w:t>“</w:t>
      </w:r>
      <w:r>
        <w:rPr>
          <w:rFonts w:hint="default" w:ascii="宋体" w:hAnsi="宋体" w:eastAsia="宋体" w:cs="宋体"/>
          <w:b/>
          <w:bCs/>
          <w:color w:val="auto"/>
          <w:spacing w:val="-2"/>
          <w:sz w:val="24"/>
          <w:szCs w:val="24"/>
        </w:rPr>
        <w:t>总量控制、达标排放、清洁生产</w:t>
      </w:r>
      <w:r>
        <w:rPr>
          <w:rFonts w:hint="eastAsia" w:ascii="宋体" w:hAnsi="宋体" w:eastAsia="宋体" w:cs="宋体"/>
          <w:b/>
          <w:bCs/>
          <w:color w:val="auto"/>
          <w:spacing w:val="-2"/>
          <w:sz w:val="24"/>
          <w:szCs w:val="24"/>
          <w:lang w:eastAsia="zh-CN"/>
        </w:rPr>
        <w:t>”</w:t>
      </w:r>
      <w:r>
        <w:rPr>
          <w:rFonts w:hint="default" w:ascii="宋体" w:hAnsi="宋体" w:eastAsia="宋体" w:cs="宋体"/>
          <w:b/>
          <w:bCs/>
          <w:color w:val="auto"/>
          <w:spacing w:val="-2"/>
          <w:sz w:val="24"/>
          <w:szCs w:val="24"/>
        </w:rPr>
        <w:t>的环保方针，尤其是严格加强废气处理系统建设与管理、确保废气按要求妥善处理的前提下，从环保角度衡量</w:t>
      </w:r>
      <w:r>
        <w:rPr>
          <w:rFonts w:hint="eastAsia" w:ascii="宋体" w:hAnsi="宋体" w:eastAsia="宋体" w:cs="宋体"/>
          <w:b/>
          <w:bCs/>
          <w:color w:val="auto"/>
          <w:spacing w:val="-2"/>
          <w:sz w:val="24"/>
          <w:szCs w:val="24"/>
          <w:lang w:val="en-US" w:eastAsia="zh-CN"/>
        </w:rPr>
        <w:t>项目</w:t>
      </w:r>
      <w:r>
        <w:rPr>
          <w:rFonts w:hint="default" w:ascii="宋体" w:hAnsi="宋体" w:eastAsia="宋体" w:cs="宋体"/>
          <w:b/>
          <w:bCs/>
          <w:color w:val="auto"/>
          <w:spacing w:val="-2"/>
          <w:sz w:val="24"/>
          <w:szCs w:val="24"/>
        </w:rPr>
        <w:t>建设是可行的。</w:t>
      </w:r>
    </w:p>
    <w:p>
      <w:pPr>
        <w:pStyle w:val="10"/>
        <w:bidi w:val="0"/>
        <w:spacing w:line="360" w:lineRule="auto"/>
        <w:rPr>
          <w:rFonts w:hint="default" w:ascii="Times New Roman" w:hAnsi="Times New Roman" w:cs="Times New Roman"/>
          <w:color w:val="auto"/>
          <w:sz w:val="32"/>
          <w:szCs w:val="32"/>
        </w:rPr>
      </w:pPr>
      <w:bookmarkStart w:id="150" w:name="bookmark148"/>
      <w:bookmarkEnd w:id="150"/>
      <w:bookmarkStart w:id="151" w:name="_Toc10776"/>
      <w:r>
        <w:rPr>
          <w:rFonts w:hint="default" w:ascii="Times New Roman" w:hAnsi="Times New Roman" w:cs="Times New Roman"/>
          <w:color w:val="auto"/>
          <w:sz w:val="32"/>
          <w:szCs w:val="32"/>
        </w:rPr>
        <w:t>建议和要求</w:t>
      </w:r>
      <w:bookmarkEnd w:id="151"/>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（1）建设单位应认真贯彻执行有关建设项目环境保护管理文件的精神，建立健全各项环保规章制度，严格执行</w:t>
      </w:r>
      <w:r>
        <w:rPr>
          <w:rFonts w:hint="eastAsia" w:ascii="Times New Roman" w:hAnsi="Times New Roman" w:eastAsia="宋体" w:cs="Times New Roman"/>
          <w:color w:val="auto"/>
          <w:szCs w:val="28"/>
          <w:u w:val="none" w:color="auto"/>
          <w:lang w:eastAsia="zh-CN"/>
        </w:rPr>
        <w:t>“</w:t>
      </w:r>
      <w:r>
        <w:rPr>
          <w:rFonts w:hint="default" w:ascii="Times New Roman" w:hAnsi="Times New Roman" w:cs="Times New Roman"/>
          <w:color w:val="auto"/>
          <w:szCs w:val="28"/>
          <w:u w:val="none" w:color="auto"/>
        </w:rPr>
        <w:t>三同时</w:t>
      </w:r>
      <w:r>
        <w:rPr>
          <w:rFonts w:hint="eastAsia" w:ascii="Times New Roman" w:hAnsi="Times New Roman" w:eastAsia="宋体" w:cs="Times New Roman"/>
          <w:color w:val="auto"/>
          <w:szCs w:val="28"/>
          <w:u w:val="none" w:color="auto"/>
          <w:lang w:eastAsia="zh-CN"/>
        </w:rPr>
        <w:t>”</w:t>
      </w:r>
      <w:r>
        <w:rPr>
          <w:rFonts w:hint="eastAsia" w:ascii="Times New Roman" w:hAnsi="Times New Roman" w:eastAsia="宋体" w:cs="Times New Roman"/>
          <w:color w:val="auto"/>
          <w:szCs w:val="28"/>
          <w:u w:val="none" w:color="auto"/>
          <w:lang w:val="en-US" w:eastAsia="zh-CN"/>
        </w:rPr>
        <w:t>制度</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（2）加强生产设施及污染防治设施运行的管理，定期对污染防治设施进行保养检修，确保污染物达标排放，避免污染事故发生。</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3）本项目的建设应重视引进和建立先进的环保管理模式，完善管理机制，强化企业职工自身的环保意识。配备必要的环境管理专职人员，落实、检查环保设施的运行状况，配合当地环保部门做好本厂的环境管理、验收、监督和检查工作。</w:t>
      </w:r>
    </w:p>
    <w:p>
      <w:pPr>
        <w:pStyle w:val="31"/>
        <w:keepNext w:val="0"/>
        <w:keepLines w:val="0"/>
        <w:pageBreakBefore w:val="0"/>
        <w:widowControl w:val="0"/>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（4）对危险废物实行从收集、运送、贮存、外运的全过程管理，</w:t>
      </w:r>
      <w:r>
        <w:rPr>
          <w:rFonts w:hint="eastAsia" w:ascii="Times New Roman" w:hAnsi="Times New Roman" w:eastAsia="宋体" w:cs="Times New Roman"/>
          <w:color w:val="auto"/>
          <w:szCs w:val="28"/>
          <w:u w:val="none" w:color="auto"/>
          <w:lang w:val="en-US" w:eastAsia="zh-CN"/>
        </w:rPr>
        <w:t>新建</w:t>
      </w:r>
      <w:r>
        <w:rPr>
          <w:rFonts w:hint="default" w:ascii="Times New Roman" w:hAnsi="Times New Roman" w:cs="Times New Roman"/>
          <w:color w:val="auto"/>
          <w:szCs w:val="28"/>
          <w:u w:val="none" w:color="auto"/>
        </w:rPr>
        <w:t>危险废物贮存设施，对危险废物分类收集、贮存，对项目产生的危险废物交由</w:t>
      </w:r>
      <w:r>
        <w:rPr>
          <w:rFonts w:hint="eastAsia" w:ascii="Times New Roman" w:hAnsi="Times New Roman" w:eastAsia="宋体" w:cs="Times New Roman"/>
          <w:color w:val="auto"/>
          <w:szCs w:val="28"/>
          <w:u w:val="none" w:color="auto"/>
          <w:lang w:val="en-US" w:eastAsia="zh-CN"/>
        </w:rPr>
        <w:t>有资质</w:t>
      </w:r>
      <w:r>
        <w:rPr>
          <w:rFonts w:hint="default" w:ascii="Times New Roman" w:hAnsi="Times New Roman" w:cs="Times New Roman"/>
          <w:color w:val="auto"/>
          <w:szCs w:val="28"/>
          <w:u w:val="none" w:color="auto"/>
        </w:rPr>
        <w:t>单位进行</w:t>
      </w:r>
      <w:r>
        <w:rPr>
          <w:rFonts w:hint="eastAsia" w:eastAsia="宋体"/>
          <w:color w:val="auto"/>
          <w:lang w:val="en-US" w:eastAsia="zh-CN"/>
        </w:rPr>
        <w:t>处置或综合利用</w:t>
      </w:r>
      <w:r>
        <w:rPr>
          <w:rFonts w:hint="default" w:ascii="Times New Roman" w:hAnsi="Times New Roman" w:cs="Times New Roman"/>
          <w:color w:val="auto"/>
          <w:szCs w:val="28"/>
          <w:u w:val="none" w:color="auto"/>
        </w:rPr>
        <w:t>。</w:t>
      </w:r>
    </w:p>
    <w:p>
      <w:pPr>
        <w:pStyle w:val="31"/>
        <w:keepNext w:val="0"/>
        <w:keepLines w:val="0"/>
        <w:pageBreakBefore w:val="0"/>
        <w:widowControl/>
        <w:kinsoku/>
        <w:wordWrap w:val="0"/>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（5）本项目应严格落实本环评报告中各项环保措施（尤其是各项废气处理措施），并加强对其维护管理，确保各项污染物对环境的影响降到最低。</w:t>
      </w:r>
    </w:p>
    <w:p>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w:t>
      </w:r>
      <w:r>
        <w:rPr>
          <w:rFonts w:hint="eastAsia" w:ascii="Times New Roman" w:hAnsi="Times New Roman" w:eastAsia="宋体" w:cs="Times New Roman"/>
          <w:color w:val="auto"/>
          <w:szCs w:val="28"/>
          <w:u w:val="none" w:color="auto"/>
          <w:lang w:val="en-US" w:eastAsia="zh-CN"/>
        </w:rPr>
        <w:t>6</w:t>
      </w:r>
      <w:r>
        <w:rPr>
          <w:rFonts w:hint="default" w:ascii="Times New Roman" w:hAnsi="Times New Roman" w:cs="Times New Roman"/>
          <w:color w:val="auto"/>
          <w:szCs w:val="28"/>
          <w:u w:val="none" w:color="auto"/>
        </w:rPr>
        <w:t>）在满足工艺生产要求的前提下，</w:t>
      </w:r>
      <w:r>
        <w:rPr>
          <w:rFonts w:hint="eastAsia" w:ascii="Times New Roman" w:hAnsi="Times New Roman" w:eastAsia="宋体" w:cs="Times New Roman"/>
          <w:color w:val="auto"/>
          <w:szCs w:val="28"/>
          <w:u w:val="none" w:color="auto"/>
          <w:lang w:eastAsia="zh-CN"/>
        </w:rPr>
        <w:t>建设单位</w:t>
      </w:r>
      <w:r>
        <w:rPr>
          <w:rFonts w:hint="default" w:ascii="Times New Roman" w:hAnsi="Times New Roman" w:cs="Times New Roman"/>
          <w:color w:val="auto"/>
          <w:szCs w:val="28"/>
          <w:u w:val="none" w:color="auto"/>
        </w:rPr>
        <w:t>应积极推进使用低（无）VOCs含量原辅材料和环境友好型技术替代。在日后的生产过程中应根据生产工艺进行逐步替代，逐步提高无溶剂复合技术占比；在满足工艺生产要求的前提下逐步使用水醇性油墨、水性油墨、辐射固化油墨等替代现有使用的油性油墨；在满足工艺生产要求的前提下逐步使用紫外光固化光油、低（无）挥发和高沸点的清洁剂等代替现有使用的易挥发清洁剂（稀释剂）。</w:t>
      </w:r>
    </w:p>
    <w:p>
      <w:pPr>
        <w:pStyle w:val="31"/>
        <w:keepNext w:val="0"/>
        <w:keepLines w:val="0"/>
        <w:pageBreakBefore w:val="0"/>
        <w:widowControl/>
        <w:kinsoku/>
        <w:wordWrap/>
        <w:overflowPunct/>
        <w:topLinePunct w:val="0"/>
        <w:autoSpaceDE w:val="0"/>
        <w:autoSpaceDN w:val="0"/>
        <w:bidi w:val="0"/>
        <w:adjustRightInd w:val="0"/>
        <w:snapToGrid w:val="0"/>
        <w:spacing w:line="360" w:lineRule="auto"/>
        <w:ind w:firstLine="480"/>
        <w:jc w:val="both"/>
        <w:textAlignment w:val="baseline"/>
        <w:rPr>
          <w:rFonts w:hint="default" w:ascii="Times New Roman" w:hAnsi="Times New Roman" w:cs="Times New Roman"/>
          <w:color w:val="auto"/>
          <w:szCs w:val="28"/>
          <w:u w:val="none" w:color="auto"/>
        </w:rPr>
      </w:pPr>
      <w:r>
        <w:rPr>
          <w:rFonts w:hint="default" w:ascii="Times New Roman" w:hAnsi="Times New Roman" w:cs="Times New Roman"/>
          <w:color w:val="auto"/>
          <w:szCs w:val="28"/>
          <w:u w:val="none" w:color="auto"/>
        </w:rPr>
        <w:t>同时，建设单位在日后的生产过程中应逐步调整印刷方式，在满足生产要求的前提下逐步采用柔印替代凹印、挤复代替溶剂复合，使用中央供墨系统等方式</w:t>
      </w:r>
      <w:r>
        <w:rPr>
          <w:rFonts w:hint="eastAsia" w:ascii="Times New Roman" w:hAnsi="Times New Roman" w:eastAsia="宋体" w:cs="Times New Roman"/>
          <w:color w:val="auto"/>
          <w:szCs w:val="28"/>
          <w:u w:val="none" w:color="auto"/>
          <w:lang w:eastAsia="zh-CN"/>
        </w:rPr>
        <w:t>减少</w:t>
      </w:r>
      <w:r>
        <w:rPr>
          <w:rFonts w:hint="default" w:ascii="Times New Roman" w:hAnsi="Times New Roman" w:cs="Times New Roman"/>
          <w:color w:val="auto"/>
          <w:szCs w:val="28"/>
          <w:u w:val="none" w:color="auto"/>
        </w:rPr>
        <w:t>有机废气的产生量。</w:t>
      </w:r>
    </w:p>
    <w:p>
      <w:pPr>
        <w:rPr>
          <w:rFonts w:ascii="宋体" w:hAnsi="宋体" w:eastAsia="宋体" w:cs="宋体"/>
          <w:color w:val="auto"/>
          <w:sz w:val="24"/>
          <w:szCs w:val="24"/>
        </w:rPr>
      </w:pPr>
      <w:r>
        <w:rPr>
          <w:rFonts w:ascii="宋体" w:hAnsi="宋体" w:eastAsia="宋体" w:cs="宋体"/>
          <w:color w:val="auto"/>
          <w:sz w:val="24"/>
          <w:szCs w:val="24"/>
        </w:rPr>
        <w:br w:type="page"/>
      </w:r>
    </w:p>
    <w:p>
      <w:pPr>
        <w:pStyle w:val="5"/>
        <w:bidi w:val="0"/>
        <w:rPr>
          <w:rFonts w:hint="default" w:ascii="Times New Roman" w:hAnsi="Times New Roman" w:cs="Times New Roman" w:eastAsiaTheme="majorEastAsia"/>
          <w:color w:val="auto"/>
          <w:sz w:val="36"/>
          <w:szCs w:val="36"/>
          <w:lang w:val="en-US" w:eastAsia="zh-CN"/>
        </w:rPr>
      </w:pPr>
      <w:bookmarkStart w:id="152" w:name="_Toc21909"/>
      <w:r>
        <w:rPr>
          <w:rFonts w:hint="eastAsia" w:ascii="Times New Roman" w:hAnsi="Times New Roman" w:cs="Times New Roman" w:eastAsiaTheme="majorEastAsia"/>
          <w:color w:val="auto"/>
          <w:sz w:val="36"/>
          <w:szCs w:val="36"/>
          <w:lang w:val="en-US" w:eastAsia="zh-CN"/>
        </w:rPr>
        <w:t>附图、附件、附表</w:t>
      </w:r>
      <w:bookmarkEnd w:id="152"/>
    </w:p>
    <w:p>
      <w:pPr>
        <w:pStyle w:val="10"/>
        <w:numPr>
          <w:ilvl w:val="1"/>
          <w:numId w:val="0"/>
        </w:numPr>
        <w:bidi w:val="0"/>
        <w:spacing w:line="360" w:lineRule="auto"/>
        <w:ind w:leftChars="0"/>
        <w:outlineLvl w:val="0"/>
        <w:rPr>
          <w:rFonts w:hint="eastAsia" w:ascii="Times New Roman" w:hAnsi="Times New Roman" w:cs="Times New Roman"/>
          <w:color w:val="auto"/>
          <w:sz w:val="32"/>
          <w:szCs w:val="32"/>
          <w:lang w:val="en-US" w:eastAsia="zh-CN"/>
        </w:rPr>
      </w:pPr>
      <w:bookmarkStart w:id="153" w:name="_Toc10079"/>
      <w:r>
        <w:rPr>
          <w:rFonts w:hint="eastAsia" w:ascii="Times New Roman" w:hAnsi="Times New Roman" w:cs="Times New Roman"/>
          <w:color w:val="auto"/>
          <w:sz w:val="32"/>
          <w:szCs w:val="32"/>
          <w:lang w:val="en-US" w:eastAsia="zh-CN"/>
        </w:rPr>
        <w:t>附件</w:t>
      </w:r>
      <w:bookmarkEnd w:id="153"/>
    </w:p>
    <w:p>
      <w:pPr>
        <w:pStyle w:val="10"/>
        <w:numPr>
          <w:ilvl w:val="1"/>
          <w:numId w:val="0"/>
        </w:numPr>
        <w:bidi w:val="0"/>
        <w:spacing w:line="360" w:lineRule="auto"/>
        <w:ind w:leftChars="0"/>
        <w:rPr>
          <w:rFonts w:hint="eastAsia" w:ascii="Times New Roman" w:hAnsi="Times New Roman" w:cs="Times New Roman"/>
          <w:color w:val="auto"/>
          <w:sz w:val="32"/>
          <w:szCs w:val="32"/>
          <w:lang w:eastAsia="zh-CN"/>
        </w:rPr>
      </w:pPr>
      <w:bookmarkStart w:id="154" w:name="_Toc19636"/>
      <w:r>
        <w:rPr>
          <w:rFonts w:hint="default" w:ascii="Times New Roman" w:hAnsi="Times New Roman" w:cs="Times New Roman"/>
          <w:color w:val="auto"/>
          <w:sz w:val="32"/>
          <w:szCs w:val="32"/>
        </w:rPr>
        <w:t>附件1：环评委托</w:t>
      </w:r>
      <w:r>
        <w:rPr>
          <w:rFonts w:hint="eastAsia" w:ascii="Times New Roman" w:hAnsi="Times New Roman" w:cs="Times New Roman"/>
          <w:color w:val="auto"/>
          <w:sz w:val="32"/>
          <w:szCs w:val="32"/>
          <w:lang w:val="en-US" w:eastAsia="zh-CN"/>
        </w:rPr>
        <w:t>书</w:t>
      </w:r>
      <w:bookmarkEnd w:id="154"/>
    </w:p>
    <w:p>
      <w:pPr>
        <w:spacing w:line="279" w:lineRule="auto"/>
        <w:rPr>
          <w:rFonts w:hint="eastAsia" w:ascii="Arial" w:eastAsia="宋体"/>
          <w:color w:val="auto"/>
          <w:sz w:val="21"/>
          <w:lang w:eastAsia="zh-CN"/>
        </w:rPr>
      </w:pPr>
      <w:r>
        <w:rPr>
          <w:rFonts w:hint="eastAsia" w:ascii="Arial" w:eastAsia="宋体"/>
          <w:color w:val="auto"/>
          <w:sz w:val="21"/>
          <w:lang w:eastAsia="zh-CN"/>
        </w:rPr>
        <w:drawing>
          <wp:inline distT="0" distB="0" distL="114300" distR="114300">
            <wp:extent cx="5303520" cy="7416800"/>
            <wp:effectExtent l="0" t="0" r="11430" b="12700"/>
            <wp:docPr id="78" name="图片 78" descr="环评委托书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78" descr="环评委托书_00"/>
                    <pic:cNvPicPr>
                      <a:picLocks noChangeAspect="true"/>
                    </pic:cNvPicPr>
                  </pic:nvPicPr>
                  <pic:blipFill>
                    <a:blip r:embed="rId55"/>
                    <a:srcRect l="2158" r="2387" b="5665"/>
                    <a:stretch>
                      <a:fillRect/>
                    </a:stretch>
                  </pic:blipFill>
                  <pic:spPr>
                    <a:xfrm>
                      <a:off x="0" y="0"/>
                      <a:ext cx="5303520" cy="7416800"/>
                    </a:xfrm>
                    <a:prstGeom prst="rect">
                      <a:avLst/>
                    </a:prstGeom>
                  </pic:spPr>
                </pic:pic>
              </a:graphicData>
            </a:graphic>
          </wp:inline>
        </w:drawing>
      </w:r>
    </w:p>
    <w:p>
      <w:pPr>
        <w:rPr>
          <w:rFonts w:ascii="宋体" w:hAnsi="宋体" w:eastAsia="宋体" w:cs="宋体"/>
          <w:b/>
          <w:bCs/>
          <w:color w:val="auto"/>
          <w:spacing w:val="-10"/>
          <w:sz w:val="28"/>
          <w:szCs w:val="28"/>
        </w:rPr>
      </w:pPr>
      <w:r>
        <w:rPr>
          <w:rFonts w:ascii="宋体" w:hAnsi="宋体" w:eastAsia="宋体" w:cs="宋体"/>
          <w:b/>
          <w:bCs/>
          <w:color w:val="auto"/>
          <w:spacing w:val="-10"/>
          <w:sz w:val="28"/>
          <w:szCs w:val="28"/>
        </w:rPr>
        <w:br w:type="page"/>
      </w: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55" w:name="_Toc1612"/>
      <w:r>
        <w:rPr>
          <w:rFonts w:hint="default" w:ascii="Times New Roman" w:hAnsi="Times New Roman" w:cs="Times New Roman"/>
          <w:color w:val="auto"/>
          <w:sz w:val="32"/>
          <w:szCs w:val="32"/>
        </w:rPr>
        <w:t>附件2：企业营业执照</w:t>
      </w:r>
      <w:bookmarkEnd w:id="155"/>
    </w:p>
    <w:p>
      <w:pPr>
        <w:spacing w:line="399" w:lineRule="auto"/>
        <w:rPr>
          <w:rFonts w:hint="eastAsia" w:ascii="Arial" w:eastAsia="宋体"/>
          <w:color w:val="auto"/>
          <w:sz w:val="21"/>
          <w:lang w:eastAsia="zh-CN"/>
        </w:rPr>
      </w:pPr>
      <w:r>
        <w:rPr>
          <w:rFonts w:hint="eastAsia" w:ascii="Arial" w:eastAsia="宋体"/>
          <w:color w:val="auto"/>
          <w:sz w:val="21"/>
          <w:lang w:eastAsia="zh-CN"/>
        </w:rPr>
        <w:drawing>
          <wp:inline distT="0" distB="0" distL="114300" distR="114300">
            <wp:extent cx="8032750" cy="5273675"/>
            <wp:effectExtent l="0" t="0" r="3175" b="6350"/>
            <wp:docPr id="24" name="图片 24" descr="永州大道-营业执照正本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永州大道-营业执照正本_00"/>
                    <pic:cNvPicPr>
                      <a:picLocks noChangeAspect="true"/>
                    </pic:cNvPicPr>
                  </pic:nvPicPr>
                  <pic:blipFill>
                    <a:blip r:embed="rId56"/>
                    <a:srcRect t="5118" b="1998"/>
                    <a:stretch>
                      <a:fillRect/>
                    </a:stretch>
                  </pic:blipFill>
                  <pic:spPr>
                    <a:xfrm rot="16200000">
                      <a:off x="0" y="0"/>
                      <a:ext cx="8032750" cy="5273675"/>
                    </a:xfrm>
                    <a:prstGeom prst="rect">
                      <a:avLst/>
                    </a:prstGeom>
                  </pic:spPr>
                </pic:pic>
              </a:graphicData>
            </a:graphic>
          </wp:inline>
        </w:drawing>
      </w:r>
    </w:p>
    <w:p>
      <w:pPr>
        <w:rPr>
          <w:rFonts w:hint="default" w:ascii="Times New Roman" w:hAnsi="Times New Roman" w:cs="Times New Roman"/>
          <w:color w:val="auto"/>
          <w:sz w:val="32"/>
          <w:szCs w:val="32"/>
        </w:rPr>
      </w:pPr>
      <w:r>
        <w:rPr>
          <w:rFonts w:hint="default" w:ascii="Times New Roman" w:hAnsi="Times New Roman" w:cs="Times New Roman"/>
          <w:color w:val="auto"/>
          <w:sz w:val="32"/>
          <w:szCs w:val="32"/>
        </w:rPr>
        <w:br w:type="page"/>
      </w:r>
    </w:p>
    <w:p>
      <w:pPr>
        <w:pStyle w:val="10"/>
        <w:numPr>
          <w:ilvl w:val="1"/>
          <w:numId w:val="0"/>
        </w:numPr>
        <w:bidi w:val="0"/>
        <w:spacing w:line="360" w:lineRule="auto"/>
        <w:ind w:leftChars="0"/>
        <w:rPr>
          <w:rFonts w:hint="eastAsia" w:ascii="Times New Roman" w:hAnsi="Times New Roman" w:eastAsia="宋体" w:cs="Times New Roman"/>
          <w:color w:val="auto"/>
          <w:sz w:val="32"/>
          <w:szCs w:val="32"/>
          <w:lang w:eastAsia="zh-CN"/>
        </w:rPr>
      </w:pPr>
      <w:bookmarkStart w:id="156" w:name="_Toc12203"/>
      <w:r>
        <w:rPr>
          <w:rFonts w:hint="default" w:ascii="Times New Roman" w:hAnsi="Times New Roman" w:cs="Times New Roman"/>
          <w:color w:val="auto"/>
          <w:sz w:val="32"/>
          <w:szCs w:val="32"/>
        </w:rPr>
        <w:t>附件3：项目备案</w:t>
      </w:r>
      <w:r>
        <w:rPr>
          <w:rFonts w:hint="eastAsia" w:ascii="Times New Roman" w:hAnsi="Times New Roman" w:eastAsia="宋体" w:cs="Times New Roman"/>
          <w:color w:val="auto"/>
          <w:sz w:val="32"/>
          <w:szCs w:val="32"/>
          <w:lang w:val="en-US" w:eastAsia="zh-CN"/>
        </w:rPr>
        <w:t>表</w:t>
      </w:r>
      <w:bookmarkEnd w:id="156"/>
    </w:p>
    <w:p>
      <w:pPr>
        <w:keepNext w:val="0"/>
        <w:keepLines w:val="0"/>
        <w:pageBreakBefore w:val="0"/>
        <w:widowControl w:val="0"/>
        <w:kinsoku w:val="0"/>
        <w:wordWrap/>
        <w:overflowPunct/>
        <w:topLinePunct w:val="0"/>
        <w:autoSpaceDE w:val="0"/>
        <w:autoSpaceDN w:val="0"/>
        <w:bidi w:val="0"/>
        <w:adjustRightInd w:val="0"/>
        <w:snapToGrid w:val="0"/>
        <w:spacing w:line="279" w:lineRule="auto"/>
        <w:textAlignment w:val="baseline"/>
        <w:rPr>
          <w:rFonts w:hint="eastAsia" w:ascii="Arial" w:eastAsia="宋体"/>
          <w:color w:val="auto"/>
          <w:sz w:val="21"/>
          <w:lang w:eastAsia="zh-CN"/>
        </w:rPr>
      </w:pPr>
      <w:r>
        <w:rPr>
          <w:rFonts w:hint="eastAsia" w:ascii="Arial" w:eastAsia="宋体"/>
          <w:color w:val="auto"/>
          <w:sz w:val="21"/>
          <w:lang w:eastAsia="zh-CN"/>
        </w:rPr>
        <w:drawing>
          <wp:inline distT="0" distB="0" distL="114300" distR="114300">
            <wp:extent cx="5297805" cy="8148955"/>
            <wp:effectExtent l="0" t="0" r="17145" b="4445"/>
            <wp:docPr id="50" name="图片 50" descr="大道包装有限公司立项备案证明(2)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大道包装有限公司立项备案证明(2)_00"/>
                    <pic:cNvPicPr>
                      <a:picLocks noChangeAspect="true"/>
                    </pic:cNvPicPr>
                  </pic:nvPicPr>
                  <pic:blipFill>
                    <a:blip r:embed="rId57"/>
                    <a:srcRect l="11239" t="4097" r="12302" b="5037"/>
                    <a:stretch>
                      <a:fillRect/>
                    </a:stretch>
                  </pic:blipFill>
                  <pic:spPr>
                    <a:xfrm>
                      <a:off x="0" y="0"/>
                      <a:ext cx="5297805" cy="814895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20030" cy="8175625"/>
            <wp:effectExtent l="0" t="0" r="13970" b="15875"/>
            <wp:docPr id="52" name="图片 52" descr="大道包装有限公司立项备案证明(2)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descr="大道包装有限公司立项备案证明(2)_01"/>
                    <pic:cNvPicPr>
                      <a:picLocks noChangeAspect="true"/>
                    </pic:cNvPicPr>
                  </pic:nvPicPr>
                  <pic:blipFill>
                    <a:blip r:embed="rId58"/>
                    <a:srcRect l="11631" t="4581" r="11747" b="4451"/>
                    <a:stretch>
                      <a:fillRect/>
                    </a:stretch>
                  </pic:blipFill>
                  <pic:spPr>
                    <a:xfrm>
                      <a:off x="0" y="0"/>
                      <a:ext cx="5320030" cy="8175625"/>
                    </a:xfrm>
                    <a:prstGeom prst="rect">
                      <a:avLst/>
                    </a:prstGeom>
                  </pic:spPr>
                </pic:pic>
              </a:graphicData>
            </a:graphic>
          </wp:inline>
        </w:drawing>
      </w:r>
    </w:p>
    <w:p>
      <w:pPr>
        <w:rPr>
          <w:rFonts w:hint="default" w:ascii="Times New Roman" w:hAnsi="Times New Roman" w:cs="Times New Roman"/>
          <w:color w:val="auto"/>
          <w:sz w:val="32"/>
          <w:szCs w:val="32"/>
        </w:rPr>
      </w:pPr>
      <w:r>
        <w:rPr>
          <w:rFonts w:hint="default" w:ascii="Times New Roman" w:hAnsi="Times New Roman" w:cs="Times New Roman"/>
          <w:color w:val="auto"/>
          <w:sz w:val="32"/>
          <w:szCs w:val="32"/>
        </w:rPr>
        <w:br w:type="page"/>
      </w: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57" w:name="_Toc30791"/>
      <w:r>
        <w:rPr>
          <w:rFonts w:hint="default" w:ascii="Times New Roman" w:hAnsi="Times New Roman" w:cs="Times New Roman"/>
          <w:color w:val="auto"/>
          <w:sz w:val="32"/>
          <w:szCs w:val="32"/>
        </w:rPr>
        <w:t>附件4：</w:t>
      </w:r>
      <w:r>
        <w:rPr>
          <w:rFonts w:hint="eastAsia" w:ascii="Times New Roman" w:hAnsi="Times New Roman" w:eastAsia="宋体" w:cs="Times New Roman"/>
          <w:color w:val="auto"/>
          <w:sz w:val="32"/>
          <w:szCs w:val="32"/>
          <w:lang w:val="en-US" w:eastAsia="zh-CN"/>
        </w:rPr>
        <w:t>厂房</w:t>
      </w:r>
      <w:r>
        <w:rPr>
          <w:rFonts w:hint="default" w:ascii="Times New Roman" w:hAnsi="Times New Roman" w:cs="Times New Roman"/>
          <w:color w:val="auto"/>
          <w:sz w:val="32"/>
          <w:szCs w:val="32"/>
        </w:rPr>
        <w:t>租赁协议</w:t>
      </w:r>
      <w:bookmarkEnd w:id="157"/>
    </w:p>
    <w:p>
      <w:pPr>
        <w:keepNext w:val="0"/>
        <w:keepLines w:val="0"/>
        <w:pageBreakBefore w:val="0"/>
        <w:widowControl w:val="0"/>
        <w:kinsoku w:val="0"/>
        <w:wordWrap/>
        <w:overflowPunct/>
        <w:topLinePunct w:val="0"/>
        <w:autoSpaceDE w:val="0"/>
        <w:autoSpaceDN w:val="0"/>
        <w:bidi w:val="0"/>
        <w:adjustRightInd w:val="0"/>
        <w:snapToGrid w:val="0"/>
        <w:spacing w:line="281" w:lineRule="auto"/>
        <w:textAlignment w:val="baseline"/>
        <w:rPr>
          <w:rFonts w:hint="eastAsia" w:ascii="Arial" w:eastAsia="宋体"/>
          <w:color w:val="auto"/>
          <w:sz w:val="21"/>
          <w:lang w:eastAsia="zh-CN"/>
        </w:rPr>
      </w:pPr>
      <w:r>
        <w:rPr>
          <w:rFonts w:hint="eastAsia" w:ascii="Arial" w:eastAsia="宋体"/>
          <w:color w:val="auto"/>
          <w:sz w:val="21"/>
          <w:lang w:eastAsia="zh-CN"/>
        </w:rPr>
        <w:drawing>
          <wp:inline distT="0" distB="0" distL="114300" distR="114300">
            <wp:extent cx="5304155" cy="8117840"/>
            <wp:effectExtent l="0" t="0" r="10795" b="16510"/>
            <wp:docPr id="34" name="图片 34" descr="永州市三利报废汽车回收拆解有限公司-厂房租赁合同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descr="永州市三利报废汽车回收拆解有限公司-厂房租赁合同_00"/>
                    <pic:cNvPicPr>
                      <a:picLocks noChangeAspect="true"/>
                    </pic:cNvPicPr>
                  </pic:nvPicPr>
                  <pic:blipFill>
                    <a:blip r:embed="rId59"/>
                    <a:srcRect l="7710"/>
                    <a:stretch>
                      <a:fillRect/>
                    </a:stretch>
                  </pic:blipFill>
                  <pic:spPr>
                    <a:xfrm>
                      <a:off x="0" y="0"/>
                      <a:ext cx="5304155" cy="811784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81930" cy="7861935"/>
            <wp:effectExtent l="0" t="0" r="13970" b="5715"/>
            <wp:docPr id="32" name="图片 32" descr="永州市三利报废汽车回收拆解有限公司-厂房租赁合同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descr="永州市三利报废汽车回收拆解有限公司-厂房租赁合同_01"/>
                    <pic:cNvPicPr>
                      <a:picLocks noChangeAspect="true"/>
                    </pic:cNvPicPr>
                  </pic:nvPicPr>
                  <pic:blipFill>
                    <a:blip r:embed="rId60"/>
                    <a:srcRect l="5098"/>
                    <a:stretch>
                      <a:fillRect/>
                    </a:stretch>
                  </pic:blipFill>
                  <pic:spPr>
                    <a:xfrm>
                      <a:off x="0" y="0"/>
                      <a:ext cx="5281930" cy="78619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35270" cy="7956550"/>
            <wp:effectExtent l="0" t="0" r="17780" b="6350"/>
            <wp:docPr id="30" name="图片 30" descr="永州市三利报废汽车回收拆解有限公司-厂房租赁合同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descr="永州市三利报废汽车回收拆解有限公司-厂房租赁合同_02"/>
                    <pic:cNvPicPr>
                      <a:picLocks noChangeAspect="true"/>
                    </pic:cNvPicPr>
                  </pic:nvPicPr>
                  <pic:blipFill>
                    <a:blip r:embed="rId61"/>
                    <a:srcRect l="5278"/>
                    <a:stretch>
                      <a:fillRect/>
                    </a:stretch>
                  </pic:blipFill>
                  <pic:spPr>
                    <a:xfrm>
                      <a:off x="0" y="0"/>
                      <a:ext cx="5335270" cy="795655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21300" cy="7966075"/>
            <wp:effectExtent l="0" t="0" r="12700" b="15875"/>
            <wp:docPr id="28" name="图片 28" descr="永州市三利报废汽车回收拆解有限公司-厂房租赁合同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永州市三利报废汽车回收拆解有限公司-厂房租赁合同_03"/>
                    <pic:cNvPicPr>
                      <a:picLocks noChangeAspect="true"/>
                    </pic:cNvPicPr>
                  </pic:nvPicPr>
                  <pic:blipFill>
                    <a:blip r:embed="rId62"/>
                    <a:srcRect l="5640"/>
                    <a:stretch>
                      <a:fillRect/>
                    </a:stretch>
                  </pic:blipFill>
                  <pic:spPr>
                    <a:xfrm>
                      <a:off x="0" y="0"/>
                      <a:ext cx="5321300" cy="796607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14315" cy="8001000"/>
            <wp:effectExtent l="0" t="0" r="635" b="0"/>
            <wp:docPr id="26" name="图片 26" descr="永州市三利报废汽车回收拆解有限公司-厂房租赁合同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descr="永州市三利报废汽车回收拆解有限公司-厂房租赁合同_04"/>
                    <pic:cNvPicPr>
                      <a:picLocks noChangeAspect="true"/>
                    </pic:cNvPicPr>
                  </pic:nvPicPr>
                  <pic:blipFill>
                    <a:blip r:embed="rId63"/>
                    <a:srcRect l="6182"/>
                    <a:stretch>
                      <a:fillRect/>
                    </a:stretch>
                  </pic:blipFill>
                  <pic:spPr>
                    <a:xfrm>
                      <a:off x="0" y="0"/>
                      <a:ext cx="5314315" cy="800100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27650" cy="8100060"/>
            <wp:effectExtent l="0" t="0" r="6350" b="15240"/>
            <wp:docPr id="25" name="图片 25" descr="永州市三利报废汽车回收拆解有限公司-厂房租赁合同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descr="永州市三利报废汽车回收拆解有限公司-厂房租赁合同_05"/>
                    <pic:cNvPicPr>
                      <a:picLocks noChangeAspect="true"/>
                    </pic:cNvPicPr>
                  </pic:nvPicPr>
                  <pic:blipFill>
                    <a:blip r:embed="rId64"/>
                    <a:srcRect l="6544" r="542"/>
                    <a:stretch>
                      <a:fillRect/>
                    </a:stretch>
                  </pic:blipFill>
                  <pic:spPr>
                    <a:xfrm>
                      <a:off x="0" y="0"/>
                      <a:ext cx="5327650" cy="8100060"/>
                    </a:xfrm>
                    <a:prstGeom prst="rect">
                      <a:avLst/>
                    </a:prstGeom>
                  </pic:spPr>
                </pic:pic>
              </a:graphicData>
            </a:graphic>
          </wp:inline>
        </w:drawing>
      </w:r>
    </w:p>
    <w:p>
      <w:pPr>
        <w:rPr>
          <w:rFonts w:hint="default" w:ascii="Times New Roman" w:hAnsi="Times New Roman" w:cs="Times New Roman"/>
          <w:color w:val="auto"/>
          <w:sz w:val="32"/>
          <w:szCs w:val="32"/>
        </w:rPr>
      </w:pPr>
      <w:r>
        <w:rPr>
          <w:rFonts w:hint="default" w:ascii="Times New Roman" w:hAnsi="Times New Roman" w:cs="Times New Roman"/>
          <w:color w:val="auto"/>
          <w:sz w:val="32"/>
          <w:szCs w:val="32"/>
        </w:rPr>
        <w:br w:type="page"/>
      </w: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58" w:name="_Toc15036"/>
      <w:r>
        <w:rPr>
          <w:rFonts w:hint="default" w:ascii="Times New Roman" w:hAnsi="Times New Roman" w:cs="Times New Roman"/>
          <w:color w:val="auto"/>
          <w:sz w:val="32"/>
          <w:szCs w:val="32"/>
        </w:rPr>
        <w:t>附件</w:t>
      </w:r>
      <w:r>
        <w:rPr>
          <w:rFonts w:hint="eastAsia" w:ascii="Times New Roman" w:hAnsi="Times New Roman" w:cs="Times New Roman"/>
          <w:color w:val="auto"/>
          <w:sz w:val="32"/>
          <w:szCs w:val="32"/>
          <w:lang w:val="en-US" w:eastAsia="zh-CN"/>
        </w:rPr>
        <w:t>5</w:t>
      </w:r>
      <w:r>
        <w:rPr>
          <w:rFonts w:hint="default" w:ascii="Times New Roman" w:hAnsi="Times New Roman" w:cs="Times New Roman"/>
          <w:color w:val="auto"/>
          <w:sz w:val="32"/>
          <w:szCs w:val="32"/>
        </w:rPr>
        <w:t>：入园协议</w:t>
      </w:r>
      <w:bookmarkEnd w:id="158"/>
    </w:p>
    <w:p>
      <w:pPr>
        <w:keepNext w:val="0"/>
        <w:keepLines w:val="0"/>
        <w:pageBreakBefore w:val="0"/>
        <w:widowControl w:val="0"/>
        <w:kinsoku w:val="0"/>
        <w:wordWrap/>
        <w:overflowPunct/>
        <w:topLinePunct w:val="0"/>
        <w:autoSpaceDE w:val="0"/>
        <w:autoSpaceDN w:val="0"/>
        <w:bidi w:val="0"/>
        <w:adjustRightInd w:val="0"/>
        <w:snapToGrid w:val="0"/>
        <w:spacing w:line="279" w:lineRule="auto"/>
        <w:textAlignment w:val="baseline"/>
        <w:rPr>
          <w:rFonts w:hint="eastAsia" w:ascii="Arial" w:eastAsia="宋体"/>
          <w:color w:val="auto"/>
          <w:sz w:val="21"/>
          <w:lang w:eastAsia="zh-CN"/>
        </w:rPr>
      </w:pPr>
      <w:r>
        <w:rPr>
          <w:rFonts w:hint="eastAsia" w:ascii="Arial" w:eastAsia="宋体"/>
          <w:color w:val="auto"/>
          <w:sz w:val="21"/>
          <w:lang w:eastAsia="zh-CN"/>
        </w:rPr>
        <w:drawing>
          <wp:inline distT="0" distB="0" distL="114300" distR="114300">
            <wp:extent cx="5312410" cy="8161655"/>
            <wp:effectExtent l="0" t="0" r="0" b="0"/>
            <wp:docPr id="122" name="图片 122" descr="园区入驻合同——零陵高新区塑料软包装卷膜及袋包印(1)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2" name="图片 122" descr="园区入驻合同——零陵高新区塑料软包装卷膜及袋包印(1)_00"/>
                    <pic:cNvPicPr>
                      <a:picLocks noChangeAspect="true"/>
                    </pic:cNvPicPr>
                  </pic:nvPicPr>
                  <pic:blipFill>
                    <a:blip r:embed="rId65"/>
                    <a:srcRect l="8524" r="3147" b="4107"/>
                    <a:stretch>
                      <a:fillRect/>
                    </a:stretch>
                  </pic:blipFill>
                  <pic:spPr>
                    <a:xfrm>
                      <a:off x="0" y="0"/>
                      <a:ext cx="5312410" cy="816165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80660" cy="8427085"/>
            <wp:effectExtent l="0" t="0" r="15240" b="12065"/>
            <wp:docPr id="116" name="图片 116" descr="园区入驻合同——零陵高新区塑料软包装卷膜及袋包印(1)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 name="图片 116" descr="园区入驻合同——零陵高新区塑料软包装卷膜及袋包印(1)_01"/>
                    <pic:cNvPicPr>
                      <a:picLocks noChangeAspect="true"/>
                    </pic:cNvPicPr>
                  </pic:nvPicPr>
                  <pic:blipFill>
                    <a:blip r:embed="rId66"/>
                    <a:srcRect l="8633" r="6366" b="4133"/>
                    <a:stretch>
                      <a:fillRect/>
                    </a:stretch>
                  </pic:blipFill>
                  <pic:spPr>
                    <a:xfrm>
                      <a:off x="0" y="0"/>
                      <a:ext cx="5280660" cy="842708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80025" cy="8039735"/>
            <wp:effectExtent l="0" t="0" r="0" b="0"/>
            <wp:docPr id="107" name="图片 107" descr="园区入驻合同——零陵高新区塑料软包装卷膜及袋包印(1)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107" descr="园区入驻合同——零陵高新区塑料软包装卷膜及袋包印(1)_02"/>
                    <pic:cNvPicPr>
                      <a:picLocks noChangeAspect="true"/>
                    </pic:cNvPicPr>
                  </pic:nvPicPr>
                  <pic:blipFill>
                    <a:blip r:embed="rId67"/>
                    <a:srcRect l="6255" r="4955" b="4465"/>
                    <a:stretch>
                      <a:fillRect/>
                    </a:stretch>
                  </pic:blipFill>
                  <pic:spPr>
                    <a:xfrm>
                      <a:off x="0" y="0"/>
                      <a:ext cx="5280025" cy="80397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49875" cy="8439150"/>
            <wp:effectExtent l="0" t="0" r="3175" b="0"/>
            <wp:docPr id="94" name="图片 94" descr="园区入驻合同——零陵高新区塑料软包装卷膜及袋包印(1)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94" descr="园区入驻合同——零陵高新区塑料软包装卷膜及袋包印(1)_03"/>
                    <pic:cNvPicPr>
                      <a:picLocks noChangeAspect="true"/>
                    </pic:cNvPicPr>
                  </pic:nvPicPr>
                  <pic:blipFill>
                    <a:blip r:embed="rId68"/>
                    <a:srcRect l="9722" r="4365" b="4235"/>
                    <a:stretch>
                      <a:fillRect/>
                    </a:stretch>
                  </pic:blipFill>
                  <pic:spPr>
                    <a:xfrm>
                      <a:off x="0" y="0"/>
                      <a:ext cx="5349875" cy="843915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21935" cy="8078470"/>
            <wp:effectExtent l="0" t="0" r="12065" b="17780"/>
            <wp:docPr id="70" name="图片 70" descr="园区入驻合同——零陵高新区塑料软包装卷膜及袋包印(1)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70" descr="园区入驻合同——零陵高新区塑料软包装卷膜及袋包印(1)_04"/>
                    <pic:cNvPicPr>
                      <a:picLocks noChangeAspect="true"/>
                    </pic:cNvPicPr>
                  </pic:nvPicPr>
                  <pic:blipFill>
                    <a:blip r:embed="rId69"/>
                    <a:srcRect l="6221" r="4762" b="4516"/>
                    <a:stretch>
                      <a:fillRect/>
                    </a:stretch>
                  </pic:blipFill>
                  <pic:spPr>
                    <a:xfrm>
                      <a:off x="0" y="0"/>
                      <a:ext cx="5321935" cy="8078470"/>
                    </a:xfrm>
                    <a:prstGeom prst="rect">
                      <a:avLst/>
                    </a:prstGeom>
                  </pic:spPr>
                </pic:pic>
              </a:graphicData>
            </a:graphic>
          </wp:inline>
        </w:drawing>
      </w:r>
    </w:p>
    <w:p>
      <w:pPr>
        <w:spacing w:line="279" w:lineRule="auto"/>
        <w:rPr>
          <w:rFonts w:ascii="Arial"/>
          <w:color w:val="auto"/>
          <w:sz w:val="21"/>
        </w:rPr>
      </w:pPr>
    </w:p>
    <w:p>
      <w:pPr>
        <w:rPr>
          <w:rFonts w:hint="default" w:ascii="Times New Roman" w:hAnsi="Times New Roman" w:cs="Times New Roman"/>
          <w:color w:val="auto"/>
          <w:sz w:val="32"/>
          <w:szCs w:val="32"/>
        </w:rPr>
      </w:pPr>
      <w:r>
        <w:rPr>
          <w:rFonts w:hint="default" w:ascii="Times New Roman" w:hAnsi="Times New Roman" w:cs="Times New Roman"/>
          <w:color w:val="auto"/>
          <w:sz w:val="32"/>
          <w:szCs w:val="32"/>
        </w:rPr>
        <w:br w:type="page"/>
      </w:r>
    </w:p>
    <w:p>
      <w:pPr>
        <w:pStyle w:val="10"/>
        <w:numPr>
          <w:ilvl w:val="1"/>
          <w:numId w:val="0"/>
        </w:numPr>
        <w:bidi w:val="0"/>
        <w:spacing w:line="360" w:lineRule="auto"/>
        <w:ind w:leftChars="0"/>
        <w:rPr>
          <w:rFonts w:hint="default" w:ascii="Times New Roman" w:hAnsi="Times New Roman" w:eastAsia="宋体" w:cs="Times New Roman"/>
          <w:color w:val="auto"/>
          <w:sz w:val="32"/>
          <w:szCs w:val="32"/>
          <w:lang w:val="en-US" w:eastAsia="zh-CN"/>
        </w:rPr>
      </w:pPr>
      <w:bookmarkStart w:id="159" w:name="_Toc7987"/>
      <w:r>
        <w:rPr>
          <w:rFonts w:hint="default" w:ascii="Times New Roman" w:hAnsi="Times New Roman" w:cs="Times New Roman"/>
          <w:color w:val="auto"/>
          <w:sz w:val="32"/>
          <w:szCs w:val="32"/>
        </w:rPr>
        <w:t>附件6：</w:t>
      </w:r>
      <w:r>
        <w:rPr>
          <w:rFonts w:hint="eastAsia" w:ascii="Times New Roman" w:hAnsi="Times New Roman" w:eastAsia="宋体" w:cs="Times New Roman"/>
          <w:color w:val="auto"/>
          <w:sz w:val="32"/>
          <w:szCs w:val="32"/>
          <w:lang w:val="en-US" w:eastAsia="zh-CN"/>
        </w:rPr>
        <w:t>关于《零陵高新技术产业开发区调区扩区规划环境影响报告书》审查意见的函（湘环评函〔2024〕49号）</w:t>
      </w:r>
      <w:bookmarkEnd w:id="159"/>
    </w:p>
    <w:p>
      <w:pPr>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ascii="Times New Roman" w:hAnsi="Times New Roman" w:eastAsia="宋体" w:cs="Times New Roman"/>
          <w:color w:val="auto"/>
          <w:sz w:val="32"/>
          <w:szCs w:val="32"/>
          <w:lang w:val="en-US" w:eastAsia="zh-CN"/>
        </w:rPr>
      </w:pPr>
      <w:r>
        <w:rPr>
          <w:rFonts w:hint="eastAsia" w:ascii="Times New Roman" w:hAnsi="Times New Roman" w:eastAsia="宋体" w:cs="Times New Roman"/>
          <w:color w:val="auto"/>
          <w:sz w:val="32"/>
          <w:szCs w:val="32"/>
          <w:lang w:val="en-US" w:eastAsia="zh-CN"/>
        </w:rPr>
        <w:drawing>
          <wp:inline distT="0" distB="0" distL="114300" distR="114300">
            <wp:extent cx="5263515" cy="7444740"/>
            <wp:effectExtent l="0" t="0" r="13335" b="3810"/>
            <wp:docPr id="132" name="图片 132" descr="湘环评函〔2024〕49号　关于《零陵高新区调区扩区规划环境影响报告书》审查意见的函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 name="图片 132" descr="湘环评函〔2024〕49号　关于《零陵高新区调区扩区规划环境影响报告书》审查意见的函 (1)1"/>
                    <pic:cNvPicPr>
                      <a:picLocks noChangeAspect="true"/>
                    </pic:cNvPicPr>
                  </pic:nvPicPr>
                  <pic:blipFill>
                    <a:blip r:embed="rId70"/>
                    <a:stretch>
                      <a:fillRect/>
                    </a:stretch>
                  </pic:blipFill>
                  <pic:spPr>
                    <a:xfrm>
                      <a:off x="0" y="0"/>
                      <a:ext cx="5263515" cy="7444740"/>
                    </a:xfrm>
                    <a:prstGeom prst="rect">
                      <a:avLst/>
                    </a:prstGeom>
                  </pic:spPr>
                </pic:pic>
              </a:graphicData>
            </a:graphic>
          </wp:inline>
        </w:drawing>
      </w:r>
      <w:r>
        <w:rPr>
          <w:rFonts w:hint="eastAsia" w:ascii="Times New Roman" w:hAnsi="Times New Roman" w:eastAsia="宋体" w:cs="Times New Roman"/>
          <w:color w:val="auto"/>
          <w:sz w:val="32"/>
          <w:szCs w:val="32"/>
          <w:lang w:val="en-US" w:eastAsia="zh-CN"/>
        </w:rPr>
        <w:drawing>
          <wp:inline distT="0" distB="0" distL="114300" distR="114300">
            <wp:extent cx="5263515" cy="7444740"/>
            <wp:effectExtent l="0" t="0" r="13335" b="3810"/>
            <wp:docPr id="131" name="图片 131" descr="湘环评函〔2024〕49号　关于《零陵高新区调区扩区规划环境影响报告书》审查意见的函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图片 131" descr="湘环评函〔2024〕49号　关于《零陵高新区调区扩区规划环境影响报告书》审查意见的函 (1)2"/>
                    <pic:cNvPicPr>
                      <a:picLocks noChangeAspect="true"/>
                    </pic:cNvPicPr>
                  </pic:nvPicPr>
                  <pic:blipFill>
                    <a:blip r:embed="rId71"/>
                    <a:stretch>
                      <a:fillRect/>
                    </a:stretch>
                  </pic:blipFill>
                  <pic:spPr>
                    <a:xfrm>
                      <a:off x="0" y="0"/>
                      <a:ext cx="5263515" cy="7444740"/>
                    </a:xfrm>
                    <a:prstGeom prst="rect">
                      <a:avLst/>
                    </a:prstGeom>
                  </pic:spPr>
                </pic:pic>
              </a:graphicData>
            </a:graphic>
          </wp:inline>
        </w:drawing>
      </w:r>
      <w:r>
        <w:rPr>
          <w:rFonts w:hint="eastAsia" w:ascii="Times New Roman" w:hAnsi="Times New Roman" w:eastAsia="宋体" w:cs="Times New Roman"/>
          <w:color w:val="auto"/>
          <w:sz w:val="32"/>
          <w:szCs w:val="32"/>
          <w:lang w:val="en-US" w:eastAsia="zh-CN"/>
        </w:rPr>
        <w:drawing>
          <wp:inline distT="0" distB="0" distL="114300" distR="114300">
            <wp:extent cx="5263515" cy="7444740"/>
            <wp:effectExtent l="0" t="0" r="13335" b="3810"/>
            <wp:docPr id="129" name="图片 129" descr="湘环评函〔2024〕49号　关于《零陵高新区调区扩区规划环境影响报告书》审查意见的函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129" descr="湘环评函〔2024〕49号　关于《零陵高新区调区扩区规划环境影响报告书》审查意见的函 (1)3"/>
                    <pic:cNvPicPr>
                      <a:picLocks noChangeAspect="true"/>
                    </pic:cNvPicPr>
                  </pic:nvPicPr>
                  <pic:blipFill>
                    <a:blip r:embed="rId72"/>
                    <a:stretch>
                      <a:fillRect/>
                    </a:stretch>
                  </pic:blipFill>
                  <pic:spPr>
                    <a:xfrm>
                      <a:off x="0" y="0"/>
                      <a:ext cx="5263515" cy="7444740"/>
                    </a:xfrm>
                    <a:prstGeom prst="rect">
                      <a:avLst/>
                    </a:prstGeom>
                  </pic:spPr>
                </pic:pic>
              </a:graphicData>
            </a:graphic>
          </wp:inline>
        </w:drawing>
      </w:r>
      <w:r>
        <w:rPr>
          <w:rFonts w:hint="eastAsia" w:ascii="Times New Roman" w:hAnsi="Times New Roman" w:eastAsia="宋体" w:cs="Times New Roman"/>
          <w:color w:val="auto"/>
          <w:sz w:val="32"/>
          <w:szCs w:val="32"/>
          <w:lang w:val="en-US" w:eastAsia="zh-CN"/>
        </w:rPr>
        <w:drawing>
          <wp:inline distT="0" distB="0" distL="114300" distR="114300">
            <wp:extent cx="5263515" cy="7444740"/>
            <wp:effectExtent l="0" t="0" r="13335" b="3810"/>
            <wp:docPr id="128" name="图片 128" descr="湘环评函〔2024〕49号　关于《零陵高新区调区扩区规划环境影响报告书》审查意见的函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图片 128" descr="湘环评函〔2024〕49号　关于《零陵高新区调区扩区规划环境影响报告书》审查意见的函 (1)4"/>
                    <pic:cNvPicPr>
                      <a:picLocks noChangeAspect="true"/>
                    </pic:cNvPicPr>
                  </pic:nvPicPr>
                  <pic:blipFill>
                    <a:blip r:embed="rId73"/>
                    <a:stretch>
                      <a:fillRect/>
                    </a:stretch>
                  </pic:blipFill>
                  <pic:spPr>
                    <a:xfrm>
                      <a:off x="0" y="0"/>
                      <a:ext cx="5263515" cy="7444740"/>
                    </a:xfrm>
                    <a:prstGeom prst="rect">
                      <a:avLst/>
                    </a:prstGeom>
                  </pic:spPr>
                </pic:pic>
              </a:graphicData>
            </a:graphic>
          </wp:inline>
        </w:drawing>
      </w:r>
      <w:r>
        <w:rPr>
          <w:rFonts w:hint="eastAsia" w:ascii="Times New Roman" w:hAnsi="Times New Roman" w:eastAsia="宋体" w:cs="Times New Roman"/>
          <w:color w:val="auto"/>
          <w:sz w:val="32"/>
          <w:szCs w:val="32"/>
          <w:lang w:val="en-US" w:eastAsia="zh-CN"/>
        </w:rPr>
        <w:drawing>
          <wp:inline distT="0" distB="0" distL="114300" distR="114300">
            <wp:extent cx="5263515" cy="7444740"/>
            <wp:effectExtent l="0" t="0" r="13335" b="3810"/>
            <wp:docPr id="126" name="图片 126" descr="湘环评函〔2024〕49号　关于《零陵高新区调区扩区规划环境影响报告书》审查意见的函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6" name="图片 126" descr="湘环评函〔2024〕49号　关于《零陵高新区调区扩区规划环境影响报告书》审查意见的函 (1)5"/>
                    <pic:cNvPicPr>
                      <a:picLocks noChangeAspect="true"/>
                    </pic:cNvPicPr>
                  </pic:nvPicPr>
                  <pic:blipFill>
                    <a:blip r:embed="rId74"/>
                    <a:stretch>
                      <a:fillRect/>
                    </a:stretch>
                  </pic:blipFill>
                  <pic:spPr>
                    <a:xfrm>
                      <a:off x="0" y="0"/>
                      <a:ext cx="5263515" cy="7444740"/>
                    </a:xfrm>
                    <a:prstGeom prst="rect">
                      <a:avLst/>
                    </a:prstGeom>
                  </pic:spPr>
                </pic:pic>
              </a:graphicData>
            </a:graphic>
          </wp:inline>
        </w:drawing>
      </w:r>
      <w:r>
        <w:rPr>
          <w:rFonts w:hint="eastAsia" w:ascii="Times New Roman" w:hAnsi="Times New Roman" w:eastAsia="宋体" w:cs="Times New Roman"/>
          <w:color w:val="auto"/>
          <w:sz w:val="32"/>
          <w:szCs w:val="32"/>
          <w:lang w:val="en-US" w:eastAsia="zh-CN"/>
        </w:rPr>
        <w:drawing>
          <wp:inline distT="0" distB="0" distL="114300" distR="114300">
            <wp:extent cx="5263515" cy="7444740"/>
            <wp:effectExtent l="0" t="0" r="13335" b="3810"/>
            <wp:docPr id="124" name="图片 124" descr="湘环评函〔2024〕49号　关于《零陵高新区调区扩区规划环境影响报告书》审查意见的函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 name="图片 124" descr="湘环评函〔2024〕49号　关于《零陵高新区调区扩区规划环境影响报告书》审查意见的函 (1)6"/>
                    <pic:cNvPicPr>
                      <a:picLocks noChangeAspect="true"/>
                    </pic:cNvPicPr>
                  </pic:nvPicPr>
                  <pic:blipFill>
                    <a:blip r:embed="rId75"/>
                    <a:stretch>
                      <a:fillRect/>
                    </a:stretch>
                  </pic:blipFill>
                  <pic:spPr>
                    <a:xfrm>
                      <a:off x="0" y="0"/>
                      <a:ext cx="5263515" cy="7444740"/>
                    </a:xfrm>
                    <a:prstGeom prst="rect">
                      <a:avLst/>
                    </a:prstGeom>
                  </pic:spPr>
                </pic:pic>
              </a:graphicData>
            </a:graphic>
          </wp:inline>
        </w:drawing>
      </w:r>
    </w:p>
    <w:p>
      <w:pPr>
        <w:rPr>
          <w:rFonts w:hint="eastAsia" w:ascii="Times New Roman" w:hAnsi="Times New Roman" w:cs="Times New Roman"/>
          <w:color w:val="auto"/>
          <w:sz w:val="32"/>
          <w:szCs w:val="32"/>
          <w:lang w:val="en-US" w:eastAsia="zh-CN"/>
        </w:rPr>
      </w:pPr>
      <w:r>
        <w:rPr>
          <w:rFonts w:hint="eastAsia" w:ascii="Times New Roman" w:hAnsi="Times New Roman" w:cs="Times New Roman"/>
          <w:color w:val="auto"/>
          <w:sz w:val="32"/>
          <w:szCs w:val="32"/>
          <w:lang w:val="en-US" w:eastAsia="zh-CN"/>
        </w:rPr>
        <w:br w:type="page"/>
      </w: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60" w:name="_Toc11321"/>
      <w:r>
        <w:rPr>
          <w:rFonts w:hint="eastAsia" w:ascii="Times New Roman" w:hAnsi="Times New Roman" w:cs="Times New Roman"/>
          <w:color w:val="auto"/>
          <w:sz w:val="32"/>
          <w:szCs w:val="32"/>
          <w:lang w:val="en-US" w:eastAsia="zh-CN"/>
        </w:rPr>
        <w:t>附件7：声</w:t>
      </w:r>
      <w:r>
        <w:rPr>
          <w:rFonts w:hint="default" w:ascii="Times New Roman" w:hAnsi="Times New Roman" w:cs="Times New Roman"/>
          <w:color w:val="auto"/>
          <w:sz w:val="32"/>
          <w:szCs w:val="32"/>
        </w:rPr>
        <w:t>环境现状监测报告及质保单</w:t>
      </w:r>
      <w:bookmarkEnd w:id="160"/>
    </w:p>
    <w:p>
      <w:pPr>
        <w:keepNext w:val="0"/>
        <w:keepLines w:val="0"/>
        <w:pageBreakBefore w:val="0"/>
        <w:widowControl w:val="0"/>
        <w:kinsoku w:val="0"/>
        <w:wordWrap/>
        <w:overflowPunct/>
        <w:topLinePunct w:val="0"/>
        <w:autoSpaceDE w:val="0"/>
        <w:autoSpaceDN w:val="0"/>
        <w:bidi w:val="0"/>
        <w:adjustRightInd w:val="0"/>
        <w:snapToGrid w:val="0"/>
        <w:textAlignment w:val="baseline"/>
        <w:rPr>
          <w:rFonts w:hint="eastAsia" w:ascii="Times New Roman" w:hAnsi="Times New Roman" w:eastAsia="宋体" w:cs="Times New Roman"/>
          <w:color w:val="auto"/>
          <w:sz w:val="32"/>
          <w:szCs w:val="32"/>
          <w:lang w:eastAsia="zh-CN"/>
        </w:rPr>
      </w:pPr>
      <w:r>
        <w:rPr>
          <w:rFonts w:hint="eastAsia" w:ascii="Times New Roman" w:hAnsi="Times New Roman" w:eastAsia="宋体" w:cs="Times New Roman"/>
          <w:color w:val="auto"/>
          <w:sz w:val="32"/>
          <w:szCs w:val="32"/>
          <w:lang w:eastAsia="zh-CN"/>
        </w:rPr>
        <w:drawing>
          <wp:inline distT="0" distB="0" distL="114300" distR="114300">
            <wp:extent cx="5355590" cy="8011795"/>
            <wp:effectExtent l="0" t="0" r="16510" b="8255"/>
            <wp:docPr id="142" name="图片 142" descr="XCX20240015永州大道包装有限公司报告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图片 142" descr="XCX20240015永州大道包装有限公司报告_00"/>
                    <pic:cNvPicPr>
                      <a:picLocks noChangeAspect="true"/>
                    </pic:cNvPicPr>
                  </pic:nvPicPr>
                  <pic:blipFill>
                    <a:blip r:embed="rId76"/>
                    <a:srcRect l="4093" r="1359"/>
                    <a:stretch>
                      <a:fillRect/>
                    </a:stretch>
                  </pic:blipFill>
                  <pic:spPr>
                    <a:xfrm>
                      <a:off x="0" y="0"/>
                      <a:ext cx="5355590" cy="8011795"/>
                    </a:xfrm>
                    <a:prstGeom prst="rect">
                      <a:avLst/>
                    </a:prstGeom>
                  </pic:spPr>
                </pic:pic>
              </a:graphicData>
            </a:graphic>
          </wp:inline>
        </w:drawing>
      </w:r>
      <w:r>
        <w:rPr>
          <w:rFonts w:hint="eastAsia" w:ascii="Times New Roman" w:hAnsi="Times New Roman" w:eastAsia="宋体" w:cs="Times New Roman"/>
          <w:color w:val="auto"/>
          <w:sz w:val="32"/>
          <w:szCs w:val="32"/>
          <w:lang w:eastAsia="zh-CN"/>
        </w:rPr>
        <w:drawing>
          <wp:inline distT="0" distB="0" distL="114300" distR="114300">
            <wp:extent cx="5383530" cy="7945755"/>
            <wp:effectExtent l="0" t="0" r="7620" b="17145"/>
            <wp:docPr id="141" name="图片 141" descr="XCX20240015永州大道包装有限公司报告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1" name="图片 141" descr="XCX20240015永州大道包装有限公司报告_01"/>
                    <pic:cNvPicPr>
                      <a:picLocks noChangeAspect="true"/>
                    </pic:cNvPicPr>
                  </pic:nvPicPr>
                  <pic:blipFill>
                    <a:blip r:embed="rId77"/>
                    <a:srcRect l="2700" r="1471"/>
                    <a:stretch>
                      <a:fillRect/>
                    </a:stretch>
                  </pic:blipFill>
                  <pic:spPr>
                    <a:xfrm>
                      <a:off x="0" y="0"/>
                      <a:ext cx="5383530" cy="7945755"/>
                    </a:xfrm>
                    <a:prstGeom prst="rect">
                      <a:avLst/>
                    </a:prstGeom>
                  </pic:spPr>
                </pic:pic>
              </a:graphicData>
            </a:graphic>
          </wp:inline>
        </w:drawing>
      </w:r>
      <w:r>
        <w:rPr>
          <w:rFonts w:hint="eastAsia" w:ascii="Times New Roman" w:hAnsi="Times New Roman" w:eastAsia="宋体" w:cs="Times New Roman"/>
          <w:color w:val="auto"/>
          <w:sz w:val="32"/>
          <w:szCs w:val="32"/>
          <w:lang w:eastAsia="zh-CN"/>
        </w:rPr>
        <w:drawing>
          <wp:inline distT="0" distB="0" distL="114300" distR="114300">
            <wp:extent cx="5286375" cy="7801610"/>
            <wp:effectExtent l="0" t="0" r="9525" b="8890"/>
            <wp:docPr id="140" name="图片 140" descr="XCX20240015永州大道包装有限公司报告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图片 140" descr="XCX20240015永州大道包装有限公司报告_02"/>
                    <pic:cNvPicPr>
                      <a:picLocks noChangeAspect="true"/>
                    </pic:cNvPicPr>
                  </pic:nvPicPr>
                  <pic:blipFill>
                    <a:blip r:embed="rId78"/>
                    <a:srcRect l="2881" r="1290"/>
                    <a:stretch>
                      <a:fillRect/>
                    </a:stretch>
                  </pic:blipFill>
                  <pic:spPr>
                    <a:xfrm>
                      <a:off x="0" y="0"/>
                      <a:ext cx="5286375" cy="7801610"/>
                    </a:xfrm>
                    <a:prstGeom prst="rect">
                      <a:avLst/>
                    </a:prstGeom>
                  </pic:spPr>
                </pic:pic>
              </a:graphicData>
            </a:graphic>
          </wp:inline>
        </w:drawing>
      </w:r>
      <w:r>
        <w:rPr>
          <w:rFonts w:hint="eastAsia" w:ascii="Times New Roman" w:hAnsi="Times New Roman" w:eastAsia="宋体" w:cs="Times New Roman"/>
          <w:color w:val="auto"/>
          <w:sz w:val="32"/>
          <w:szCs w:val="32"/>
          <w:lang w:eastAsia="zh-CN"/>
        </w:rPr>
        <w:drawing>
          <wp:inline distT="0" distB="0" distL="114300" distR="114300">
            <wp:extent cx="5295900" cy="7860665"/>
            <wp:effectExtent l="0" t="0" r="0" b="6985"/>
            <wp:docPr id="139" name="图片 139" descr="XCX20240015永州大道包装有限公司报告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 name="图片 139" descr="XCX20240015永州大道包装有限公司报告_03"/>
                    <pic:cNvPicPr>
                      <a:picLocks noChangeAspect="true"/>
                    </pic:cNvPicPr>
                  </pic:nvPicPr>
                  <pic:blipFill>
                    <a:blip r:embed="rId79"/>
                    <a:srcRect l="3243" r="1471"/>
                    <a:stretch>
                      <a:fillRect/>
                    </a:stretch>
                  </pic:blipFill>
                  <pic:spPr>
                    <a:xfrm>
                      <a:off x="0" y="0"/>
                      <a:ext cx="5295900" cy="7860665"/>
                    </a:xfrm>
                    <a:prstGeom prst="rect">
                      <a:avLst/>
                    </a:prstGeom>
                  </pic:spPr>
                </pic:pic>
              </a:graphicData>
            </a:graphic>
          </wp:inline>
        </w:drawing>
      </w:r>
      <w:r>
        <w:rPr>
          <w:rFonts w:hint="eastAsia" w:ascii="Times New Roman" w:hAnsi="Times New Roman" w:eastAsia="宋体" w:cs="Times New Roman"/>
          <w:color w:val="auto"/>
          <w:sz w:val="32"/>
          <w:szCs w:val="32"/>
          <w:lang w:eastAsia="zh-CN"/>
        </w:rPr>
        <w:drawing>
          <wp:inline distT="0" distB="0" distL="114300" distR="114300">
            <wp:extent cx="5295900" cy="7771765"/>
            <wp:effectExtent l="0" t="0" r="0" b="635"/>
            <wp:docPr id="138" name="图片 138" descr="XCX20240015永州大道包装有限公司报告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 name="图片 138" descr="XCX20240015永州大道包装有限公司报告_04"/>
                    <pic:cNvPicPr>
                      <a:picLocks noChangeAspect="true"/>
                    </pic:cNvPicPr>
                  </pic:nvPicPr>
                  <pic:blipFill>
                    <a:blip r:embed="rId80"/>
                    <a:srcRect l="2158" r="1471"/>
                    <a:stretch>
                      <a:fillRect/>
                    </a:stretch>
                  </pic:blipFill>
                  <pic:spPr>
                    <a:xfrm>
                      <a:off x="0" y="0"/>
                      <a:ext cx="5295900" cy="7771765"/>
                    </a:xfrm>
                    <a:prstGeom prst="rect">
                      <a:avLst/>
                    </a:prstGeom>
                  </pic:spPr>
                </pic:pic>
              </a:graphicData>
            </a:graphic>
          </wp:inline>
        </w:drawing>
      </w:r>
      <w:r>
        <w:rPr>
          <w:rFonts w:hint="eastAsia" w:ascii="Times New Roman" w:hAnsi="Times New Roman" w:eastAsia="宋体" w:cs="Times New Roman"/>
          <w:color w:val="auto"/>
          <w:sz w:val="32"/>
          <w:szCs w:val="32"/>
          <w:lang w:eastAsia="zh-CN"/>
        </w:rPr>
        <w:drawing>
          <wp:inline distT="0" distB="0" distL="114300" distR="114300">
            <wp:extent cx="5305425" cy="7785735"/>
            <wp:effectExtent l="0" t="0" r="9525" b="5715"/>
            <wp:docPr id="137" name="图片 137" descr="XCX20240015永州大道包装有限公司报告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137" descr="XCX20240015永州大道包装有限公司报告_05"/>
                    <pic:cNvPicPr>
                      <a:picLocks noChangeAspect="true"/>
                    </pic:cNvPicPr>
                  </pic:nvPicPr>
                  <pic:blipFill>
                    <a:blip r:embed="rId81"/>
                    <a:srcRect l="2158" r="1471"/>
                    <a:stretch>
                      <a:fillRect/>
                    </a:stretch>
                  </pic:blipFill>
                  <pic:spPr>
                    <a:xfrm>
                      <a:off x="0" y="0"/>
                      <a:ext cx="5305425" cy="7785735"/>
                    </a:xfrm>
                    <a:prstGeom prst="rect">
                      <a:avLst/>
                    </a:prstGeom>
                  </pic:spPr>
                </pic:pic>
              </a:graphicData>
            </a:graphic>
          </wp:inline>
        </w:drawing>
      </w:r>
      <w:r>
        <w:rPr>
          <w:rFonts w:hint="eastAsia" w:ascii="Times New Roman" w:hAnsi="Times New Roman" w:eastAsia="宋体" w:cs="Times New Roman"/>
          <w:color w:val="auto"/>
          <w:sz w:val="32"/>
          <w:szCs w:val="32"/>
          <w:lang w:eastAsia="zh-CN"/>
        </w:rPr>
        <w:drawing>
          <wp:inline distT="0" distB="0" distL="114300" distR="114300">
            <wp:extent cx="5305425" cy="7874635"/>
            <wp:effectExtent l="0" t="0" r="9525" b="12065"/>
            <wp:docPr id="136" name="图片 136" descr="XCX20240015永州大道包装有限公司报告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136" descr="XCX20240015永州大道包装有限公司报告_06"/>
                    <pic:cNvPicPr>
                      <a:picLocks noChangeAspect="true"/>
                    </pic:cNvPicPr>
                  </pic:nvPicPr>
                  <pic:blipFill>
                    <a:blip r:embed="rId82"/>
                    <a:srcRect l="2338" r="2375"/>
                    <a:stretch>
                      <a:fillRect/>
                    </a:stretch>
                  </pic:blipFill>
                  <pic:spPr>
                    <a:xfrm>
                      <a:off x="0" y="0"/>
                      <a:ext cx="5305425" cy="7874635"/>
                    </a:xfrm>
                    <a:prstGeom prst="rect">
                      <a:avLst/>
                    </a:prstGeom>
                  </pic:spPr>
                </pic:pic>
              </a:graphicData>
            </a:graphic>
          </wp:inline>
        </w:drawing>
      </w:r>
      <w:r>
        <w:rPr>
          <w:rFonts w:hint="eastAsia" w:ascii="Times New Roman" w:hAnsi="Times New Roman" w:eastAsia="宋体" w:cs="Times New Roman"/>
          <w:color w:val="auto"/>
          <w:sz w:val="32"/>
          <w:szCs w:val="32"/>
          <w:lang w:eastAsia="zh-CN"/>
        </w:rPr>
        <w:drawing>
          <wp:inline distT="0" distB="0" distL="114300" distR="114300">
            <wp:extent cx="5304155" cy="7874000"/>
            <wp:effectExtent l="0" t="0" r="10795" b="12700"/>
            <wp:docPr id="150" name="图片 150" descr="XCX20240015 质量保证单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0" name="图片 150" descr="XCX20240015 质量保证单_00"/>
                    <pic:cNvPicPr>
                      <a:picLocks noChangeAspect="true"/>
                    </pic:cNvPicPr>
                  </pic:nvPicPr>
                  <pic:blipFill>
                    <a:blip r:embed="rId83"/>
                    <a:srcRect l="2158" r="2568"/>
                    <a:stretch>
                      <a:fillRect/>
                    </a:stretch>
                  </pic:blipFill>
                  <pic:spPr>
                    <a:xfrm>
                      <a:off x="0" y="0"/>
                      <a:ext cx="5304155" cy="7874000"/>
                    </a:xfrm>
                    <a:prstGeom prst="rect">
                      <a:avLst/>
                    </a:prstGeom>
                  </pic:spPr>
                </pic:pic>
              </a:graphicData>
            </a:graphic>
          </wp:inline>
        </w:drawing>
      </w:r>
    </w:p>
    <w:p>
      <w:pPr>
        <w:pStyle w:val="10"/>
        <w:numPr>
          <w:ilvl w:val="1"/>
          <w:numId w:val="0"/>
        </w:numPr>
        <w:bidi w:val="0"/>
        <w:spacing w:line="360" w:lineRule="auto"/>
        <w:ind w:leftChars="0"/>
        <w:rPr>
          <w:rFonts w:hint="eastAsia" w:ascii="Times New Roman" w:hAnsi="Times New Roman" w:eastAsia="宋体" w:cs="Times New Roman"/>
          <w:color w:val="auto"/>
          <w:sz w:val="32"/>
          <w:szCs w:val="32"/>
          <w:lang w:eastAsia="zh-CN"/>
        </w:rPr>
      </w:pPr>
      <w:bookmarkStart w:id="161" w:name="_Toc23571"/>
      <w:r>
        <w:rPr>
          <w:rFonts w:hint="default" w:ascii="Times New Roman" w:hAnsi="Times New Roman" w:cs="Times New Roman"/>
          <w:color w:val="auto"/>
          <w:sz w:val="32"/>
          <w:szCs w:val="32"/>
        </w:rPr>
        <w:t>附件</w:t>
      </w:r>
      <w:r>
        <w:rPr>
          <w:rFonts w:hint="eastAsia" w:ascii="Times New Roman" w:hAnsi="Times New Roman" w:eastAsia="宋体" w:cs="Times New Roman"/>
          <w:color w:val="auto"/>
          <w:sz w:val="32"/>
          <w:szCs w:val="32"/>
          <w:lang w:val="en-US" w:eastAsia="zh-CN"/>
        </w:rPr>
        <w:t>8</w:t>
      </w:r>
      <w:r>
        <w:rPr>
          <w:rFonts w:hint="default" w:ascii="Times New Roman" w:hAnsi="Times New Roman" w:cs="Times New Roman"/>
          <w:color w:val="auto"/>
          <w:sz w:val="32"/>
          <w:szCs w:val="32"/>
        </w:rPr>
        <w:t>：</w:t>
      </w:r>
      <w:r>
        <w:rPr>
          <w:rFonts w:hint="eastAsia" w:ascii="Times New Roman" w:hAnsi="Times New Roman" w:eastAsia="宋体" w:cs="Times New Roman"/>
          <w:color w:val="auto"/>
          <w:sz w:val="32"/>
          <w:szCs w:val="32"/>
          <w:lang w:val="en-US" w:eastAsia="zh-CN"/>
        </w:rPr>
        <w:t>引用环境空气、地表水</w:t>
      </w:r>
      <w:r>
        <w:rPr>
          <w:rFonts w:hint="default" w:ascii="Times New Roman" w:hAnsi="Times New Roman" w:cs="Times New Roman"/>
          <w:color w:val="auto"/>
          <w:sz w:val="32"/>
          <w:szCs w:val="32"/>
        </w:rPr>
        <w:t>环境现状监测报告</w:t>
      </w:r>
      <w:r>
        <w:rPr>
          <w:rFonts w:hint="eastAsia" w:ascii="Times New Roman" w:hAnsi="Times New Roman" w:eastAsia="宋体" w:cs="Times New Roman"/>
          <w:color w:val="auto"/>
          <w:sz w:val="32"/>
          <w:szCs w:val="32"/>
          <w:lang w:eastAsia="zh-CN"/>
        </w:rPr>
        <w:t>（</w:t>
      </w:r>
      <w:r>
        <w:rPr>
          <w:rFonts w:hint="eastAsia" w:ascii="Times New Roman" w:hAnsi="Times New Roman" w:eastAsia="宋体" w:cs="Times New Roman"/>
          <w:color w:val="auto"/>
          <w:sz w:val="32"/>
          <w:szCs w:val="32"/>
          <w:lang w:val="en-US" w:eastAsia="zh-CN"/>
        </w:rPr>
        <w:t>部分</w:t>
      </w:r>
      <w:r>
        <w:rPr>
          <w:rFonts w:hint="eastAsia" w:ascii="Times New Roman" w:hAnsi="Times New Roman" w:eastAsia="宋体" w:cs="Times New Roman"/>
          <w:color w:val="auto"/>
          <w:sz w:val="32"/>
          <w:szCs w:val="32"/>
          <w:lang w:eastAsia="zh-CN"/>
        </w:rPr>
        <w:t>）</w:t>
      </w:r>
      <w:bookmarkEnd w:id="161"/>
    </w:p>
    <w:p>
      <w:pPr>
        <w:keepNext w:val="0"/>
        <w:keepLines w:val="0"/>
        <w:pageBreakBefore w:val="0"/>
        <w:widowControl w:val="0"/>
        <w:kinsoku w:val="0"/>
        <w:wordWrap/>
        <w:overflowPunct/>
        <w:topLinePunct w:val="0"/>
        <w:autoSpaceDE w:val="0"/>
        <w:autoSpaceDN w:val="0"/>
        <w:bidi w:val="0"/>
        <w:adjustRightInd w:val="0"/>
        <w:snapToGrid w:val="0"/>
        <w:spacing w:line="308" w:lineRule="auto"/>
        <w:textAlignment w:val="baseline"/>
        <w:rPr>
          <w:rFonts w:hint="eastAsia" w:ascii="Arial" w:eastAsia="宋体"/>
          <w:color w:val="auto"/>
          <w:sz w:val="21"/>
          <w:lang w:eastAsia="zh-CN"/>
        </w:rPr>
      </w:pPr>
      <w:r>
        <w:rPr>
          <w:rFonts w:hint="eastAsia" w:ascii="Arial" w:eastAsia="宋体"/>
          <w:color w:val="auto"/>
          <w:sz w:val="21"/>
          <w:lang w:eastAsia="zh-CN"/>
        </w:rPr>
        <w:drawing>
          <wp:inline distT="0" distB="0" distL="114300" distR="114300">
            <wp:extent cx="5361940" cy="8068310"/>
            <wp:effectExtent l="0" t="0" r="10160" b="8890"/>
            <wp:docPr id="235" name="图片 235" descr="零陵高新技术产业开发区调区扩区规划环境影响报告书（报批稿）_7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5" name="图片 235" descr="零陵高新技术产业开发区调区扩区规划环境影响报告书（报批稿）_725"/>
                    <pic:cNvPicPr>
                      <a:picLocks noChangeAspect="true"/>
                    </pic:cNvPicPr>
                  </pic:nvPicPr>
                  <pic:blipFill>
                    <a:blip r:embed="rId84"/>
                    <a:srcRect l="10814" t="10932" r="16748" b="12026"/>
                    <a:stretch>
                      <a:fillRect/>
                    </a:stretch>
                  </pic:blipFill>
                  <pic:spPr>
                    <a:xfrm>
                      <a:off x="0" y="0"/>
                      <a:ext cx="5361940" cy="806831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407660" cy="8083550"/>
            <wp:effectExtent l="0" t="0" r="2540" b="12700"/>
            <wp:docPr id="234" name="图片 234" descr="零陵高新技术产业开发区调区扩区规划环境影响报告书（报批稿）_7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4" name="图片 234" descr="零陵高新技术产业开发区调区扩区规划环境影响报告书（报批稿）_726"/>
                    <pic:cNvPicPr>
                      <a:picLocks noChangeAspect="true"/>
                    </pic:cNvPicPr>
                  </pic:nvPicPr>
                  <pic:blipFill>
                    <a:blip r:embed="rId85"/>
                    <a:srcRect l="10787" t="9961" r="11794" b="8245"/>
                    <a:stretch>
                      <a:fillRect/>
                    </a:stretch>
                  </pic:blipFill>
                  <pic:spPr>
                    <a:xfrm>
                      <a:off x="0" y="0"/>
                      <a:ext cx="5407660" cy="808355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52415" cy="7787005"/>
            <wp:effectExtent l="0" t="0" r="635" b="4445"/>
            <wp:docPr id="233" name="图片 233" descr="零陵高新技术产业开发区调区扩区规划环境影响报告书（报批稿）_7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3" name="图片 233" descr="零陵高新技术产业开发区调区扩区规划环境影响报告书（报批稿）_727"/>
                    <pic:cNvPicPr>
                      <a:picLocks noChangeAspect="true"/>
                    </pic:cNvPicPr>
                  </pic:nvPicPr>
                  <pic:blipFill>
                    <a:blip r:embed="rId86"/>
                    <a:srcRect l="11631" t="10191" r="10630" b="9859"/>
                    <a:stretch>
                      <a:fillRect/>
                    </a:stretch>
                  </pic:blipFill>
                  <pic:spPr>
                    <a:xfrm>
                      <a:off x="0" y="0"/>
                      <a:ext cx="5352415" cy="778700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67020" cy="7860030"/>
            <wp:effectExtent l="0" t="0" r="5080" b="7620"/>
            <wp:docPr id="232" name="图片 232" descr="零陵高新技术产业开发区调区扩区规划环境影响报告书（报批稿）_7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2" name="图片 232" descr="零陵高新技术产业开发区调区扩区规划环境影响报告书（报批稿）_728"/>
                    <pic:cNvPicPr>
                      <a:picLocks noChangeAspect="true"/>
                    </pic:cNvPicPr>
                  </pic:nvPicPr>
                  <pic:blipFill>
                    <a:blip r:embed="rId87"/>
                    <a:srcRect l="10064" t="10089" r="11995" b="9228"/>
                    <a:stretch>
                      <a:fillRect/>
                    </a:stretch>
                  </pic:blipFill>
                  <pic:spPr>
                    <a:xfrm>
                      <a:off x="0" y="0"/>
                      <a:ext cx="5367020" cy="786003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39715" cy="7503795"/>
            <wp:effectExtent l="0" t="0" r="13335" b="1905"/>
            <wp:docPr id="228" name="图片 228" descr="零陵高新技术产业开发区调区扩区规划环境影响报告书（报批稿）_7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8" name="图片 228" descr="零陵高新技术产业开发区调区扩区规划环境影响报告书（报批稿）_732"/>
                    <pic:cNvPicPr>
                      <a:picLocks noChangeAspect="true"/>
                    </pic:cNvPicPr>
                  </pic:nvPicPr>
                  <pic:blipFill>
                    <a:blip r:embed="rId88"/>
                    <a:srcRect l="9172" t="9867" r="9160" b="8998"/>
                    <a:stretch>
                      <a:fillRect/>
                    </a:stretch>
                  </pic:blipFill>
                  <pic:spPr>
                    <a:xfrm>
                      <a:off x="0" y="0"/>
                      <a:ext cx="5339715" cy="750379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51145" cy="7610475"/>
            <wp:effectExtent l="0" t="0" r="1905" b="9525"/>
            <wp:docPr id="227" name="图片 227" descr="零陵高新技术产业开发区调区扩区规划环境影响报告书（报批稿）_7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7" name="图片 227" descr="零陵高新技术产业开发区调区扩区规划环境影响报告书（报批稿）_733"/>
                    <pic:cNvPicPr>
                      <a:picLocks noChangeAspect="true"/>
                    </pic:cNvPicPr>
                  </pic:nvPicPr>
                  <pic:blipFill>
                    <a:blip r:embed="rId89"/>
                    <a:srcRect l="9353" t="9100" r="10425" b="10251"/>
                    <a:stretch>
                      <a:fillRect/>
                    </a:stretch>
                  </pic:blipFill>
                  <pic:spPr>
                    <a:xfrm>
                      <a:off x="0" y="0"/>
                      <a:ext cx="5351145" cy="761047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424805" cy="7570470"/>
            <wp:effectExtent l="0" t="0" r="4445" b="11430"/>
            <wp:docPr id="226" name="图片 226" descr="零陵高新技术产业开发区调区扩区规划环境影响报告书（报批稿）_7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6" name="图片 226" descr="零陵高新技术产业开发区调区扩区规划环境影响报告书（报批稿）_734"/>
                    <pic:cNvPicPr>
                      <a:picLocks noChangeAspect="true"/>
                    </pic:cNvPicPr>
                  </pic:nvPicPr>
                  <pic:blipFill>
                    <a:blip r:embed="rId90"/>
                    <a:srcRect l="9172" t="9867" r="8979" b="9381"/>
                    <a:stretch>
                      <a:fillRect/>
                    </a:stretch>
                  </pic:blipFill>
                  <pic:spPr>
                    <a:xfrm>
                      <a:off x="0" y="0"/>
                      <a:ext cx="5424805" cy="757047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18125" cy="7668895"/>
            <wp:effectExtent l="0" t="0" r="15875" b="8255"/>
            <wp:docPr id="225" name="图片 225" descr="零陵高新技术产业开发区调区扩区规划环境影响报告书（报批稿）_7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5" name="图片 225" descr="零陵高新技术产业开发区调区扩区规划环境影响报告书（报批稿）_735"/>
                    <pic:cNvPicPr>
                      <a:picLocks noChangeAspect="true"/>
                    </pic:cNvPicPr>
                  </pic:nvPicPr>
                  <pic:blipFill>
                    <a:blip r:embed="rId91"/>
                    <a:srcRect l="9172" t="9535" r="10606" b="8691"/>
                    <a:stretch>
                      <a:fillRect/>
                    </a:stretch>
                  </pic:blipFill>
                  <pic:spPr>
                    <a:xfrm>
                      <a:off x="0" y="0"/>
                      <a:ext cx="5318125" cy="766889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93360" cy="7653655"/>
            <wp:effectExtent l="0" t="0" r="2540" b="4445"/>
            <wp:docPr id="224" name="图片 224" descr="零陵高新技术产业开发区调区扩区规划环境影响报告书（报批稿）_7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4" name="图片 224" descr="零陵高新技术产业开发区调区扩区规划环境影响报告书（报批稿）_736"/>
                    <pic:cNvPicPr>
                      <a:picLocks noChangeAspect="true"/>
                    </pic:cNvPicPr>
                  </pic:nvPicPr>
                  <pic:blipFill>
                    <a:blip r:embed="rId92"/>
                    <a:srcRect l="10257" t="9893" r="9522" b="8103"/>
                    <a:stretch>
                      <a:fillRect/>
                    </a:stretch>
                  </pic:blipFill>
                  <pic:spPr>
                    <a:xfrm>
                      <a:off x="0" y="0"/>
                      <a:ext cx="5293360" cy="765365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12410" cy="7869555"/>
            <wp:effectExtent l="0" t="0" r="2540" b="17145"/>
            <wp:docPr id="219" name="图片 219" descr="零陵高新技术产业开发区调区扩区规划环境影响报告书（报批稿）_7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9" name="图片 219" descr="零陵高新技术产业开发区调区扩区规划环境影响报告书（报批稿）_741"/>
                    <pic:cNvPicPr>
                      <a:picLocks noChangeAspect="true"/>
                    </pic:cNvPicPr>
                  </pic:nvPicPr>
                  <pic:blipFill>
                    <a:blip r:embed="rId93"/>
                    <a:srcRect l="10618" t="8972" r="10787" b="8717"/>
                    <a:stretch>
                      <a:fillRect/>
                    </a:stretch>
                  </pic:blipFill>
                  <pic:spPr>
                    <a:xfrm>
                      <a:off x="0" y="0"/>
                      <a:ext cx="5312410" cy="786955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92725" cy="7750810"/>
            <wp:effectExtent l="0" t="0" r="3175" b="2540"/>
            <wp:docPr id="218" name="图片 218" descr="零陵高新技术产业开发区调区扩区规划环境影响报告书（报批稿）_7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8" name="图片 218" descr="零陵高新技术产业开发区调区扩区规划环境影响报告书（报批稿）_742"/>
                    <pic:cNvPicPr>
                      <a:picLocks noChangeAspect="true"/>
                    </pic:cNvPicPr>
                  </pic:nvPicPr>
                  <pic:blipFill>
                    <a:blip r:embed="rId94"/>
                    <a:srcRect l="10076" t="8921" r="10245" b="8589"/>
                    <a:stretch>
                      <a:fillRect/>
                    </a:stretch>
                  </pic:blipFill>
                  <pic:spPr>
                    <a:xfrm>
                      <a:off x="0" y="0"/>
                      <a:ext cx="5292725" cy="775081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02250" cy="7811135"/>
            <wp:effectExtent l="0" t="0" r="12700" b="18415"/>
            <wp:docPr id="217" name="图片 217" descr="零陵高新技术产业开发区调区扩区规划环境影响报告书（报批稿）_7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7" name="图片 217" descr="零陵高新技术产业开发区调区扩区规划环境影响报告书（报批稿）_743"/>
                    <pic:cNvPicPr>
                      <a:picLocks noChangeAspect="true"/>
                    </pic:cNvPicPr>
                  </pic:nvPicPr>
                  <pic:blipFill>
                    <a:blip r:embed="rId95"/>
                    <a:srcRect l="10257" t="8742" r="10245" b="8461"/>
                    <a:stretch>
                      <a:fillRect/>
                    </a:stretch>
                  </pic:blipFill>
                  <pic:spPr>
                    <a:xfrm>
                      <a:off x="0" y="0"/>
                      <a:ext cx="5302250" cy="78111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02250" cy="7593965"/>
            <wp:effectExtent l="0" t="0" r="12700" b="6985"/>
            <wp:docPr id="216" name="图片 216" descr="零陵高新技术产业开发区调区扩区规划环境影响报告书（报批稿）_7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6" name="图片 216" descr="零陵高新技术产业开发区调区扩区规划环境影响报告书（报批稿）_744"/>
                    <pic:cNvPicPr>
                      <a:picLocks noChangeAspect="true"/>
                    </pic:cNvPicPr>
                  </pic:nvPicPr>
                  <pic:blipFill>
                    <a:blip r:embed="rId96"/>
                    <a:srcRect l="9847" t="10072" r="9570" b="8333"/>
                    <a:stretch>
                      <a:fillRect/>
                    </a:stretch>
                  </pic:blipFill>
                  <pic:spPr>
                    <a:xfrm>
                      <a:off x="0" y="0"/>
                      <a:ext cx="5302250" cy="759396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93360" cy="7670165"/>
            <wp:effectExtent l="0" t="0" r="2540" b="6985"/>
            <wp:docPr id="215" name="图片 215" descr="零陵高新技术产业开发区调区扩区规划环境影响报告书（报批稿）_7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5" name="图片 215" descr="零陵高新技术产业开发区调区扩区规划环境影响报告书（报批稿）_745"/>
                    <pic:cNvPicPr>
                      <a:picLocks noChangeAspect="true"/>
                    </pic:cNvPicPr>
                  </pic:nvPicPr>
                  <pic:blipFill>
                    <a:blip r:embed="rId97"/>
                    <a:srcRect l="10618" t="9611" r="9160" b="8206"/>
                    <a:stretch>
                      <a:fillRect/>
                    </a:stretch>
                  </pic:blipFill>
                  <pic:spPr>
                    <a:xfrm>
                      <a:off x="0" y="0"/>
                      <a:ext cx="5293360" cy="767016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11140" cy="7978775"/>
            <wp:effectExtent l="0" t="0" r="3810" b="3175"/>
            <wp:docPr id="214" name="图片 214" descr="零陵高新技术产业开发区调区扩区规划环境影响报告书（报批稿）_7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4" name="图片 214" descr="零陵高新技术产业开发区调区扩区规划环境影响报告书（报批稿）_746"/>
                    <pic:cNvPicPr>
                      <a:picLocks noChangeAspect="true"/>
                    </pic:cNvPicPr>
                  </pic:nvPicPr>
                  <pic:blipFill>
                    <a:blip r:embed="rId98"/>
                    <a:srcRect l="10076" t="9254" r="12178" b="8180"/>
                    <a:stretch>
                      <a:fillRect/>
                    </a:stretch>
                  </pic:blipFill>
                  <pic:spPr>
                    <a:xfrm>
                      <a:off x="0" y="0"/>
                      <a:ext cx="5311140" cy="797877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02885" cy="7854315"/>
            <wp:effectExtent l="0" t="0" r="12065" b="13335"/>
            <wp:docPr id="213" name="图片 213" descr="零陵高新技术产业开发区调区扩区规划环境影响报告书（报批稿）_7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3" name="图片 213" descr="零陵高新技术产业开发区调区扩区规划环境影响报告书（报批稿）_747"/>
                    <pic:cNvPicPr>
                      <a:picLocks noChangeAspect="true"/>
                    </pic:cNvPicPr>
                  </pic:nvPicPr>
                  <pic:blipFill>
                    <a:blip r:embed="rId99"/>
                    <a:srcRect l="10438" t="8589" r="10245" b="8359"/>
                    <a:stretch>
                      <a:fillRect/>
                    </a:stretch>
                  </pic:blipFill>
                  <pic:spPr>
                    <a:xfrm>
                      <a:off x="0" y="0"/>
                      <a:ext cx="5302885" cy="785431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21300" cy="7645400"/>
            <wp:effectExtent l="0" t="0" r="12700" b="12700"/>
            <wp:docPr id="212" name="图片 212" descr="零陵高新技术产业开发区调区扩区规划环境影响报告书（报批稿）_7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2" name="图片 212" descr="零陵高新技术产业开发区调区扩区规划环境影响报告书（报批稿）_748"/>
                    <pic:cNvPicPr>
                      <a:picLocks noChangeAspect="true"/>
                    </pic:cNvPicPr>
                  </pic:nvPicPr>
                  <pic:blipFill>
                    <a:blip r:embed="rId100"/>
                    <a:srcRect l="9534" t="9177" r="8979" b="8052"/>
                    <a:stretch>
                      <a:fillRect/>
                    </a:stretch>
                  </pic:blipFill>
                  <pic:spPr>
                    <a:xfrm>
                      <a:off x="0" y="0"/>
                      <a:ext cx="5321300" cy="764540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02250" cy="7633335"/>
            <wp:effectExtent l="0" t="0" r="12700" b="5715"/>
            <wp:docPr id="211" name="图片 211" descr="零陵高新技术产业开发区调区扩区规划环境影响报告书（报批稿）_7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1" name="图片 211" descr="零陵高新技术产业开发区调区扩区规划环境影响报告书（报批稿）_749"/>
                    <pic:cNvPicPr>
                      <a:picLocks noChangeAspect="true"/>
                    </pic:cNvPicPr>
                  </pic:nvPicPr>
                  <pic:blipFill>
                    <a:blip r:embed="rId101"/>
                    <a:srcRect l="9534" t="9100" r="9522" b="8512"/>
                    <a:stretch>
                      <a:fillRect/>
                    </a:stretch>
                  </pic:blipFill>
                  <pic:spPr>
                    <a:xfrm>
                      <a:off x="0" y="0"/>
                      <a:ext cx="5302250" cy="76333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02250" cy="7416165"/>
            <wp:effectExtent l="0" t="0" r="12700" b="13335"/>
            <wp:docPr id="203" name="图片 203" descr="零陵高新技术产业开发区调区扩区规划环境影响报告书（报批稿）_7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3" name="图片 203" descr="零陵高新技术产业开发区调区扩区规划环境影响报告书（报批稿）_757"/>
                    <pic:cNvPicPr>
                      <a:picLocks noChangeAspect="true"/>
                    </pic:cNvPicPr>
                  </pic:nvPicPr>
                  <pic:blipFill>
                    <a:blip r:embed="rId102"/>
                    <a:srcRect l="7003" t="9151" r="9702" b="8487"/>
                    <a:stretch>
                      <a:fillRect/>
                    </a:stretch>
                  </pic:blipFill>
                  <pic:spPr>
                    <a:xfrm>
                      <a:off x="0" y="0"/>
                      <a:ext cx="5302250" cy="741616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12410" cy="7748270"/>
            <wp:effectExtent l="0" t="0" r="2540" b="5080"/>
            <wp:docPr id="202" name="图片 202" descr="零陵高新技术产业开发区调区扩区规划环境影响报告书（报批稿）_7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2" name="图片 202" descr="零陵高新技术产业开发区调区扩区规划环境影响报告书（报批稿）_758"/>
                    <pic:cNvPicPr>
                      <a:picLocks noChangeAspect="true"/>
                    </pic:cNvPicPr>
                  </pic:nvPicPr>
                  <pic:blipFill>
                    <a:blip r:embed="rId103"/>
                    <a:srcRect l="9353" t="9151" r="10425" b="8129"/>
                    <a:stretch>
                      <a:fillRect/>
                    </a:stretch>
                  </pic:blipFill>
                  <pic:spPr>
                    <a:xfrm>
                      <a:off x="0" y="0"/>
                      <a:ext cx="5312410" cy="774827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35270" cy="7667625"/>
            <wp:effectExtent l="0" t="0" r="17780" b="9525"/>
            <wp:docPr id="201" name="图片 201" descr="零陵高新技术产业开发区调区扩区规划环境影响报告书（报批稿）_7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1" name="图片 201" descr="零陵高新技术产业开发区调区扩区规划环境影响报告书（报批稿）_759"/>
                    <pic:cNvPicPr>
                      <a:picLocks noChangeAspect="true"/>
                    </pic:cNvPicPr>
                  </pic:nvPicPr>
                  <pic:blipFill>
                    <a:blip r:embed="rId104"/>
                    <a:srcRect l="8630" t="9134" r="9883" b="8078"/>
                    <a:stretch>
                      <a:fillRect/>
                    </a:stretch>
                  </pic:blipFill>
                  <pic:spPr>
                    <a:xfrm>
                      <a:off x="0" y="0"/>
                      <a:ext cx="5335270" cy="766762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37810" cy="7894320"/>
            <wp:effectExtent l="0" t="0" r="15240" b="11430"/>
            <wp:docPr id="200" name="图片 200" descr="零陵高新技术产业开发区调区扩区规划环境影响报告书（报批稿）_7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0" name="图片 200" descr="零陵高新技术产业开发区调区扩区规划环境影响报告书（报批稿）_760"/>
                    <pic:cNvPicPr>
                      <a:picLocks noChangeAspect="true"/>
                    </pic:cNvPicPr>
                  </pic:nvPicPr>
                  <pic:blipFill>
                    <a:blip r:embed="rId105"/>
                    <a:srcRect l="9666" t="9100" r="11016" b="7975"/>
                    <a:stretch>
                      <a:fillRect/>
                    </a:stretch>
                  </pic:blipFill>
                  <pic:spPr>
                    <a:xfrm>
                      <a:off x="0" y="0"/>
                      <a:ext cx="5337810" cy="789432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95900" cy="7611110"/>
            <wp:effectExtent l="0" t="0" r="0" b="8890"/>
            <wp:docPr id="188" name="图片 188" descr="零陵高新技术产业开发区调区扩区规划环境影响报告书（报批稿）_7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8" name="图片 188" descr="零陵高新技术产业开发区调区扩区规划环境影响报告书（报批稿）_772"/>
                    <pic:cNvPicPr>
                      <a:picLocks noChangeAspect="true"/>
                    </pic:cNvPicPr>
                  </pic:nvPicPr>
                  <pic:blipFill>
                    <a:blip r:embed="rId106"/>
                    <a:srcRect l="9534" t="8683" r="8750" b="8291"/>
                    <a:stretch>
                      <a:fillRect/>
                    </a:stretch>
                  </pic:blipFill>
                  <pic:spPr>
                    <a:xfrm>
                      <a:off x="0" y="0"/>
                      <a:ext cx="5295900" cy="761111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314315" cy="7777480"/>
            <wp:effectExtent l="0" t="0" r="635" b="13970"/>
            <wp:docPr id="187" name="图片 187" descr="零陵高新技术产业开发区调区扩区规划环境影响报告书（报批稿）_7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7" name="图片 187" descr="零陵高新技术产业开发区调区扩区规划环境影响报告书（报批稿）_773"/>
                    <pic:cNvPicPr>
                      <a:picLocks noChangeAspect="true"/>
                    </pic:cNvPicPr>
                  </pic:nvPicPr>
                  <pic:blipFill>
                    <a:blip r:embed="rId107"/>
                    <a:srcRect l="10257" t="9296" r="10016" b="8214"/>
                    <a:stretch>
                      <a:fillRect/>
                    </a:stretch>
                  </pic:blipFill>
                  <pic:spPr>
                    <a:xfrm>
                      <a:off x="0" y="0"/>
                      <a:ext cx="5314315" cy="7777480"/>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92725" cy="7581265"/>
            <wp:effectExtent l="0" t="0" r="3175" b="635"/>
            <wp:docPr id="130" name="图片 130" descr="零陵高新技术产业开发区调区扩区规划环境影响报告书（报批稿）_8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 name="图片 130" descr="零陵高新技术产业开发区调区扩区规划环境影响报告书（报批稿）_830"/>
                    <pic:cNvPicPr>
                      <a:picLocks noChangeAspect="true"/>
                    </pic:cNvPicPr>
                  </pic:nvPicPr>
                  <pic:blipFill>
                    <a:blip r:embed="rId108"/>
                    <a:srcRect l="8630" t="9398" r="10425" b="8632"/>
                    <a:stretch>
                      <a:fillRect/>
                    </a:stretch>
                  </pic:blipFill>
                  <pic:spPr>
                    <a:xfrm>
                      <a:off x="0" y="0"/>
                      <a:ext cx="5292725" cy="7581265"/>
                    </a:xfrm>
                    <a:prstGeom prst="rect">
                      <a:avLst/>
                    </a:prstGeom>
                  </pic:spPr>
                </pic:pic>
              </a:graphicData>
            </a:graphic>
          </wp:inline>
        </w:drawing>
      </w:r>
    </w:p>
    <w:p>
      <w:pPr>
        <w:rPr>
          <w:rFonts w:hint="default" w:ascii="Times New Roman" w:hAnsi="Times New Roman" w:cs="Times New Roman"/>
          <w:color w:val="auto"/>
          <w:sz w:val="32"/>
          <w:szCs w:val="32"/>
        </w:rPr>
      </w:pPr>
      <w:r>
        <w:rPr>
          <w:rFonts w:hint="default" w:ascii="Times New Roman" w:hAnsi="Times New Roman" w:cs="Times New Roman"/>
          <w:color w:val="auto"/>
          <w:sz w:val="32"/>
          <w:szCs w:val="32"/>
        </w:rPr>
        <w:br w:type="page"/>
      </w: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62" w:name="_Toc30000"/>
      <w:r>
        <w:rPr>
          <w:rFonts w:hint="default" w:ascii="Times New Roman" w:hAnsi="Times New Roman" w:cs="Times New Roman"/>
          <w:color w:val="auto"/>
          <w:sz w:val="32"/>
          <w:szCs w:val="32"/>
        </w:rPr>
        <w:t>附件</w:t>
      </w:r>
      <w:r>
        <w:rPr>
          <w:rFonts w:hint="eastAsia" w:ascii="Times New Roman" w:hAnsi="Times New Roman" w:eastAsia="宋体" w:cs="Times New Roman"/>
          <w:color w:val="auto"/>
          <w:sz w:val="32"/>
          <w:szCs w:val="32"/>
          <w:lang w:val="en-US" w:eastAsia="zh-CN"/>
        </w:rPr>
        <w:t>9</w:t>
      </w:r>
      <w:r>
        <w:rPr>
          <w:rFonts w:hint="default" w:ascii="Times New Roman" w:hAnsi="Times New Roman" w:cs="Times New Roman"/>
          <w:color w:val="auto"/>
          <w:sz w:val="32"/>
          <w:szCs w:val="32"/>
        </w:rPr>
        <w:t>：原料成分证明材料</w:t>
      </w:r>
      <w:bookmarkEnd w:id="162"/>
    </w:p>
    <w:p>
      <w:pPr>
        <w:keepNext w:val="0"/>
        <w:keepLines w:val="0"/>
        <w:pageBreakBefore w:val="0"/>
        <w:widowControl w:val="0"/>
        <w:kinsoku w:val="0"/>
        <w:wordWrap/>
        <w:overflowPunct/>
        <w:topLinePunct w:val="0"/>
        <w:autoSpaceDE w:val="0"/>
        <w:autoSpaceDN w:val="0"/>
        <w:bidi w:val="0"/>
        <w:adjustRightInd w:val="0"/>
        <w:snapToGrid w:val="0"/>
        <w:spacing w:line="279" w:lineRule="auto"/>
        <w:textAlignment w:val="baseline"/>
        <w:rPr>
          <w:rFonts w:hint="eastAsia" w:ascii="Arial" w:eastAsia="宋体"/>
          <w:color w:val="auto"/>
          <w:sz w:val="21"/>
          <w:lang w:eastAsia="zh-CN"/>
        </w:rPr>
      </w:pPr>
      <w:r>
        <w:rPr>
          <w:rFonts w:hint="eastAsia" w:ascii="Arial" w:eastAsia="宋体"/>
          <w:color w:val="auto"/>
          <w:sz w:val="21"/>
          <w:lang w:eastAsia="zh-CN"/>
        </w:rPr>
        <w:drawing>
          <wp:inline distT="0" distB="0" distL="114300" distR="114300">
            <wp:extent cx="5263515" cy="7442835"/>
            <wp:effectExtent l="0" t="0" r="13335" b="5715"/>
            <wp:docPr id="105" name="图片 105" descr="复合油墨的检测报告2024.04.16-1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105" descr="复合油墨的检测报告2024.04.16-1_00"/>
                    <pic:cNvPicPr>
                      <a:picLocks noChangeAspect="true"/>
                    </pic:cNvPicPr>
                  </pic:nvPicPr>
                  <pic:blipFill>
                    <a:blip r:embed="rId109"/>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103" name="图片 103" descr="复合油墨的检测报告2024.04.16-1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103" descr="复合油墨的检测报告2024.04.16-1_01"/>
                    <pic:cNvPicPr>
                      <a:picLocks noChangeAspect="true"/>
                    </pic:cNvPicPr>
                  </pic:nvPicPr>
                  <pic:blipFill>
                    <a:blip r:embed="rId110"/>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101" name="图片 101" descr="复合油墨的检测报告2024.04.16-1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101" descr="复合油墨的检测报告2024.04.16-1_02"/>
                    <pic:cNvPicPr>
                      <a:picLocks noChangeAspect="true"/>
                    </pic:cNvPicPr>
                  </pic:nvPicPr>
                  <pic:blipFill>
                    <a:blip r:embed="rId111"/>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99" name="图片 99" descr="复合油墨的检测报告2024.04.16-1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99" descr="复合油墨的检测报告2024.04.16-1_03"/>
                    <pic:cNvPicPr>
                      <a:picLocks noChangeAspect="true"/>
                    </pic:cNvPicPr>
                  </pic:nvPicPr>
                  <pic:blipFill>
                    <a:blip r:embed="rId112"/>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97" name="图片 97" descr="里印ENU 系列ROHS中文 20240229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97" descr="里印ENU 系列ROHS中文 20240229_00"/>
                    <pic:cNvPicPr>
                      <a:picLocks noChangeAspect="true"/>
                    </pic:cNvPicPr>
                  </pic:nvPicPr>
                  <pic:blipFill>
                    <a:blip r:embed="rId113"/>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95" name="图片 95" descr="里印ENU 系列ROHS中文 20240229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95" descr="里印ENU 系列ROHS中文 20240229_01"/>
                    <pic:cNvPicPr>
                      <a:picLocks noChangeAspect="true"/>
                    </pic:cNvPicPr>
                  </pic:nvPicPr>
                  <pic:blipFill>
                    <a:blip r:embed="rId114"/>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93" name="图片 93" descr="里印ENU 系列ROHS中文 20240229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93" descr="里印ENU 系列ROHS中文 20240229_02"/>
                    <pic:cNvPicPr>
                      <a:picLocks noChangeAspect="true"/>
                    </pic:cNvPicPr>
                  </pic:nvPicPr>
                  <pic:blipFill>
                    <a:blip r:embed="rId115"/>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91" name="图片 91" descr="里印ENU 系列ROHS中文 20240229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91" descr="里印ENU 系列ROHS中文 20240229_03"/>
                    <pic:cNvPicPr>
                      <a:picLocks noChangeAspect="true"/>
                    </pic:cNvPicPr>
                  </pic:nvPicPr>
                  <pic:blipFill>
                    <a:blip r:embed="rId116"/>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89" name="图片 89" descr="里印ENU 系列ROHS中文 20240229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89" descr="里印ENU 系列ROHS中文 20240229_04"/>
                    <pic:cNvPicPr>
                      <a:picLocks noChangeAspect="true"/>
                    </pic:cNvPicPr>
                  </pic:nvPicPr>
                  <pic:blipFill>
                    <a:blip r:embed="rId117"/>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87" name="图片 87" descr="里印ENU 系列ROHS中文 20240229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87" descr="里印ENU 系列ROHS中文 20240229_05"/>
                    <pic:cNvPicPr>
                      <a:picLocks noChangeAspect="true"/>
                    </pic:cNvPicPr>
                  </pic:nvPicPr>
                  <pic:blipFill>
                    <a:blip r:embed="rId118"/>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85" name="图片 85" descr="里印ENU 系列ROHS中文 20240229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85" descr="里印ENU 系列ROHS中文 20240229_06"/>
                    <pic:cNvPicPr>
                      <a:picLocks noChangeAspect="true"/>
                    </pic:cNvPicPr>
                  </pic:nvPicPr>
                  <pic:blipFill>
                    <a:blip r:embed="rId119"/>
                    <a:stretch>
                      <a:fillRect/>
                    </a:stretch>
                  </pic:blipFill>
                  <pic:spPr>
                    <a:xfrm>
                      <a:off x="0" y="0"/>
                      <a:ext cx="5263515" cy="7442835"/>
                    </a:xfrm>
                    <a:prstGeom prst="rect">
                      <a:avLst/>
                    </a:prstGeom>
                  </pic:spPr>
                </pic:pic>
              </a:graphicData>
            </a:graphic>
          </wp:inline>
        </w:drawing>
      </w:r>
      <w:r>
        <w:rPr>
          <w:rFonts w:hint="eastAsia" w:ascii="Arial" w:eastAsia="宋体"/>
          <w:color w:val="auto"/>
          <w:sz w:val="21"/>
          <w:lang w:eastAsia="zh-CN"/>
        </w:rPr>
        <w:drawing>
          <wp:inline distT="0" distB="0" distL="114300" distR="114300">
            <wp:extent cx="5263515" cy="7442835"/>
            <wp:effectExtent l="0" t="0" r="13335" b="5715"/>
            <wp:docPr id="83" name="图片 83" descr="里印ENU 系列ROHS中文 20240229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83" descr="里印ENU 系列ROHS中文 20240229_07"/>
                    <pic:cNvPicPr>
                      <a:picLocks noChangeAspect="true"/>
                    </pic:cNvPicPr>
                  </pic:nvPicPr>
                  <pic:blipFill>
                    <a:blip r:embed="rId120"/>
                    <a:stretch>
                      <a:fillRect/>
                    </a:stretch>
                  </pic:blipFill>
                  <pic:spPr>
                    <a:xfrm>
                      <a:off x="0" y="0"/>
                      <a:ext cx="5263515" cy="7442835"/>
                    </a:xfrm>
                    <a:prstGeom prst="rect">
                      <a:avLst/>
                    </a:prstGeom>
                  </pic:spPr>
                </pic:pic>
              </a:graphicData>
            </a:graphic>
          </wp:inline>
        </w:drawing>
      </w:r>
    </w:p>
    <w:p>
      <w:pPr>
        <w:rPr>
          <w:rFonts w:hint="default" w:ascii="Times New Roman" w:hAnsi="Times New Roman" w:cs="Times New Roman"/>
          <w:color w:val="auto"/>
          <w:sz w:val="32"/>
          <w:szCs w:val="32"/>
        </w:rPr>
      </w:pPr>
      <w:r>
        <w:rPr>
          <w:rFonts w:hint="default" w:ascii="Times New Roman" w:hAnsi="Times New Roman" w:cs="Times New Roman"/>
          <w:color w:val="auto"/>
          <w:sz w:val="32"/>
          <w:szCs w:val="32"/>
        </w:rPr>
        <w:br w:type="page"/>
      </w: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63" w:name="_Toc26508"/>
      <w:r>
        <w:rPr>
          <w:rFonts w:hint="default" w:ascii="Times New Roman" w:hAnsi="Times New Roman" w:cs="Times New Roman"/>
          <w:color w:val="auto"/>
          <w:sz w:val="32"/>
          <w:szCs w:val="32"/>
        </w:rPr>
        <w:t>附件</w:t>
      </w:r>
      <w:r>
        <w:rPr>
          <w:rFonts w:hint="eastAsia" w:ascii="Times New Roman" w:hAnsi="Times New Roman" w:eastAsia="宋体" w:cs="Times New Roman"/>
          <w:color w:val="auto"/>
          <w:sz w:val="32"/>
          <w:szCs w:val="32"/>
          <w:lang w:val="en-US" w:eastAsia="zh-CN"/>
        </w:rPr>
        <w:t>10</w:t>
      </w:r>
      <w:r>
        <w:rPr>
          <w:rFonts w:hint="default" w:ascii="Times New Roman" w:hAnsi="Times New Roman" w:cs="Times New Roman"/>
          <w:color w:val="auto"/>
          <w:sz w:val="32"/>
          <w:szCs w:val="32"/>
        </w:rPr>
        <w:t>：</w:t>
      </w:r>
      <w:r>
        <w:rPr>
          <w:rFonts w:hint="eastAsia" w:ascii="Times New Roman" w:hAnsi="Times New Roman" w:cs="Times New Roman"/>
          <w:color w:val="auto"/>
          <w:sz w:val="32"/>
          <w:szCs w:val="32"/>
          <w:lang w:val="en-US" w:eastAsia="zh-CN"/>
        </w:rPr>
        <w:t>厂房出租单位</w:t>
      </w:r>
      <w:r>
        <w:rPr>
          <w:rFonts w:hint="default" w:ascii="Times New Roman" w:hAnsi="Times New Roman" w:cs="Times New Roman"/>
          <w:color w:val="auto"/>
          <w:sz w:val="32"/>
          <w:szCs w:val="32"/>
        </w:rPr>
        <w:t>环评及验收文件</w:t>
      </w:r>
      <w:bookmarkEnd w:id="163"/>
    </w:p>
    <w:p>
      <w:pPr>
        <w:keepNext w:val="0"/>
        <w:keepLines w:val="0"/>
        <w:pageBreakBefore w:val="0"/>
        <w:widowControl w:val="0"/>
        <w:kinsoku w:val="0"/>
        <w:wordWrap/>
        <w:overflowPunct/>
        <w:topLinePunct w:val="0"/>
        <w:autoSpaceDE w:val="0"/>
        <w:autoSpaceDN w:val="0"/>
        <w:bidi w:val="0"/>
        <w:adjustRightInd w:val="0"/>
        <w:snapToGrid w:val="0"/>
        <w:textAlignment w:val="baseline"/>
        <w:rPr>
          <w:color w:val="auto"/>
        </w:rPr>
      </w:pPr>
      <w:r>
        <w:rPr>
          <w:color w:val="auto"/>
        </w:rPr>
        <w:drawing>
          <wp:inline distT="0" distB="0" distL="114300" distR="114300">
            <wp:extent cx="5283200" cy="7925435"/>
            <wp:effectExtent l="0" t="0" r="12700" b="18415"/>
            <wp:docPr id="3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true"/>
                    </pic:cNvPicPr>
                  </pic:nvPicPr>
                  <pic:blipFill>
                    <a:blip r:embed="rId121"/>
                    <a:srcRect l="4456" r="6496"/>
                    <a:stretch>
                      <a:fillRect/>
                    </a:stretch>
                  </pic:blipFill>
                  <pic:spPr>
                    <a:xfrm>
                      <a:off x="0" y="0"/>
                      <a:ext cx="5283200" cy="7925435"/>
                    </a:xfrm>
                    <a:prstGeom prst="rect">
                      <a:avLst/>
                    </a:prstGeom>
                    <a:noFill/>
                    <a:ln>
                      <a:noFill/>
                    </a:ln>
                  </pic:spPr>
                </pic:pic>
              </a:graphicData>
            </a:graphic>
          </wp:inline>
        </w:drawing>
      </w:r>
      <w:r>
        <w:rPr>
          <w:color w:val="auto"/>
        </w:rPr>
        <w:drawing>
          <wp:inline distT="0" distB="0" distL="114300" distR="114300">
            <wp:extent cx="5325745" cy="8466455"/>
            <wp:effectExtent l="0" t="0" r="8255" b="10795"/>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pic:cNvPicPr>
                  </pic:nvPicPr>
                  <pic:blipFill>
                    <a:blip r:embed="rId122"/>
                    <a:srcRect l="4675" r="6463"/>
                    <a:stretch>
                      <a:fillRect/>
                    </a:stretch>
                  </pic:blipFill>
                  <pic:spPr>
                    <a:xfrm>
                      <a:off x="0" y="0"/>
                      <a:ext cx="5325745" cy="8466455"/>
                    </a:xfrm>
                    <a:prstGeom prst="rect">
                      <a:avLst/>
                    </a:prstGeom>
                    <a:noFill/>
                    <a:ln>
                      <a:noFill/>
                    </a:ln>
                  </pic:spPr>
                </pic:pic>
              </a:graphicData>
            </a:graphic>
          </wp:inline>
        </w:drawing>
      </w:r>
      <w:r>
        <w:rPr>
          <w:color w:val="auto"/>
        </w:rPr>
        <w:drawing>
          <wp:inline distT="0" distB="0" distL="114300" distR="114300">
            <wp:extent cx="5314950" cy="7717155"/>
            <wp:effectExtent l="9525" t="9525" r="9525" b="26670"/>
            <wp:docPr id="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true"/>
                    </pic:cNvPicPr>
                  </pic:nvPicPr>
                  <pic:blipFill>
                    <a:blip r:embed="rId123"/>
                    <a:srcRect l="1940" r="7872"/>
                    <a:stretch>
                      <a:fillRect/>
                    </a:stretch>
                  </pic:blipFill>
                  <pic:spPr>
                    <a:xfrm>
                      <a:off x="0" y="0"/>
                      <a:ext cx="5314950" cy="7717155"/>
                    </a:xfrm>
                    <a:prstGeom prst="rect">
                      <a:avLst/>
                    </a:prstGeom>
                    <a:noFill/>
                    <a:ln>
                      <a:solidFill>
                        <a:schemeClr val="tx1"/>
                      </a:solidFill>
                    </a:ln>
                  </pic:spPr>
                </pic:pic>
              </a:graphicData>
            </a:graphic>
          </wp:inline>
        </w:drawing>
      </w:r>
      <w:r>
        <w:rPr>
          <w:color w:val="auto"/>
        </w:rPr>
        <w:drawing>
          <wp:inline distT="0" distB="0" distL="114300" distR="114300">
            <wp:extent cx="5306695" cy="8005445"/>
            <wp:effectExtent l="9525" t="9525" r="17780" b="24130"/>
            <wp:docPr id="40"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true"/>
                    </pic:cNvPicPr>
                  </pic:nvPicPr>
                  <pic:blipFill>
                    <a:blip r:embed="rId124"/>
                    <a:srcRect l="3747" r="3579"/>
                    <a:stretch>
                      <a:fillRect/>
                    </a:stretch>
                  </pic:blipFill>
                  <pic:spPr>
                    <a:xfrm>
                      <a:off x="0" y="0"/>
                      <a:ext cx="5306695" cy="8005445"/>
                    </a:xfrm>
                    <a:prstGeom prst="rect">
                      <a:avLst/>
                    </a:prstGeom>
                    <a:noFill/>
                    <a:ln>
                      <a:solidFill>
                        <a:schemeClr val="tx1"/>
                      </a:solidFill>
                    </a:ln>
                  </pic:spPr>
                </pic:pic>
              </a:graphicData>
            </a:graphic>
          </wp:inline>
        </w:drawing>
      </w:r>
      <w:r>
        <w:rPr>
          <w:color w:val="auto"/>
        </w:rPr>
        <w:drawing>
          <wp:inline distT="0" distB="0" distL="114300" distR="114300">
            <wp:extent cx="5283200" cy="7620635"/>
            <wp:effectExtent l="9525" t="9525" r="22225" b="27940"/>
            <wp:docPr id="42"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true"/>
                    </pic:cNvPicPr>
                  </pic:nvPicPr>
                  <pic:blipFill>
                    <a:blip r:embed="rId125"/>
                    <a:srcRect r="6683"/>
                    <a:stretch>
                      <a:fillRect/>
                    </a:stretch>
                  </pic:blipFill>
                  <pic:spPr>
                    <a:xfrm>
                      <a:off x="0" y="0"/>
                      <a:ext cx="5283200" cy="7620635"/>
                    </a:xfrm>
                    <a:prstGeom prst="rect">
                      <a:avLst/>
                    </a:prstGeom>
                    <a:noFill/>
                    <a:ln>
                      <a:solidFill>
                        <a:schemeClr val="tx1"/>
                      </a:solidFill>
                    </a:ln>
                  </pic:spPr>
                </pic:pic>
              </a:graphicData>
            </a:graphic>
          </wp:inline>
        </w:drawing>
      </w:r>
      <w:r>
        <w:rPr>
          <w:color w:val="auto"/>
        </w:rPr>
        <w:drawing>
          <wp:inline distT="0" distB="0" distL="114300" distR="114300">
            <wp:extent cx="5292090" cy="8020685"/>
            <wp:effectExtent l="9525" t="9525" r="13335" b="27940"/>
            <wp:docPr id="44"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true"/>
                    </pic:cNvPicPr>
                  </pic:nvPicPr>
                  <pic:blipFill>
                    <a:blip r:embed="rId126"/>
                    <a:srcRect l="5165" r="3216"/>
                    <a:stretch>
                      <a:fillRect/>
                    </a:stretch>
                  </pic:blipFill>
                  <pic:spPr>
                    <a:xfrm>
                      <a:off x="0" y="0"/>
                      <a:ext cx="5292090" cy="8020685"/>
                    </a:xfrm>
                    <a:prstGeom prst="rect">
                      <a:avLst/>
                    </a:prstGeom>
                    <a:noFill/>
                    <a:ln>
                      <a:solidFill>
                        <a:schemeClr val="tx1"/>
                      </a:solidFill>
                    </a:ln>
                  </pic:spPr>
                </pic:pic>
              </a:graphicData>
            </a:graphic>
          </wp:inline>
        </w:drawing>
      </w:r>
    </w:p>
    <w:p>
      <w:pPr>
        <w:rPr>
          <w:rFonts w:hint="eastAsia" w:eastAsia="宋体"/>
          <w:color w:val="auto"/>
          <w:lang w:eastAsia="zh-CN"/>
        </w:rPr>
      </w:pPr>
      <w:r>
        <w:rPr>
          <w:rFonts w:hint="eastAsia" w:eastAsia="宋体"/>
          <w:color w:val="auto"/>
          <w:lang w:eastAsia="zh-CN"/>
        </w:rPr>
        <w:drawing>
          <wp:inline distT="0" distB="0" distL="114300" distR="114300">
            <wp:extent cx="7788275" cy="5285105"/>
            <wp:effectExtent l="0" t="0" r="10795" b="3175"/>
            <wp:docPr id="46" name="图片 46" descr="793f8613b2ae029701343da851cf90d"/>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descr="793f8613b2ae029701343da851cf90d"/>
                    <pic:cNvPicPr>
                      <a:picLocks noChangeAspect="true"/>
                    </pic:cNvPicPr>
                  </pic:nvPicPr>
                  <pic:blipFill>
                    <a:blip r:embed="rId127"/>
                    <a:srcRect t="2935" b="1111"/>
                    <a:stretch>
                      <a:fillRect/>
                    </a:stretch>
                  </pic:blipFill>
                  <pic:spPr>
                    <a:xfrm rot="16200000">
                      <a:off x="0" y="0"/>
                      <a:ext cx="7788275" cy="5285105"/>
                    </a:xfrm>
                    <a:prstGeom prst="rect">
                      <a:avLst/>
                    </a:prstGeom>
                  </pic:spPr>
                </pic:pic>
              </a:graphicData>
            </a:graphic>
          </wp:inline>
        </w:drawing>
      </w:r>
      <w:r>
        <w:rPr>
          <w:rFonts w:hint="eastAsia" w:eastAsia="宋体"/>
          <w:color w:val="auto"/>
          <w:lang w:eastAsia="zh-CN"/>
        </w:rPr>
        <w:drawing>
          <wp:inline distT="0" distB="0" distL="114300" distR="114300">
            <wp:extent cx="8225790" cy="5293995"/>
            <wp:effectExtent l="0" t="0" r="1905" b="3810"/>
            <wp:docPr id="48" name="图片 48" descr="eff0aff554bcbc24c268f544a1434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descr="eff0aff554bcbc24c268f544a143454"/>
                    <pic:cNvPicPr>
                      <a:picLocks noChangeAspect="true"/>
                    </pic:cNvPicPr>
                  </pic:nvPicPr>
                  <pic:blipFill>
                    <a:blip r:embed="rId128"/>
                    <a:srcRect b="2412"/>
                    <a:stretch>
                      <a:fillRect/>
                    </a:stretch>
                  </pic:blipFill>
                  <pic:spPr>
                    <a:xfrm rot="16200000">
                      <a:off x="0" y="0"/>
                      <a:ext cx="8225790" cy="5293995"/>
                    </a:xfrm>
                    <a:prstGeom prst="rect">
                      <a:avLst/>
                    </a:prstGeom>
                  </pic:spPr>
                </pic:pic>
              </a:graphicData>
            </a:graphic>
          </wp:inline>
        </w:drawing>
      </w:r>
      <w:r>
        <w:rPr>
          <w:rFonts w:hint="eastAsia" w:eastAsia="宋体"/>
          <w:color w:val="auto"/>
          <w:lang w:eastAsia="zh-CN"/>
        </w:rPr>
        <w:drawing>
          <wp:inline distT="0" distB="0" distL="114300" distR="114300">
            <wp:extent cx="8291195" cy="5295265"/>
            <wp:effectExtent l="0" t="0" r="635" b="14605"/>
            <wp:docPr id="67" name="图片 67" descr="b8e576a619b8beef10fa041ff4ce5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7" descr="b8e576a619b8beef10fa041ff4ce501"/>
                    <pic:cNvPicPr>
                      <a:picLocks noChangeAspect="true"/>
                    </pic:cNvPicPr>
                  </pic:nvPicPr>
                  <pic:blipFill>
                    <a:blip r:embed="rId129"/>
                    <a:srcRect t="1603" b="971"/>
                    <a:stretch>
                      <a:fillRect/>
                    </a:stretch>
                  </pic:blipFill>
                  <pic:spPr>
                    <a:xfrm rot="16200000">
                      <a:off x="0" y="0"/>
                      <a:ext cx="8291195" cy="5295265"/>
                    </a:xfrm>
                    <a:prstGeom prst="rect">
                      <a:avLst/>
                    </a:prstGeom>
                  </pic:spPr>
                </pic:pic>
              </a:graphicData>
            </a:graphic>
          </wp:inline>
        </w:drawing>
      </w:r>
      <w:r>
        <w:rPr>
          <w:rFonts w:hint="eastAsia" w:eastAsia="宋体"/>
          <w:color w:val="auto"/>
          <w:lang w:eastAsia="zh-CN"/>
        </w:rPr>
        <w:drawing>
          <wp:inline distT="0" distB="0" distL="114300" distR="114300">
            <wp:extent cx="5325110" cy="7602220"/>
            <wp:effectExtent l="0" t="0" r="8890" b="17780"/>
            <wp:docPr id="18" name="图片 18" descr="38679d95abd392359ffd47bfbbe5e58d_"/>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descr="38679d95abd392359ffd47bfbbe5e58d_"/>
                    <pic:cNvPicPr>
                      <a:picLocks noChangeAspect="true"/>
                    </pic:cNvPicPr>
                  </pic:nvPicPr>
                  <pic:blipFill>
                    <a:blip r:embed="rId130"/>
                    <a:srcRect l="7441" t="12946" r="1800" b="7069"/>
                    <a:stretch>
                      <a:fillRect/>
                    </a:stretch>
                  </pic:blipFill>
                  <pic:spPr>
                    <a:xfrm>
                      <a:off x="0" y="0"/>
                      <a:ext cx="5325110" cy="7602220"/>
                    </a:xfrm>
                    <a:prstGeom prst="rect">
                      <a:avLst/>
                    </a:prstGeom>
                  </pic:spPr>
                </pic:pic>
              </a:graphicData>
            </a:graphic>
          </wp:inline>
        </w:drawing>
      </w:r>
      <w:r>
        <w:rPr>
          <w:rFonts w:hint="eastAsia" w:eastAsia="宋体"/>
          <w:color w:val="auto"/>
          <w:lang w:eastAsia="zh-CN"/>
        </w:rPr>
        <w:drawing>
          <wp:inline distT="0" distB="0" distL="114300" distR="114300">
            <wp:extent cx="5309235" cy="8577580"/>
            <wp:effectExtent l="0" t="0" r="5715" b="13970"/>
            <wp:docPr id="20" name="图片 20" descr="e790ed9ee38d8529fa22ec875718ba2f_"/>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e790ed9ee38d8529fa22ec875718ba2f_"/>
                    <pic:cNvPicPr>
                      <a:picLocks noChangeAspect="true"/>
                    </pic:cNvPicPr>
                  </pic:nvPicPr>
                  <pic:blipFill>
                    <a:blip r:embed="rId131"/>
                    <a:srcRect l="8241" t="2969" r="5200" b="2432"/>
                    <a:stretch>
                      <a:fillRect/>
                    </a:stretch>
                  </pic:blipFill>
                  <pic:spPr>
                    <a:xfrm>
                      <a:off x="0" y="0"/>
                      <a:ext cx="5309235" cy="8577580"/>
                    </a:xfrm>
                    <a:prstGeom prst="rect">
                      <a:avLst/>
                    </a:prstGeom>
                  </pic:spPr>
                </pic:pic>
              </a:graphicData>
            </a:graphic>
          </wp:inline>
        </w:drawing>
      </w:r>
    </w:p>
    <w:p>
      <w:pPr>
        <w:spacing w:line="328" w:lineRule="auto"/>
        <w:rPr>
          <w:rFonts w:ascii="Arial"/>
          <w:color w:val="auto"/>
          <w:sz w:val="21"/>
        </w:rPr>
        <w:sectPr>
          <w:pgSz w:w="11905" w:h="16838"/>
          <w:pgMar w:top="1440" w:right="1803" w:bottom="1440" w:left="1803" w:header="851" w:footer="992" w:gutter="0"/>
          <w:pgBorders>
            <w:top w:val="none" w:sz="0" w:space="0"/>
            <w:left w:val="none" w:sz="0" w:space="0"/>
            <w:bottom w:val="none" w:sz="0" w:space="0"/>
            <w:right w:val="none" w:sz="0" w:space="0"/>
          </w:pgBorders>
          <w:pgNumType w:fmt="numberInDash"/>
          <w:cols w:space="0" w:num="1"/>
          <w:rtlGutter w:val="0"/>
          <w:docGrid w:type="linesAndChars" w:linePitch="331" w:charSpace="0"/>
        </w:sectPr>
      </w:pPr>
    </w:p>
    <w:p>
      <w:pPr>
        <w:pStyle w:val="10"/>
        <w:numPr>
          <w:ilvl w:val="1"/>
          <w:numId w:val="0"/>
        </w:numPr>
        <w:bidi w:val="0"/>
        <w:spacing w:line="360" w:lineRule="auto"/>
        <w:ind w:leftChars="0"/>
        <w:outlineLvl w:val="0"/>
        <w:rPr>
          <w:rFonts w:hint="eastAsia" w:ascii="Times New Roman" w:hAnsi="Times New Roman" w:cs="Times New Roman"/>
          <w:color w:val="auto"/>
          <w:sz w:val="32"/>
          <w:szCs w:val="32"/>
          <w:lang w:val="en-US" w:eastAsia="zh-CN"/>
        </w:rPr>
      </w:pPr>
      <w:bookmarkStart w:id="164" w:name="_Toc28755"/>
      <w:r>
        <w:rPr>
          <w:rFonts w:hint="eastAsia" w:ascii="Times New Roman" w:hAnsi="Times New Roman" w:cs="Times New Roman"/>
          <w:color w:val="auto"/>
          <w:sz w:val="32"/>
          <w:szCs w:val="32"/>
          <w:lang w:val="en-US" w:eastAsia="zh-CN"/>
        </w:rPr>
        <w:t>附图</w:t>
      </w:r>
      <w:bookmarkEnd w:id="164"/>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default" w:ascii="Times New Roman" w:hAnsi="Times New Roman" w:cs="Times New Roman"/>
          <w:color w:val="auto"/>
          <w:sz w:val="32"/>
          <w:szCs w:val="32"/>
          <w:lang w:val="en-US" w:eastAsia="zh-CN"/>
        </w:rPr>
      </w:pPr>
      <w:bookmarkStart w:id="165" w:name="_Toc11164"/>
      <w:r>
        <w:rPr>
          <w:rFonts w:hint="eastAsia" w:ascii="Times New Roman" w:hAnsi="Times New Roman" w:cs="Times New Roman"/>
          <w:color w:val="auto"/>
          <w:sz w:val="32"/>
          <w:szCs w:val="32"/>
          <w:lang w:val="en-US" w:eastAsia="zh-CN"/>
        </w:rPr>
        <w:t>附图1：项目地理位置图</w:t>
      </w:r>
      <w:bookmarkEnd w:id="165"/>
    </w:p>
    <w:p>
      <w:pPr>
        <w:bidi w:val="0"/>
        <w:spacing w:line="240" w:lineRule="auto"/>
        <w:jc w:val="center"/>
        <w:rPr>
          <w:rFonts w:hint="default"/>
          <w:color w:val="auto"/>
          <w:lang w:val="en-US" w:eastAsia="zh-CN"/>
        </w:rPr>
      </w:pPr>
      <w:r>
        <w:rPr>
          <w:rFonts w:hint="default" w:ascii="Times New Roman" w:hAnsi="Times New Roman" w:cs="Times New Roman"/>
          <w:color w:val="auto"/>
          <w:sz w:val="24"/>
        </w:rPr>
        <mc:AlternateContent>
          <mc:Choice Requires="wps">
            <w:drawing>
              <wp:anchor distT="0" distB="0" distL="114300" distR="114300" simplePos="0" relativeHeight="251667456" behindDoc="0" locked="0" layoutInCell="1" allowOverlap="1">
                <wp:simplePos x="0" y="0"/>
                <wp:positionH relativeFrom="column">
                  <wp:posOffset>4820920</wp:posOffset>
                </wp:positionH>
                <wp:positionV relativeFrom="paragraph">
                  <wp:posOffset>310515</wp:posOffset>
                </wp:positionV>
                <wp:extent cx="995045" cy="324485"/>
                <wp:effectExtent l="407670" t="5080" r="6985" b="775335"/>
                <wp:wrapNone/>
                <wp:docPr id="15" name="矩形标注 15"/>
                <wp:cNvGraphicFramePr/>
                <a:graphic xmlns:a="http://schemas.openxmlformats.org/drawingml/2006/main">
                  <a:graphicData uri="http://schemas.microsoft.com/office/word/2010/wordprocessingShape">
                    <wps:wsp>
                      <wps:cNvSpPr/>
                      <wps:spPr>
                        <a:xfrm>
                          <a:off x="0" y="0"/>
                          <a:ext cx="995045" cy="324485"/>
                        </a:xfrm>
                        <a:prstGeom prst="wedgeRectCallout">
                          <a:avLst>
                            <a:gd name="adj1" fmla="val -88289"/>
                            <a:gd name="adj2" fmla="val 276418"/>
                          </a:avLst>
                        </a:prstGeom>
                        <a:solidFill>
                          <a:srgbClr val="FFFFFF">
                            <a:alpha val="50000"/>
                          </a:srgbClr>
                        </a:solidFill>
                        <a:ln w="9525" cap="flat" cmpd="sng">
                          <a:solidFill>
                            <a:schemeClr val="tx1"/>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wps:txbx>
                      <wps:bodyPr upright="true"/>
                    </wps:wsp>
                  </a:graphicData>
                </a:graphic>
              </wp:anchor>
            </w:drawing>
          </mc:Choice>
          <mc:Fallback>
            <w:pict>
              <v:shape id="_x0000_s1026" o:spid="_x0000_s1026" o:spt="61" type="#_x0000_t61" style="position:absolute;left:0pt;margin-left:379.6pt;margin-top:24.45pt;height:25.55pt;width:78.35pt;z-index:251667456;mso-width-relative:page;mso-height-relative:page;" fillcolor="#FFFFFF" filled="t" stroked="t" coordsize="21600,21600" o:gfxdata="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BYAAABkcnMvUEsBAhQAFAAAAAgAh07iQG2hmGfaAAAACgEAAA8AAAAAAAAAAQAg&#10;AAAAOAAAAGRycy9kb3ducmV2LnhtbFBLAQIUABQAAAAIAIdO4kDdqNO3LwIAAGUEAAAOAAAAAAAA&#10;AAEAIAAAAD8BAABkcnMvZTJvRG9jLnhtbFBLBQYAAAAABgAGAFkBAADgBQAAAAA=&#10;" adj="0,70506">
                <v:fill on="t" opacity="32768f" focussize="0,0"/>
                <v:stroke color="#000000 [3213]" joinstyle="miter"/>
                <v:imagedata o:title=""/>
                <o:lock v:ext="edit" aspectratio="f"/>
                <v:textbo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v:textbox>
              </v:shape>
            </w:pict>
          </mc:Fallback>
        </mc:AlternateContent>
      </w:r>
      <w:r>
        <w:rPr>
          <w:rFonts w:hint="default" w:ascii="Times New Roman" w:hAnsi="Times New Roman" w:eastAsia="宋体" w:cs="Times New Roman"/>
          <w:color w:val="auto"/>
          <w:lang w:eastAsia="zh-CN"/>
        </w:rPr>
        <w:drawing>
          <wp:inline distT="0" distB="0" distL="114300" distR="114300">
            <wp:extent cx="6693535" cy="4473575"/>
            <wp:effectExtent l="0" t="0" r="12065" b="3175"/>
            <wp:docPr id="133" name="图片 6" descr="零陵行政区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3" name="图片 6" descr="零陵行政区划图"/>
                    <pic:cNvPicPr>
                      <a:picLocks noChangeAspect="true"/>
                    </pic:cNvPicPr>
                  </pic:nvPicPr>
                  <pic:blipFill>
                    <a:blip r:embed="rId132"/>
                    <a:srcRect t="3917" b="1553"/>
                    <a:stretch>
                      <a:fillRect/>
                    </a:stretch>
                  </pic:blipFill>
                  <pic:spPr>
                    <a:xfrm>
                      <a:off x="0" y="0"/>
                      <a:ext cx="6693535" cy="4473575"/>
                    </a:xfrm>
                    <a:prstGeom prst="rect">
                      <a:avLst/>
                    </a:prstGeom>
                    <a:noFill/>
                    <a:ln>
                      <a:noFill/>
                    </a:ln>
                  </pic:spPr>
                </pic:pic>
              </a:graphicData>
            </a:graphic>
          </wp:inline>
        </w:drawing>
      </w:r>
    </w:p>
    <w:p>
      <w:pPr>
        <w:spacing w:after="0" w:afterLines="0" w:line="240" w:lineRule="auto"/>
        <w:ind w:firstLine="0" w:firstLineChars="0"/>
        <w:rPr>
          <w:rFonts w:hint="default" w:ascii="Times New Roman" w:hAnsi="Times New Roman" w:eastAsia="宋体" w:cs="Times New Roman"/>
          <w:color w:val="auto"/>
          <w:lang w:eastAsia="zh-CN"/>
        </w:rPr>
        <w:sectPr>
          <w:pgSz w:w="16838" w:h="11905" w:orient="landscape"/>
          <w:pgMar w:top="1803" w:right="1440" w:bottom="1803" w:left="1440" w:header="851" w:footer="992" w:gutter="0"/>
          <w:pgBorders>
            <w:top w:val="none" w:sz="0" w:space="0"/>
            <w:left w:val="none" w:sz="0" w:space="0"/>
            <w:bottom w:val="none" w:sz="0" w:space="0"/>
            <w:right w:val="none" w:sz="0" w:space="0"/>
          </w:pgBorders>
          <w:pgNumType w:fmt="numberInDash"/>
          <w:cols w:space="720" w:num="1"/>
          <w:rtlGutter w:val="0"/>
          <w:docGrid w:type="linesAndChars" w:linePitch="331" w:charSpace="0"/>
        </w:sectPr>
      </w:pP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default" w:ascii="Times New Roman" w:hAnsi="Times New Roman" w:cs="Times New Roman"/>
          <w:color w:val="auto"/>
          <w:sz w:val="32"/>
          <w:szCs w:val="32"/>
          <w:lang w:val="en-US" w:eastAsia="zh-CN"/>
        </w:rPr>
      </w:pPr>
      <w:bookmarkStart w:id="166" w:name="_Toc22872"/>
      <w:r>
        <w:rPr>
          <w:rFonts w:hint="eastAsia" w:ascii="Times New Roman" w:hAnsi="Times New Roman" w:cs="Times New Roman"/>
          <w:color w:val="auto"/>
          <w:sz w:val="32"/>
          <w:szCs w:val="32"/>
          <w:lang w:val="en-US" w:eastAsia="zh-CN"/>
        </w:rPr>
        <w:t>附图2：项目四至及本项目在</w:t>
      </w:r>
      <w:r>
        <w:rPr>
          <w:rFonts w:hint="default" w:ascii="Times New Roman" w:hAnsi="Times New Roman" w:cs="Times New Roman"/>
          <w:color w:val="auto"/>
          <w:sz w:val="32"/>
          <w:szCs w:val="32"/>
          <w:lang w:val="en-US" w:eastAsia="zh-CN"/>
        </w:rPr>
        <w:t>永州市三利报废汽车回收拆解有限公司</w:t>
      </w:r>
      <w:r>
        <w:rPr>
          <w:rFonts w:hint="eastAsia" w:ascii="Times New Roman" w:hAnsi="Times New Roman" w:cs="Times New Roman"/>
          <w:color w:val="auto"/>
          <w:sz w:val="32"/>
          <w:szCs w:val="32"/>
          <w:lang w:val="en-US" w:eastAsia="zh-CN"/>
        </w:rPr>
        <w:t>厂区内区位图</w:t>
      </w:r>
      <w:bookmarkEnd w:id="166"/>
    </w:p>
    <w:p>
      <w:pPr>
        <w:spacing w:line="281" w:lineRule="auto"/>
        <w:rPr>
          <w:rFonts w:ascii="Arial"/>
          <w:color w:val="auto"/>
          <w:sz w:val="21"/>
        </w:rPr>
      </w:pP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21590</wp:posOffset>
                </wp:positionH>
                <wp:positionV relativeFrom="paragraph">
                  <wp:posOffset>3801110</wp:posOffset>
                </wp:positionV>
                <wp:extent cx="1964690" cy="972185"/>
                <wp:effectExtent l="0" t="0" r="16510" b="18415"/>
                <wp:wrapNone/>
                <wp:docPr id="10" name="文本框 10"/>
                <wp:cNvGraphicFramePr/>
                <a:graphic xmlns:a="http://schemas.openxmlformats.org/drawingml/2006/main">
                  <a:graphicData uri="http://schemas.microsoft.com/office/word/2010/wordprocessingShape">
                    <wps:wsp>
                      <wps:cNvSpPr txBox="true"/>
                      <wps:spPr>
                        <a:xfrm>
                          <a:off x="0" y="0"/>
                          <a:ext cx="1964690" cy="972185"/>
                        </a:xfrm>
                        <a:prstGeom prst="rect">
                          <a:avLst/>
                        </a:prstGeom>
                        <a:solidFill>
                          <a:srgbClr val="FFFFFF">
                            <a:alpha val="60000"/>
                          </a:srgbClr>
                        </a:solidFill>
                        <a:ln>
                          <a:noFill/>
                        </a:ln>
                      </wps:spPr>
                      <wps:txb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三利</w:t>
                            </w:r>
                            <w:r>
                              <w:rPr>
                                <w:rFonts w:hint="eastAsia" w:ascii="Times New Roman" w:hAnsi="Times New Roman" w:eastAsia="宋体" w:cs="Times New Roman"/>
                                <w:sz w:val="24"/>
                                <w:szCs w:val="24"/>
                                <w:lang w:val="en-US" w:eastAsia="zh-CN"/>
                              </w:rPr>
                              <w:t>厂区范围</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本项目使用范围</w:t>
                            </w:r>
                          </w:p>
                        </w:txbxContent>
                      </wps:txbx>
                      <wps:bodyPr upright="true"/>
                    </wps:wsp>
                  </a:graphicData>
                </a:graphic>
              </wp:anchor>
            </w:drawing>
          </mc:Choice>
          <mc:Fallback>
            <w:pict>
              <v:shape id="_x0000_s1026" o:spid="_x0000_s1026" o:spt="202" type="#_x0000_t202" style="position:absolute;left:0pt;margin-left:1.7pt;margin-top:299.3pt;height:76.55pt;width:154.7pt;z-index:251664384;mso-width-relative:page;mso-height-relative:page;" fillcolor="#FFFFFF" filled="t" stroked="f" coordsize="21600,21600" o:gfxdata="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BYAAABkcnMvUEsBAhQAFAAAAAgAh07iQL3QfLLbAAAACQEAAA8AAAAAAAAAAQAgAAAAOAAA&#10;AGRycy9kb3ducmV2LnhtbFBLAQIUABQAAAAIAIdO4kDfkjv5tgEAAFIDAAAOAAAAAAAAAAEAIAAA&#10;AEABAABkcnMvZTJvRG9jLnhtbFBLBQYAAAAABgAGAFkBAABoBQAAAAA=&#10;">
                <v:fill on="t" opacity="39321f" focussize="0,0"/>
                <v:stroke on="f"/>
                <v:imagedata o:title=""/>
                <o:lock v:ext="edit" aspectratio="f"/>
                <v:textbo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三利</w:t>
                      </w:r>
                      <w:r>
                        <w:rPr>
                          <w:rFonts w:hint="eastAsia" w:ascii="Times New Roman" w:hAnsi="Times New Roman" w:eastAsia="宋体" w:cs="Times New Roman"/>
                          <w:sz w:val="24"/>
                          <w:szCs w:val="24"/>
                          <w:lang w:val="en-US" w:eastAsia="zh-CN"/>
                        </w:rPr>
                        <w:t>厂区范围</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本项目使用范围</w:t>
                      </w:r>
                    </w:p>
                  </w:txbxContent>
                </v:textbox>
              </v:shape>
            </w:pict>
          </mc:Fallback>
        </mc:AlternateContent>
      </w:r>
      <w:r>
        <w:rPr>
          <w:color w:val="auto"/>
        </w:rPr>
        <w:drawing>
          <wp:anchor distT="0" distB="0" distL="114300" distR="114300" simplePos="0" relativeHeight="251686912" behindDoc="0" locked="0" layoutInCell="1" allowOverlap="1">
            <wp:simplePos x="0" y="0"/>
            <wp:positionH relativeFrom="column">
              <wp:posOffset>7914005</wp:posOffset>
            </wp:positionH>
            <wp:positionV relativeFrom="paragraph">
              <wp:posOffset>15240</wp:posOffset>
            </wp:positionV>
            <wp:extent cx="962025" cy="1153795"/>
            <wp:effectExtent l="0" t="0" r="9525" b="8255"/>
            <wp:wrapNone/>
            <wp:docPr id="63"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55"/>
                    <pic:cNvPicPr>
                      <a:picLocks noChangeAspect="true"/>
                    </pic:cNvPicPr>
                  </pic:nvPicPr>
                  <pic:blipFill>
                    <a:blip r:embed="rId133"/>
                    <a:stretch>
                      <a:fillRect/>
                    </a:stretch>
                  </pic:blipFill>
                  <pic:spPr>
                    <a:xfrm>
                      <a:off x="0" y="0"/>
                      <a:ext cx="962025" cy="115379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165100</wp:posOffset>
                </wp:positionH>
                <wp:positionV relativeFrom="paragraph">
                  <wp:posOffset>4464050</wp:posOffset>
                </wp:positionV>
                <wp:extent cx="371475" cy="142875"/>
                <wp:effectExtent l="12700" t="12700" r="15875" b="15875"/>
                <wp:wrapNone/>
                <wp:docPr id="13" name="矩形 13"/>
                <wp:cNvGraphicFramePr/>
                <a:graphic xmlns:a="http://schemas.openxmlformats.org/drawingml/2006/main">
                  <a:graphicData uri="http://schemas.microsoft.com/office/word/2010/wordprocessingShape">
                    <wps:wsp>
                      <wps:cNvSpPr/>
                      <wps:spPr>
                        <a:xfrm>
                          <a:off x="0" y="0"/>
                          <a:ext cx="371475" cy="142875"/>
                        </a:xfrm>
                        <a:prstGeom prst="rect">
                          <a:avLst/>
                        </a:prstGeom>
                        <a:noFill/>
                        <a:ln>
                          <a:solidFill>
                            <a:srgbClr val="C8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3pt;margin-top:351.5pt;height:11.25pt;width:29.25pt;z-index:251666432;v-text-anchor:middle;mso-width-relative:page;mso-height-relative:page;" filled="f" stroked="t" coordsize="21600,21600" o:gfxdata="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Ty+1vNkAAAAJAQAADwAAAAAAAAABACAAAAA4AAAAZHJzL2Rvd25yZXYueG1sUEsBAhQAFAAA&#10;AAgAh07iQJc2DsZKAgAAdgQAAA4AAAAAAAAAAQAgAAAAPgEAAGRycy9lMm9Eb2MueG1sUEsFBgAA&#10;AAAGAAYAWQEAAPoFAAAAAA==&#10;">
                <v:fill on="f" focussize="0,0"/>
                <v:stroke weight="2pt" color="#C8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165100</wp:posOffset>
                </wp:positionH>
                <wp:positionV relativeFrom="paragraph">
                  <wp:posOffset>4168775</wp:posOffset>
                </wp:positionV>
                <wp:extent cx="371475" cy="142875"/>
                <wp:effectExtent l="12700" t="12700" r="15875" b="15875"/>
                <wp:wrapNone/>
                <wp:docPr id="12" name="矩形 12"/>
                <wp:cNvGraphicFramePr/>
                <a:graphic xmlns:a="http://schemas.openxmlformats.org/drawingml/2006/main">
                  <a:graphicData uri="http://schemas.microsoft.com/office/word/2010/wordprocessingShape">
                    <wps:wsp>
                      <wps:cNvSpPr/>
                      <wps:spPr>
                        <a:xfrm>
                          <a:off x="0" y="0"/>
                          <a:ext cx="371475" cy="142875"/>
                        </a:xfrm>
                        <a:prstGeom prst="rect">
                          <a:avLst/>
                        </a:prstGeom>
                        <a:noFill/>
                        <a:ln>
                          <a:solidFill>
                            <a:srgbClr val="010FC7"/>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3pt;margin-top:328.25pt;height:11.25pt;width:29.25pt;z-index:251665408;v-text-anchor:middle;mso-width-relative:page;mso-height-relative:page;" filled="f" stroked="t" coordsize="21600,21600" o:gfxdata="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CthbD9kAAAAJAQAADwAAAAAAAAABACAAAAA4AAAAZHJzL2Rvd25yZXYueG1sUEsBAhQAFAAA&#10;AAgAh07iQPBcLi5KAgAAdgQAAA4AAAAAAAAAAQAgAAAAPgEAAGRycy9lMm9Eb2MueG1sUEsFBgAA&#10;AAAGAAYAWQEAAPoFAAAAAA==&#10;">
                <v:fill on="f" focussize="0,0"/>
                <v:stroke weight="2pt" color="#010FC7 [2404]" joinstyle="round"/>
                <v:imagedata o:title=""/>
                <o:lock v:ext="edit" aspectratio="f"/>
              </v:rect>
            </w:pict>
          </mc:Fallback>
        </mc:AlternateContent>
      </w:r>
      <w:r>
        <w:rPr>
          <w:color w:val="auto"/>
        </w:rPr>
        <w:drawing>
          <wp:inline distT="0" distB="0" distL="114300" distR="114300">
            <wp:extent cx="8857615" cy="4769485"/>
            <wp:effectExtent l="15875" t="15875" r="22860" b="34290"/>
            <wp:docPr id="11"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true"/>
                    </pic:cNvPicPr>
                  </pic:nvPicPr>
                  <pic:blipFill>
                    <a:blip r:embed="rId134"/>
                    <a:srcRect t="1696" b="1074"/>
                    <a:stretch>
                      <a:fillRect/>
                    </a:stretch>
                  </pic:blipFill>
                  <pic:spPr>
                    <a:xfrm>
                      <a:off x="0" y="0"/>
                      <a:ext cx="8857615" cy="4769485"/>
                    </a:xfrm>
                    <a:prstGeom prst="rect">
                      <a:avLst/>
                    </a:prstGeom>
                    <a:noFill/>
                    <a:ln w="15875">
                      <a:solidFill>
                        <a:schemeClr val="tx1"/>
                      </a:solidFill>
                    </a:ln>
                  </pic:spPr>
                </pic:pic>
              </a:graphicData>
            </a:graphic>
          </wp:inline>
        </w:drawing>
      </w:r>
    </w:p>
    <w:p>
      <w:pPr>
        <w:spacing w:line="281" w:lineRule="auto"/>
        <w:rPr>
          <w:rFonts w:ascii="Arial"/>
          <w:color w:val="auto"/>
          <w:sz w:val="21"/>
        </w:rPr>
        <w:sectPr>
          <w:pgSz w:w="16839" w:h="11906" w:orient="landscape"/>
          <w:pgMar w:top="1803" w:right="1440" w:bottom="1803" w:left="1440" w:header="850" w:footer="1020" w:gutter="0"/>
          <w:pgBorders>
            <w:top w:val="none" w:sz="0" w:space="0"/>
            <w:left w:val="none" w:sz="0" w:space="0"/>
            <w:bottom w:val="none" w:sz="0" w:space="0"/>
            <w:right w:val="none" w:sz="0" w:space="0"/>
          </w:pgBorders>
          <w:pgNumType w:fmt="numberInDash"/>
          <w:cols w:space="0" w:num="1"/>
          <w:rtlGutter w:val="0"/>
          <w:docGrid w:linePitch="0" w:charSpace="0"/>
        </w:sectPr>
      </w:pP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67" w:name="_Toc20492"/>
      <w:r>
        <w:rPr>
          <w:rFonts w:hint="eastAsia" w:ascii="Times New Roman" w:hAnsi="Times New Roman" w:cs="Times New Roman"/>
          <w:color w:val="auto"/>
          <w:sz w:val="32"/>
          <w:szCs w:val="32"/>
          <w:lang w:val="en-US" w:eastAsia="zh-CN"/>
        </w:rPr>
        <w:t>附图3：项目周边敏感目标分布图</w:t>
      </w:r>
      <w:bookmarkEnd w:id="167"/>
    </w:p>
    <w:p>
      <w:pPr>
        <w:spacing w:line="281" w:lineRule="auto"/>
        <w:rPr>
          <w:rFonts w:ascii="Arial"/>
          <w:color w:val="auto"/>
          <w:sz w:val="21"/>
        </w:rPr>
      </w:pPr>
      <w:r>
        <w:rPr>
          <w:color w:val="auto"/>
        </w:rPr>
        <w:drawing>
          <wp:anchor distT="0" distB="0" distL="114300" distR="114300" simplePos="0" relativeHeight="251691008" behindDoc="0" locked="0" layoutInCell="1" allowOverlap="1">
            <wp:simplePos x="0" y="0"/>
            <wp:positionH relativeFrom="column">
              <wp:posOffset>7871460</wp:posOffset>
            </wp:positionH>
            <wp:positionV relativeFrom="paragraph">
              <wp:posOffset>12065</wp:posOffset>
            </wp:positionV>
            <wp:extent cx="962025" cy="1153795"/>
            <wp:effectExtent l="0" t="0" r="9525" b="8255"/>
            <wp:wrapNone/>
            <wp:docPr id="27"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55"/>
                    <pic:cNvPicPr>
                      <a:picLocks noChangeAspect="true"/>
                    </pic:cNvPicPr>
                  </pic:nvPicPr>
                  <pic:blipFill>
                    <a:blip r:embed="rId133"/>
                    <a:stretch>
                      <a:fillRect/>
                    </a:stretch>
                  </pic:blipFill>
                  <pic:spPr>
                    <a:xfrm>
                      <a:off x="0" y="0"/>
                      <a:ext cx="962025" cy="115379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20320</wp:posOffset>
                </wp:positionH>
                <wp:positionV relativeFrom="paragraph">
                  <wp:posOffset>3303905</wp:posOffset>
                </wp:positionV>
                <wp:extent cx="2475230" cy="1506220"/>
                <wp:effectExtent l="0" t="0" r="1270" b="17780"/>
                <wp:wrapNone/>
                <wp:docPr id="59" name="文本框 59"/>
                <wp:cNvGraphicFramePr/>
                <a:graphic xmlns:a="http://schemas.openxmlformats.org/drawingml/2006/main">
                  <a:graphicData uri="http://schemas.microsoft.com/office/word/2010/wordprocessingShape">
                    <wps:wsp>
                      <wps:cNvSpPr txBox="true"/>
                      <wps:spPr>
                        <a:xfrm>
                          <a:off x="0" y="0"/>
                          <a:ext cx="2475230" cy="1506220"/>
                        </a:xfrm>
                        <a:prstGeom prst="rect">
                          <a:avLst/>
                        </a:prstGeom>
                        <a:solidFill>
                          <a:srgbClr val="FFFFFF">
                            <a:alpha val="60000"/>
                          </a:srgbClr>
                        </a:solidFill>
                        <a:ln>
                          <a:noFill/>
                        </a:ln>
                      </wps:spPr>
                      <wps:txb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本项目范围</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声环境、生态环境评价范围</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大气环境评价范围</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环境保护目标</w:t>
                            </w:r>
                          </w:p>
                        </w:txbxContent>
                      </wps:txbx>
                      <wps:bodyPr upright="true"/>
                    </wps:wsp>
                  </a:graphicData>
                </a:graphic>
              </wp:anchor>
            </w:drawing>
          </mc:Choice>
          <mc:Fallback>
            <w:pict>
              <v:shape id="_x0000_s1026" o:spid="_x0000_s1026" o:spt="202" type="#_x0000_t202" style="position:absolute;left:0pt;margin-left:1.6pt;margin-top:260.15pt;height:118.6pt;width:194.9pt;z-index:251692032;mso-width-relative:page;mso-height-relative:page;" fillcolor="#FFFFFF" filled="t" stroked="f" coordsize="21600,21600" o:gfxdata="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WAAAAZHJzL1BLAQIUABQAAAAIAIdO4kA5y3Nc2wAAAAkBAAAPAAAAAAAAAAEAIAAA&#10;ADgAAABkcnMvZG93bnJldi54bWxQSwECFAAUAAAACACHTuJAAwzIdboBAABTAwAADgAAAAAAAAAB&#10;ACAAAABAAQAAZHJzL2Uyb0RvYy54bWxQSwUGAAAAAAYABgBZAQAAbAUAAAAA&#10;">
                <v:fill on="t" opacity="39321f" focussize="0,0"/>
                <v:stroke on="f"/>
                <v:imagedata o:title=""/>
                <o:lock v:ext="edit" aspectratio="f"/>
                <v:textbo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本项目范围</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声环境、生态环境评价范围</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大气环境评价范围</w:t>
                      </w:r>
                    </w:p>
                    <w:p>
                      <w:pPr>
                        <w:pStyle w:val="7"/>
                        <w:keepNext w:val="0"/>
                        <w:keepLines w:val="0"/>
                        <w:pageBreakBefore w:val="0"/>
                        <w:widowControl w:val="0"/>
                        <w:kinsoku/>
                        <w:wordWrap/>
                        <w:overflowPunct/>
                        <w:topLinePunct w:val="0"/>
                        <w:autoSpaceDE w:val="0"/>
                        <w:autoSpaceDN w:val="0"/>
                        <w:bidi w:val="0"/>
                        <w:adjustRightInd/>
                        <w:snapToGrid/>
                        <w:spacing w:line="360" w:lineRule="auto"/>
                        <w:ind w:firstLine="720" w:firstLineChars="3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环境保护目标</w:t>
                      </w:r>
                    </w:p>
                  </w:txbxContent>
                </v:textbox>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104775</wp:posOffset>
                </wp:positionH>
                <wp:positionV relativeFrom="paragraph">
                  <wp:posOffset>3675380</wp:posOffset>
                </wp:positionV>
                <wp:extent cx="371475" cy="142875"/>
                <wp:effectExtent l="12700" t="12700" r="15875" b="15875"/>
                <wp:wrapNone/>
                <wp:docPr id="58" name="矩形 58"/>
                <wp:cNvGraphicFramePr/>
                <a:graphic xmlns:a="http://schemas.openxmlformats.org/drawingml/2006/main">
                  <a:graphicData uri="http://schemas.microsoft.com/office/word/2010/wordprocessingShape">
                    <wps:wsp>
                      <wps:cNvSpPr/>
                      <wps:spPr>
                        <a:xfrm>
                          <a:off x="0" y="0"/>
                          <a:ext cx="371475" cy="142875"/>
                        </a:xfrm>
                        <a:prstGeom prst="rect">
                          <a:avLst/>
                        </a:prstGeom>
                        <a:noFill/>
                        <a:ln>
                          <a:solidFill>
                            <a:srgbClr val="C8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8.25pt;margin-top:289.4pt;height:11.25pt;width:29.25pt;z-index:251693056;v-text-anchor:middle;mso-width-relative:page;mso-height-relative:page;" filled="f" stroked="t" coordsize="21600,21600" o:gfxdata="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CSmqLz2AAAAAkBAAAPAAAAAAAAAAEAIAAAADgAAABkcnMvZG93bnJldi54bWxQSwECFAAUAAAA&#10;CACHTuJA/MJRUUoCAAB2BAAADgAAAAAAAAABACAAAAA9AQAAZHJzL2Uyb0RvYy54bWxQSwUGAAAA&#10;AAYABgBZAQAA+QUAAAAA&#10;">
                <v:fill on="f" focussize="0,0"/>
                <v:stroke weight="2pt" color="#C80000 [2404]" joinstyle="round"/>
                <v:imagedata o:title=""/>
                <o:lock v:ext="edit" aspectratio="f"/>
              </v:rect>
            </w:pict>
          </mc:Fallback>
        </mc:AlternateContent>
      </w:r>
      <w:r>
        <w:rPr>
          <w:color w:val="auto"/>
        </w:rPr>
        <w:drawing>
          <wp:anchor distT="0" distB="0" distL="114300" distR="114300" simplePos="0" relativeHeight="251696128" behindDoc="0" locked="0" layoutInCell="1" allowOverlap="1">
            <wp:simplePos x="0" y="0"/>
            <wp:positionH relativeFrom="column">
              <wp:posOffset>180975</wp:posOffset>
            </wp:positionH>
            <wp:positionV relativeFrom="paragraph">
              <wp:posOffset>4481830</wp:posOffset>
            </wp:positionV>
            <wp:extent cx="204470" cy="297180"/>
            <wp:effectExtent l="0" t="0" r="0" b="0"/>
            <wp:wrapNone/>
            <wp:docPr id="80"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39"/>
                    <pic:cNvPicPr>
                      <a:picLocks noChangeAspect="true"/>
                    </pic:cNvPicPr>
                  </pic:nvPicPr>
                  <pic:blipFill>
                    <a:blip r:embed="rId135"/>
                    <a:srcRect l="11962" r="11005" b="10687"/>
                    <a:stretch>
                      <a:fillRect/>
                    </a:stretch>
                  </pic:blipFill>
                  <pic:spPr>
                    <a:xfrm>
                      <a:off x="0" y="0"/>
                      <a:ext cx="204470" cy="29718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109220</wp:posOffset>
                </wp:positionH>
                <wp:positionV relativeFrom="paragraph">
                  <wp:posOffset>3973830</wp:posOffset>
                </wp:positionV>
                <wp:extent cx="371475" cy="142875"/>
                <wp:effectExtent l="12700" t="12700" r="15875" b="15875"/>
                <wp:wrapNone/>
                <wp:docPr id="77" name="矩形 77"/>
                <wp:cNvGraphicFramePr/>
                <a:graphic xmlns:a="http://schemas.openxmlformats.org/drawingml/2006/main">
                  <a:graphicData uri="http://schemas.microsoft.com/office/word/2010/wordprocessingShape">
                    <wps:wsp>
                      <wps:cNvSpPr/>
                      <wps:spPr>
                        <a:xfrm>
                          <a:off x="0" y="0"/>
                          <a:ext cx="371475" cy="142875"/>
                        </a:xfrm>
                        <a:prstGeom prst="rect">
                          <a:avLst/>
                        </a:prstGeom>
                        <a:noFill/>
                        <a:ln>
                          <a:solidFill>
                            <a:srgbClr val="02C60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8.6pt;margin-top:312.9pt;height:11.25pt;width:29.25pt;z-index:251694080;v-text-anchor:middle;mso-width-relative:page;mso-height-relative:page;" filled="f" stroked="t" coordsize="21600,21600" o:gfxdata="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3Y6aXNgAAAAJAQAADwAAAAAAAAABACAAAAA4AAAAZHJzL2Rvd25yZXYueG1sUEsBAhQAFAAA&#10;AAgAh07iQFphudRLAgAAdgQAAA4AAAAAAAAAAQAgAAAAPQEAAGRycy9lMm9Eb2MueG1sUEsFBgAA&#10;AAAGAAYAWQEAAPoFAAAAAA==&#10;">
                <v:fill on="f" focussize="0,0"/>
                <v:stroke weight="2pt" color="#02C602 [2404]" joinstyle="round"/>
                <v:imagedata o:title=""/>
                <o:lock v:ext="edit" aspectratio="f"/>
              </v:rect>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104775</wp:posOffset>
                </wp:positionH>
                <wp:positionV relativeFrom="paragraph">
                  <wp:posOffset>4265930</wp:posOffset>
                </wp:positionV>
                <wp:extent cx="371475" cy="142875"/>
                <wp:effectExtent l="12700" t="12700" r="15875" b="15875"/>
                <wp:wrapNone/>
                <wp:docPr id="79" name="矩形 79"/>
                <wp:cNvGraphicFramePr/>
                <a:graphic xmlns:a="http://schemas.openxmlformats.org/drawingml/2006/main">
                  <a:graphicData uri="http://schemas.microsoft.com/office/word/2010/wordprocessingShape">
                    <wps:wsp>
                      <wps:cNvSpPr/>
                      <wps:spPr>
                        <a:xfrm>
                          <a:off x="0" y="0"/>
                          <a:ext cx="371475" cy="142875"/>
                        </a:xfrm>
                        <a:prstGeom prst="rect">
                          <a:avLst/>
                        </a:prstGeom>
                        <a:noFill/>
                        <a:ln>
                          <a:solidFill>
                            <a:srgbClr val="C701B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8.25pt;margin-top:335.9pt;height:11.25pt;width:29.25pt;z-index:251695104;v-text-anchor:middle;mso-width-relative:page;mso-height-relative:page;" filled="f" stroked="t" coordsize="21600,21600" o:gfxdata="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I+JxU9cAAAAJAQAADwAAAAAAAAABACAAAAA4AAAAZHJzL2Rvd25yZXYueG1sUEsBAhQAFAAA&#10;AAgAh07iQNH/R69MAgAAdgQAAA4AAAAAAAAAAQAgAAAAPAEAAGRycy9lMm9Eb2MueG1sUEsFBgAA&#10;AAAGAAYAWQEAAPoFAAAAAA==&#10;">
                <v:fill on="f" focussize="0,0"/>
                <v:stroke weight="2pt" color="#C701B2 [2404]" joinstyle="round"/>
                <v:imagedata o:title=""/>
                <o:lock v:ext="edit" aspectratio="f"/>
              </v:rect>
            </w:pict>
          </mc:Fallback>
        </mc:AlternateContent>
      </w:r>
      <w:r>
        <w:rPr>
          <w:color w:val="auto"/>
        </w:rPr>
        <w:drawing>
          <wp:inline distT="0" distB="0" distL="114300" distR="114300">
            <wp:extent cx="8819515" cy="4805045"/>
            <wp:effectExtent l="15875" t="15875" r="22860" b="17780"/>
            <wp:docPr id="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true"/>
                    </pic:cNvPicPr>
                  </pic:nvPicPr>
                  <pic:blipFill>
                    <a:blip r:embed="rId136"/>
                    <a:srcRect l="2390" r="1347"/>
                    <a:stretch>
                      <a:fillRect/>
                    </a:stretch>
                  </pic:blipFill>
                  <pic:spPr>
                    <a:xfrm>
                      <a:off x="0" y="0"/>
                      <a:ext cx="8819515" cy="4805045"/>
                    </a:xfrm>
                    <a:prstGeom prst="rect">
                      <a:avLst/>
                    </a:prstGeom>
                    <a:noFill/>
                    <a:ln w="15875">
                      <a:solidFill>
                        <a:schemeClr val="tx1"/>
                      </a:solidFill>
                    </a:ln>
                  </pic:spPr>
                </pic:pic>
              </a:graphicData>
            </a:graphic>
          </wp:inline>
        </w:drawing>
      </w:r>
    </w:p>
    <w:p>
      <w:pPr>
        <w:rPr>
          <w:rFonts w:hint="eastAsia" w:ascii="Times New Roman" w:hAnsi="Times New Roman" w:cs="Times New Roman"/>
          <w:color w:val="auto"/>
          <w:sz w:val="32"/>
          <w:szCs w:val="32"/>
          <w:lang w:val="en-US" w:eastAsia="zh-CN"/>
        </w:rPr>
        <w:sectPr>
          <w:pgSz w:w="16839" w:h="11906" w:orient="landscape"/>
          <w:pgMar w:top="1803" w:right="1440" w:bottom="1803" w:left="1440" w:header="850" w:footer="1020" w:gutter="0"/>
          <w:pgBorders>
            <w:top w:val="none" w:sz="0" w:space="0"/>
            <w:left w:val="none" w:sz="0" w:space="0"/>
            <w:bottom w:val="none" w:sz="0" w:space="0"/>
            <w:right w:val="none" w:sz="0" w:space="0"/>
          </w:pgBorders>
          <w:pgNumType w:fmt="numberInDash"/>
          <w:cols w:space="0" w:num="1"/>
          <w:rtlGutter w:val="0"/>
          <w:docGrid w:linePitch="0" w:charSpace="0"/>
        </w:sectPr>
      </w:pP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68" w:name="_Toc20519"/>
      <w:r>
        <w:rPr>
          <w:rFonts w:hint="eastAsia" w:ascii="Times New Roman" w:hAnsi="Times New Roman" w:cs="Times New Roman"/>
          <w:color w:val="auto"/>
          <w:sz w:val="32"/>
          <w:szCs w:val="32"/>
          <w:lang w:val="en-US" w:eastAsia="zh-CN"/>
        </w:rPr>
        <w:t>附图4：项目平面布置图</w:t>
      </w:r>
      <w:bookmarkEnd w:id="168"/>
    </w:p>
    <w:p>
      <w:pPr>
        <w:spacing w:line="286" w:lineRule="auto"/>
        <w:jc w:val="center"/>
        <w:rPr>
          <w:rFonts w:hint="eastAsia" w:ascii="Arial" w:eastAsia="宋体"/>
          <w:color w:val="auto"/>
          <w:sz w:val="21"/>
          <w:lang w:eastAsia="zh-CN"/>
        </w:rPr>
      </w:pPr>
      <w:r>
        <w:rPr>
          <w:color w:val="auto"/>
          <w:sz w:val="21"/>
        </w:rPr>
        <mc:AlternateContent>
          <mc:Choice Requires="wps">
            <w:drawing>
              <wp:anchor distT="0" distB="0" distL="114300" distR="114300" simplePos="0" relativeHeight="251712512" behindDoc="0" locked="0" layoutInCell="1" allowOverlap="1">
                <wp:simplePos x="0" y="0"/>
                <wp:positionH relativeFrom="column">
                  <wp:posOffset>7068820</wp:posOffset>
                </wp:positionH>
                <wp:positionV relativeFrom="paragraph">
                  <wp:posOffset>12700</wp:posOffset>
                </wp:positionV>
                <wp:extent cx="1082040" cy="294005"/>
                <wp:effectExtent l="401320" t="6350" r="21590" b="366395"/>
                <wp:wrapNone/>
                <wp:docPr id="152" name="圆角矩形标注 152"/>
                <wp:cNvGraphicFramePr/>
                <a:graphic xmlns:a="http://schemas.openxmlformats.org/drawingml/2006/main">
                  <a:graphicData uri="http://schemas.microsoft.com/office/word/2010/wordprocessingShape">
                    <wps:wsp>
                      <wps:cNvSpPr/>
                      <wps:spPr>
                        <a:xfrm>
                          <a:off x="0" y="0"/>
                          <a:ext cx="1082040" cy="294005"/>
                        </a:xfrm>
                        <a:prstGeom prst="wedgeRoundRectCallout">
                          <a:avLst>
                            <a:gd name="adj1" fmla="val -86502"/>
                            <a:gd name="adj2" fmla="val 166198"/>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RTO处理装置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556.6pt;margin-top:1pt;height:23.15pt;width:85.2pt;z-index:251712512;v-text-anchor:middle;mso-width-relative:page;mso-height-relative:page;" filled="f" stroked="t" coordsize="21600,21600" o:gfxdata="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WAAAAZHJzL1BLAQIUABQAAAAIAIdO4kASLb+p1wAAAAoBAAAPAAAAAAAAAAEAIAAA&#10;ADgAAABkcnMvZG93bnJldi54bWxQSwECFAAUAAAACACHTuJAEP2EuaICAAAYBQAADgAAAAAAAAAB&#10;ACAAAAA8AQAAZHJzL2Uyb0RvYy54bWxQSwUGAAAAAAYABgBZAQAAUAYAAAAA&#10;" adj="0,46699,14400">
                <v:fill on="f" focussize="0,0"/>
                <v:stroke weight="1pt" color="#000000 [3213]" joinstyle="round"/>
                <v:imagedata o:title=""/>
                <o:lock v:ext="edit" aspectratio="f"/>
                <v:textbox>
                  <w:txbxContent>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RTO处理装置</w:t>
                      </w:r>
                    </w:p>
                  </w:txbxContent>
                </v:textbox>
              </v:shape>
            </w:pict>
          </mc:Fallback>
        </mc:AlternateContent>
      </w:r>
      <w:r>
        <w:rPr>
          <w:color w:val="auto"/>
          <w:sz w:val="21"/>
        </w:rPr>
        <mc:AlternateContent>
          <mc:Choice Requires="wps">
            <w:drawing>
              <wp:anchor distT="0" distB="0" distL="114300" distR="114300" simplePos="0" relativeHeight="251711488" behindDoc="0" locked="0" layoutInCell="1" allowOverlap="1">
                <wp:simplePos x="0" y="0"/>
                <wp:positionH relativeFrom="column">
                  <wp:posOffset>7239635</wp:posOffset>
                </wp:positionH>
                <wp:positionV relativeFrom="paragraph">
                  <wp:posOffset>445770</wp:posOffset>
                </wp:positionV>
                <wp:extent cx="646430" cy="294005"/>
                <wp:effectExtent l="308610" t="6350" r="16510" b="347345"/>
                <wp:wrapNone/>
                <wp:docPr id="112" name="圆角矩形标注 112"/>
                <wp:cNvGraphicFramePr/>
                <a:graphic xmlns:a="http://schemas.openxmlformats.org/drawingml/2006/main">
                  <a:graphicData uri="http://schemas.microsoft.com/office/word/2010/wordprocessingShape">
                    <wps:wsp>
                      <wps:cNvSpPr/>
                      <wps:spPr>
                        <a:xfrm>
                          <a:off x="0" y="0"/>
                          <a:ext cx="646430" cy="294005"/>
                        </a:xfrm>
                        <a:prstGeom prst="wedgeRoundRectCallout">
                          <a:avLst>
                            <a:gd name="adj1" fmla="val -96758"/>
                            <a:gd name="adj2" fmla="val 165118"/>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DA001</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570.05pt;margin-top:35.1pt;height:23.15pt;width:50.9pt;z-index:251711488;v-text-anchor:middle;mso-width-relative:page;mso-height-relative:page;" filled="f" stroked="t" coordsize="21600,21600" o:gfxdata="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BYAAABkcnMvUEsBAhQAFAAAAAgAh07iQKL/a7zZAAAADAEAAA8AAAAAAAAAAQAgAAAA&#10;OAAAAGRycy9kb3ducmV2LnhtbFBLAQIUABQAAAAIAIdO4kAz4e4OnwIAABcFAAAOAAAAAAAAAAEA&#10;IAAAAD4BAABkcnMvZTJvRG9jLnhtbFBLBQYAAAAABgAGAFkBAABPBgAAAAA=&#10;" adj="0,46465,14400">
                <v:fill on="f" focussize="0,0"/>
                <v:stroke weight="1pt" color="#000000 [3213]" joinstyle="round"/>
                <v:imagedata o:title=""/>
                <o:lock v:ext="edit" aspectratio="f"/>
                <v:textbox>
                  <w:txbxContent>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DA001</w:t>
                      </w:r>
                    </w:p>
                  </w:txbxContent>
                </v:textbox>
              </v:shape>
            </w:pict>
          </mc:Fallback>
        </mc:AlternateContent>
      </w: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5622290</wp:posOffset>
                </wp:positionH>
                <wp:positionV relativeFrom="paragraph">
                  <wp:posOffset>22225</wp:posOffset>
                </wp:positionV>
                <wp:extent cx="909320" cy="294005"/>
                <wp:effectExtent l="83185" t="6350" r="17145" b="461645"/>
                <wp:wrapNone/>
                <wp:docPr id="22" name="圆角矩形标注 22"/>
                <wp:cNvGraphicFramePr/>
                <a:graphic xmlns:a="http://schemas.openxmlformats.org/drawingml/2006/main">
                  <a:graphicData uri="http://schemas.microsoft.com/office/word/2010/wordprocessingShape">
                    <wps:wsp>
                      <wps:cNvSpPr/>
                      <wps:spPr>
                        <a:xfrm>
                          <a:off x="0" y="0"/>
                          <a:ext cx="909320" cy="294005"/>
                        </a:xfrm>
                        <a:prstGeom prst="wedgeRoundRectCallout">
                          <a:avLst>
                            <a:gd name="adj1" fmla="val -58449"/>
                            <a:gd name="adj2" fmla="val 201835"/>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应急事故池</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442.7pt;margin-top:1.75pt;height:23.15pt;width:71.6pt;z-index:251705344;v-text-anchor:middle;mso-width-relative:page;mso-height-relative:page;" filled="f" stroked="t" coordsize="21600,21600" o:gfxdata="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BYAAABkcnMvUEsBAhQAFAAAAAgAh07iQFh7J73YAAAACQEAAA8AAAAAAAAAAQAg&#10;AAAAOAAAAGRycy9kb3ducmV2LnhtbFBLAQIUABQAAAAIAIdO4kAEuWB/owIAABUFAAAOAAAAAAAA&#10;AAEAIAAAAD0BAABkcnMvZTJvRG9jLnhtbFBLBQYAAAAABgAGAFkBAABSBgAAAAA=&#10;" adj="0,54396,14400">
                <v:fill on="f" focussize="0,0"/>
                <v:stroke weight="1pt" color="#000000 [3213]"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应急事故池</w:t>
                      </w:r>
                    </w:p>
                  </w:txbxContent>
                </v:textbox>
              </v:shape>
            </w:pict>
          </mc:Fallback>
        </mc:AlternateContent>
      </w: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5443855</wp:posOffset>
                </wp:positionH>
                <wp:positionV relativeFrom="paragraph">
                  <wp:posOffset>707390</wp:posOffset>
                </wp:positionV>
                <wp:extent cx="194310" cy="213995"/>
                <wp:effectExtent l="6350" t="6350" r="8890" b="8255"/>
                <wp:wrapNone/>
                <wp:docPr id="7" name="矩形 7"/>
                <wp:cNvGraphicFramePr/>
                <a:graphic xmlns:a="http://schemas.openxmlformats.org/drawingml/2006/main">
                  <a:graphicData uri="http://schemas.microsoft.com/office/word/2010/wordprocessingShape">
                    <wps:wsp>
                      <wps:cNvSpPr/>
                      <wps:spPr>
                        <a:xfrm>
                          <a:off x="0" y="0"/>
                          <a:ext cx="194310" cy="213995"/>
                        </a:xfrm>
                        <a:prstGeom prst="rect">
                          <a:avLst/>
                        </a:prstGeom>
                        <a:solidFill>
                          <a:srgbClr val="00B05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28.65pt;margin-top:55.7pt;height:16.85pt;width:15.3pt;z-index:251704320;v-text-anchor:middle;mso-width-relative:page;mso-height-relative:page;" fillcolor="#00B050" filled="t" stroked="t" coordsize="21600,21600" o:gfxdata="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LhwuMHYAAAACwEAAA8AAAAAAAAAAQAgAAAAOAAAAGRycy9kb3ducmV2LnhtbFBLAQIU&#10;ABQAAAAIAIdO4kC8E8tGTwIAAJ0EAAAOAAAAAAAAAAEAIAAAAD0BAABkcnMvZTJvRG9jLnhtbFBL&#10;BQYAAAAABgAGAFkBAAD+BQAAAAA=&#10;">
                <v:fill on="t" focussize="0,0"/>
                <v:stroke weight="1pt" color="#000000 [3213]" joinstyle="round"/>
                <v:imagedata o:title=""/>
                <o:lock v:ext="edit" aspectratio="f"/>
              </v:rect>
            </w:pict>
          </mc:Fallback>
        </mc:AlternateContent>
      </w: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7755255</wp:posOffset>
                </wp:positionH>
                <wp:positionV relativeFrom="paragraph">
                  <wp:posOffset>1549400</wp:posOffset>
                </wp:positionV>
                <wp:extent cx="951230" cy="523875"/>
                <wp:effectExtent l="356870" t="6350" r="6350" b="669925"/>
                <wp:wrapNone/>
                <wp:docPr id="111" name="圆角矩形标注 111"/>
                <wp:cNvGraphicFramePr/>
                <a:graphic xmlns:a="http://schemas.openxmlformats.org/drawingml/2006/main">
                  <a:graphicData uri="http://schemas.microsoft.com/office/word/2010/wordprocessingShape">
                    <wps:wsp>
                      <wps:cNvSpPr/>
                      <wps:spPr>
                        <a:xfrm>
                          <a:off x="0" y="0"/>
                          <a:ext cx="951230" cy="523875"/>
                        </a:xfrm>
                        <a:prstGeom prst="wedgeRoundRectCallout">
                          <a:avLst>
                            <a:gd name="adj1" fmla="val -86849"/>
                            <a:gd name="adj2" fmla="val 175090"/>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一般工业固废暂存区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610.65pt;margin-top:122pt;height:41.25pt;width:74.9pt;z-index:251703296;v-text-anchor:middle;mso-width-relative:page;mso-height-relative:page;" filled="f" stroked="t" coordsize="21600,21600" o:gfxdata="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FgAAAGRycy9QSwECFAAUAAAACACHTuJAkbhqv9oAAAANAQAADwAAAAAAAAABACAA&#10;AAA4AAAAZHJzL2Rvd25yZXYueG1sUEsBAhQAFAAAAAgAh07iQAnjPrWgAgAAFwUAAA4AAAAAAAAA&#10;AQAgAAAAPwEAAGRycy9lMm9Eb2MueG1sUEsFBgAAAAAGAAYAWQEAAFEGAAAAAA==&#10;" adj="0,48619,14400">
                <v:fill on="f" focussize="0,0"/>
                <v:stroke weight="1pt" color="#000000 [3213]"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一般工业固废暂存区</w:t>
                      </w:r>
                    </w:p>
                  </w:txbxContent>
                </v:textbox>
              </v:shape>
            </w:pict>
          </mc:Fallback>
        </mc:AlternateContent>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7763510</wp:posOffset>
                </wp:positionH>
                <wp:positionV relativeFrom="paragraph">
                  <wp:posOffset>922020</wp:posOffset>
                </wp:positionV>
                <wp:extent cx="951230" cy="294005"/>
                <wp:effectExtent l="325120" t="6350" r="19050" b="461645"/>
                <wp:wrapNone/>
                <wp:docPr id="109" name="圆角矩形标注 109"/>
                <wp:cNvGraphicFramePr/>
                <a:graphic xmlns:a="http://schemas.openxmlformats.org/drawingml/2006/main">
                  <a:graphicData uri="http://schemas.microsoft.com/office/word/2010/wordprocessingShape">
                    <wps:wsp>
                      <wps:cNvSpPr/>
                      <wps:spPr>
                        <a:xfrm>
                          <a:off x="0" y="0"/>
                          <a:ext cx="951230" cy="294005"/>
                        </a:xfrm>
                        <a:prstGeom prst="wedgeRoundRectCallout">
                          <a:avLst>
                            <a:gd name="adj1" fmla="val -83511"/>
                            <a:gd name="adj2" fmla="val 200755"/>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危废暂存间</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611.3pt;margin-top:72.6pt;height:23.15pt;width:74.9pt;z-index:251702272;v-text-anchor:middle;mso-width-relative:page;mso-height-relative:page;" filled="f" stroked="t" coordsize="21600,21600" o:gfxdata="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BYAAABkcnMvUEsBAhQAFAAAAAgAh07iQCav5NzcAAAADQEAAA8AAAAAAAAA&#10;AQAgAAAAOAAAAGRycy9kb3ducmV2LnhtbFBLAQIUABQAAAAIAIdO4kDFgTErogIAABcFAAAOAAAA&#10;AAAAAAEAIAAAAEEBAABkcnMvZTJvRG9jLnhtbFBLBQYAAAAABgAGAFkBAABVBgAAAAA=&#10;" adj="0,54163,14400">
                <v:fill on="f" focussize="0,0"/>
                <v:stroke weight="1pt" color="#000000 [3213]"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危废暂存间</w:t>
                      </w:r>
                    </w:p>
                  </w:txbxContent>
                </v:textbox>
              </v:shape>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1802765</wp:posOffset>
                </wp:positionH>
                <wp:positionV relativeFrom="paragraph">
                  <wp:posOffset>1073150</wp:posOffset>
                </wp:positionV>
                <wp:extent cx="951230" cy="294005"/>
                <wp:effectExtent l="158115" t="6350" r="14605" b="309245"/>
                <wp:wrapNone/>
                <wp:docPr id="106" name="圆角矩形标注 106"/>
                <wp:cNvGraphicFramePr/>
                <a:graphic xmlns:a="http://schemas.openxmlformats.org/drawingml/2006/main">
                  <a:graphicData uri="http://schemas.microsoft.com/office/word/2010/wordprocessingShape">
                    <wps:wsp>
                      <wps:cNvSpPr/>
                      <wps:spPr>
                        <a:xfrm>
                          <a:off x="0" y="0"/>
                          <a:ext cx="951230" cy="294005"/>
                        </a:xfrm>
                        <a:prstGeom prst="wedgeRoundRectCallout">
                          <a:avLst>
                            <a:gd name="adj1" fmla="val -65954"/>
                            <a:gd name="adj2" fmla="val 152159"/>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隔油池</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141.95pt;margin-top:84.5pt;height:23.15pt;width:74.9pt;z-index:251701248;v-text-anchor:middle;mso-width-relative:page;mso-height-relative:page;" filled="f" stroked="t" coordsize="21600,21600" o:gfxdata="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WAAAAZHJzL1BLAQIUABQAAAAIAIdO4kCupNFH2gAAAAsBAAAPAAAAAAAAAAEAIAAA&#10;ADgAAABkcnMvZG93bnJldi54bWxQSwECFAAUAAAACACHTuJAcCle9p8CAAAXBQAADgAAAAAAAAAB&#10;ACAAAAA/AQAAZHJzL2Uyb0RvYy54bWxQSwUGAAAAAAYABgBZAQAAUAYAAAAA&#10;" adj="0,43666,14400">
                <v:fill on="f" focussize="0,0"/>
                <v:stroke weight="1pt" color="#000000 [3213]"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隔油池</w:t>
                      </w:r>
                    </w:p>
                  </w:txbxContent>
                </v:textbox>
              </v:shape>
            </w:pict>
          </mc:Fallback>
        </mc:AlternateContent>
      </w: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4184650</wp:posOffset>
                </wp:positionH>
                <wp:positionV relativeFrom="paragraph">
                  <wp:posOffset>247650</wp:posOffset>
                </wp:positionV>
                <wp:extent cx="658495" cy="294005"/>
                <wp:effectExtent l="212725" t="6350" r="24130" b="233045"/>
                <wp:wrapNone/>
                <wp:docPr id="104" name="圆角矩形标注 104"/>
                <wp:cNvGraphicFramePr/>
                <a:graphic xmlns:a="http://schemas.openxmlformats.org/drawingml/2006/main">
                  <a:graphicData uri="http://schemas.microsoft.com/office/word/2010/wordprocessingShape">
                    <wps:wsp>
                      <wps:cNvSpPr/>
                      <wps:spPr>
                        <a:xfrm>
                          <a:off x="0" y="0"/>
                          <a:ext cx="658495" cy="294005"/>
                        </a:xfrm>
                        <a:prstGeom prst="wedgeRoundRectCallout">
                          <a:avLst>
                            <a:gd name="adj1" fmla="val -81340"/>
                            <a:gd name="adj2" fmla="val 122354"/>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化粪池</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329.5pt;margin-top:19.5pt;height:23.15pt;width:51.85pt;z-index:251700224;v-text-anchor:middle;mso-width-relative:page;mso-height-relative:page;" filled="f" stroked="t" coordsize="21600,21600" o:gfxdata="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FgAAAGRycy9QSwECFAAUAAAACACHTuJAImdV7tgAAAAJAQAADwAAAAAAAAABACAA&#10;AAA4AAAAZHJzL2Rvd25yZXYueG1sUEsBAhQAFAAAAAgAh07iQFlibjeiAgAAFwUAAA4AAAAAAAAA&#10;AQAgAAAAPQEAAGRycy9lMm9Eb2MueG1sUEsFBgAAAAAGAAYAWQEAAFEGAAAAAA==&#10;" adj="0,37228,14400">
                <v:fill on="f" focussize="0,0"/>
                <v:stroke weight="1pt" color="#000000 [3213]"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化粪池</w:t>
                      </w:r>
                    </w:p>
                  </w:txbxContent>
                </v:textbox>
              </v:shape>
            </w:pict>
          </mc:Fallback>
        </mc:AlternateContent>
      </w: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1572895</wp:posOffset>
                </wp:positionH>
                <wp:positionV relativeFrom="paragraph">
                  <wp:posOffset>1612265</wp:posOffset>
                </wp:positionV>
                <wp:extent cx="142875" cy="75565"/>
                <wp:effectExtent l="6350" t="6350" r="22225" b="13335"/>
                <wp:wrapNone/>
                <wp:docPr id="102" name="矩形 102"/>
                <wp:cNvGraphicFramePr/>
                <a:graphic xmlns:a="http://schemas.openxmlformats.org/drawingml/2006/main">
                  <a:graphicData uri="http://schemas.microsoft.com/office/word/2010/wordprocessingShape">
                    <wps:wsp>
                      <wps:cNvSpPr/>
                      <wps:spPr>
                        <a:xfrm>
                          <a:off x="0" y="0"/>
                          <a:ext cx="142875" cy="7556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23.85pt;margin-top:126.95pt;height:5.95pt;width:11.25pt;z-index:251699200;v-text-anchor:middle;mso-width-relative:page;mso-height-relative:page;" fillcolor="#FFFF00" filled="t" stroked="t" coordsize="21600,21600" o:gfxdata="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KfJ337aAAAACwEAAA8AAAAAAAAAAQAgAAAAOAAAAGRycy9kb3ducmV2LnhtbFBL&#10;AQIUABQAAAAIAIdO4kAE5dRiUAIAAKAEAAAOAAAAAAAAAAEAIAAAAD8BAABkcnMvZTJvRG9jLnht&#10;bFBLBQYAAAAABgAGAFkBAAABBgAAAAA=&#10;">
                <v:fill on="t" focussize="0,0"/>
                <v:stroke weight="1pt" color="#000000 [3213]" joinstyle="round"/>
                <v:imagedata o:title=""/>
                <o:lock v:ext="edit" aspectratio="f"/>
              </v:rect>
            </w:pict>
          </mc:Fallback>
        </mc:AlternateContent>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3858895</wp:posOffset>
                </wp:positionH>
                <wp:positionV relativeFrom="paragraph">
                  <wp:posOffset>715645</wp:posOffset>
                </wp:positionV>
                <wp:extent cx="142875" cy="75565"/>
                <wp:effectExtent l="6350" t="6350" r="22225" b="13335"/>
                <wp:wrapNone/>
                <wp:docPr id="100" name="矩形 100"/>
                <wp:cNvGraphicFramePr/>
                <a:graphic xmlns:a="http://schemas.openxmlformats.org/drawingml/2006/main">
                  <a:graphicData uri="http://schemas.microsoft.com/office/word/2010/wordprocessingShape">
                    <wps:wsp>
                      <wps:cNvSpPr/>
                      <wps:spPr>
                        <a:xfrm>
                          <a:off x="4773295" y="2255520"/>
                          <a:ext cx="142875" cy="7556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03.85pt;margin-top:56.35pt;height:5.95pt;width:11.25pt;z-index:251698176;v-text-anchor:middle;mso-width-relative:page;mso-height-relative:page;" fillcolor="#FFFF00" filled="t" stroked="t" coordsize="21600,21600" o:gfxdata="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BYA&#10;AABkcnMvUEsBAhQAFAAAAAgAh07iQCbRaebZAAAACwEAAA8AAAAAAAAAAQAgAAAAOAAAAGRycy9k&#10;b3ducmV2LnhtbFBLAQIUABQAAAAIAIdO4kBjhN44XQIAAKwEAAAOAAAAAAAAAAEAIAAAAD4BAABk&#10;cnMvZTJvRG9jLnhtbFBLBQYAAAAABgAGAFkBAAANBgAAAAA=&#10;">
                <v:fill on="t" focussize="0,0"/>
                <v:stroke weight="1pt" color="#000000 [3213]" joinstyle="round"/>
                <v:imagedata o:title=""/>
                <o:lock v:ext="edit" aspectratio="f"/>
              </v:rect>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6835775</wp:posOffset>
                </wp:positionH>
                <wp:positionV relativeFrom="paragraph">
                  <wp:posOffset>1049655</wp:posOffset>
                </wp:positionV>
                <wp:extent cx="126365" cy="134620"/>
                <wp:effectExtent l="4445" t="4445" r="21590" b="13335"/>
                <wp:wrapNone/>
                <wp:docPr id="62" name="六角星 62"/>
                <wp:cNvGraphicFramePr/>
                <a:graphic xmlns:a="http://schemas.openxmlformats.org/drawingml/2006/main">
                  <a:graphicData uri="http://schemas.microsoft.com/office/word/2010/wordprocessingShape">
                    <wps:wsp>
                      <wps:cNvSpPr/>
                      <wps:spPr>
                        <a:xfrm>
                          <a:off x="7757795" y="2613025"/>
                          <a:ext cx="126365" cy="134620"/>
                        </a:xfrm>
                        <a:prstGeom prst="star6">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538.25pt;margin-top:82.65pt;height:10.6pt;width:9.95pt;z-index:251697152;v-text-anchor:middle;mso-width-relative:page;mso-height-relative:page;" fillcolor="#FF0000" filled="t" stroked="t" coordsize="126365,134620" o:gfxdata="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FgAAAGRycy9QSwECFAAUAAAACACHTuJATNUrddcAAAANAQAADwAAAAAAAAABACAAAAA4&#10;AAAAZHJzL2Rvd25yZXYueG1sUEsBAhQAFAAAAAgAh07iQMKnE19nAgAArgQAAA4AAAAAAAAAAQAg&#10;AAAAPAEAAGRycy9lMm9Eb2MueG1sUEsFBgAAAAAGAAYAWQEAABUGAAAAAA==&#10;" path="m0,33655l42121,33654,63182,0,84243,33654,126364,33655,105304,67310,126364,100965,84243,100965,63182,134620,42121,100965,0,100965,21060,67310xe">
                <v:path o:connectlocs="126364,33655;126364,100965;63182,134620;0,100965;0,33655;63182,0" o:connectangles="0,0,82,164,164,247"/>
                <v:fill on="t" focussize="0,0"/>
                <v:stroke color="#000000 [3213]" joinstyle="round"/>
                <v:imagedata o:title=""/>
                <o:lock v:ext="edit" aspectratio="f"/>
              </v:shape>
            </w:pict>
          </mc:Fallback>
        </mc:AlternateContent>
      </w:r>
      <w:r>
        <w:rPr>
          <w:rFonts w:hint="eastAsia" w:ascii="Arial" w:eastAsia="宋体"/>
          <w:color w:val="auto"/>
          <w:sz w:val="21"/>
          <w:lang w:eastAsia="zh-CN"/>
        </w:rPr>
        <w:drawing>
          <wp:inline distT="0" distB="0" distL="114300" distR="114300">
            <wp:extent cx="8649335" cy="4827270"/>
            <wp:effectExtent l="0" t="0" r="18415" b="11430"/>
            <wp:docPr id="54" name="图片 54" descr="永州大道厂房规划平面图20241017-Model(4)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descr="永州大道厂房规划平面图20241017-Model(4)_00"/>
                    <pic:cNvPicPr>
                      <a:picLocks noChangeAspect="true"/>
                    </pic:cNvPicPr>
                  </pic:nvPicPr>
                  <pic:blipFill>
                    <a:blip r:embed="rId137"/>
                    <a:srcRect l="4672" t="19752" r="3096" b="7456"/>
                    <a:stretch>
                      <a:fillRect/>
                    </a:stretch>
                  </pic:blipFill>
                  <pic:spPr>
                    <a:xfrm>
                      <a:off x="0" y="0"/>
                      <a:ext cx="8649335" cy="4827270"/>
                    </a:xfrm>
                    <a:prstGeom prst="rect">
                      <a:avLst/>
                    </a:prstGeom>
                  </pic:spPr>
                </pic:pic>
              </a:graphicData>
            </a:graphic>
          </wp:inline>
        </w:drawing>
      </w:r>
    </w:p>
    <w:p>
      <w:pPr>
        <w:rPr>
          <w:rFonts w:hint="eastAsia" w:ascii="Times New Roman" w:hAnsi="Times New Roman" w:cs="Times New Roman"/>
          <w:color w:val="auto"/>
          <w:sz w:val="32"/>
          <w:szCs w:val="32"/>
          <w:lang w:val="en-US" w:eastAsia="zh-CN"/>
        </w:rPr>
        <w:sectPr>
          <w:pgSz w:w="16839" w:h="11906" w:orient="landscape"/>
          <w:pgMar w:top="1803" w:right="1440" w:bottom="1803" w:left="1440" w:header="850" w:footer="1020" w:gutter="0"/>
          <w:pgBorders>
            <w:top w:val="none" w:sz="0" w:space="0"/>
            <w:left w:val="none" w:sz="0" w:space="0"/>
            <w:bottom w:val="none" w:sz="0" w:space="0"/>
            <w:right w:val="none" w:sz="0" w:space="0"/>
          </w:pgBorders>
          <w:pgNumType w:fmt="numberInDash"/>
          <w:cols w:space="0" w:num="1"/>
          <w:rtlGutter w:val="0"/>
          <w:docGrid w:linePitch="0" w:charSpace="0"/>
        </w:sectPr>
      </w:pP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69" w:name="_Toc14177"/>
      <w:r>
        <w:rPr>
          <w:rFonts w:hint="eastAsia" w:ascii="Times New Roman" w:hAnsi="Times New Roman" w:cs="Times New Roman"/>
          <w:color w:val="auto"/>
          <w:sz w:val="32"/>
          <w:szCs w:val="32"/>
          <w:lang w:val="en-US" w:eastAsia="zh-CN"/>
        </w:rPr>
        <w:t>附图5：项目监测布点图</w:t>
      </w:r>
      <w:bookmarkEnd w:id="169"/>
    </w:p>
    <w:p>
      <w:pPr>
        <w:jc w:val="center"/>
        <w:rPr>
          <w:rFonts w:hint="eastAsia"/>
          <w:color w:val="auto"/>
          <w:lang w:val="en-US" w:eastAsia="zh-CN"/>
        </w:rPr>
      </w:pPr>
      <w:r>
        <w:rPr>
          <w:color w:val="auto"/>
        </w:rPr>
        <w:drawing>
          <wp:anchor distT="0" distB="0" distL="114300" distR="114300" simplePos="0" relativeHeight="251669504" behindDoc="0" locked="0" layoutInCell="1" allowOverlap="1">
            <wp:simplePos x="0" y="0"/>
            <wp:positionH relativeFrom="column">
              <wp:posOffset>163195</wp:posOffset>
            </wp:positionH>
            <wp:positionV relativeFrom="paragraph">
              <wp:posOffset>4280535</wp:posOffset>
            </wp:positionV>
            <wp:extent cx="219075" cy="320675"/>
            <wp:effectExtent l="0" t="0" r="0" b="0"/>
            <wp:wrapNone/>
            <wp:docPr id="29"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53"/>
                    <pic:cNvPicPr>
                      <a:picLocks noChangeAspect="true"/>
                    </pic:cNvPicPr>
                  </pic:nvPicPr>
                  <pic:blipFill>
                    <a:blip r:embed="rId138"/>
                    <a:srcRect t="3810"/>
                    <a:stretch>
                      <a:fillRect/>
                    </a:stretch>
                  </pic:blipFill>
                  <pic:spPr>
                    <a:xfrm>
                      <a:off x="0" y="0"/>
                      <a:ext cx="219075" cy="32067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45720</wp:posOffset>
                </wp:positionH>
                <wp:positionV relativeFrom="paragraph">
                  <wp:posOffset>4034155</wp:posOffset>
                </wp:positionV>
                <wp:extent cx="1574800" cy="649605"/>
                <wp:effectExtent l="0" t="0" r="6350" b="17145"/>
                <wp:wrapNone/>
                <wp:docPr id="23" name="文本框 23"/>
                <wp:cNvGraphicFramePr/>
                <a:graphic xmlns:a="http://schemas.openxmlformats.org/drawingml/2006/main">
                  <a:graphicData uri="http://schemas.microsoft.com/office/word/2010/wordprocessingShape">
                    <wps:wsp>
                      <wps:cNvSpPr txBox="true"/>
                      <wps:spPr>
                        <a:xfrm>
                          <a:off x="0" y="0"/>
                          <a:ext cx="1574800" cy="649605"/>
                        </a:xfrm>
                        <a:prstGeom prst="rect">
                          <a:avLst/>
                        </a:prstGeom>
                        <a:solidFill>
                          <a:srgbClr val="FFFFFF">
                            <a:alpha val="50000"/>
                          </a:srgbClr>
                        </a:solidFill>
                        <a:ln>
                          <a:noFill/>
                        </a:ln>
                      </wps:spPr>
                      <wps:txb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bidi w:val="0"/>
                              <w:adjustRightInd/>
                              <w:snapToGrid/>
                              <w:spacing w:line="360" w:lineRule="auto"/>
                              <w:ind w:firstLine="720" w:firstLineChars="3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噪声监测点位</w:t>
                            </w:r>
                          </w:p>
                        </w:txbxContent>
                      </wps:txbx>
                      <wps:bodyPr upright="true"/>
                    </wps:wsp>
                  </a:graphicData>
                </a:graphic>
              </wp:anchor>
            </w:drawing>
          </mc:Choice>
          <mc:Fallback>
            <w:pict>
              <v:shape id="_x0000_s1026" o:spid="_x0000_s1026" o:spt="202" type="#_x0000_t202" style="position:absolute;left:0pt;margin-left:3.6pt;margin-top:317.65pt;height:51.15pt;width:124pt;z-index:251668480;mso-width-relative:page;mso-height-relative:page;" fillcolor="#FFFFFF" filled="t" stroked="f" coordsize="21600,21600" o:gfxdata="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WAAAAZHJzL1BLAQIUABQAAAAIAIdO4kAw+4Ug2AAAAAkBAAAPAAAAAAAAAAEAIAAAADgAAABk&#10;cnMvZG93bnJldi54bWxQSwECFAAUAAAACACHTuJAgxiSFrcBAABSAwAADgAAAAAAAAABACAAAAA9&#10;AQAAZHJzL2Uyb0RvYy54bWxQSwUGAAAAAAYABgBZAQAAZgUAAAAA&#10;">
                <v:fill on="t" opacity="32768f" focussize="0,0"/>
                <v:stroke on="f"/>
                <v:imagedata o:title=""/>
                <o:lock v:ext="edit" aspectratio="f"/>
                <v:textbo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bidi w:val="0"/>
                        <w:adjustRightInd/>
                        <w:snapToGrid/>
                        <w:spacing w:line="360" w:lineRule="auto"/>
                        <w:ind w:firstLine="720" w:firstLineChars="3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噪声监测点位</w:t>
                      </w:r>
                    </w:p>
                  </w:txbxContent>
                </v:textbox>
              </v:shape>
            </w:pict>
          </mc:Fallback>
        </mc:AlternateContent>
      </w:r>
      <w:r>
        <w:rPr>
          <w:color w:val="auto"/>
        </w:rPr>
        <w:drawing>
          <wp:anchor distT="0" distB="0" distL="114300" distR="114300" simplePos="0" relativeHeight="251687936" behindDoc="0" locked="0" layoutInCell="1" allowOverlap="1">
            <wp:simplePos x="0" y="0"/>
            <wp:positionH relativeFrom="column">
              <wp:posOffset>7839710</wp:posOffset>
            </wp:positionH>
            <wp:positionV relativeFrom="paragraph">
              <wp:posOffset>15875</wp:posOffset>
            </wp:positionV>
            <wp:extent cx="962025" cy="1153795"/>
            <wp:effectExtent l="0" t="0" r="9525" b="8255"/>
            <wp:wrapNone/>
            <wp:docPr id="65"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55"/>
                    <pic:cNvPicPr>
                      <a:picLocks noChangeAspect="true"/>
                    </pic:cNvPicPr>
                  </pic:nvPicPr>
                  <pic:blipFill>
                    <a:blip r:embed="rId133"/>
                    <a:stretch>
                      <a:fillRect/>
                    </a:stretch>
                  </pic:blipFill>
                  <pic:spPr>
                    <a:xfrm>
                      <a:off x="0" y="0"/>
                      <a:ext cx="962025" cy="1153795"/>
                    </a:xfrm>
                    <a:prstGeom prst="rect">
                      <a:avLst/>
                    </a:prstGeom>
                    <a:noFill/>
                    <a:ln>
                      <a:noFill/>
                    </a:ln>
                  </pic:spPr>
                </pic:pic>
              </a:graphicData>
            </a:graphic>
          </wp:anchor>
        </w:drawing>
      </w:r>
      <w:r>
        <w:rPr>
          <w:color w:val="auto"/>
        </w:rPr>
        <w:drawing>
          <wp:inline distT="0" distB="0" distL="114300" distR="114300">
            <wp:extent cx="8756650" cy="4675505"/>
            <wp:effectExtent l="15875" t="15875" r="28575" b="33020"/>
            <wp:docPr id="64"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39"/>
                    <pic:cNvPicPr>
                      <a:picLocks noChangeAspect="true"/>
                    </pic:cNvPicPr>
                  </pic:nvPicPr>
                  <pic:blipFill>
                    <a:blip r:embed="rId139"/>
                    <a:srcRect l="1144" r="902"/>
                    <a:stretch>
                      <a:fillRect/>
                    </a:stretch>
                  </pic:blipFill>
                  <pic:spPr>
                    <a:xfrm>
                      <a:off x="0" y="0"/>
                      <a:ext cx="8756650" cy="4675505"/>
                    </a:xfrm>
                    <a:prstGeom prst="rect">
                      <a:avLst/>
                    </a:prstGeom>
                    <a:noFill/>
                    <a:ln w="15875">
                      <a:solidFill>
                        <a:schemeClr val="tx1"/>
                      </a:solidFill>
                    </a:ln>
                  </pic:spPr>
                </pic:pic>
              </a:graphicData>
            </a:graphic>
          </wp:inline>
        </w:drawing>
      </w:r>
    </w:p>
    <w:p>
      <w:pPr>
        <w:pStyle w:val="7"/>
        <w:rPr>
          <w:color w:val="auto"/>
        </w:rPr>
        <w:sectPr>
          <w:pgSz w:w="16839" w:h="11906" w:orient="landscape"/>
          <w:pgMar w:top="1803" w:right="1440" w:bottom="1803" w:left="1440" w:header="850" w:footer="1020" w:gutter="0"/>
          <w:pgBorders>
            <w:top w:val="none" w:sz="0" w:space="0"/>
            <w:left w:val="none" w:sz="0" w:space="0"/>
            <w:bottom w:val="none" w:sz="0" w:space="0"/>
            <w:right w:val="none" w:sz="0" w:space="0"/>
          </w:pgBorders>
          <w:pgNumType w:fmt="numberInDash"/>
          <w:cols w:space="0" w:num="1"/>
          <w:rtlGutter w:val="0"/>
          <w:docGrid w:linePitch="0" w:charSpace="0"/>
        </w:sectPr>
      </w:pP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70" w:name="_Toc20101"/>
      <w:r>
        <w:rPr>
          <w:color w:val="auto"/>
          <w:sz w:val="32"/>
        </w:rPr>
        <mc:AlternateContent>
          <mc:Choice Requires="wps">
            <w:drawing>
              <wp:anchor distT="0" distB="0" distL="114300" distR="114300" simplePos="0" relativeHeight="251689984" behindDoc="0" locked="0" layoutInCell="1" allowOverlap="1">
                <wp:simplePos x="0" y="0"/>
                <wp:positionH relativeFrom="column">
                  <wp:posOffset>-23495</wp:posOffset>
                </wp:positionH>
                <wp:positionV relativeFrom="paragraph">
                  <wp:posOffset>787400</wp:posOffset>
                </wp:positionV>
                <wp:extent cx="5281930" cy="7952105"/>
                <wp:effectExtent l="9525" t="9525" r="23495" b="20320"/>
                <wp:wrapNone/>
                <wp:docPr id="66" name="矩形 66"/>
                <wp:cNvGraphicFramePr/>
                <a:graphic xmlns:a="http://schemas.openxmlformats.org/drawingml/2006/main">
                  <a:graphicData uri="http://schemas.microsoft.com/office/word/2010/wordprocessingShape">
                    <wps:wsp>
                      <wps:cNvSpPr/>
                      <wps:spPr>
                        <a:xfrm>
                          <a:off x="1121410" y="1701800"/>
                          <a:ext cx="5281930" cy="795210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85pt;margin-top:62pt;height:626.15pt;width:415.9pt;z-index:251689984;v-text-anchor:middle;mso-width-relative:page;mso-height-relative:page;" filled="f" stroked="t" coordsize="21600,21600" o:gfxdata="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BZg5PO2QAAAAsBAAAPAAAAAAAAAAEAIAAAADgAAABkcnMvZG93bnJldi54&#10;bWxQSwECFAAUAAAACACHTuJARNZ+sFUCAACEBAAADgAAAAAAAAABACAAAAA+AQAAZHJzL2Uyb0Rv&#10;Yy54bWxQSwUGAAAAAAYABgBZAQAABQYAAAAA&#10;">
                <v:fill on="f" focussize="0,0"/>
                <v:stroke weight="1.5pt" color="#000000 [3213]" joinstyle="round"/>
                <v:imagedata o:title=""/>
                <o:lock v:ext="edit" aspectratio="f"/>
              </v:rect>
            </w:pict>
          </mc:Fallback>
        </mc:AlternateContent>
      </w:r>
      <w:r>
        <w:rPr>
          <w:rFonts w:hint="eastAsia" w:ascii="Times New Roman" w:hAnsi="Times New Roman" w:cs="Times New Roman"/>
          <w:color w:val="auto"/>
          <w:sz w:val="32"/>
          <w:szCs w:val="32"/>
          <w:lang w:val="en-US" w:eastAsia="zh-CN"/>
        </w:rPr>
        <w:t>附图6：引用环境空气质量监测数据的监测点位与本项目相对位置图</w:t>
      </w:r>
      <w:bookmarkEnd w:id="170"/>
    </w:p>
    <w:p>
      <w:pPr>
        <w:spacing w:line="240" w:lineRule="auto"/>
        <w:rPr>
          <w:color w:val="auto"/>
          <w:position w:val="-170"/>
        </w:rPr>
      </w:pPr>
      <w:r>
        <w:rPr>
          <w:color w:val="auto"/>
        </w:rPr>
        <w:drawing>
          <wp:anchor distT="0" distB="0" distL="114300" distR="114300" simplePos="0" relativeHeight="251688960" behindDoc="0" locked="0" layoutInCell="1" allowOverlap="1">
            <wp:simplePos x="0" y="0"/>
            <wp:positionH relativeFrom="column">
              <wp:posOffset>4307205</wp:posOffset>
            </wp:positionH>
            <wp:positionV relativeFrom="paragraph">
              <wp:posOffset>5715</wp:posOffset>
            </wp:positionV>
            <wp:extent cx="962025" cy="1153795"/>
            <wp:effectExtent l="0" t="0" r="9525" b="8255"/>
            <wp:wrapNone/>
            <wp:docPr id="73"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55"/>
                    <pic:cNvPicPr>
                      <a:picLocks noChangeAspect="true"/>
                    </pic:cNvPicPr>
                  </pic:nvPicPr>
                  <pic:blipFill>
                    <a:blip r:embed="rId133"/>
                    <a:stretch>
                      <a:fillRect/>
                    </a:stretch>
                  </pic:blipFill>
                  <pic:spPr>
                    <a:xfrm>
                      <a:off x="0" y="0"/>
                      <a:ext cx="962025" cy="115379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3481070</wp:posOffset>
                </wp:positionH>
                <wp:positionV relativeFrom="paragraph">
                  <wp:posOffset>3917315</wp:posOffset>
                </wp:positionV>
                <wp:extent cx="584835" cy="241300"/>
                <wp:effectExtent l="0" t="0" r="0" b="0"/>
                <wp:wrapNone/>
                <wp:docPr id="6" name="文本框 6"/>
                <wp:cNvGraphicFramePr/>
                <a:graphic xmlns:a="http://schemas.openxmlformats.org/drawingml/2006/main">
                  <a:graphicData uri="http://schemas.microsoft.com/office/word/2010/wordprocessingShape">
                    <wps:wsp>
                      <wps:cNvSpPr txBox="true"/>
                      <wps:spPr>
                        <a:xfrm>
                          <a:off x="0" y="0"/>
                          <a:ext cx="584835"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0.8km</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74.1pt;margin-top:308.45pt;height:19pt;width:46.05pt;z-index:251673600;mso-width-relative:page;mso-height-relative:page;" filled="f" stroked="f" coordsize="21600,21600" o:gfxdata="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AivJTk3QAAAAsBAAAPAAAAAAAAAAEAIAAAADgAAABk&#10;cnMvZG93bnJldi54bWxQSwECFAAUAAAACACHTuJAdPXewCQCAAApBAAADgAAAAAAAAABACAAAABC&#10;AQAAZHJzL2Uyb0RvYy54bWxQSwUGAAAAAAYABgBZAQAA2AU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0.8km</w:t>
                      </w:r>
                    </w:p>
                  </w:txbxContent>
                </v:textbox>
              </v:shape>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3486150</wp:posOffset>
                </wp:positionH>
                <wp:positionV relativeFrom="paragraph">
                  <wp:posOffset>2733675</wp:posOffset>
                </wp:positionV>
                <wp:extent cx="666750" cy="272415"/>
                <wp:effectExtent l="0" t="0" r="0" b="0"/>
                <wp:wrapNone/>
                <wp:docPr id="31" name="文本框 31"/>
                <wp:cNvGraphicFramePr/>
                <a:graphic xmlns:a="http://schemas.openxmlformats.org/drawingml/2006/main">
                  <a:graphicData uri="http://schemas.microsoft.com/office/word/2010/wordprocessingShape">
                    <wps:wsp>
                      <wps:cNvSpPr txBox="true"/>
                      <wps:spPr>
                        <a:xfrm>
                          <a:off x="0" y="0"/>
                          <a:ext cx="666750" cy="272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2</w:t>
                            </w:r>
                            <w:r>
                              <w:rPr>
                                <w:rFonts w:hint="default" w:ascii="Times New Roman" w:hAnsi="Times New Roman" w:cs="Times New Roman"/>
                                <w:lang w:val="en-US" w:eastAsia="zh-CN"/>
                              </w:rPr>
                              <w:t>.</w:t>
                            </w:r>
                            <w:r>
                              <w:rPr>
                                <w:rFonts w:hint="eastAsia" w:ascii="Times New Roman" w:hAnsi="Times New Roman" w:cs="Times New Roman"/>
                                <w:lang w:val="en-US" w:eastAsia="zh-CN"/>
                              </w:rPr>
                              <w:t>2</w:t>
                            </w:r>
                            <w:r>
                              <w:rPr>
                                <w:rFonts w:hint="default" w:ascii="Times New Roman" w:hAnsi="Times New Roman" w:cs="Times New Roman"/>
                                <w:lang w:val="en-US" w:eastAsia="zh-CN"/>
                              </w:rPr>
                              <w:t>8km</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74.5pt;margin-top:215.25pt;height:21.45pt;width:52.5pt;z-index:251679744;mso-width-relative:page;mso-height-relative:page;" filled="f" stroked="f" coordsize="21600,21600" o:gfxdata="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FgAAAGRycy9QSwECFAAUAAAACACHTuJAXDaaNtwAAAALAQAADwAAAAAAAAABACAAAAA4AAAAZHJz&#10;L2Rvd25yZXYueG1sUEsBAhQAFAAAAAgAh07iQFZlykgjAgAAKwQAAA4AAAAAAAAAAQAgAAAAQQEA&#10;AGRycy9lMm9Eb2MueG1sUEsFBgAAAAAGAAYAWQEAANYFA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2</w:t>
                      </w:r>
                      <w:r>
                        <w:rPr>
                          <w:rFonts w:hint="default" w:ascii="Times New Roman" w:hAnsi="Times New Roman" w:cs="Times New Roman"/>
                          <w:lang w:val="en-US" w:eastAsia="zh-CN"/>
                        </w:rPr>
                        <w:t>.</w:t>
                      </w:r>
                      <w:r>
                        <w:rPr>
                          <w:rFonts w:hint="eastAsia" w:ascii="Times New Roman" w:hAnsi="Times New Roman" w:cs="Times New Roman"/>
                          <w:lang w:val="en-US" w:eastAsia="zh-CN"/>
                        </w:rPr>
                        <w:t>2</w:t>
                      </w:r>
                      <w:r>
                        <w:rPr>
                          <w:rFonts w:hint="default" w:ascii="Times New Roman" w:hAnsi="Times New Roman" w:cs="Times New Roman"/>
                          <w:lang w:val="en-US" w:eastAsia="zh-CN"/>
                        </w:rPr>
                        <w:t>8km</w:t>
                      </w:r>
                    </w:p>
                  </w:txbxContent>
                </v:textbox>
              </v:shap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2351405</wp:posOffset>
                </wp:positionH>
                <wp:positionV relativeFrom="paragraph">
                  <wp:posOffset>5033645</wp:posOffset>
                </wp:positionV>
                <wp:extent cx="584835" cy="335915"/>
                <wp:effectExtent l="0" t="0" r="0" b="0"/>
                <wp:wrapNone/>
                <wp:docPr id="35" name="文本框 35"/>
                <wp:cNvGraphicFramePr/>
                <a:graphic xmlns:a="http://schemas.openxmlformats.org/drawingml/2006/main">
                  <a:graphicData uri="http://schemas.microsoft.com/office/word/2010/wordprocessingShape">
                    <wps:wsp>
                      <wps:cNvSpPr txBox="true"/>
                      <wps:spPr>
                        <a:xfrm>
                          <a:off x="0" y="0"/>
                          <a:ext cx="584835" cy="335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1.7</w:t>
                            </w:r>
                            <w:r>
                              <w:rPr>
                                <w:rFonts w:hint="default" w:ascii="Times New Roman" w:hAnsi="Times New Roman" w:cs="Times New Roman"/>
                                <w:lang w:val="en-US" w:eastAsia="zh-CN"/>
                              </w:rPr>
                              <w:t>km</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85.15pt;margin-top:396.35pt;height:26.45pt;width:46.05pt;z-index:251677696;mso-width-relative:page;mso-height-relative:page;" filled="f" stroked="f" coordsize="21600,21600" o:gfxdata="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JFEROXdAAAACwEAAA8AAAAAAAAAAQAgAAAAOAAA&#10;AGRycy9kb3ducmV2LnhtbFBLAQIUABQAAAAIAIdO4kAr+5xxJgIAACsEAAAOAAAAAAAAAAEAIAAA&#10;AEIBAABkcnMvZTJvRG9jLnhtbFBLBQYAAAAABgAGAFkBAADaBQ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1.7</w:t>
                      </w:r>
                      <w:r>
                        <w:rPr>
                          <w:rFonts w:hint="default" w:ascii="Times New Roman" w:hAnsi="Times New Roman" w:cs="Times New Roman"/>
                          <w:lang w:val="en-US" w:eastAsia="zh-CN"/>
                        </w:rPr>
                        <w:t>km</w:t>
                      </w:r>
                    </w:p>
                  </w:txbxContent>
                </v:textbox>
              </v:shape>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2673985</wp:posOffset>
                </wp:positionH>
                <wp:positionV relativeFrom="paragraph">
                  <wp:posOffset>3868420</wp:posOffset>
                </wp:positionV>
                <wp:extent cx="584835" cy="335915"/>
                <wp:effectExtent l="0" t="0" r="0" b="0"/>
                <wp:wrapNone/>
                <wp:docPr id="33" name="文本框 33"/>
                <wp:cNvGraphicFramePr/>
                <a:graphic xmlns:a="http://schemas.openxmlformats.org/drawingml/2006/main">
                  <a:graphicData uri="http://schemas.microsoft.com/office/word/2010/wordprocessingShape">
                    <wps:wsp>
                      <wps:cNvSpPr txBox="true"/>
                      <wps:spPr>
                        <a:xfrm>
                          <a:off x="0" y="0"/>
                          <a:ext cx="584835" cy="335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r>
                              <w:rPr>
                                <w:rFonts w:hint="default" w:ascii="Times New Roman" w:hAnsi="Times New Roman" w:cs="Times New Roman"/>
                                <w:lang w:val="en-US" w:eastAsia="zh-CN"/>
                              </w:rPr>
                              <w:t>km</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10.55pt;margin-top:304.6pt;height:26.45pt;width:46.05pt;z-index:251678720;mso-width-relative:page;mso-height-relative:page;" filled="f" stroked="f" coordsize="21600,21600" o:gfxdata="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AXVfwX2wAAAAsBAAAPAAAAAAAAAAEAIAAAADgAAABk&#10;cnMvZG93bnJldi54bWxQSwECFAAUAAAACACHTuJAhXooTSYCAAArBAAADgAAAAAAAAABACAAAABA&#10;AQAAZHJzL2Uyb0RvYy54bWxQSwUGAAAAAAYABgBZAQAA2AU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r>
                        <w:rPr>
                          <w:rFonts w:hint="default" w:ascii="Times New Roman" w:hAnsi="Times New Roman" w:cs="Times New Roman"/>
                          <w:lang w:val="en-US" w:eastAsia="zh-CN"/>
                        </w:rPr>
                        <w:t>km</w:t>
                      </w:r>
                    </w:p>
                  </w:txbxContent>
                </v:textbox>
              </v:shape>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3387090</wp:posOffset>
                </wp:positionH>
                <wp:positionV relativeFrom="paragraph">
                  <wp:posOffset>4369435</wp:posOffset>
                </wp:positionV>
                <wp:extent cx="81280" cy="114300"/>
                <wp:effectExtent l="40640" t="25400" r="49530" b="31750"/>
                <wp:wrapNone/>
                <wp:docPr id="41" name="矩形 41"/>
                <wp:cNvGraphicFramePr/>
                <a:graphic xmlns:a="http://schemas.openxmlformats.org/drawingml/2006/main">
                  <a:graphicData uri="http://schemas.microsoft.com/office/word/2010/wordprocessingShape">
                    <wps:wsp>
                      <wps:cNvSpPr/>
                      <wps:spPr>
                        <a:xfrm rot="19080000">
                          <a:off x="4500245" y="5582920"/>
                          <a:ext cx="81280" cy="114300"/>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66.7pt;margin-top:344.05pt;height:9pt;width:6.4pt;rotation:-2752512f;z-index:251670528;v-text-anchor:middle;mso-width-relative:page;mso-height-relative:page;" fillcolor="#FF0000" filled="t" stroked="t" coordsize="21600,21600" o:gfxdata="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BYAAABkcnMvUEsBAhQAFAAAAAgAh07iQL8tByDbAAAACwEAAA8AAAAAAAAAAQAgAAAAOAAA&#10;AGRycy9kb3ducmV2LnhtbFBLAQIUABQAAAAIAIdO4kAgafrEYQIAALkEAAAOAAAAAAAAAAEAIAAA&#10;AEABAABkcnMvZTJvRG9jLnhtbFBLBQYAAAAABgAGAFkBAAATBgAAAAA=&#10;">
                <v:fill on="t"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3433445</wp:posOffset>
                </wp:positionH>
                <wp:positionV relativeFrom="paragraph">
                  <wp:posOffset>3604895</wp:posOffset>
                </wp:positionV>
                <wp:extent cx="271145" cy="749300"/>
                <wp:effectExtent l="19685" t="0" r="33020" b="12700"/>
                <wp:wrapNone/>
                <wp:docPr id="4" name="直接箭头连接符 4"/>
                <wp:cNvGraphicFramePr/>
                <a:graphic xmlns:a="http://schemas.openxmlformats.org/drawingml/2006/main">
                  <a:graphicData uri="http://schemas.microsoft.com/office/word/2010/wordprocessingShape">
                    <wps:wsp>
                      <wps:cNvCnPr/>
                      <wps:spPr>
                        <a:xfrm flipV="true">
                          <a:off x="4535170" y="4826635"/>
                          <a:ext cx="271145" cy="749300"/>
                        </a:xfrm>
                        <a:prstGeom prst="straightConnector1">
                          <a:avLst/>
                        </a:prstGeom>
                        <a:ln>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70.35pt;margin-top:283.85pt;height:59pt;width:21.35pt;z-index:251671552;mso-width-relative:page;mso-height-relative:page;" filled="f" stroked="t" coordsize="21600,21600" o:gfxdata="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BYAAABkcnMvUEsBAhQAFAAAAAgAh07iQKTIsVvaAAAACwEAAA8A&#10;AAAAAAAAAQAgAAAAOAAAAGRycy9kb3ducmV2LnhtbFBLAQIUABQAAAAIAIdO4kBawAiI/wEAALAD&#10;AAAOAAAAAAAAAAEAIAAAAD8BAABkcnMvZTJvRG9jLnhtbFBLBQYAAAAABgAGAFkBAACwBQAAAAA=&#10;">
                <v:fill on="f" focussize="0,0"/>
                <v:stroke weight="2pt" color="#000000 [3213]"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1886585</wp:posOffset>
                </wp:positionH>
                <wp:positionV relativeFrom="paragraph">
                  <wp:posOffset>4453890</wp:posOffset>
                </wp:positionV>
                <wp:extent cx="1510665" cy="1025525"/>
                <wp:effectExtent l="0" t="0" r="13335" b="3175"/>
                <wp:wrapNone/>
                <wp:docPr id="37" name="直接箭头连接符 37"/>
                <wp:cNvGraphicFramePr/>
                <a:graphic xmlns:a="http://schemas.openxmlformats.org/drawingml/2006/main">
                  <a:graphicData uri="http://schemas.microsoft.com/office/word/2010/wordprocessingShape">
                    <wps:wsp>
                      <wps:cNvCnPr>
                        <a:endCxn id="41" idx="1"/>
                      </wps:cNvCnPr>
                      <wps:spPr>
                        <a:xfrm flipV="true">
                          <a:off x="0" y="0"/>
                          <a:ext cx="1510665" cy="1025525"/>
                        </a:xfrm>
                        <a:prstGeom prst="straightConnector1">
                          <a:avLst/>
                        </a:prstGeom>
                        <a:ln>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48.55pt;margin-top:350.7pt;height:80.75pt;width:118.95pt;z-index:251676672;mso-width-relative:page;mso-height-relative:page;" filled="f" stroked="t" coordsize="21600,21600" o:gfxdata="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BYAAABkcnMvUEsBAhQAFAAAAAgAh07iQBSiohzb&#10;AAAACwEAAA8AAAAAAAAAAQAgAAAAOAAAAGRycy9kb3ducmV2LnhtbFBLAQIUABQAAAAIAIdO4kBo&#10;uZjSBwIAANADAAAOAAAAAAAAAAEAIAAAAEABAABkcnMvZTJvRG9jLnhtbFBLBQYAAAAABgAGAFkB&#10;AAC5BQAAAAA=&#10;">
                <v:fill on="f" focussize="0,0"/>
                <v:stroke weight="2pt" color="#000000 [3213]"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2159635</wp:posOffset>
                </wp:positionH>
                <wp:positionV relativeFrom="paragraph">
                  <wp:posOffset>3728720</wp:posOffset>
                </wp:positionV>
                <wp:extent cx="1229995" cy="655320"/>
                <wp:effectExtent l="0" t="4445" r="8255" b="6985"/>
                <wp:wrapNone/>
                <wp:docPr id="8" name="直接箭头连接符 8"/>
                <wp:cNvGraphicFramePr/>
                <a:graphic xmlns:a="http://schemas.openxmlformats.org/drawingml/2006/main">
                  <a:graphicData uri="http://schemas.microsoft.com/office/word/2010/wordprocessingShape">
                    <wps:wsp>
                      <wps:cNvCnPr>
                        <a:stCxn id="41" idx="0"/>
                      </wps:cNvCnPr>
                      <wps:spPr>
                        <a:xfrm flipH="true" flipV="true">
                          <a:off x="0" y="0"/>
                          <a:ext cx="1229995" cy="655320"/>
                        </a:xfrm>
                        <a:prstGeom prst="straightConnector1">
                          <a:avLst/>
                        </a:prstGeom>
                        <a:ln>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70.05pt;margin-top:293.6pt;height:51.6pt;width:96.85pt;z-index:251675648;mso-width-relative:page;mso-height-relative:page;" filled="f" stroked="t" coordsize="21600,21600" o:gfxdata="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Aa&#10;b8bA3AAAAAsBAAAPAAAAAAAAAAEAIAAAADgAAABkcnMvZG93bnJldi54bWxQSwECFAAUAAAACACH&#10;TuJAEVzougoCAADZAwAADgAAAAAAAAABACAAAABBAQAAZHJzL2Uyb0RvYy54bWxQSwUGAAAAAAYA&#10;BgBZAQAAvQUAAAAA&#10;">
                <v:fill on="f" focussize="0,0"/>
                <v:stroke weight="2pt" color="#000000 [3213]"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3413125</wp:posOffset>
                </wp:positionH>
                <wp:positionV relativeFrom="paragraph">
                  <wp:posOffset>2098675</wp:posOffset>
                </wp:positionV>
                <wp:extent cx="213995" cy="2255520"/>
                <wp:effectExtent l="47625" t="0" r="62230" b="11430"/>
                <wp:wrapNone/>
                <wp:docPr id="39" name="直接箭头连接符 39"/>
                <wp:cNvGraphicFramePr/>
                <a:graphic xmlns:a="http://schemas.openxmlformats.org/drawingml/2006/main">
                  <a:graphicData uri="http://schemas.microsoft.com/office/word/2010/wordprocessingShape">
                    <wps:wsp>
                      <wps:cNvCnPr/>
                      <wps:spPr>
                        <a:xfrm flipV="true">
                          <a:off x="0" y="0"/>
                          <a:ext cx="213995" cy="2255520"/>
                        </a:xfrm>
                        <a:prstGeom prst="straightConnector1">
                          <a:avLst/>
                        </a:prstGeom>
                        <a:ln>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8.75pt;margin-top:165.25pt;height:177.6pt;width:16.85pt;z-index:251674624;mso-width-relative:page;mso-height-relative:page;" filled="f" stroked="t" coordsize="21600,21600" o:gfxdata="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BYAAABkcnMvUEsBAhQAFAAAAAgAh07iQNzToqnbAAAACwEAAA8AAAAAAAAAAQAg&#10;AAAAOAAAAGRycy9kb3ducmV2LnhtbFBLAQIUABQAAAAIAIdO4kBlyk7P9QEAAKcDAAAOAAAAAAAA&#10;AAEAIAAAAEABAABkcnMvZTJvRG9jLnhtbFBLBQYAAAAABgAGAFkBAACnBQAAAAA=&#10;">
                <v:fill on="f" focussize="0,0"/>
                <v:stroke weight="2pt" color="#000000 [3213]"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2877185</wp:posOffset>
                </wp:positionH>
                <wp:positionV relativeFrom="paragraph">
                  <wp:posOffset>5807710</wp:posOffset>
                </wp:positionV>
                <wp:extent cx="584835" cy="335915"/>
                <wp:effectExtent l="0" t="0" r="0" b="0"/>
                <wp:wrapNone/>
                <wp:docPr id="5" name="文本框 5"/>
                <wp:cNvGraphicFramePr/>
                <a:graphic xmlns:a="http://schemas.openxmlformats.org/drawingml/2006/main">
                  <a:graphicData uri="http://schemas.microsoft.com/office/word/2010/wordprocessingShape">
                    <wps:wsp>
                      <wps:cNvSpPr txBox="true"/>
                      <wps:spPr>
                        <a:xfrm>
                          <a:off x="2980055" y="9030335"/>
                          <a:ext cx="584835" cy="335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0.8km</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26.55pt;margin-top:457.3pt;height:26.45pt;width:46.05pt;z-index:251672576;mso-width-relative:page;mso-height-relative:page;" filled="f" stroked="f" coordsize="21600,21600" o:gfxdata="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BYAAABkcnMvUEsBAhQAFAAAAAgAh07iQERqLPbcAAAACwEAAA8AAAAAAAAA&#10;AQAgAAAAOAAAAGRycy9kb3ducmV2LnhtbFBLAQIUABQAAAAIAIdO4kAdPoi2MAIAADUEAAAOAAAA&#10;AAAAAAEAIAAAAEEBAABkcnMvZTJvRG9jLnhtbFBLBQYAAAAABgAGAFkBAADjBQ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0.8km</w:t>
                      </w:r>
                    </w:p>
                  </w:txbxContent>
                </v:textbox>
              </v:shape>
            </w:pict>
          </mc:Fallback>
        </mc:AlternateContent>
      </w:r>
      <w:r>
        <w:rPr>
          <w:color w:val="auto"/>
          <w:position w:val="-170"/>
        </w:rPr>
        <w:drawing>
          <wp:inline distT="0" distB="0" distL="0" distR="0">
            <wp:extent cx="5276850" cy="6746240"/>
            <wp:effectExtent l="0" t="0" r="0" b="16510"/>
            <wp:docPr id="43" name="IM 2"/>
            <wp:cNvGraphicFramePr/>
            <a:graphic xmlns:a="http://schemas.openxmlformats.org/drawingml/2006/main">
              <a:graphicData uri="http://schemas.openxmlformats.org/drawingml/2006/picture">
                <pic:pic xmlns:pic="http://schemas.openxmlformats.org/drawingml/2006/picture">
                  <pic:nvPicPr>
                    <pic:cNvPr id="43" name="IM 2"/>
                    <pic:cNvPicPr/>
                  </pic:nvPicPr>
                  <pic:blipFill>
                    <a:blip r:embed="rId140"/>
                    <a:srcRect l="544" t="1288" r="45140" b="1170"/>
                    <a:stretch>
                      <a:fillRect/>
                    </a:stretch>
                  </pic:blipFill>
                  <pic:spPr>
                    <a:xfrm>
                      <a:off x="0" y="0"/>
                      <a:ext cx="5276850" cy="6746240"/>
                    </a:xfrm>
                    <a:prstGeom prst="rect">
                      <a:avLst/>
                    </a:prstGeom>
                  </pic:spPr>
                </pic:pic>
              </a:graphicData>
            </a:graphic>
          </wp:inline>
        </w:drawing>
      </w:r>
    </w:p>
    <w:p>
      <w:pPr>
        <w:rPr>
          <w:rFonts w:hint="eastAsia" w:ascii="Times New Roman" w:hAnsi="Times New Roman" w:cs="Times New Roman"/>
          <w:color w:val="auto"/>
          <w:sz w:val="32"/>
          <w:szCs w:val="32"/>
          <w:lang w:val="en-US" w:eastAsia="zh-CN"/>
        </w:rPr>
      </w:pP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282575</wp:posOffset>
                </wp:positionH>
                <wp:positionV relativeFrom="paragraph">
                  <wp:posOffset>962025</wp:posOffset>
                </wp:positionV>
                <wp:extent cx="123825" cy="133350"/>
                <wp:effectExtent l="12700" t="12700" r="15875" b="25400"/>
                <wp:wrapNone/>
                <wp:docPr id="51" name="椭圆 51"/>
                <wp:cNvGraphicFramePr/>
                <a:graphic xmlns:a="http://schemas.openxmlformats.org/drawingml/2006/main">
                  <a:graphicData uri="http://schemas.microsoft.com/office/word/2010/wordprocessingShape">
                    <wps:wsp>
                      <wps:cNvSpPr/>
                      <wps:spPr>
                        <a:xfrm>
                          <a:off x="1459230" y="9429750"/>
                          <a:ext cx="123825" cy="133350"/>
                        </a:xfrm>
                        <a:prstGeom prst="ellipse">
                          <a:avLst/>
                        </a:prstGeom>
                        <a:solidFill>
                          <a:srgbClr val="005BEC"/>
                        </a:solidFill>
                        <a:ln>
                          <a:solidFill>
                            <a:srgbClr val="0A5ACA"/>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2.25pt;margin-top:75.75pt;height:10.5pt;width:9.75pt;z-index:251682816;v-text-anchor:middle;mso-width-relative:page;mso-height-relative:page;" fillcolor="#005BEC" filled="t" stroked="t" coordsize="21600,21600" o:gfxdata="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FgAAAGRycy9QSwECFAAUAAAACACHTuJA7LWfMdgAAAAJAQAADwAAAAAAAAABACAAAAA4AAAAZHJz&#10;L2Rvd25yZXYueG1sUEsBAhQAFAAAAAgAh07iQBkF93lgAgAArgQAAA4AAAAAAAAAAQAgAAAAPQEA&#10;AGRycy9lMm9Eb2MueG1sUEsFBgAAAAAGAAYAWQEAAA8GAAAAAA==&#10;">
                <v:fill on="t" focussize="0,0"/>
                <v:stroke weight="2pt" color="#0A5ACA [2404]" joinstyle="round"/>
                <v:imagedata o:title=""/>
                <o:lock v:ext="edit" aspectratio="f"/>
              </v:shape>
            </w:pict>
          </mc:Fallback>
        </mc:AlternateContent>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172720</wp:posOffset>
                </wp:positionH>
                <wp:positionV relativeFrom="paragraph">
                  <wp:posOffset>679450</wp:posOffset>
                </wp:positionV>
                <wp:extent cx="361950" cy="139700"/>
                <wp:effectExtent l="12700" t="12700" r="25400" b="19050"/>
                <wp:wrapNone/>
                <wp:docPr id="45" name="矩形 45"/>
                <wp:cNvGraphicFramePr/>
                <a:graphic xmlns:a="http://schemas.openxmlformats.org/drawingml/2006/main">
                  <a:graphicData uri="http://schemas.microsoft.com/office/word/2010/wordprocessingShape">
                    <wps:wsp>
                      <wps:cNvSpPr/>
                      <wps:spPr>
                        <a:xfrm>
                          <a:off x="0" y="0"/>
                          <a:ext cx="361950" cy="139700"/>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3.6pt;margin-top:53.5pt;height:11pt;width:28.5pt;z-index:251681792;v-text-anchor:middle;mso-width-relative:page;mso-height-relative:page;" fillcolor="#FF0000" filled="t" stroked="t" coordsize="21600,21600" o:gfxdata="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zQPbSNUAAAAJAQAADwAAAAAAAAABACAAAAA4AAAAZHJzL2Rvd25yZXYueG1sUEsBAhQAFAAA&#10;AAgAh07iQMXD4FROAgAAnwQAAA4AAAAAAAAAAQAgAAAAOgEAAGRycy9lMm9Eb2MueG1sUEsFBgAA&#10;AAAGAAYAWQEAAPoFAAAAAA==&#10;">
                <v:fill on="t"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172720</wp:posOffset>
                </wp:positionH>
                <wp:positionV relativeFrom="paragraph">
                  <wp:posOffset>365125</wp:posOffset>
                </wp:positionV>
                <wp:extent cx="371475" cy="180975"/>
                <wp:effectExtent l="9525" t="9525" r="19050" b="19050"/>
                <wp:wrapNone/>
                <wp:docPr id="47" name="矩形 47"/>
                <wp:cNvGraphicFramePr/>
                <a:graphic xmlns:a="http://schemas.openxmlformats.org/drawingml/2006/main">
                  <a:graphicData uri="http://schemas.microsoft.com/office/word/2010/wordprocessingShape">
                    <wps:wsp>
                      <wps:cNvSpPr/>
                      <wps:spPr>
                        <a:xfrm>
                          <a:off x="0" y="0"/>
                          <a:ext cx="371475" cy="180975"/>
                        </a:xfrm>
                        <a:prstGeom prst="rect">
                          <a:avLst/>
                        </a:prstGeom>
                        <a:noFill/>
                        <a:ln w="19050">
                          <a:solidFill>
                            <a:srgbClr val="0257DD"/>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3.6pt;margin-top:28.75pt;height:14.25pt;width:29.25pt;z-index:251680768;v-text-anchor:middle;mso-width-relative:page;mso-height-relative:page;" filled="f" stroked="t" coordsize="21600,21600" o:gfxdata="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BkL3lP2AAAAAcBAAAPAAAAAAAAAAEAIAAAADgAAABkcnMvZG93bnJldi54bWxQSwECFAAUAAAA&#10;CACHTuJAmkxi+UoCAAB2BAAADgAAAAAAAAABACAAAAA9AQAAZHJzL2Uyb0RvYy54bWxQSwUGAAAA&#10;AAYABgBZAQAA+QUAAAAA&#10;">
                <v:fill on="f" focussize="0,0"/>
                <v:stroke weight="1.5pt" color="#0257DD [2404]" joinstyle="round"/>
                <v:imagedata o:title=""/>
                <o:lock v:ext="edit" aspectratio="f"/>
              </v:rect>
            </w:pict>
          </mc:Fallback>
        </mc:AlternateContent>
      </w:r>
      <w:r>
        <w:rPr>
          <w:color w:val="auto"/>
          <w:sz w:val="21"/>
        </w:rPr>
        <mc:AlternateContent>
          <mc:Choice Requires="wps">
            <w:drawing>
              <wp:inline distT="0" distB="0" distL="114300" distR="114300">
                <wp:extent cx="2393315" cy="1180465"/>
                <wp:effectExtent l="0" t="0" r="6985" b="635"/>
                <wp:docPr id="49" name="文本框 49"/>
                <wp:cNvGraphicFramePr/>
                <a:graphic xmlns:a="http://schemas.openxmlformats.org/drawingml/2006/main">
                  <a:graphicData uri="http://schemas.microsoft.com/office/word/2010/wordprocessingShape">
                    <wps:wsp>
                      <wps:cNvSpPr txBox="true"/>
                      <wps:spPr>
                        <a:xfrm>
                          <a:off x="0" y="0"/>
                          <a:ext cx="2393315" cy="1180465"/>
                        </a:xfrm>
                        <a:prstGeom prst="rect">
                          <a:avLst/>
                        </a:prstGeom>
                        <a:solidFill>
                          <a:srgbClr val="FFFFFF">
                            <a:alpha val="60000"/>
                          </a:srgbClr>
                        </a:solidFill>
                        <a:ln>
                          <a:noFill/>
                        </a:ln>
                      </wps:spPr>
                      <wps:txb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河西工业园范围</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本项目范围</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环境空气质量监测点位</w:t>
                            </w:r>
                          </w:p>
                        </w:txbxContent>
                      </wps:txbx>
                      <wps:bodyPr upright="true"/>
                    </wps:wsp>
                  </a:graphicData>
                </a:graphic>
              </wp:inline>
            </w:drawing>
          </mc:Choice>
          <mc:Fallback>
            <w:pict>
              <v:shape id="_x0000_s1026" o:spid="_x0000_s1026" o:spt="202" type="#_x0000_t202" style="height:92.95pt;width:188.45pt;" fillcolor="#FFFFFF" filled="t" stroked="f" coordsize="21600,21600" o:gfxdata="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WAAAAZHJzL1BLAQIUABQAAAAIAIdO4kB9MU+y2AAAAAUBAAAPAAAAAAAAAAEAIAAAADgA&#10;AABkcnMvZG93bnJldi54bWxQSwECFAAUAAAACACHTuJAXvMmhroBAABTAwAADgAAAAAAAAABACAA&#10;AAA9AQAAZHJzL2Uyb0RvYy54bWxQSwUGAAAAAAYABgBZAQAAaQUAAAAA&#10;">
                <v:fill on="t" opacity="39321f" focussize="0,0"/>
                <v:stroke on="f"/>
                <v:imagedata o:title=""/>
                <o:lock v:ext="edit" aspectratio="f"/>
                <v:textbox>
                  <w:txbxContent>
                    <w:p>
                      <w:pPr>
                        <w:spacing w:line="360" w:lineRule="auto"/>
                        <w:jc w:val="center"/>
                        <w:rPr>
                          <w:rFonts w:hint="eastAsia"/>
                          <w:b/>
                          <w:bCs/>
                          <w:sz w:val="24"/>
                          <w:szCs w:val="24"/>
                          <w:lang w:val="en-US" w:eastAsia="zh-CN"/>
                        </w:rPr>
                      </w:pPr>
                      <w:r>
                        <w:rPr>
                          <w:rFonts w:hint="eastAsia"/>
                          <w:b/>
                          <w:bCs/>
                          <w:sz w:val="24"/>
                          <w:szCs w:val="24"/>
                          <w:lang w:val="en-US" w:eastAsia="zh-CN"/>
                        </w:rPr>
                        <w:t>图 例</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河西工业园范围</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本项目范围</w:t>
                      </w:r>
                    </w:p>
                    <w:p>
                      <w:pPr>
                        <w:pStyle w:val="7"/>
                        <w:keepNext w:val="0"/>
                        <w:keepLines w:val="0"/>
                        <w:pageBreakBefore w:val="0"/>
                        <w:widowControl w:val="0"/>
                        <w:kinsoku/>
                        <w:wordWrap/>
                        <w:overflowPunct/>
                        <w:topLinePunct w:val="0"/>
                        <w:bidi w:val="0"/>
                        <w:adjustRightInd/>
                        <w:snapToGrid/>
                        <w:spacing w:line="360" w:lineRule="auto"/>
                        <w:ind w:firstLine="960" w:firstLineChars="4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环境空气质量监测点位</w:t>
                      </w:r>
                    </w:p>
                  </w:txbxContent>
                </v:textbox>
                <w10:wrap type="none"/>
                <w10:anchorlock/>
              </v:shape>
            </w:pict>
          </mc:Fallback>
        </mc:AlternateContent>
      </w: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71" w:name="_Toc22611"/>
      <w:r>
        <w:rPr>
          <w:rFonts w:hint="eastAsia" w:ascii="Times New Roman" w:hAnsi="Times New Roman" w:cs="Times New Roman"/>
          <w:color w:val="auto"/>
          <w:sz w:val="32"/>
          <w:szCs w:val="32"/>
          <w:lang w:val="en-US" w:eastAsia="zh-CN"/>
        </w:rPr>
        <w:t>附图7：园区土地使用规划图</w:t>
      </w:r>
      <w:bookmarkEnd w:id="171"/>
    </w:p>
    <w:p>
      <w:pPr>
        <w:pStyle w:val="7"/>
        <w:rPr>
          <w:rFonts w:hint="eastAsia" w:ascii="宋体" w:hAnsi="宋体" w:eastAsia="宋体" w:cs="宋体"/>
          <w:b/>
          <w:bCs/>
          <w:color w:val="auto"/>
          <w:spacing w:val="-7"/>
          <w:sz w:val="24"/>
          <w:szCs w:val="24"/>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83840" behindDoc="0" locked="0" layoutInCell="1" allowOverlap="1">
                <wp:simplePos x="0" y="0"/>
                <wp:positionH relativeFrom="column">
                  <wp:posOffset>3462655</wp:posOffset>
                </wp:positionH>
                <wp:positionV relativeFrom="paragraph">
                  <wp:posOffset>4102100</wp:posOffset>
                </wp:positionV>
                <wp:extent cx="995045" cy="324485"/>
                <wp:effectExtent l="712470" t="5080" r="6985" b="413385"/>
                <wp:wrapNone/>
                <wp:docPr id="53" name="矩形标注 53"/>
                <wp:cNvGraphicFramePr/>
                <a:graphic xmlns:a="http://schemas.openxmlformats.org/drawingml/2006/main">
                  <a:graphicData uri="http://schemas.microsoft.com/office/word/2010/wordprocessingShape">
                    <wps:wsp>
                      <wps:cNvSpPr/>
                      <wps:spPr>
                        <a:xfrm>
                          <a:off x="0" y="0"/>
                          <a:ext cx="995045" cy="324485"/>
                        </a:xfrm>
                        <a:prstGeom prst="wedgeRectCallout">
                          <a:avLst>
                            <a:gd name="adj1" fmla="val -117964"/>
                            <a:gd name="adj2" fmla="val 167808"/>
                          </a:avLst>
                        </a:prstGeom>
                        <a:solidFill>
                          <a:srgbClr val="FFFFFF">
                            <a:alpha val="50000"/>
                          </a:srgbClr>
                        </a:solidFill>
                        <a:ln w="9525" cap="flat" cmpd="sng">
                          <a:solidFill>
                            <a:schemeClr val="tx1"/>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wps:txbx>
                      <wps:bodyPr upright="true"/>
                    </wps:wsp>
                  </a:graphicData>
                </a:graphic>
              </wp:anchor>
            </w:drawing>
          </mc:Choice>
          <mc:Fallback>
            <w:pict>
              <v:shape id="_x0000_s1026" o:spid="_x0000_s1026" o:spt="61" type="#_x0000_t61" style="position:absolute;left:0pt;margin-left:272.65pt;margin-top:323pt;height:25.55pt;width:78.35pt;z-index:251683840;mso-width-relative:page;mso-height-relative:page;" fillcolor="#FFFFFF" filled="t" stroked="t" coordsize="21600,21600" o:gfxdata="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hhwmbdwAAAALAQAADwAAAAAA&#10;AAABACAAAAA4AAAAZHJzL2Rvd25yZXYueG1sUEsBAhQAFAAAAAgAh07iQFXc6DcyAgAAZgQAAA4A&#10;AAAAAAAAAQAgAAAAQQEAAGRycy9lMm9Eb2MueG1sUEsFBgAAAAAGAAYAWQEAAOUFAAAAAA==&#10;" adj="0,47047">
                <v:fill on="t" opacity="32768f" focussize="0,0"/>
                <v:stroke color="#000000 [3213]" joinstyle="miter"/>
                <v:imagedata o:title=""/>
                <o:lock v:ext="edit" aspectratio="f"/>
                <v:textbo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v:textbox>
              </v:shape>
            </w:pict>
          </mc:Fallback>
        </mc:AlternateContent>
      </w:r>
      <w:r>
        <w:rPr>
          <w:rFonts w:hint="eastAsia" w:ascii="宋体" w:hAnsi="宋体" w:eastAsia="宋体" w:cs="宋体"/>
          <w:b/>
          <w:bCs/>
          <w:color w:val="auto"/>
          <w:spacing w:val="-7"/>
          <w:sz w:val="24"/>
          <w:szCs w:val="24"/>
          <w:lang w:eastAsia="zh-CN"/>
        </w:rPr>
        <w:drawing>
          <wp:inline distT="0" distB="0" distL="114300" distR="114300">
            <wp:extent cx="5325110" cy="8014970"/>
            <wp:effectExtent l="0" t="0" r="8890" b="5080"/>
            <wp:docPr id="17" name="图片 17" descr="图片"/>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图片"/>
                    <pic:cNvPicPr>
                      <a:picLocks noChangeAspect="true"/>
                    </pic:cNvPicPr>
                  </pic:nvPicPr>
                  <pic:blipFill>
                    <a:blip r:embed="rId141"/>
                    <a:srcRect l="3016" r="3064"/>
                    <a:stretch>
                      <a:fillRect/>
                    </a:stretch>
                  </pic:blipFill>
                  <pic:spPr>
                    <a:xfrm>
                      <a:off x="0" y="0"/>
                      <a:ext cx="5325110" cy="8014970"/>
                    </a:xfrm>
                    <a:prstGeom prst="rect">
                      <a:avLst/>
                    </a:prstGeom>
                  </pic:spPr>
                </pic:pic>
              </a:graphicData>
            </a:graphic>
          </wp:inline>
        </w:drawing>
      </w: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72" w:name="_Toc27687"/>
      <w:r>
        <w:rPr>
          <w:rFonts w:hint="eastAsia" w:ascii="Times New Roman" w:hAnsi="Times New Roman" w:cs="Times New Roman"/>
          <w:color w:val="auto"/>
          <w:sz w:val="32"/>
          <w:szCs w:val="32"/>
          <w:lang w:val="en-US" w:eastAsia="zh-CN"/>
        </w:rPr>
        <w:t>附图8：园区污水工程规划图</w:t>
      </w:r>
      <w:bookmarkEnd w:id="172"/>
    </w:p>
    <w:p>
      <w:pPr>
        <w:spacing w:line="270" w:lineRule="auto"/>
        <w:rPr>
          <w:rFonts w:hint="eastAsia" w:ascii="Arial" w:eastAsia="宋体"/>
          <w:color w:val="auto"/>
          <w:sz w:val="21"/>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84864" behindDoc="0" locked="0" layoutInCell="1" allowOverlap="1">
                <wp:simplePos x="0" y="0"/>
                <wp:positionH relativeFrom="column">
                  <wp:posOffset>3405505</wp:posOffset>
                </wp:positionH>
                <wp:positionV relativeFrom="paragraph">
                  <wp:posOffset>4107180</wp:posOffset>
                </wp:positionV>
                <wp:extent cx="995045" cy="324485"/>
                <wp:effectExtent l="712470" t="5080" r="6985" b="413385"/>
                <wp:wrapNone/>
                <wp:docPr id="55" name="矩形标注 55"/>
                <wp:cNvGraphicFramePr/>
                <a:graphic xmlns:a="http://schemas.openxmlformats.org/drawingml/2006/main">
                  <a:graphicData uri="http://schemas.microsoft.com/office/word/2010/wordprocessingShape">
                    <wps:wsp>
                      <wps:cNvSpPr/>
                      <wps:spPr>
                        <a:xfrm>
                          <a:off x="0" y="0"/>
                          <a:ext cx="995045" cy="324485"/>
                        </a:xfrm>
                        <a:prstGeom prst="wedgeRectCallout">
                          <a:avLst>
                            <a:gd name="adj1" fmla="val -117964"/>
                            <a:gd name="adj2" fmla="val 167808"/>
                          </a:avLst>
                        </a:prstGeom>
                        <a:solidFill>
                          <a:srgbClr val="FFFFFF">
                            <a:alpha val="50000"/>
                          </a:srgbClr>
                        </a:solidFill>
                        <a:ln w="9525" cap="flat" cmpd="sng">
                          <a:solidFill>
                            <a:schemeClr val="tx1"/>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wps:txbx>
                      <wps:bodyPr upright="true"/>
                    </wps:wsp>
                  </a:graphicData>
                </a:graphic>
              </wp:anchor>
            </w:drawing>
          </mc:Choice>
          <mc:Fallback>
            <w:pict>
              <v:shape id="_x0000_s1026" o:spid="_x0000_s1026" o:spt="61" type="#_x0000_t61" style="position:absolute;left:0pt;margin-left:268.15pt;margin-top:323.4pt;height:25.55pt;width:78.35pt;z-index:251684864;mso-width-relative:page;mso-height-relative:page;" fillcolor="#FFFFFF" filled="t" stroked="t" coordsize="21600,21600" o:gfxdata="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FgAAAGRycy9QSwECFAAUAAAACACHTuJAOvtJ2toAAAALAQAADwAAAAAAAAAB&#10;ACAAAAA4AAAAZHJzL2Rvd25yZXYueG1sUEsBAhQAFAAAAAgAh07iQI7Q/dAxAgAAZgQAAA4AAAAA&#10;AAAAAQAgAAAAPwEAAGRycy9lMm9Eb2MueG1sUEsFBgAAAAAGAAYAWQEAAOIFAAAAAA==&#10;" adj="0,47047">
                <v:fill on="t" opacity="32768f" focussize="0,0"/>
                <v:stroke color="#000000 [3213]" joinstyle="miter"/>
                <v:imagedata o:title=""/>
                <o:lock v:ext="edit" aspectratio="f"/>
                <v:textbo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v:textbox>
              </v:shape>
            </w:pict>
          </mc:Fallback>
        </mc:AlternateContent>
      </w:r>
      <w:r>
        <w:rPr>
          <w:rFonts w:hint="eastAsia" w:ascii="Arial" w:eastAsia="宋体"/>
          <w:color w:val="auto"/>
          <w:sz w:val="21"/>
          <w:lang w:eastAsia="zh-CN"/>
        </w:rPr>
        <w:drawing>
          <wp:inline distT="0" distB="0" distL="114300" distR="114300">
            <wp:extent cx="5338445" cy="8023860"/>
            <wp:effectExtent l="0" t="0" r="14605" b="15240"/>
            <wp:docPr id="19" name="图片 19" descr="污水管网"/>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污水管网"/>
                    <pic:cNvPicPr>
                      <a:picLocks noChangeAspect="true"/>
                    </pic:cNvPicPr>
                  </pic:nvPicPr>
                  <pic:blipFill>
                    <a:blip r:embed="rId142"/>
                    <a:srcRect l="3016" r="2944"/>
                    <a:stretch>
                      <a:fillRect/>
                    </a:stretch>
                  </pic:blipFill>
                  <pic:spPr>
                    <a:xfrm>
                      <a:off x="0" y="0"/>
                      <a:ext cx="5338445" cy="8023860"/>
                    </a:xfrm>
                    <a:prstGeom prst="rect">
                      <a:avLst/>
                    </a:prstGeom>
                  </pic:spPr>
                </pic:pic>
              </a:graphicData>
            </a:graphic>
          </wp:inline>
        </w:drawing>
      </w:r>
    </w:p>
    <w:p>
      <w:pPr>
        <w:pStyle w:val="7"/>
        <w:rPr>
          <w:rFonts w:ascii="Arial"/>
          <w:color w:val="auto"/>
          <w:sz w:val="21"/>
        </w:rPr>
      </w:pP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73" w:name="_Toc30"/>
      <w:r>
        <w:rPr>
          <w:rFonts w:hint="eastAsia" w:ascii="Times New Roman" w:hAnsi="Times New Roman" w:cs="Times New Roman"/>
          <w:color w:val="auto"/>
          <w:sz w:val="32"/>
          <w:szCs w:val="32"/>
          <w:lang w:val="en-US" w:eastAsia="zh-CN"/>
        </w:rPr>
        <w:t>附图9：园区雨水工程规划图</w:t>
      </w:r>
      <w:bookmarkEnd w:id="173"/>
    </w:p>
    <w:p>
      <w:pPr>
        <w:pStyle w:val="7"/>
        <w:rPr>
          <w:rFonts w:hint="eastAsia" w:ascii="Arial" w:eastAsia="黑体"/>
          <w:color w:val="auto"/>
          <w:sz w:val="21"/>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85888" behindDoc="0" locked="0" layoutInCell="1" allowOverlap="1">
                <wp:simplePos x="0" y="0"/>
                <wp:positionH relativeFrom="column">
                  <wp:posOffset>3434080</wp:posOffset>
                </wp:positionH>
                <wp:positionV relativeFrom="paragraph">
                  <wp:posOffset>4102735</wp:posOffset>
                </wp:positionV>
                <wp:extent cx="995045" cy="324485"/>
                <wp:effectExtent l="712470" t="5080" r="6985" b="413385"/>
                <wp:wrapNone/>
                <wp:docPr id="57" name="矩形标注 57"/>
                <wp:cNvGraphicFramePr/>
                <a:graphic xmlns:a="http://schemas.openxmlformats.org/drawingml/2006/main">
                  <a:graphicData uri="http://schemas.microsoft.com/office/word/2010/wordprocessingShape">
                    <wps:wsp>
                      <wps:cNvSpPr/>
                      <wps:spPr>
                        <a:xfrm>
                          <a:off x="0" y="0"/>
                          <a:ext cx="995045" cy="324485"/>
                        </a:xfrm>
                        <a:prstGeom prst="wedgeRectCallout">
                          <a:avLst>
                            <a:gd name="adj1" fmla="val -117964"/>
                            <a:gd name="adj2" fmla="val 167808"/>
                          </a:avLst>
                        </a:prstGeom>
                        <a:solidFill>
                          <a:srgbClr val="FFFFFF">
                            <a:alpha val="50000"/>
                          </a:srgbClr>
                        </a:solidFill>
                        <a:ln w="9525" cap="flat" cmpd="sng">
                          <a:solidFill>
                            <a:schemeClr val="tx1"/>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wps:txbx>
                      <wps:bodyPr upright="true"/>
                    </wps:wsp>
                  </a:graphicData>
                </a:graphic>
              </wp:anchor>
            </w:drawing>
          </mc:Choice>
          <mc:Fallback>
            <w:pict>
              <v:shape id="_x0000_s1026" o:spid="_x0000_s1026" o:spt="61" type="#_x0000_t61" style="position:absolute;left:0pt;margin-left:270.4pt;margin-top:323.05pt;height:25.55pt;width:78.35pt;z-index:251685888;mso-width-relative:page;mso-height-relative:page;" fillcolor="#FFFFFF" filled="t" stroked="t" coordsize="21600,21600" o:gfxdata="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FgAAAGRycy9QSwECFAAUAAAACACHTuJAa3ZiqNoAAAALAQAADwAAAAAAAAAB&#10;ACAAAAA4AAAAZHJzL2Rvd25yZXYueG1sUEsBAhQAFAAAAAgAh07iQPjWITsxAgAAZgQAAA4AAAAA&#10;AAAAAQAgAAAAPwEAAGRycy9lMm9Eb2MueG1sUEsFBgAAAAAGAAYAWQEAAOIFAAAAAA==&#10;" adj="0,47047">
                <v:fill on="t" opacity="32768f" focussize="0,0"/>
                <v:stroke color="#000000 [3213]" joinstyle="miter"/>
                <v:imagedata o:title=""/>
                <o:lock v:ext="edit" aspectratio="f"/>
                <v:textbox>
                  <w:txbxContent>
                    <w:p>
                      <w:pPr>
                        <w:keepNext w:val="0"/>
                        <w:keepLines w:val="0"/>
                        <w:pageBreakBefore w:val="0"/>
                        <w:widowControl w:val="0"/>
                        <w:kinsoku/>
                        <w:wordWrap/>
                        <w:overflowPunct/>
                        <w:topLinePunct w:val="0"/>
                        <w:bidi w:val="0"/>
                        <w:adjustRightInd/>
                        <w:snapToGrid/>
                        <w:spacing w:after="0" w:afterLines="0" w:line="240" w:lineRule="auto"/>
                        <w:ind w:firstLine="0" w:firstLineChars="0"/>
                        <w:textAlignment w:val="auto"/>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v:textbox>
              </v:shape>
            </w:pict>
          </mc:Fallback>
        </mc:AlternateContent>
      </w:r>
      <w:r>
        <w:rPr>
          <w:rFonts w:hint="eastAsia" w:ascii="Arial" w:eastAsia="黑体"/>
          <w:color w:val="auto"/>
          <w:sz w:val="21"/>
          <w:lang w:eastAsia="zh-CN"/>
        </w:rPr>
        <w:drawing>
          <wp:inline distT="0" distB="0" distL="114300" distR="114300">
            <wp:extent cx="5310505" cy="7997190"/>
            <wp:effectExtent l="0" t="0" r="4445" b="3810"/>
            <wp:docPr id="21" name="图片 21" descr="雨水管网"/>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雨水管网"/>
                    <pic:cNvPicPr>
                      <a:picLocks noChangeAspect="true"/>
                    </pic:cNvPicPr>
                  </pic:nvPicPr>
                  <pic:blipFill>
                    <a:blip r:embed="rId143"/>
                    <a:srcRect l="3016" r="3125"/>
                    <a:stretch>
                      <a:fillRect/>
                    </a:stretch>
                  </pic:blipFill>
                  <pic:spPr>
                    <a:xfrm>
                      <a:off x="0" y="0"/>
                      <a:ext cx="5310505" cy="7997190"/>
                    </a:xfrm>
                    <a:prstGeom prst="rect">
                      <a:avLst/>
                    </a:prstGeom>
                  </pic:spPr>
                </pic:pic>
              </a:graphicData>
            </a:graphic>
          </wp:inline>
        </w:drawing>
      </w:r>
    </w:p>
    <w:p>
      <w:pPr>
        <w:pStyle w:val="7"/>
        <w:rPr>
          <w:rFonts w:hint="eastAsia" w:ascii="Arial" w:eastAsia="黑体"/>
          <w:color w:val="auto"/>
          <w:sz w:val="21"/>
          <w:lang w:eastAsia="zh-CN"/>
        </w:rPr>
      </w:pPr>
    </w:p>
    <w:p>
      <w:pPr>
        <w:pStyle w:val="7"/>
        <w:rPr>
          <w:rFonts w:hint="eastAsia" w:ascii="Arial" w:eastAsia="黑体"/>
          <w:color w:val="auto"/>
          <w:sz w:val="21"/>
          <w:lang w:eastAsia="zh-CN"/>
        </w:rPr>
      </w:pPr>
    </w:p>
    <w:p>
      <w:pPr>
        <w:rPr>
          <w:rFonts w:hint="eastAsia" w:ascii="Arial" w:eastAsia="黑体"/>
          <w:color w:val="auto"/>
          <w:sz w:val="21"/>
          <w:lang w:eastAsia="zh-CN"/>
        </w:rPr>
      </w:pPr>
      <w:r>
        <w:rPr>
          <w:rFonts w:hint="eastAsia" w:ascii="Arial" w:eastAsia="黑体"/>
          <w:color w:val="auto"/>
          <w:sz w:val="21"/>
          <w:lang w:eastAsia="zh-CN"/>
        </w:rPr>
        <w:br w:type="page"/>
      </w:r>
    </w:p>
    <w:p>
      <w:pPr>
        <w:pStyle w:val="10"/>
        <w:keepNext/>
        <w:keepLines w:val="0"/>
        <w:pageBreakBefore w:val="0"/>
        <w:widowControl w:val="0"/>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eastAsia" w:ascii="Times New Roman" w:hAnsi="Times New Roman" w:cs="Times New Roman"/>
          <w:color w:val="auto"/>
          <w:sz w:val="32"/>
          <w:szCs w:val="32"/>
          <w:lang w:val="en-US" w:eastAsia="zh-CN"/>
        </w:rPr>
      </w:pPr>
      <w:bookmarkStart w:id="174" w:name="_Toc27730"/>
      <w:r>
        <w:rPr>
          <w:rFonts w:hint="eastAsia" w:ascii="Times New Roman" w:hAnsi="Times New Roman" w:cs="Times New Roman"/>
          <w:color w:val="auto"/>
          <w:sz w:val="32"/>
          <w:szCs w:val="32"/>
          <w:lang w:val="en-US" w:eastAsia="zh-CN"/>
        </w:rPr>
        <w:t>附图10：现场照片</w:t>
      </w:r>
      <w:bookmarkEnd w:id="174"/>
    </w:p>
    <w:tbl>
      <w:tblPr>
        <w:tblStyle w:val="23"/>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9"/>
        <w:gridCol w:w="4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2496820" cy="1872615"/>
                  <wp:effectExtent l="0" t="0" r="17780" b="13335"/>
                  <wp:docPr id="92" name="图片 92" descr="a9b5d8f19dcaf359259eb22b4c2cb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92" descr="a9b5d8f19dcaf359259eb22b4c2cb52"/>
                          <pic:cNvPicPr>
                            <a:picLocks noChangeAspect="true"/>
                          </pic:cNvPicPr>
                        </pic:nvPicPr>
                        <pic:blipFill>
                          <a:blip r:embed="rId144"/>
                          <a:stretch>
                            <a:fillRect/>
                          </a:stretch>
                        </pic:blipFill>
                        <pic:spPr>
                          <a:xfrm>
                            <a:off x="0" y="0"/>
                            <a:ext cx="2496820" cy="1872615"/>
                          </a:xfrm>
                          <a:prstGeom prst="rect">
                            <a:avLst/>
                          </a:prstGeom>
                        </pic:spPr>
                      </pic:pic>
                    </a:graphicData>
                  </a:graphic>
                </wp:inline>
              </w:drawing>
            </w:r>
          </w:p>
        </w:tc>
        <w:tc>
          <w:tcPr>
            <w:tcW w:w="2500" w:type="pct"/>
            <w:noWrap w:val="0"/>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2569845" cy="1807210"/>
                  <wp:effectExtent l="0" t="0" r="1905" b="2540"/>
                  <wp:docPr id="96" name="图片 96" descr="dji_fly_20241009_170626_0969_1728465965398_photo"/>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96" descr="dji_fly_20241009_170626_0969_1728465965398_photo"/>
                          <pic:cNvPicPr>
                            <a:picLocks noChangeAspect="true"/>
                          </pic:cNvPicPr>
                        </pic:nvPicPr>
                        <pic:blipFill>
                          <a:blip r:embed="rId145"/>
                          <a:srcRect l="22865" r="9012" b="14860"/>
                          <a:stretch>
                            <a:fillRect/>
                          </a:stretch>
                        </pic:blipFill>
                        <pic:spPr>
                          <a:xfrm>
                            <a:off x="0" y="0"/>
                            <a:ext cx="2569845" cy="1807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color w:val="auto"/>
              </w:rPr>
            </w:pPr>
            <w:r>
              <w:rPr>
                <w:color w:val="auto"/>
              </w:rPr>
              <w:t>项目拟用厂房</w:t>
            </w:r>
            <w:r>
              <w:rPr>
                <w:rFonts w:hint="eastAsia" w:eastAsia="宋体"/>
                <w:color w:val="auto"/>
                <w:lang w:val="en-US" w:eastAsia="zh-CN"/>
              </w:rPr>
              <w:t>内</w:t>
            </w:r>
            <w:r>
              <w:rPr>
                <w:color w:val="auto"/>
              </w:rPr>
              <w:t>现状</w:t>
            </w:r>
          </w:p>
        </w:tc>
        <w:tc>
          <w:tcPr>
            <w:tcW w:w="2500" w:type="pct"/>
            <w:noWrap w:val="0"/>
            <w:vAlign w:val="center"/>
          </w:tcPr>
          <w:p>
            <w:pPr>
              <w:jc w:val="center"/>
              <w:rPr>
                <w:color w:val="auto"/>
              </w:rPr>
            </w:pPr>
            <w:r>
              <w:rPr>
                <w:color w:val="auto"/>
              </w:rPr>
              <w:t>项目拟用</w:t>
            </w:r>
            <w:r>
              <w:rPr>
                <w:rFonts w:hint="eastAsia" w:eastAsia="宋体"/>
                <w:color w:val="auto"/>
                <w:lang w:val="en-US" w:eastAsia="zh-CN"/>
              </w:rPr>
              <w:t>厂区整体</w:t>
            </w:r>
            <w:r>
              <w:rPr>
                <w:color w:val="auto"/>
              </w:rPr>
              <w:t>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2574290" cy="1476375"/>
                  <wp:effectExtent l="0" t="0" r="16510" b="9525"/>
                  <wp:docPr id="82" name="图片 82" descr="dji_fly_20241009_170302_0954_1728466040615_photo"/>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82" descr="dji_fly_20241009_170302_0954_1728466040615_photo"/>
                          <pic:cNvPicPr>
                            <a:picLocks noChangeAspect="true"/>
                          </pic:cNvPicPr>
                        </pic:nvPicPr>
                        <pic:blipFill>
                          <a:blip r:embed="rId146"/>
                          <a:stretch>
                            <a:fillRect/>
                          </a:stretch>
                        </pic:blipFill>
                        <pic:spPr>
                          <a:xfrm>
                            <a:off x="0" y="0"/>
                            <a:ext cx="2574290" cy="1476375"/>
                          </a:xfrm>
                          <a:prstGeom prst="rect">
                            <a:avLst/>
                          </a:prstGeom>
                        </pic:spPr>
                      </pic:pic>
                    </a:graphicData>
                  </a:graphic>
                </wp:inline>
              </w:drawing>
            </w:r>
          </w:p>
        </w:tc>
        <w:tc>
          <w:tcPr>
            <w:tcW w:w="2500" w:type="pct"/>
            <w:noWrap w:val="0"/>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2566035" cy="1454785"/>
                  <wp:effectExtent l="0" t="0" r="5715" b="12065"/>
                  <wp:docPr id="84" name="图片 84" descr="dji_fly_20241009_170350_0956_1728465996470_photo"/>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84" descr="dji_fly_20241009_170350_0956_1728465996470_photo"/>
                          <pic:cNvPicPr>
                            <a:picLocks noChangeAspect="true"/>
                          </pic:cNvPicPr>
                        </pic:nvPicPr>
                        <pic:blipFill>
                          <a:blip r:embed="rId147"/>
                          <a:stretch>
                            <a:fillRect/>
                          </a:stretch>
                        </pic:blipFill>
                        <pic:spPr>
                          <a:xfrm>
                            <a:off x="0" y="0"/>
                            <a:ext cx="2566035" cy="1454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rFonts w:hint="default" w:eastAsia="宋体"/>
                <w:color w:val="auto"/>
                <w:lang w:val="en-US" w:eastAsia="zh-CN"/>
              </w:rPr>
            </w:pPr>
            <w:r>
              <w:rPr>
                <w:rFonts w:hint="eastAsia" w:eastAsia="宋体"/>
                <w:color w:val="auto"/>
                <w:lang w:val="en-US" w:eastAsia="zh-CN"/>
              </w:rPr>
              <w:t>项目东侧空地</w:t>
            </w:r>
          </w:p>
        </w:tc>
        <w:tc>
          <w:tcPr>
            <w:tcW w:w="2500" w:type="pct"/>
            <w:noWrap w:val="0"/>
            <w:vAlign w:val="center"/>
          </w:tcPr>
          <w:p>
            <w:pPr>
              <w:jc w:val="center"/>
              <w:rPr>
                <w:rFonts w:hint="default" w:eastAsia="宋体"/>
                <w:color w:val="auto"/>
                <w:lang w:val="en-US" w:eastAsia="zh-CN"/>
              </w:rPr>
            </w:pPr>
            <w:r>
              <w:rPr>
                <w:rFonts w:hint="eastAsia" w:eastAsia="宋体"/>
                <w:color w:val="auto"/>
                <w:lang w:val="en-US" w:eastAsia="zh-CN"/>
              </w:rPr>
              <w:t>项目南侧</w:t>
            </w:r>
            <w:r>
              <w:rPr>
                <w:rFonts w:hint="eastAsia" w:ascii="Times New Roman" w:hAnsi="Times New Roman" w:eastAsia="宋体" w:cs="Times New Roman"/>
                <w:color w:val="auto"/>
                <w:szCs w:val="28"/>
                <w:u w:val="none" w:color="auto"/>
                <w:lang w:val="en-US" w:eastAsia="zh-CN"/>
              </w:rPr>
              <w:t>湖南永一石材有限公司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2562860" cy="1442085"/>
                  <wp:effectExtent l="0" t="0" r="8890" b="5715"/>
                  <wp:docPr id="88" name="图片 88" descr="dji_fly_20241009_170356_0957_1728465994851_photo"/>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88" descr="dji_fly_20241009_170356_0957_1728465994851_photo"/>
                          <pic:cNvPicPr>
                            <a:picLocks noChangeAspect="true"/>
                          </pic:cNvPicPr>
                        </pic:nvPicPr>
                        <pic:blipFill>
                          <a:blip r:embed="rId148"/>
                          <a:stretch>
                            <a:fillRect/>
                          </a:stretch>
                        </pic:blipFill>
                        <pic:spPr>
                          <a:xfrm>
                            <a:off x="0" y="0"/>
                            <a:ext cx="2562860" cy="1442085"/>
                          </a:xfrm>
                          <a:prstGeom prst="rect">
                            <a:avLst/>
                          </a:prstGeom>
                        </pic:spPr>
                      </pic:pic>
                    </a:graphicData>
                  </a:graphic>
                </wp:inline>
              </w:drawing>
            </w:r>
          </w:p>
        </w:tc>
        <w:tc>
          <w:tcPr>
            <w:tcW w:w="2500" w:type="pct"/>
            <w:noWrap w:val="0"/>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2603500" cy="1464945"/>
                  <wp:effectExtent l="0" t="0" r="6350" b="1905"/>
                  <wp:docPr id="86" name="图片 86" descr="dji_fly_20241009_170406_0958_1728465993039_photo"/>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86" descr="dji_fly_20241009_170406_0958_1728465993039_photo"/>
                          <pic:cNvPicPr>
                            <a:picLocks noChangeAspect="true"/>
                          </pic:cNvPicPr>
                        </pic:nvPicPr>
                        <pic:blipFill>
                          <a:blip r:embed="rId149"/>
                          <a:stretch>
                            <a:fillRect/>
                          </a:stretch>
                        </pic:blipFill>
                        <pic:spPr>
                          <a:xfrm>
                            <a:off x="0" y="0"/>
                            <a:ext cx="2603500" cy="14649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rFonts w:hint="default" w:eastAsia="宋体"/>
                <w:color w:val="auto"/>
                <w:lang w:val="en-US" w:eastAsia="zh-CN"/>
              </w:rPr>
            </w:pPr>
            <w:r>
              <w:rPr>
                <w:rFonts w:hint="eastAsia" w:eastAsia="宋体"/>
                <w:color w:val="auto"/>
                <w:lang w:val="en-US" w:eastAsia="zh-CN"/>
              </w:rPr>
              <w:t>项目西侧</w:t>
            </w:r>
            <w:r>
              <w:rPr>
                <w:rFonts w:hint="default" w:ascii="Times New Roman" w:hAnsi="Times New Roman" w:cs="Times New Roman"/>
                <w:color w:val="auto"/>
                <w:kern w:val="0"/>
                <w:sz w:val="21"/>
                <w:szCs w:val="21"/>
              </w:rPr>
              <w:t>唐人神集团湘大骆驼饲料公司</w:t>
            </w:r>
          </w:p>
        </w:tc>
        <w:tc>
          <w:tcPr>
            <w:tcW w:w="2500" w:type="pct"/>
            <w:noWrap w:val="0"/>
            <w:vAlign w:val="center"/>
          </w:tcPr>
          <w:p>
            <w:pPr>
              <w:jc w:val="center"/>
              <w:rPr>
                <w:rFonts w:hint="default" w:eastAsia="宋体"/>
                <w:color w:val="auto"/>
                <w:lang w:val="en-US" w:eastAsia="zh-CN"/>
              </w:rPr>
            </w:pPr>
            <w:r>
              <w:rPr>
                <w:rFonts w:hint="eastAsia" w:eastAsia="宋体"/>
                <w:color w:val="auto"/>
                <w:lang w:val="en-US" w:eastAsia="zh-CN"/>
              </w:rPr>
              <w:t>项目北侧三利</w:t>
            </w:r>
            <w:r>
              <w:rPr>
                <w:rFonts w:hint="default" w:ascii="Times New Roman" w:hAnsi="Times New Roman" w:cs="Times New Roman"/>
                <w:color w:val="auto"/>
                <w:kern w:val="0"/>
                <w:sz w:val="21"/>
                <w:szCs w:val="21"/>
              </w:rPr>
              <w:t>永州市三利报废汽车回收拆解有限公司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color w:val="auto"/>
              </w:rPr>
            </w:pPr>
            <w:r>
              <w:rPr>
                <w:rFonts w:hint="eastAsia" w:eastAsia="宋体"/>
                <w:color w:val="auto"/>
                <w:lang w:eastAsia="zh-CN"/>
              </w:rPr>
              <w:drawing>
                <wp:inline distT="0" distB="0" distL="114300" distR="114300">
                  <wp:extent cx="2541905" cy="1529080"/>
                  <wp:effectExtent l="0" t="0" r="10795" b="13970"/>
                  <wp:docPr id="98" name="图片 98" descr="dji_fly_20241009_170712_0971_1728465954098_photo"/>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98" descr="dji_fly_20241009_170712_0971_1728465954098_photo"/>
                          <pic:cNvPicPr>
                            <a:picLocks noChangeAspect="true"/>
                          </pic:cNvPicPr>
                        </pic:nvPicPr>
                        <pic:blipFill>
                          <a:blip r:embed="rId150"/>
                          <a:srcRect l="13312" r="20650" b="30308"/>
                          <a:stretch>
                            <a:fillRect/>
                          </a:stretch>
                        </pic:blipFill>
                        <pic:spPr>
                          <a:xfrm>
                            <a:off x="0" y="0"/>
                            <a:ext cx="2541905" cy="1529080"/>
                          </a:xfrm>
                          <a:prstGeom prst="rect">
                            <a:avLst/>
                          </a:prstGeom>
                        </pic:spPr>
                      </pic:pic>
                    </a:graphicData>
                  </a:graphic>
                </wp:inline>
              </w:drawing>
            </w:r>
          </w:p>
        </w:tc>
        <w:tc>
          <w:tcPr>
            <w:tcW w:w="2500" w:type="pct"/>
            <w:noWrap w:val="0"/>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2572385" cy="1524000"/>
                  <wp:effectExtent l="0" t="0" r="18415" b="0"/>
                  <wp:docPr id="90" name="图片 90" descr="dji_fly_20241009_170446_0962_1728465981136_photo"/>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90" descr="dji_fly_20241009_170446_0962_1728465981136_photo"/>
                          <pic:cNvPicPr>
                            <a:picLocks noChangeAspect="true"/>
                          </pic:cNvPicPr>
                        </pic:nvPicPr>
                        <pic:blipFill>
                          <a:blip r:embed="rId151"/>
                          <a:srcRect r="30759" b="27102"/>
                          <a:stretch>
                            <a:fillRect/>
                          </a:stretch>
                        </pic:blipFill>
                        <pic:spPr>
                          <a:xfrm>
                            <a:off x="0" y="0"/>
                            <a:ext cx="2572385" cy="1524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9" w:type="pct"/>
            <w:noWrap w:val="0"/>
            <w:vAlign w:val="center"/>
          </w:tcPr>
          <w:p>
            <w:pPr>
              <w:jc w:val="center"/>
              <w:rPr>
                <w:color w:val="auto"/>
              </w:rPr>
            </w:pPr>
            <w:r>
              <w:rPr>
                <w:rFonts w:hint="default" w:ascii="Times New Roman" w:hAnsi="Times New Roman" w:cs="Times New Roman"/>
                <w:color w:val="auto"/>
                <w:sz w:val="21"/>
                <w:szCs w:val="21"/>
              </w:rPr>
              <w:t>瑞祥公租房</w:t>
            </w:r>
          </w:p>
        </w:tc>
        <w:tc>
          <w:tcPr>
            <w:tcW w:w="2500" w:type="pct"/>
            <w:noWrap w:val="0"/>
            <w:vAlign w:val="center"/>
          </w:tcPr>
          <w:p>
            <w:pPr>
              <w:jc w:val="center"/>
              <w:rPr>
                <w:color w:val="auto"/>
              </w:rPr>
            </w:pPr>
            <w:r>
              <w:rPr>
                <w:rFonts w:hint="default" w:ascii="Times New Roman" w:hAnsi="Times New Roman" w:cs="Times New Roman"/>
                <w:color w:val="auto"/>
                <w:sz w:val="21"/>
                <w:szCs w:val="21"/>
              </w:rPr>
              <w:t>蒋家田</w:t>
            </w:r>
            <w:r>
              <w:rPr>
                <w:rFonts w:hint="eastAsia" w:ascii="Times New Roman" w:hAnsi="Times New Roman" w:cs="Times New Roman"/>
                <w:color w:val="auto"/>
                <w:sz w:val="21"/>
                <w:szCs w:val="21"/>
                <w:lang w:val="en-US" w:eastAsia="zh-CN"/>
              </w:rPr>
              <w:t>小区</w:t>
            </w:r>
          </w:p>
        </w:tc>
      </w:tr>
    </w:tbl>
    <w:p>
      <w:pPr>
        <w:pStyle w:val="8"/>
        <w:ind w:left="0" w:leftChars="0" w:firstLine="0" w:firstLineChars="0"/>
        <w:jc w:val="both"/>
        <w:rPr>
          <w:rFonts w:hint="eastAsia"/>
          <w:color w:val="auto"/>
          <w:lang w:eastAsia="zh-CN"/>
        </w:rPr>
      </w:pPr>
    </w:p>
    <w:p>
      <w:pPr>
        <w:spacing w:line="12382" w:lineRule="exact"/>
        <w:rPr>
          <w:color w:val="auto"/>
        </w:rPr>
        <w:sectPr>
          <w:pgSz w:w="11906" w:h="16839"/>
          <w:pgMar w:top="1440" w:right="1803" w:bottom="1440" w:left="1803" w:header="850" w:footer="1020"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10"/>
        <w:numPr>
          <w:ilvl w:val="1"/>
          <w:numId w:val="0"/>
        </w:numPr>
        <w:bidi w:val="0"/>
        <w:spacing w:line="360" w:lineRule="auto"/>
        <w:ind w:leftChars="0"/>
        <w:outlineLvl w:val="0"/>
        <w:rPr>
          <w:rFonts w:hint="eastAsia" w:ascii="Times New Roman" w:hAnsi="Times New Roman" w:cs="Times New Roman"/>
          <w:color w:val="auto"/>
          <w:sz w:val="32"/>
          <w:szCs w:val="32"/>
          <w:lang w:val="en-US" w:eastAsia="zh-CN"/>
        </w:rPr>
      </w:pPr>
      <w:bookmarkStart w:id="175" w:name="_Toc11295"/>
      <w:r>
        <w:rPr>
          <w:rFonts w:hint="eastAsia" w:ascii="Times New Roman" w:hAnsi="Times New Roman" w:cs="Times New Roman"/>
          <w:color w:val="auto"/>
          <w:sz w:val="32"/>
          <w:szCs w:val="32"/>
          <w:lang w:val="en-US" w:eastAsia="zh-CN"/>
        </w:rPr>
        <w:t>附表</w:t>
      </w:r>
      <w:bookmarkEnd w:id="175"/>
    </w:p>
    <w:p>
      <w:pPr>
        <w:pStyle w:val="10"/>
        <w:keepNext/>
        <w:keepLines/>
        <w:pageBreakBefore w:val="0"/>
        <w:widowControl/>
        <w:numPr>
          <w:ilvl w:val="1"/>
          <w:numId w:val="0"/>
        </w:numPr>
        <w:kinsoku w:val="0"/>
        <w:wordWrap/>
        <w:overflowPunct/>
        <w:topLinePunct w:val="0"/>
        <w:autoSpaceDE w:val="0"/>
        <w:autoSpaceDN w:val="0"/>
        <w:bidi w:val="0"/>
        <w:adjustRightInd w:val="0"/>
        <w:snapToGrid w:val="0"/>
        <w:spacing w:line="360" w:lineRule="auto"/>
        <w:ind w:leftChars="0"/>
        <w:textAlignment w:val="baseline"/>
        <w:rPr>
          <w:rFonts w:hint="default" w:ascii="Times New Roman" w:hAnsi="Times New Roman" w:cs="Times New Roman"/>
          <w:color w:val="auto"/>
          <w:sz w:val="32"/>
          <w:szCs w:val="32"/>
        </w:rPr>
      </w:pPr>
      <w:bookmarkStart w:id="176" w:name="_Toc10603"/>
      <w:r>
        <w:rPr>
          <w:rFonts w:hint="default" w:ascii="Times New Roman" w:hAnsi="Times New Roman" w:cs="Times New Roman"/>
          <w:color w:val="auto"/>
          <w:sz w:val="32"/>
          <w:szCs w:val="32"/>
        </w:rPr>
        <w:t>附表</w:t>
      </w:r>
      <w:r>
        <w:rPr>
          <w:rFonts w:hint="eastAsia" w:ascii="Times New Roman" w:hAnsi="Times New Roman" w:eastAsia="宋体" w:cs="Times New Roman"/>
          <w:color w:val="auto"/>
          <w:sz w:val="32"/>
          <w:szCs w:val="32"/>
          <w:lang w:val="en-US" w:eastAsia="zh-CN"/>
        </w:rPr>
        <w:t>1：</w:t>
      </w:r>
      <w:r>
        <w:rPr>
          <w:rFonts w:hint="default" w:ascii="Times New Roman" w:hAnsi="Times New Roman" w:cs="Times New Roman"/>
          <w:color w:val="auto"/>
          <w:sz w:val="32"/>
          <w:szCs w:val="32"/>
        </w:rPr>
        <w:t>建设项目大气环境影响评价自查表</w:t>
      </w:r>
      <w:bookmarkEnd w:id="176"/>
    </w:p>
    <w:p>
      <w:pPr>
        <w:spacing w:line="17" w:lineRule="exact"/>
        <w:rPr>
          <w:color w:val="auto"/>
        </w:rPr>
      </w:pPr>
    </w:p>
    <w:tbl>
      <w:tblPr>
        <w:tblStyle w:val="29"/>
        <w:tblW w:w="8279"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79"/>
        <w:gridCol w:w="1934"/>
        <w:gridCol w:w="621"/>
        <w:gridCol w:w="433"/>
        <w:gridCol w:w="310"/>
        <w:gridCol w:w="420"/>
        <w:gridCol w:w="164"/>
        <w:gridCol w:w="322"/>
        <w:gridCol w:w="267"/>
        <w:gridCol w:w="306"/>
        <w:gridCol w:w="72"/>
        <w:gridCol w:w="486"/>
        <w:gridCol w:w="257"/>
        <w:gridCol w:w="257"/>
        <w:gridCol w:w="400"/>
        <w:gridCol w:w="199"/>
        <w:gridCol w:w="230"/>
        <w:gridCol w:w="285"/>
        <w:gridCol w:w="63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2613"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工作内容</w:t>
            </w:r>
          </w:p>
        </w:tc>
        <w:tc>
          <w:tcPr>
            <w:tcW w:w="5666" w:type="dxa"/>
            <w:gridSpan w:val="1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自查项目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评价等级与范围</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评价等级</w:t>
            </w:r>
          </w:p>
        </w:tc>
        <w:tc>
          <w:tcPr>
            <w:tcW w:w="1784"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一级</w:t>
            </w:r>
            <w:r>
              <w:rPr>
                <w:rFonts w:hint="eastAsia" w:ascii="Times New Roman" w:hAnsi="Times New Roman" w:eastAsia="宋体" w:cs="Times New Roman"/>
                <w:color w:val="auto"/>
                <w:spacing w:val="0"/>
                <w:w w:val="100"/>
                <w:position w:val="1"/>
                <w:sz w:val="21"/>
                <w:szCs w:val="21"/>
                <w:u w:val="none" w:color="auto"/>
                <w:lang w:eastAsia="zh-CN"/>
              </w:rPr>
              <w:sym w:font="Wingdings 2" w:char="0052"/>
            </w:r>
          </w:p>
        </w:tc>
        <w:tc>
          <w:tcPr>
            <w:tcW w:w="2131" w:type="dxa"/>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二级</w:t>
            </w:r>
            <w:r>
              <w:rPr>
                <w:rFonts w:hint="default" w:ascii="Times New Roman" w:hAnsi="Times New Roman" w:eastAsia="MS Gothic" w:cs="Times New Roman"/>
                <w:color w:val="auto"/>
                <w:spacing w:val="0"/>
                <w:w w:val="100"/>
                <w:sz w:val="21"/>
                <w:szCs w:val="21"/>
                <w:u w:val="none" w:color="auto"/>
              </w:rPr>
              <w:t>口</w:t>
            </w:r>
          </w:p>
        </w:tc>
        <w:tc>
          <w:tcPr>
            <w:tcW w:w="175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三级</w:t>
            </w:r>
            <w:r>
              <w:rPr>
                <w:rFonts w:hint="default" w:ascii="Times New Roman" w:hAnsi="Times New Roman" w:eastAsia="MS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评价范围</w:t>
            </w:r>
          </w:p>
        </w:tc>
        <w:tc>
          <w:tcPr>
            <w:tcW w:w="1784"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position w:val="1"/>
                <w:sz w:val="21"/>
                <w:szCs w:val="21"/>
                <w:u w:val="none" w:color="auto"/>
              </w:rPr>
              <w:t>边长</w:t>
            </w:r>
            <w:r>
              <w:rPr>
                <w:rFonts w:hint="default" w:ascii="Times New Roman" w:hAnsi="Times New Roman" w:eastAsia="Times New Roman" w:cs="Times New Roman"/>
                <w:color w:val="auto"/>
                <w:spacing w:val="0"/>
                <w:w w:val="100"/>
                <w:position w:val="1"/>
                <w:sz w:val="21"/>
                <w:szCs w:val="21"/>
                <w:u w:val="none" w:color="auto"/>
              </w:rPr>
              <w:t>=50km</w:t>
            </w:r>
            <w:r>
              <w:rPr>
                <w:rFonts w:hint="default" w:ascii="Times New Roman" w:hAnsi="Times New Roman" w:eastAsia="MS UI Gothic" w:cs="Times New Roman"/>
                <w:color w:val="auto"/>
                <w:spacing w:val="0"/>
                <w:w w:val="100"/>
                <w:position w:val="1"/>
                <w:sz w:val="21"/>
                <w:szCs w:val="21"/>
                <w:u w:val="none" w:color="auto"/>
              </w:rPr>
              <w:t>口</w:t>
            </w:r>
          </w:p>
        </w:tc>
        <w:tc>
          <w:tcPr>
            <w:tcW w:w="2131" w:type="dxa"/>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边长</w:t>
            </w:r>
            <w:r>
              <w:rPr>
                <w:rFonts w:hint="default" w:ascii="Times New Roman" w:hAnsi="Times New Roman" w:eastAsia="Times New Roman" w:cs="Times New Roman"/>
                <w:color w:val="auto"/>
                <w:spacing w:val="0"/>
                <w:w w:val="100"/>
                <w:sz w:val="21"/>
                <w:szCs w:val="21"/>
                <w:u w:val="none" w:color="auto"/>
              </w:rPr>
              <w:t>5</w:t>
            </w:r>
            <w:r>
              <w:rPr>
                <w:rFonts w:hint="eastAsia" w:ascii="Times New Roman" w:hAnsi="Times New Roman" w:eastAsia="宋体" w:cs="Times New Roman"/>
                <w:color w:val="auto"/>
                <w:spacing w:val="0"/>
                <w:w w:val="100"/>
                <w:sz w:val="21"/>
                <w:szCs w:val="21"/>
                <w:u w:val="none" w:color="auto"/>
                <w:lang w:eastAsia="zh-CN"/>
              </w:rPr>
              <w:t>～</w:t>
            </w:r>
            <w:r>
              <w:rPr>
                <w:rFonts w:hint="default" w:ascii="Times New Roman" w:hAnsi="Times New Roman" w:eastAsia="Times New Roman" w:cs="Times New Roman"/>
                <w:color w:val="auto"/>
                <w:spacing w:val="0"/>
                <w:w w:val="100"/>
                <w:sz w:val="21"/>
                <w:szCs w:val="21"/>
                <w:u w:val="none" w:color="auto"/>
              </w:rPr>
              <w:t>50km</w:t>
            </w:r>
            <w:r>
              <w:rPr>
                <w:rFonts w:hint="default" w:ascii="Times New Roman" w:hAnsi="Times New Roman" w:eastAsia="MS UI Gothic" w:cs="Times New Roman"/>
                <w:color w:val="auto"/>
                <w:spacing w:val="0"/>
                <w:w w:val="100"/>
                <w:sz w:val="21"/>
                <w:szCs w:val="21"/>
                <w:u w:val="none" w:color="auto"/>
              </w:rPr>
              <w:t>口</w:t>
            </w:r>
          </w:p>
        </w:tc>
        <w:tc>
          <w:tcPr>
            <w:tcW w:w="175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position w:val="1"/>
                <w:sz w:val="21"/>
                <w:szCs w:val="21"/>
                <w:u w:val="none" w:color="auto"/>
              </w:rPr>
              <w:t>边长</w:t>
            </w:r>
            <w:r>
              <w:rPr>
                <w:rFonts w:hint="default" w:ascii="Times New Roman" w:hAnsi="Times New Roman" w:eastAsia="Times New Roman" w:cs="Times New Roman"/>
                <w:color w:val="auto"/>
                <w:spacing w:val="0"/>
                <w:w w:val="100"/>
                <w:position w:val="1"/>
                <w:sz w:val="21"/>
                <w:szCs w:val="21"/>
                <w:u w:val="none" w:color="auto"/>
              </w:rPr>
              <w:t>=5km</w:t>
            </w:r>
            <w:r>
              <w:rPr>
                <w:rFonts w:hint="eastAsia" w:ascii="Times New Roman" w:hAnsi="Times New Roman" w:eastAsia="宋体" w:cs="Times New Roman"/>
                <w:color w:val="auto"/>
                <w:spacing w:val="0"/>
                <w:w w:val="100"/>
                <w:position w:val="1"/>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因子</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SO</w:t>
            </w:r>
            <w:r>
              <w:rPr>
                <w:rFonts w:hint="default" w:ascii="Times New Roman" w:hAnsi="Times New Roman" w:eastAsia="Times New Roman" w:cs="Times New Roman"/>
                <w:color w:val="auto"/>
                <w:spacing w:val="0"/>
                <w:w w:val="100"/>
                <w:position w:val="-1"/>
                <w:sz w:val="21"/>
                <w:szCs w:val="21"/>
                <w:u w:val="none" w:color="auto"/>
                <w:vertAlign w:val="subscript"/>
              </w:rPr>
              <w:t>2</w:t>
            </w:r>
            <w:r>
              <w:rPr>
                <w:rFonts w:hint="default" w:ascii="Times New Roman" w:hAnsi="Times New Roman" w:eastAsia="Times New Roman" w:cs="Times New Roman"/>
                <w:color w:val="auto"/>
                <w:spacing w:val="0"/>
                <w:w w:val="100"/>
                <w:sz w:val="21"/>
                <w:szCs w:val="21"/>
                <w:u w:val="none" w:color="auto"/>
              </w:rPr>
              <w:t>+NO</w:t>
            </w:r>
            <w:r>
              <w:rPr>
                <w:rFonts w:hint="default" w:ascii="Times New Roman" w:hAnsi="Times New Roman" w:eastAsia="Times New Roman" w:cs="Times New Roman"/>
                <w:color w:val="auto"/>
                <w:spacing w:val="0"/>
                <w:w w:val="100"/>
                <w:position w:val="-1"/>
                <w:sz w:val="21"/>
                <w:szCs w:val="21"/>
                <w:u w:val="none" w:color="auto"/>
              </w:rPr>
              <w:t>x</w:t>
            </w:r>
            <w:r>
              <w:rPr>
                <w:rFonts w:hint="default" w:ascii="Times New Roman" w:hAnsi="Times New Roman" w:eastAsia="宋体" w:cs="Times New Roman"/>
                <w:color w:val="auto"/>
                <w:spacing w:val="0"/>
                <w:w w:val="100"/>
                <w:sz w:val="21"/>
                <w:szCs w:val="21"/>
                <w:u w:val="none" w:color="auto"/>
              </w:rPr>
              <w:t>排放量</w:t>
            </w:r>
          </w:p>
        </w:tc>
        <w:tc>
          <w:tcPr>
            <w:tcW w:w="1784"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≥2000t/a</w:t>
            </w:r>
            <w:r>
              <w:rPr>
                <w:rFonts w:hint="default" w:ascii="Times New Roman" w:hAnsi="Times New Roman" w:eastAsia="MS UI Gothic" w:cs="Times New Roman"/>
                <w:color w:val="auto"/>
                <w:spacing w:val="0"/>
                <w:w w:val="100"/>
                <w:sz w:val="21"/>
                <w:szCs w:val="21"/>
                <w:u w:val="none" w:color="auto"/>
              </w:rPr>
              <w:t>口</w:t>
            </w:r>
          </w:p>
        </w:tc>
        <w:tc>
          <w:tcPr>
            <w:tcW w:w="2131" w:type="dxa"/>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500</w:t>
            </w:r>
            <w:r>
              <w:rPr>
                <w:rFonts w:hint="eastAsia" w:ascii="Times New Roman" w:hAnsi="Times New Roman" w:eastAsia="宋体" w:cs="Times New Roman"/>
                <w:color w:val="auto"/>
                <w:spacing w:val="0"/>
                <w:w w:val="100"/>
                <w:sz w:val="21"/>
                <w:szCs w:val="21"/>
                <w:u w:val="none" w:color="auto"/>
                <w:lang w:eastAsia="zh-CN"/>
              </w:rPr>
              <w:t>～</w:t>
            </w:r>
            <w:r>
              <w:rPr>
                <w:rFonts w:hint="default" w:ascii="Times New Roman" w:hAnsi="Times New Roman" w:eastAsia="Times New Roman" w:cs="Times New Roman"/>
                <w:color w:val="auto"/>
                <w:spacing w:val="0"/>
                <w:w w:val="100"/>
                <w:sz w:val="21"/>
                <w:szCs w:val="21"/>
                <w:u w:val="none" w:color="auto"/>
              </w:rPr>
              <w:t>2000t/a</w:t>
            </w:r>
            <w:r>
              <w:rPr>
                <w:rFonts w:hint="default" w:ascii="Times New Roman" w:hAnsi="Times New Roman" w:eastAsia="MS UI Gothic" w:cs="Times New Roman"/>
                <w:color w:val="auto"/>
                <w:spacing w:val="0"/>
                <w:w w:val="100"/>
                <w:sz w:val="21"/>
                <w:szCs w:val="21"/>
                <w:u w:val="none" w:color="auto"/>
              </w:rPr>
              <w:t>口</w:t>
            </w:r>
          </w:p>
        </w:tc>
        <w:tc>
          <w:tcPr>
            <w:tcW w:w="175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eastAsia" w:ascii="Times New Roman" w:hAnsi="Times New Roman" w:eastAsia="宋体" w:cs="Times New Roman"/>
                <w:color w:val="auto"/>
                <w:spacing w:val="0"/>
                <w:w w:val="100"/>
                <w:sz w:val="21"/>
                <w:szCs w:val="21"/>
                <w:u w:val="none" w:color="auto"/>
                <w:lang w:eastAsia="zh-CN"/>
              </w:rPr>
              <w:t>&lt;</w:t>
            </w:r>
            <w:r>
              <w:rPr>
                <w:rFonts w:hint="default" w:ascii="Times New Roman" w:hAnsi="Times New Roman" w:eastAsia="Times New Roman" w:cs="Times New Roman"/>
                <w:color w:val="auto"/>
                <w:spacing w:val="0"/>
                <w:w w:val="100"/>
                <w:sz w:val="21"/>
                <w:szCs w:val="21"/>
                <w:u w:val="none" w:color="auto"/>
              </w:rPr>
              <w:t>500t/a</w:t>
            </w:r>
            <w:r>
              <w:rPr>
                <w:rFonts w:hint="eastAsia" w:ascii="Times New Roman" w:hAnsi="Times New Roman" w:eastAsia="宋体" w:cs="Times New Roman"/>
                <w:color w:val="auto"/>
                <w:spacing w:val="0"/>
                <w:w w:val="100"/>
                <w:position w:val="1"/>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评价因子</w:t>
            </w:r>
          </w:p>
        </w:tc>
        <w:tc>
          <w:tcPr>
            <w:tcW w:w="3915" w:type="dxa"/>
            <w:gridSpan w:val="1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基本污染物（</w:t>
            </w:r>
            <w:r>
              <w:rPr>
                <w:rFonts w:hint="default" w:ascii="Times New Roman" w:hAnsi="Times New Roman" w:eastAsia="Times New Roman" w:cs="Times New Roman"/>
                <w:color w:val="auto"/>
                <w:spacing w:val="0"/>
                <w:w w:val="100"/>
                <w:sz w:val="21"/>
                <w:szCs w:val="21"/>
                <w:u w:val="none" w:color="auto"/>
              </w:rPr>
              <w:t>SO</w:t>
            </w:r>
            <w:r>
              <w:rPr>
                <w:rFonts w:hint="default" w:ascii="Times New Roman" w:hAnsi="Times New Roman" w:eastAsia="Times New Roman" w:cs="Times New Roman"/>
                <w:color w:val="auto"/>
                <w:spacing w:val="0"/>
                <w:w w:val="100"/>
                <w:position w:val="-1"/>
                <w:sz w:val="21"/>
                <w:szCs w:val="21"/>
                <w:u w:val="none" w:color="auto"/>
                <w:vertAlign w:val="subscript"/>
              </w:rPr>
              <w:t>2</w:t>
            </w:r>
            <w:r>
              <w:rPr>
                <w:rFonts w:hint="default" w:ascii="Times New Roman" w:hAnsi="Times New Roman" w:eastAsia="宋体" w:cs="Times New Roman"/>
                <w:color w:val="auto"/>
                <w:spacing w:val="0"/>
                <w:w w:val="100"/>
                <w:sz w:val="21"/>
                <w:szCs w:val="21"/>
                <w:u w:val="none" w:color="auto"/>
              </w:rPr>
              <w:t>、</w:t>
            </w:r>
            <w:r>
              <w:rPr>
                <w:rFonts w:hint="default" w:ascii="Times New Roman" w:hAnsi="Times New Roman" w:eastAsia="Times New Roman" w:cs="Times New Roman"/>
                <w:color w:val="auto"/>
                <w:spacing w:val="0"/>
                <w:w w:val="100"/>
                <w:sz w:val="21"/>
                <w:szCs w:val="21"/>
                <w:u w:val="none" w:color="auto"/>
              </w:rPr>
              <w:t>NO</w:t>
            </w:r>
            <w:r>
              <w:rPr>
                <w:rFonts w:hint="default" w:ascii="Times New Roman" w:hAnsi="Times New Roman" w:eastAsia="Times New Roman" w:cs="Times New Roman"/>
                <w:color w:val="auto"/>
                <w:spacing w:val="0"/>
                <w:w w:val="100"/>
                <w:position w:val="-1"/>
                <w:sz w:val="21"/>
                <w:szCs w:val="21"/>
                <w:u w:val="none" w:color="auto"/>
                <w:vertAlign w:val="subscript"/>
              </w:rPr>
              <w:t>2</w:t>
            </w:r>
            <w:r>
              <w:rPr>
                <w:rFonts w:hint="default" w:ascii="Times New Roman" w:hAnsi="Times New Roman" w:eastAsia="宋体" w:cs="Times New Roman"/>
                <w:color w:val="auto"/>
                <w:spacing w:val="0"/>
                <w:w w:val="100"/>
                <w:sz w:val="21"/>
                <w:szCs w:val="21"/>
                <w:u w:val="none" w:color="auto"/>
              </w:rPr>
              <w:t>、</w:t>
            </w:r>
            <w:r>
              <w:rPr>
                <w:rFonts w:hint="default" w:ascii="Times New Roman" w:hAnsi="Times New Roman" w:eastAsia="Times New Roman" w:cs="Times New Roman"/>
                <w:color w:val="auto"/>
                <w:spacing w:val="0"/>
                <w:w w:val="100"/>
                <w:sz w:val="21"/>
                <w:szCs w:val="21"/>
                <w:u w:val="none" w:color="auto"/>
              </w:rPr>
              <w:t>PM</w:t>
            </w:r>
            <w:r>
              <w:rPr>
                <w:rFonts w:hint="default" w:ascii="Times New Roman" w:hAnsi="Times New Roman" w:eastAsia="Times New Roman" w:cs="Times New Roman"/>
                <w:color w:val="auto"/>
                <w:spacing w:val="0"/>
                <w:w w:val="100"/>
                <w:position w:val="-1"/>
                <w:sz w:val="21"/>
                <w:szCs w:val="21"/>
                <w:u w:val="none" w:color="auto"/>
                <w:vertAlign w:val="subscript"/>
              </w:rPr>
              <w:t>10</w:t>
            </w:r>
            <w:r>
              <w:rPr>
                <w:rFonts w:hint="default" w:ascii="Times New Roman" w:hAnsi="Times New Roman" w:eastAsia="宋体" w:cs="Times New Roman"/>
                <w:color w:val="auto"/>
                <w:spacing w:val="0"/>
                <w:w w:val="100"/>
                <w:sz w:val="21"/>
                <w:szCs w:val="21"/>
                <w:u w:val="none" w:color="auto"/>
              </w:rPr>
              <w:t>、</w:t>
            </w:r>
            <w:r>
              <w:rPr>
                <w:rFonts w:hint="default" w:ascii="Times New Roman" w:hAnsi="Times New Roman" w:eastAsia="Times New Roman" w:cs="Times New Roman"/>
                <w:color w:val="auto"/>
                <w:spacing w:val="0"/>
                <w:w w:val="100"/>
                <w:sz w:val="21"/>
                <w:szCs w:val="21"/>
                <w:u w:val="none" w:color="auto"/>
              </w:rPr>
              <w:t>PM</w:t>
            </w:r>
            <w:r>
              <w:rPr>
                <w:rFonts w:hint="default" w:ascii="Times New Roman" w:hAnsi="Times New Roman" w:eastAsia="Times New Roman" w:cs="Times New Roman"/>
                <w:color w:val="auto"/>
                <w:spacing w:val="0"/>
                <w:w w:val="100"/>
                <w:position w:val="-1"/>
                <w:sz w:val="21"/>
                <w:szCs w:val="21"/>
                <w:u w:val="none" w:color="auto"/>
                <w:vertAlign w:val="subscript"/>
              </w:rPr>
              <w:t>2.5</w:t>
            </w:r>
            <w:r>
              <w:rPr>
                <w:rFonts w:hint="default" w:ascii="Times New Roman" w:hAnsi="Times New Roman" w:eastAsia="宋体" w:cs="Times New Roman"/>
                <w:color w:val="auto"/>
                <w:spacing w:val="0"/>
                <w:w w:val="100"/>
                <w:sz w:val="21"/>
                <w:szCs w:val="21"/>
                <w:u w:val="none" w:color="auto"/>
              </w:rPr>
              <w:t>、</w:t>
            </w:r>
            <w:r>
              <w:rPr>
                <w:rFonts w:hint="default" w:ascii="Times New Roman" w:hAnsi="Times New Roman" w:eastAsia="Times New Roman" w:cs="Times New Roman"/>
                <w:color w:val="auto"/>
                <w:spacing w:val="0"/>
                <w:w w:val="100"/>
                <w:sz w:val="21"/>
                <w:szCs w:val="21"/>
                <w:u w:val="none" w:color="auto"/>
              </w:rPr>
              <w:t>CO</w:t>
            </w:r>
            <w:r>
              <w:rPr>
                <w:rFonts w:hint="default" w:ascii="Times New Roman" w:hAnsi="Times New Roman" w:eastAsia="宋体" w:cs="Times New Roman"/>
                <w:color w:val="auto"/>
                <w:spacing w:val="0"/>
                <w:w w:val="100"/>
                <w:sz w:val="21"/>
                <w:szCs w:val="21"/>
                <w:u w:val="none" w:color="auto"/>
              </w:rPr>
              <w:t>、</w:t>
            </w:r>
            <w:r>
              <w:rPr>
                <w:rFonts w:hint="default" w:ascii="Times New Roman" w:hAnsi="Times New Roman" w:eastAsia="Times New Roman" w:cs="Times New Roman"/>
                <w:color w:val="auto"/>
                <w:spacing w:val="0"/>
                <w:w w:val="100"/>
                <w:sz w:val="21"/>
                <w:szCs w:val="21"/>
                <w:u w:val="none" w:color="auto"/>
              </w:rPr>
              <w:t>O</w:t>
            </w:r>
            <w:r>
              <w:rPr>
                <w:rFonts w:hint="default" w:ascii="Times New Roman" w:hAnsi="Times New Roman" w:eastAsia="Times New Roman" w:cs="Times New Roman"/>
                <w:color w:val="auto"/>
                <w:spacing w:val="0"/>
                <w:w w:val="100"/>
                <w:position w:val="-1"/>
                <w:sz w:val="21"/>
                <w:szCs w:val="21"/>
                <w:u w:val="none" w:color="auto"/>
                <w:vertAlign w:val="subscript"/>
              </w:rPr>
              <w:t>3</w:t>
            </w:r>
            <w:r>
              <w:rPr>
                <w:rFonts w:hint="default" w:ascii="Times New Roman" w:hAnsi="Times New Roman" w:eastAsia="宋体" w:cs="Times New Roman"/>
                <w:color w:val="auto"/>
                <w:spacing w:val="0"/>
                <w:w w:val="100"/>
                <w:sz w:val="21"/>
                <w:szCs w:val="21"/>
                <w:u w:val="none" w:color="auto"/>
              </w:rPr>
              <w:t>）其他污染物</w:t>
            </w:r>
            <w:r>
              <w:rPr>
                <w:rFonts w:hint="default" w:ascii="Times New Roman" w:hAnsi="Times New Roman" w:eastAsia="宋体" w:cs="Times New Roman"/>
                <w:color w:val="auto"/>
                <w:spacing w:val="0"/>
                <w:w w:val="100"/>
                <w:sz w:val="21"/>
                <w:szCs w:val="21"/>
                <w:u w:val="none" w:color="auto"/>
                <w:lang w:eastAsia="zh-CN"/>
              </w:rPr>
              <w:t>（</w:t>
            </w:r>
            <w:r>
              <w:rPr>
                <w:rFonts w:hint="eastAsia" w:ascii="Times New Roman" w:hAnsi="Times New Roman" w:eastAsia="宋体" w:cs="Times New Roman"/>
                <w:color w:val="auto"/>
                <w:spacing w:val="0"/>
                <w:w w:val="100"/>
                <w:sz w:val="21"/>
                <w:szCs w:val="21"/>
                <w:u w:val="none" w:color="auto"/>
                <w:lang w:val="en-US" w:eastAsia="zh-CN"/>
              </w:rPr>
              <w:t>TVOC</w:t>
            </w:r>
            <w:r>
              <w:rPr>
                <w:rFonts w:hint="default" w:ascii="Times New Roman" w:hAnsi="Times New Roman" w:eastAsia="宋体" w:cs="Times New Roman"/>
                <w:color w:val="auto"/>
                <w:spacing w:val="0"/>
                <w:w w:val="100"/>
                <w:sz w:val="21"/>
                <w:szCs w:val="21"/>
                <w:u w:val="none" w:color="auto"/>
                <w:lang w:eastAsia="zh-CN"/>
              </w:rPr>
              <w:t>）</w:t>
            </w:r>
          </w:p>
        </w:tc>
        <w:tc>
          <w:tcPr>
            <w:tcW w:w="175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包括二次</w:t>
            </w:r>
            <w:r>
              <w:rPr>
                <w:rFonts w:hint="default" w:ascii="Times New Roman" w:hAnsi="Times New Roman" w:eastAsia="Times New Roman" w:cs="Times New Roman"/>
                <w:color w:val="auto"/>
                <w:spacing w:val="0"/>
                <w:w w:val="100"/>
                <w:sz w:val="21"/>
                <w:szCs w:val="21"/>
                <w:u w:val="none" w:color="auto"/>
              </w:rPr>
              <w:t>PM</w:t>
            </w:r>
            <w:r>
              <w:rPr>
                <w:rFonts w:hint="default" w:ascii="Times New Roman" w:hAnsi="Times New Roman" w:eastAsia="Times New Roman" w:cs="Times New Roman"/>
                <w:color w:val="auto"/>
                <w:spacing w:val="0"/>
                <w:w w:val="100"/>
                <w:position w:val="-1"/>
                <w:sz w:val="21"/>
                <w:szCs w:val="21"/>
                <w:u w:val="none" w:color="auto"/>
                <w:vertAlign w:val="subscript"/>
              </w:rPr>
              <w:t>2.5</w:t>
            </w:r>
            <w:r>
              <w:rPr>
                <w:rFonts w:hint="default" w:ascii="Times New Roman" w:hAnsi="Times New Roman" w:eastAsia="MS UI Gothic" w:cs="Times New Roman"/>
                <w:color w:val="auto"/>
                <w:spacing w:val="0"/>
                <w:w w:val="100"/>
                <w:sz w:val="21"/>
                <w:szCs w:val="21"/>
                <w:u w:val="none" w:color="auto"/>
              </w:rPr>
              <w:t>口</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不包括二次</w:t>
            </w:r>
            <w:r>
              <w:rPr>
                <w:rFonts w:hint="default" w:ascii="Times New Roman" w:hAnsi="Times New Roman" w:eastAsia="Times New Roman" w:cs="Times New Roman"/>
                <w:color w:val="auto"/>
                <w:spacing w:val="0"/>
                <w:w w:val="100"/>
                <w:sz w:val="21"/>
                <w:szCs w:val="21"/>
                <w:u w:val="none" w:color="auto"/>
              </w:rPr>
              <w:t>PM</w:t>
            </w:r>
            <w:r>
              <w:rPr>
                <w:rFonts w:hint="default" w:ascii="Times New Roman" w:hAnsi="Times New Roman" w:eastAsia="Times New Roman" w:cs="Times New Roman"/>
                <w:color w:val="auto"/>
                <w:spacing w:val="0"/>
                <w:w w:val="100"/>
                <w:position w:val="-1"/>
                <w:sz w:val="21"/>
                <w:szCs w:val="21"/>
                <w:u w:val="none" w:color="auto"/>
                <w:vertAlign w:val="subscript"/>
              </w:rPr>
              <w:t>2.5</w:t>
            </w:r>
            <w:r>
              <w:rPr>
                <w:rFonts w:hint="eastAsia" w:ascii="Times New Roman" w:hAnsi="Times New Roman" w:eastAsia="宋体" w:cs="Times New Roman"/>
                <w:color w:val="auto"/>
                <w:spacing w:val="0"/>
                <w:w w:val="100"/>
                <w:position w:val="1"/>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标准</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评价标准</w:t>
            </w:r>
          </w:p>
        </w:tc>
        <w:tc>
          <w:tcPr>
            <w:tcW w:w="1364"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国家标准</w:t>
            </w:r>
            <w:r>
              <w:rPr>
                <w:rFonts w:hint="eastAsia" w:ascii="Times New Roman" w:hAnsi="Times New Roman" w:eastAsia="宋体" w:cs="Times New Roman"/>
                <w:color w:val="auto"/>
                <w:spacing w:val="0"/>
                <w:w w:val="100"/>
                <w:position w:val="1"/>
                <w:sz w:val="21"/>
                <w:szCs w:val="21"/>
                <w:u w:val="none" w:color="auto"/>
                <w:lang w:eastAsia="zh-CN"/>
              </w:rPr>
              <w:t>☑</w:t>
            </w:r>
          </w:p>
        </w:tc>
        <w:tc>
          <w:tcPr>
            <w:tcW w:w="1479"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地方标准</w:t>
            </w:r>
            <w:r>
              <w:rPr>
                <w:rFonts w:hint="default" w:ascii="Times New Roman" w:hAnsi="Times New Roman" w:eastAsia="MS Gothic" w:cs="Times New Roman"/>
                <w:color w:val="auto"/>
                <w:spacing w:val="0"/>
                <w:w w:val="100"/>
                <w:sz w:val="21"/>
                <w:szCs w:val="21"/>
                <w:u w:val="none" w:color="auto"/>
              </w:rPr>
              <w:t>口</w:t>
            </w:r>
          </w:p>
        </w:tc>
        <w:tc>
          <w:tcPr>
            <w:tcW w:w="1472"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附录</w:t>
            </w:r>
            <w:r>
              <w:rPr>
                <w:rFonts w:hint="default" w:ascii="Times New Roman" w:hAnsi="Times New Roman" w:eastAsia="Times New Roman" w:cs="Times New Roman"/>
                <w:color w:val="auto"/>
                <w:spacing w:val="0"/>
                <w:w w:val="100"/>
                <w:sz w:val="21"/>
                <w:szCs w:val="21"/>
                <w:u w:val="none" w:color="auto"/>
              </w:rPr>
              <w:t>D</w:t>
            </w:r>
            <w:r>
              <w:rPr>
                <w:rFonts w:hint="eastAsia" w:ascii="Times New Roman" w:hAnsi="Times New Roman" w:eastAsia="宋体" w:cs="Times New Roman"/>
                <w:color w:val="auto"/>
                <w:spacing w:val="0"/>
                <w:w w:val="100"/>
                <w:position w:val="1"/>
                <w:sz w:val="21"/>
                <w:szCs w:val="21"/>
                <w:u w:val="none" w:color="auto"/>
                <w:lang w:eastAsia="zh-CN"/>
              </w:rPr>
              <w:t>☑</w:t>
            </w:r>
          </w:p>
        </w:tc>
        <w:tc>
          <w:tcPr>
            <w:tcW w:w="1351"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其他标准</w:t>
            </w:r>
            <w:r>
              <w:rPr>
                <w:rFonts w:hint="default" w:ascii="Times New Roman" w:hAnsi="Times New Roman" w:eastAsia="MS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现状</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环境功能区</w:t>
            </w:r>
          </w:p>
        </w:tc>
        <w:tc>
          <w:tcPr>
            <w:tcW w:w="1364"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一类区</w:t>
            </w:r>
            <w:r>
              <w:rPr>
                <w:rFonts w:hint="default" w:ascii="Times New Roman" w:hAnsi="Times New Roman" w:eastAsia="MS UI Gothic" w:cs="Times New Roman"/>
                <w:color w:val="auto"/>
                <w:spacing w:val="0"/>
                <w:w w:val="100"/>
                <w:sz w:val="21"/>
                <w:szCs w:val="21"/>
                <w:u w:val="none" w:color="auto"/>
              </w:rPr>
              <w:t>口</w:t>
            </w:r>
          </w:p>
        </w:tc>
        <w:tc>
          <w:tcPr>
            <w:tcW w:w="2037"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二类区</w:t>
            </w:r>
            <w:r>
              <w:rPr>
                <w:rFonts w:hint="eastAsia" w:ascii="Times New Roman" w:hAnsi="Times New Roman" w:eastAsia="宋体" w:cs="Times New Roman"/>
                <w:color w:val="auto"/>
                <w:spacing w:val="0"/>
                <w:w w:val="100"/>
                <w:position w:val="1"/>
                <w:sz w:val="21"/>
                <w:szCs w:val="21"/>
                <w:u w:val="none" w:color="auto"/>
                <w:lang w:eastAsia="zh-CN"/>
              </w:rPr>
              <w:t>☑</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一类区和二类区</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评价基准年</w:t>
            </w:r>
          </w:p>
        </w:tc>
        <w:tc>
          <w:tcPr>
            <w:tcW w:w="5666" w:type="dxa"/>
            <w:gridSpan w:val="1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w:t>
            </w:r>
            <w:r>
              <w:rPr>
                <w:rFonts w:hint="default" w:ascii="Times New Roman" w:hAnsi="Times New Roman" w:eastAsia="Times New Roman" w:cs="Times New Roman"/>
                <w:color w:val="auto"/>
                <w:spacing w:val="0"/>
                <w:w w:val="100"/>
                <w:sz w:val="21"/>
                <w:szCs w:val="21"/>
                <w:u w:val="none" w:color="auto"/>
              </w:rPr>
              <w:t>202</w:t>
            </w:r>
            <w:r>
              <w:rPr>
                <w:rFonts w:hint="eastAsia" w:ascii="Times New Roman" w:hAnsi="Times New Roman" w:eastAsia="宋体" w:cs="Times New Roman"/>
                <w:color w:val="auto"/>
                <w:spacing w:val="0"/>
                <w:w w:val="100"/>
                <w:sz w:val="21"/>
                <w:szCs w:val="21"/>
                <w:u w:val="none" w:color="auto"/>
                <w:lang w:val="en-US" w:eastAsia="zh-CN"/>
              </w:rPr>
              <w:t>3</w:t>
            </w:r>
            <w:r>
              <w:rPr>
                <w:rFonts w:hint="default" w:ascii="Times New Roman" w:hAnsi="Times New Roman" w:eastAsia="宋体" w:cs="Times New Roman"/>
                <w:color w:val="auto"/>
                <w:spacing w:val="0"/>
                <w:w w:val="100"/>
                <w:sz w:val="21"/>
                <w:szCs w:val="21"/>
                <w:u w:val="none" w:color="auto"/>
              </w:rPr>
              <w:t>）年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环境空气质量现状调查数据来源</w:t>
            </w:r>
          </w:p>
        </w:tc>
        <w:tc>
          <w:tcPr>
            <w:tcW w:w="1784"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长期例行监测数据</w:t>
            </w:r>
            <w:r>
              <w:rPr>
                <w:rFonts w:hint="default" w:ascii="Times New Roman" w:hAnsi="Times New Roman" w:eastAsia="MS Gothic" w:cs="Times New Roman"/>
                <w:color w:val="auto"/>
                <w:spacing w:val="0"/>
                <w:w w:val="100"/>
                <w:sz w:val="21"/>
                <w:szCs w:val="21"/>
                <w:u w:val="none" w:color="auto"/>
              </w:rPr>
              <w:t>口</w:t>
            </w:r>
          </w:p>
        </w:tc>
        <w:tc>
          <w:tcPr>
            <w:tcW w:w="1617"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主管部门发布的数据</w:t>
            </w:r>
            <w:r>
              <w:rPr>
                <w:rFonts w:hint="eastAsia" w:ascii="Times New Roman" w:hAnsi="Times New Roman" w:eastAsia="宋体" w:cs="Times New Roman"/>
                <w:color w:val="auto"/>
                <w:spacing w:val="0"/>
                <w:w w:val="100"/>
                <w:position w:val="1"/>
                <w:sz w:val="21"/>
                <w:szCs w:val="21"/>
                <w:u w:val="none" w:color="auto"/>
                <w:lang w:eastAsia="zh-CN"/>
              </w:rPr>
              <w:t>☑</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现状补充监测</w:t>
            </w:r>
            <w:r>
              <w:rPr>
                <w:rFonts w:hint="eastAsia" w:ascii="Times New Roman" w:hAnsi="Times New Roman" w:eastAsia="宋体" w:cs="Times New Roman"/>
                <w:color w:val="auto"/>
                <w:spacing w:val="0"/>
                <w:w w:val="100"/>
                <w:position w:val="1"/>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现状评价</w:t>
            </w:r>
          </w:p>
        </w:tc>
        <w:tc>
          <w:tcPr>
            <w:tcW w:w="2537"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达标区</w:t>
            </w:r>
            <w:r>
              <w:rPr>
                <w:rFonts w:hint="eastAsia" w:ascii="Times New Roman" w:hAnsi="Times New Roman" w:eastAsia="宋体" w:cs="Times New Roman"/>
                <w:color w:val="auto"/>
                <w:spacing w:val="0"/>
                <w:w w:val="100"/>
                <w:position w:val="1"/>
                <w:sz w:val="21"/>
                <w:szCs w:val="21"/>
                <w:u w:val="none" w:color="auto"/>
                <w:lang w:eastAsia="zh-CN"/>
              </w:rPr>
              <w:sym w:font="Wingdings 2" w:char="00A3"/>
            </w:r>
          </w:p>
        </w:tc>
        <w:tc>
          <w:tcPr>
            <w:tcW w:w="3129" w:type="dxa"/>
            <w:gridSpan w:val="10"/>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不达标区</w:t>
            </w:r>
            <w:r>
              <w:rPr>
                <w:rFonts w:hint="eastAsia" w:ascii="Times New Roman" w:hAnsi="Times New Roman" w:eastAsia="宋体" w:cs="Times New Roman"/>
                <w:color w:val="auto"/>
                <w:spacing w:val="0"/>
                <w:w w:val="100"/>
                <w:position w:val="1"/>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污染</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源调</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查</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调查内容</w:t>
            </w:r>
          </w:p>
        </w:tc>
        <w:tc>
          <w:tcPr>
            <w:tcW w:w="1948"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本项目正常排放源</w:t>
            </w:r>
            <w:r>
              <w:rPr>
                <w:rFonts w:hint="eastAsia" w:ascii="Times New Roman" w:hAnsi="Times New Roman" w:eastAsia="宋体" w:cs="Times New Roman"/>
                <w:color w:val="auto"/>
                <w:spacing w:val="0"/>
                <w:w w:val="100"/>
                <w:position w:val="1"/>
                <w:sz w:val="21"/>
                <w:szCs w:val="21"/>
                <w:u w:val="none" w:color="auto"/>
                <w:lang w:eastAsia="zh-CN"/>
              </w:rPr>
              <w:t>☑</w:t>
            </w:r>
            <w:r>
              <w:rPr>
                <w:rFonts w:hint="default" w:ascii="Times New Roman" w:hAnsi="Times New Roman" w:eastAsia="宋体" w:cs="Times New Roman"/>
                <w:color w:val="auto"/>
                <w:spacing w:val="0"/>
                <w:w w:val="100"/>
                <w:sz w:val="21"/>
                <w:szCs w:val="21"/>
                <w:u w:val="none" w:color="auto"/>
              </w:rPr>
              <w:t>本项目非正常排放源</w:t>
            </w:r>
            <w:r>
              <w:rPr>
                <w:rFonts w:hint="eastAsia" w:ascii="Times New Roman" w:hAnsi="Times New Roman" w:eastAsia="宋体" w:cs="Times New Roman"/>
                <w:color w:val="auto"/>
                <w:spacing w:val="0"/>
                <w:w w:val="100"/>
                <w:position w:val="1"/>
                <w:sz w:val="21"/>
                <w:szCs w:val="21"/>
                <w:u w:val="none" w:color="auto"/>
                <w:lang w:eastAsia="zh-CN"/>
              </w:rPr>
              <w:t>☑</w:t>
            </w:r>
            <w:r>
              <w:rPr>
                <w:rFonts w:hint="default" w:ascii="Times New Roman" w:hAnsi="Times New Roman" w:eastAsia="宋体" w:cs="Times New Roman"/>
                <w:color w:val="auto"/>
                <w:spacing w:val="0"/>
                <w:w w:val="100"/>
                <w:sz w:val="21"/>
                <w:szCs w:val="21"/>
                <w:u w:val="none" w:color="auto"/>
              </w:rPr>
              <w:t>现有污染源</w:t>
            </w:r>
            <w:r>
              <w:rPr>
                <w:rFonts w:hint="default" w:ascii="Times New Roman" w:hAnsi="Times New Roman" w:eastAsia="MS Gothic" w:cs="Times New Roman"/>
                <w:color w:val="auto"/>
                <w:spacing w:val="0"/>
                <w:w w:val="100"/>
                <w:sz w:val="21"/>
                <w:szCs w:val="21"/>
                <w:u w:val="none" w:color="auto"/>
              </w:rPr>
              <w:t>口</w:t>
            </w:r>
          </w:p>
        </w:tc>
        <w:tc>
          <w:tcPr>
            <w:tcW w:w="1453"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拟替代的污染源</w:t>
            </w:r>
            <w:r>
              <w:rPr>
                <w:rFonts w:hint="default" w:ascii="Times New Roman" w:hAnsi="Times New Roman" w:eastAsia="MS Gothic" w:cs="Times New Roman"/>
                <w:color w:val="auto"/>
                <w:spacing w:val="0"/>
                <w:w w:val="100"/>
                <w:sz w:val="21"/>
                <w:szCs w:val="21"/>
                <w:u w:val="none" w:color="auto"/>
              </w:rPr>
              <w:t>口</w:t>
            </w:r>
          </w:p>
        </w:tc>
        <w:tc>
          <w:tcPr>
            <w:tcW w:w="1113"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其他在建、拟建项目污染源</w:t>
            </w:r>
            <w:r>
              <w:rPr>
                <w:rFonts w:hint="default" w:ascii="Times New Roman" w:hAnsi="Times New Roman" w:eastAsia="MS Gothic" w:cs="Times New Roman"/>
                <w:color w:val="auto"/>
                <w:spacing w:val="0"/>
                <w:w w:val="100"/>
                <w:sz w:val="21"/>
                <w:szCs w:val="21"/>
                <w:u w:val="none" w:color="auto"/>
              </w:rPr>
              <w:t>口</w:t>
            </w:r>
          </w:p>
        </w:tc>
        <w:tc>
          <w:tcPr>
            <w:tcW w:w="1152"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区域污染源</w:t>
            </w:r>
            <w:r>
              <w:rPr>
                <w:rFonts w:hint="default" w:ascii="Times New Roman" w:hAnsi="Times New Roman" w:eastAsia="MS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大气</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环境</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影响</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预测</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与评</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价</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预测模型</w:t>
            </w:r>
          </w:p>
        </w:tc>
        <w:tc>
          <w:tcPr>
            <w:tcW w:w="62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AERMOD</w:t>
            </w:r>
            <w:r>
              <w:rPr>
                <w:rFonts w:hint="eastAsia" w:ascii="Times New Roman" w:hAnsi="Times New Roman" w:eastAsia="宋体" w:cs="Times New Roman"/>
                <w:color w:val="auto"/>
                <w:spacing w:val="0"/>
                <w:w w:val="100"/>
                <w:position w:val="1"/>
                <w:sz w:val="21"/>
                <w:szCs w:val="21"/>
                <w:u w:val="none" w:color="auto"/>
                <w:lang w:eastAsia="zh-CN"/>
              </w:rPr>
              <w:t>☑</w:t>
            </w:r>
          </w:p>
        </w:tc>
        <w:tc>
          <w:tcPr>
            <w:tcW w:w="743"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ADMS</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MS UI Gothic" w:cs="Times New Roman"/>
                <w:color w:val="auto"/>
                <w:spacing w:val="0"/>
                <w:w w:val="100"/>
                <w:sz w:val="21"/>
                <w:szCs w:val="21"/>
                <w:u w:val="none" w:color="auto"/>
              </w:rPr>
              <w:t>口</w:t>
            </w:r>
          </w:p>
        </w:tc>
        <w:tc>
          <w:tcPr>
            <w:tcW w:w="906"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AUSTAL2000</w:t>
            </w:r>
            <w:r>
              <w:rPr>
                <w:rFonts w:hint="default" w:ascii="Times New Roman" w:hAnsi="Times New Roman" w:eastAsia="MS UI Gothic" w:cs="Times New Roman"/>
                <w:color w:val="auto"/>
                <w:spacing w:val="0"/>
                <w:w w:val="100"/>
                <w:sz w:val="21"/>
                <w:szCs w:val="21"/>
                <w:u w:val="none" w:color="auto"/>
              </w:rPr>
              <w:t>口</w:t>
            </w:r>
          </w:p>
        </w:tc>
        <w:tc>
          <w:tcPr>
            <w:tcW w:w="1131"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EDMS/AEDT</w:t>
            </w:r>
            <w:r>
              <w:rPr>
                <w:rFonts w:hint="default" w:ascii="Times New Roman" w:hAnsi="Times New Roman" w:eastAsia="MS UI Gothic" w:cs="Times New Roman"/>
                <w:color w:val="auto"/>
                <w:spacing w:val="0"/>
                <w:w w:val="100"/>
                <w:sz w:val="21"/>
                <w:szCs w:val="21"/>
                <w:u w:val="none" w:color="auto"/>
              </w:rPr>
              <w:t>口</w:t>
            </w:r>
          </w:p>
        </w:tc>
        <w:tc>
          <w:tcPr>
            <w:tcW w:w="914"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CALPUFF</w:t>
            </w:r>
            <w:r>
              <w:rPr>
                <w:rFonts w:hint="default" w:ascii="Times New Roman" w:hAnsi="Times New Roman" w:eastAsia="MS UI Gothic" w:cs="Times New Roman"/>
                <w:color w:val="auto"/>
                <w:spacing w:val="0"/>
                <w:w w:val="100"/>
                <w:sz w:val="21"/>
                <w:szCs w:val="21"/>
                <w:u w:val="none" w:color="auto"/>
              </w:rPr>
              <w:t>口</w:t>
            </w:r>
          </w:p>
        </w:tc>
        <w:tc>
          <w:tcPr>
            <w:tcW w:w="714"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网络模</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型</w:t>
            </w:r>
            <w:r>
              <w:rPr>
                <w:rFonts w:hint="default" w:ascii="Times New Roman" w:hAnsi="Times New Roman" w:eastAsia="MS UI Gothic" w:cs="Times New Roman"/>
                <w:color w:val="auto"/>
                <w:spacing w:val="0"/>
                <w:w w:val="100"/>
                <w:sz w:val="21"/>
                <w:szCs w:val="21"/>
                <w:u w:val="none" w:color="auto"/>
              </w:rPr>
              <w:t>口</w:t>
            </w:r>
          </w:p>
        </w:tc>
        <w:tc>
          <w:tcPr>
            <w:tcW w:w="637"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其他</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预测范围</w:t>
            </w:r>
          </w:p>
        </w:tc>
        <w:tc>
          <w:tcPr>
            <w:tcW w:w="1784"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边长</w:t>
            </w:r>
            <w:r>
              <w:rPr>
                <w:rFonts w:hint="default" w:ascii="Times New Roman" w:hAnsi="Times New Roman" w:eastAsia="Times New Roman" w:cs="Times New Roman"/>
                <w:color w:val="auto"/>
                <w:spacing w:val="0"/>
                <w:w w:val="100"/>
                <w:sz w:val="21"/>
                <w:szCs w:val="21"/>
                <w:u w:val="none" w:color="auto"/>
              </w:rPr>
              <w:t>≥50km</w:t>
            </w:r>
            <w:r>
              <w:rPr>
                <w:rFonts w:hint="default" w:ascii="Times New Roman" w:hAnsi="Times New Roman" w:eastAsia="MS UI Gothic" w:cs="Times New Roman"/>
                <w:color w:val="auto"/>
                <w:spacing w:val="0"/>
                <w:w w:val="100"/>
                <w:sz w:val="21"/>
                <w:szCs w:val="21"/>
                <w:u w:val="none" w:color="auto"/>
              </w:rPr>
              <w:t>口</w:t>
            </w:r>
          </w:p>
        </w:tc>
        <w:tc>
          <w:tcPr>
            <w:tcW w:w="1617"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边长</w:t>
            </w:r>
            <w:r>
              <w:rPr>
                <w:rFonts w:hint="default" w:ascii="Times New Roman" w:hAnsi="Times New Roman" w:eastAsia="Times New Roman" w:cs="Times New Roman"/>
                <w:color w:val="auto"/>
                <w:spacing w:val="0"/>
                <w:w w:val="100"/>
                <w:sz w:val="21"/>
                <w:szCs w:val="21"/>
                <w:u w:val="none" w:color="auto"/>
              </w:rPr>
              <w:t>5</w:t>
            </w:r>
            <w:r>
              <w:rPr>
                <w:rFonts w:hint="eastAsia" w:ascii="Times New Roman" w:hAnsi="Times New Roman" w:eastAsia="宋体" w:cs="Times New Roman"/>
                <w:color w:val="auto"/>
                <w:spacing w:val="0"/>
                <w:w w:val="100"/>
                <w:sz w:val="21"/>
                <w:szCs w:val="21"/>
                <w:u w:val="none" w:color="auto"/>
                <w:lang w:eastAsia="zh-CN"/>
              </w:rPr>
              <w:t>～</w:t>
            </w:r>
            <w:r>
              <w:rPr>
                <w:rFonts w:hint="default" w:ascii="Times New Roman" w:hAnsi="Times New Roman" w:eastAsia="Times New Roman" w:cs="Times New Roman"/>
                <w:color w:val="auto"/>
                <w:spacing w:val="0"/>
                <w:w w:val="100"/>
                <w:sz w:val="21"/>
                <w:szCs w:val="21"/>
                <w:u w:val="none" w:color="auto"/>
              </w:rPr>
              <w:t>50km</w:t>
            </w:r>
            <w:r>
              <w:rPr>
                <w:rFonts w:hint="default" w:ascii="Times New Roman" w:hAnsi="Times New Roman" w:eastAsia="MS UI Gothic" w:cs="Times New Roman"/>
                <w:color w:val="auto"/>
                <w:spacing w:val="0"/>
                <w:w w:val="100"/>
                <w:sz w:val="21"/>
                <w:szCs w:val="21"/>
                <w:u w:val="none" w:color="auto"/>
              </w:rPr>
              <w:t>口</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position w:val="1"/>
                <w:sz w:val="21"/>
                <w:szCs w:val="21"/>
                <w:u w:val="none" w:color="auto"/>
              </w:rPr>
              <w:t>边长</w:t>
            </w:r>
            <w:r>
              <w:rPr>
                <w:rFonts w:hint="default" w:ascii="Times New Roman" w:hAnsi="Times New Roman" w:eastAsia="Times New Roman" w:cs="Times New Roman"/>
                <w:color w:val="auto"/>
                <w:spacing w:val="0"/>
                <w:w w:val="100"/>
                <w:position w:val="1"/>
                <w:sz w:val="21"/>
                <w:szCs w:val="21"/>
                <w:u w:val="none" w:color="auto"/>
              </w:rPr>
              <w:t>=5km</w:t>
            </w:r>
            <w:r>
              <w:rPr>
                <w:rFonts w:hint="eastAsia" w:ascii="Times New Roman" w:hAnsi="Times New Roman" w:eastAsia="宋体" w:cs="Times New Roman"/>
                <w:color w:val="auto"/>
                <w:spacing w:val="0"/>
                <w:w w:val="100"/>
                <w:position w:val="1"/>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预测因子</w:t>
            </w:r>
          </w:p>
        </w:tc>
        <w:tc>
          <w:tcPr>
            <w:tcW w:w="3401" w:type="dxa"/>
            <w:gridSpan w:val="10"/>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预测因子</w:t>
            </w:r>
            <w:r>
              <w:rPr>
                <w:rFonts w:hint="default" w:ascii="Times New Roman" w:hAnsi="Times New Roman" w:eastAsia="宋体" w:cs="Times New Roman"/>
                <w:color w:val="auto"/>
                <w:spacing w:val="0"/>
                <w:w w:val="100"/>
                <w:sz w:val="21"/>
                <w:szCs w:val="21"/>
                <w:u w:val="none" w:color="auto"/>
                <w:lang w:eastAsia="zh-CN"/>
              </w:rPr>
              <w:t>（</w:t>
            </w:r>
            <w:r>
              <w:rPr>
                <w:rFonts w:hint="default" w:ascii="Times New Roman" w:hAnsi="Times New Roman" w:cs="Times New Roman"/>
                <w:color w:val="auto"/>
                <w:szCs w:val="28"/>
                <w:u w:val="none" w:color="auto"/>
                <w:lang w:val="en-US" w:eastAsia="zh-CN"/>
              </w:rPr>
              <w:t>NMHC</w:t>
            </w:r>
            <w:r>
              <w:rPr>
                <w:rFonts w:hint="default" w:ascii="Times New Roman" w:hAnsi="Times New Roman" w:eastAsia="宋体" w:cs="Times New Roman"/>
                <w:color w:val="auto"/>
                <w:spacing w:val="0"/>
                <w:w w:val="100"/>
                <w:sz w:val="21"/>
                <w:szCs w:val="21"/>
                <w:u w:val="none" w:color="auto"/>
                <w:lang w:eastAsia="zh-CN"/>
              </w:rPr>
              <w:t>）</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包括二次</w:t>
            </w:r>
            <w:r>
              <w:rPr>
                <w:rFonts w:hint="default" w:ascii="Times New Roman" w:hAnsi="Times New Roman" w:eastAsia="Times New Roman" w:cs="Times New Roman"/>
                <w:color w:val="auto"/>
                <w:spacing w:val="0"/>
                <w:w w:val="100"/>
                <w:sz w:val="21"/>
                <w:szCs w:val="21"/>
                <w:u w:val="none" w:color="auto"/>
              </w:rPr>
              <w:t>PM</w:t>
            </w:r>
            <w:r>
              <w:rPr>
                <w:rFonts w:hint="default" w:ascii="Times New Roman" w:hAnsi="Times New Roman" w:eastAsia="Times New Roman" w:cs="Times New Roman"/>
                <w:color w:val="auto"/>
                <w:spacing w:val="0"/>
                <w:w w:val="100"/>
                <w:position w:val="-1"/>
                <w:sz w:val="21"/>
                <w:szCs w:val="21"/>
                <w:u w:val="none" w:color="auto"/>
              </w:rPr>
              <w:t>2.5</w:t>
            </w:r>
            <w:r>
              <w:rPr>
                <w:rFonts w:hint="default" w:ascii="Times New Roman" w:hAnsi="Times New Roman" w:eastAsia="MS UI Gothic" w:cs="Times New Roman"/>
                <w:color w:val="auto"/>
                <w:spacing w:val="0"/>
                <w:w w:val="100"/>
                <w:sz w:val="21"/>
                <w:szCs w:val="21"/>
                <w:u w:val="none" w:color="auto"/>
              </w:rPr>
              <w:t>口</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不包括二次</w:t>
            </w:r>
            <w:r>
              <w:rPr>
                <w:rFonts w:hint="default" w:ascii="Times New Roman" w:hAnsi="Times New Roman" w:eastAsia="Times New Roman" w:cs="Times New Roman"/>
                <w:color w:val="auto"/>
                <w:spacing w:val="0"/>
                <w:w w:val="100"/>
                <w:sz w:val="21"/>
                <w:szCs w:val="21"/>
                <w:u w:val="none" w:color="auto"/>
              </w:rPr>
              <w:t>PM</w:t>
            </w:r>
            <w:r>
              <w:rPr>
                <w:rFonts w:hint="default" w:ascii="Times New Roman" w:hAnsi="Times New Roman" w:eastAsia="Times New Roman" w:cs="Times New Roman"/>
                <w:color w:val="auto"/>
                <w:spacing w:val="0"/>
                <w:w w:val="100"/>
                <w:position w:val="-1"/>
                <w:sz w:val="21"/>
                <w:szCs w:val="21"/>
                <w:u w:val="none" w:color="auto"/>
              </w:rPr>
              <w:t>2.5</w:t>
            </w:r>
            <w:r>
              <w:rPr>
                <w:rFonts w:hint="default" w:ascii="Times New Roman" w:hAnsi="Times New Roman" w:eastAsia="MS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正常排放短期浓度贡献值</w:t>
            </w:r>
          </w:p>
        </w:tc>
        <w:tc>
          <w:tcPr>
            <w:tcW w:w="3401" w:type="dxa"/>
            <w:gridSpan w:val="10"/>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本项目</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≤100%</w:t>
            </w:r>
            <w:r>
              <w:rPr>
                <w:rFonts w:hint="eastAsia" w:ascii="Times New Roman" w:hAnsi="Times New Roman" w:eastAsia="宋体" w:cs="Times New Roman"/>
                <w:color w:val="auto"/>
                <w:spacing w:val="0"/>
                <w:w w:val="100"/>
                <w:position w:val="1"/>
                <w:sz w:val="21"/>
                <w:szCs w:val="21"/>
                <w:u w:val="none" w:color="auto"/>
                <w:lang w:eastAsia="zh-CN"/>
              </w:rPr>
              <w:t>☑</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本项目</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100%</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正常排放年均浓度贡献值</w:t>
            </w:r>
          </w:p>
        </w:tc>
        <w:tc>
          <w:tcPr>
            <w:tcW w:w="1054"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一类区</w:t>
            </w:r>
          </w:p>
        </w:tc>
        <w:tc>
          <w:tcPr>
            <w:tcW w:w="2347" w:type="dxa"/>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本项目</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≤10%</w:t>
            </w:r>
            <w:r>
              <w:rPr>
                <w:rFonts w:hint="default" w:ascii="Times New Roman" w:hAnsi="Times New Roman" w:eastAsia="MS UI Gothic" w:cs="Times New Roman"/>
                <w:color w:val="auto"/>
                <w:spacing w:val="0"/>
                <w:w w:val="100"/>
                <w:sz w:val="21"/>
                <w:szCs w:val="21"/>
                <w:u w:val="none" w:color="auto"/>
              </w:rPr>
              <w:t>口</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本项目</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10%</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054"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二类区</w:t>
            </w:r>
          </w:p>
        </w:tc>
        <w:tc>
          <w:tcPr>
            <w:tcW w:w="2347" w:type="dxa"/>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本项目</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≤30%</w:t>
            </w:r>
            <w:r>
              <w:rPr>
                <w:rFonts w:hint="eastAsia" w:ascii="Times New Roman" w:hAnsi="Times New Roman" w:eastAsia="宋体" w:cs="Times New Roman"/>
                <w:color w:val="auto"/>
                <w:spacing w:val="0"/>
                <w:w w:val="100"/>
                <w:position w:val="1"/>
                <w:sz w:val="21"/>
                <w:szCs w:val="21"/>
                <w:u w:val="none" w:color="auto"/>
                <w:lang w:eastAsia="zh-CN"/>
              </w:rPr>
              <w:t>☑</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本项目</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30%</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非正常排放</w:t>
            </w:r>
            <w:r>
              <w:rPr>
                <w:rFonts w:hint="default" w:ascii="Times New Roman" w:hAnsi="Times New Roman" w:eastAsia="Times New Roman" w:cs="Times New Roman"/>
                <w:color w:val="auto"/>
                <w:spacing w:val="0"/>
                <w:w w:val="100"/>
                <w:sz w:val="21"/>
                <w:szCs w:val="21"/>
                <w:u w:val="none" w:color="auto"/>
              </w:rPr>
              <w:t>1h</w:t>
            </w:r>
            <w:r>
              <w:rPr>
                <w:rFonts w:hint="default" w:ascii="Times New Roman" w:hAnsi="Times New Roman" w:eastAsia="宋体" w:cs="Times New Roman"/>
                <w:color w:val="auto"/>
                <w:spacing w:val="0"/>
                <w:w w:val="100"/>
                <w:sz w:val="21"/>
                <w:szCs w:val="21"/>
                <w:u w:val="none" w:color="auto"/>
              </w:rPr>
              <w:t>浓度贡献值</w:t>
            </w:r>
          </w:p>
        </w:tc>
        <w:tc>
          <w:tcPr>
            <w:tcW w:w="1054"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非正常持续时长</w:t>
            </w:r>
            <w:r>
              <w:rPr>
                <w:rFonts w:hint="default" w:ascii="Times New Roman" w:hAnsi="Times New Roman" w:eastAsia="宋体" w:cs="Times New Roman"/>
                <w:color w:val="auto"/>
                <w:spacing w:val="0"/>
                <w:w w:val="100"/>
                <w:sz w:val="21"/>
                <w:szCs w:val="21"/>
                <w:u w:val="none" w:color="auto"/>
                <w:lang w:eastAsia="zh-CN"/>
              </w:rPr>
              <w:t>（</w:t>
            </w:r>
            <w:r>
              <w:rPr>
                <w:rFonts w:hint="eastAsia" w:ascii="Times New Roman" w:hAnsi="Times New Roman" w:eastAsia="宋体" w:cs="Times New Roman"/>
                <w:color w:val="auto"/>
                <w:spacing w:val="0"/>
                <w:w w:val="100"/>
                <w:sz w:val="21"/>
                <w:szCs w:val="21"/>
                <w:u w:val="none" w:color="auto"/>
                <w:lang w:val="en-US" w:eastAsia="zh-CN"/>
              </w:rPr>
              <w:t>0.5</w:t>
            </w:r>
            <w:r>
              <w:rPr>
                <w:rFonts w:hint="default" w:ascii="Times New Roman" w:hAnsi="Times New Roman" w:eastAsia="宋体" w:cs="Times New Roman"/>
                <w:color w:val="auto"/>
                <w:spacing w:val="0"/>
                <w:w w:val="100"/>
                <w:sz w:val="21"/>
                <w:szCs w:val="21"/>
                <w:u w:val="none" w:color="auto"/>
                <w:lang w:eastAsia="zh-CN"/>
              </w:rPr>
              <w:t>）</w:t>
            </w:r>
            <w:r>
              <w:rPr>
                <w:rFonts w:hint="default" w:ascii="Times New Roman" w:hAnsi="Times New Roman" w:eastAsia="Times New Roman" w:cs="Times New Roman"/>
                <w:color w:val="auto"/>
                <w:spacing w:val="0"/>
                <w:w w:val="100"/>
                <w:sz w:val="21"/>
                <w:szCs w:val="21"/>
                <w:u w:val="none" w:color="auto"/>
              </w:rPr>
              <w:t>h</w:t>
            </w:r>
          </w:p>
        </w:tc>
        <w:tc>
          <w:tcPr>
            <w:tcW w:w="2347" w:type="dxa"/>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非正常</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≤100%</w:t>
            </w:r>
            <w:r>
              <w:rPr>
                <w:rFonts w:hint="eastAsia" w:ascii="Times New Roman" w:hAnsi="Times New Roman" w:eastAsia="宋体" w:cs="Times New Roman"/>
                <w:color w:val="auto"/>
                <w:spacing w:val="0"/>
                <w:w w:val="100"/>
                <w:position w:val="1"/>
                <w:sz w:val="21"/>
                <w:szCs w:val="21"/>
                <w:u w:val="none" w:color="auto"/>
                <w:lang w:eastAsia="zh-CN"/>
              </w:rPr>
              <w:t>☑</w:t>
            </w:r>
          </w:p>
        </w:tc>
        <w:tc>
          <w:tcPr>
            <w:tcW w:w="2265"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非正常</w:t>
            </w:r>
            <w:r>
              <w:rPr>
                <w:rFonts w:hint="default" w:ascii="Times New Roman" w:hAnsi="Times New Roman" w:eastAsia="宋体" w:cs="Times New Roman"/>
                <w:color w:val="auto"/>
                <w:spacing w:val="0"/>
                <w:w w:val="100"/>
                <w:sz w:val="21"/>
                <w:szCs w:val="21"/>
                <w:u w:val="none" w:color="auto"/>
              </w:rPr>
              <w:t>最大占标率＞</w:t>
            </w:r>
            <w:r>
              <w:rPr>
                <w:rFonts w:hint="default" w:ascii="Times New Roman" w:hAnsi="Times New Roman" w:eastAsia="Times New Roman" w:cs="Times New Roman"/>
                <w:color w:val="auto"/>
                <w:spacing w:val="0"/>
                <w:w w:val="100"/>
                <w:sz w:val="21"/>
                <w:szCs w:val="21"/>
                <w:u w:val="none" w:color="auto"/>
              </w:rPr>
              <w:t>100%</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保证率日平均浓度和年平均浓度叠加值</w:t>
            </w:r>
          </w:p>
        </w:tc>
        <w:tc>
          <w:tcPr>
            <w:tcW w:w="1784"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叠加</w:t>
            </w:r>
            <w:r>
              <w:rPr>
                <w:rFonts w:hint="default" w:ascii="Times New Roman" w:hAnsi="Times New Roman" w:eastAsia="宋体" w:cs="Times New Roman"/>
                <w:color w:val="auto"/>
                <w:spacing w:val="0"/>
                <w:w w:val="100"/>
                <w:sz w:val="21"/>
                <w:szCs w:val="21"/>
                <w:u w:val="none" w:color="auto"/>
              </w:rPr>
              <w:t>达标</w:t>
            </w:r>
            <w:r>
              <w:rPr>
                <w:rFonts w:hint="eastAsia" w:ascii="Times New Roman" w:hAnsi="Times New Roman" w:eastAsia="宋体" w:cs="Times New Roman"/>
                <w:color w:val="auto"/>
                <w:spacing w:val="0"/>
                <w:w w:val="100"/>
                <w:position w:val="1"/>
                <w:sz w:val="21"/>
                <w:szCs w:val="21"/>
                <w:u w:val="none" w:color="auto"/>
                <w:lang w:eastAsia="zh-CN"/>
              </w:rPr>
              <w:t>☑</w:t>
            </w:r>
          </w:p>
        </w:tc>
        <w:tc>
          <w:tcPr>
            <w:tcW w:w="3882" w:type="dxa"/>
            <w:gridSpan w:val="1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sz w:val="21"/>
                <w:szCs w:val="21"/>
                <w:u w:val="none" w:color="auto"/>
              </w:rPr>
              <w:t>C</w:t>
            </w:r>
            <w:r>
              <w:rPr>
                <w:rFonts w:hint="default" w:ascii="Times New Roman" w:hAnsi="Times New Roman" w:eastAsia="宋体" w:cs="Times New Roman"/>
                <w:color w:val="auto"/>
                <w:spacing w:val="0"/>
                <w:w w:val="100"/>
                <w:position w:val="-2"/>
                <w:sz w:val="21"/>
                <w:szCs w:val="21"/>
                <w:u w:val="none" w:color="auto"/>
              </w:rPr>
              <w:t>叠加</w:t>
            </w:r>
            <w:r>
              <w:rPr>
                <w:rFonts w:hint="default" w:ascii="Times New Roman" w:hAnsi="Times New Roman" w:eastAsia="宋体" w:cs="Times New Roman"/>
                <w:color w:val="auto"/>
                <w:spacing w:val="0"/>
                <w:w w:val="100"/>
                <w:sz w:val="21"/>
                <w:szCs w:val="21"/>
                <w:u w:val="none" w:color="auto"/>
              </w:rPr>
              <w:t>不达标</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区域环境质量的整体变化情况</w:t>
            </w:r>
          </w:p>
        </w:tc>
        <w:tc>
          <w:tcPr>
            <w:tcW w:w="1784"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position w:val="2"/>
                <w:sz w:val="21"/>
                <w:szCs w:val="21"/>
                <w:u w:val="none" w:color="auto"/>
              </w:rPr>
              <w:t>k</w:t>
            </w:r>
            <w:r>
              <w:rPr>
                <w:rFonts w:hint="default" w:ascii="Times New Roman" w:hAnsi="Times New Roman" w:eastAsia="Times New Roman" w:cs="Times New Roman"/>
                <w:color w:val="auto"/>
                <w:spacing w:val="0"/>
                <w:w w:val="100"/>
                <w:position w:val="2"/>
                <w:sz w:val="21"/>
                <w:szCs w:val="21"/>
                <w:u w:val="none" w:color="auto"/>
              </w:rPr>
              <w:t>≤-20%</w:t>
            </w:r>
            <w:r>
              <w:rPr>
                <w:rFonts w:hint="default" w:ascii="Times New Roman" w:hAnsi="Times New Roman" w:eastAsia="MS UI Gothic" w:cs="Times New Roman"/>
                <w:color w:val="auto"/>
                <w:spacing w:val="0"/>
                <w:w w:val="100"/>
                <w:position w:val="2"/>
                <w:sz w:val="21"/>
                <w:szCs w:val="21"/>
                <w:u w:val="none" w:color="auto"/>
              </w:rPr>
              <w:t>口</w:t>
            </w:r>
          </w:p>
        </w:tc>
        <w:tc>
          <w:tcPr>
            <w:tcW w:w="3882" w:type="dxa"/>
            <w:gridSpan w:val="1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Times New Roman" w:cs="Times New Roman"/>
                <w:i/>
                <w:iCs/>
                <w:color w:val="auto"/>
                <w:spacing w:val="0"/>
                <w:w w:val="100"/>
                <w:position w:val="1"/>
                <w:sz w:val="21"/>
                <w:szCs w:val="21"/>
                <w:u w:val="none" w:color="auto"/>
              </w:rPr>
              <w:t>k</w:t>
            </w:r>
            <w:r>
              <w:rPr>
                <w:rFonts w:hint="default" w:ascii="Times New Roman" w:hAnsi="Times New Roman" w:eastAsia="宋体" w:cs="Times New Roman"/>
                <w:i/>
                <w:iCs/>
                <w:color w:val="auto"/>
                <w:spacing w:val="0"/>
                <w:w w:val="100"/>
                <w:position w:val="1"/>
                <w:sz w:val="21"/>
                <w:szCs w:val="21"/>
                <w:u w:val="none" w:color="auto"/>
              </w:rPr>
              <w:t>＞</w:t>
            </w:r>
            <w:r>
              <w:rPr>
                <w:rFonts w:hint="default" w:ascii="Times New Roman" w:hAnsi="Times New Roman" w:eastAsia="Times New Roman" w:cs="Times New Roman"/>
                <w:color w:val="auto"/>
                <w:spacing w:val="0"/>
                <w:w w:val="100"/>
                <w:position w:val="1"/>
                <w:sz w:val="21"/>
                <w:szCs w:val="21"/>
                <w:u w:val="none" w:color="auto"/>
              </w:rPr>
              <w:t>-20%</w:t>
            </w:r>
            <w:r>
              <w:rPr>
                <w:rFonts w:hint="default" w:ascii="Times New Roman" w:hAnsi="Times New Roman" w:eastAsia="MS UI Gothic" w:cs="Times New Roman"/>
                <w:color w:val="auto"/>
                <w:spacing w:val="0"/>
                <w:w w:val="100"/>
                <w:position w:val="1"/>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环境</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监测</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计划</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污染源监测</w:t>
            </w:r>
          </w:p>
        </w:tc>
        <w:tc>
          <w:tcPr>
            <w:tcW w:w="2915" w:type="dxa"/>
            <w:gridSpan w:val="9"/>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cs="Times New Roman"/>
                <w:color w:val="auto"/>
                <w:spacing w:val="8"/>
                <w:sz w:val="21"/>
                <w:szCs w:val="21"/>
              </w:rPr>
              <w:t>监测因子</w:t>
            </w:r>
            <w:r>
              <w:rPr>
                <w:rFonts w:hint="default" w:ascii="Times New Roman" w:hAnsi="Times New Roman" w:cs="Times New Roman"/>
                <w:color w:val="auto"/>
                <w:spacing w:val="5"/>
                <w:sz w:val="21"/>
                <w:szCs w:val="21"/>
              </w:rPr>
              <w:t>：</w:t>
            </w:r>
            <w:r>
              <w:rPr>
                <w:rFonts w:hint="default" w:ascii="Times New Roman" w:hAnsi="Times New Roman" w:cs="Times New Roman"/>
                <w:color w:val="auto"/>
                <w:sz w:val="21"/>
                <w:szCs w:val="21"/>
              </w:rPr>
              <w:t>SO</w:t>
            </w:r>
            <w:r>
              <w:rPr>
                <w:rFonts w:hint="default" w:ascii="Times New Roman" w:hAnsi="Times New Roman" w:cs="Times New Roman"/>
                <w:color w:val="auto"/>
                <w:spacing w:val="8"/>
                <w:position w:val="-3"/>
                <w:sz w:val="21"/>
                <w:szCs w:val="21"/>
                <w:vertAlign w:val="subscript"/>
              </w:rPr>
              <w:t>2</w:t>
            </w:r>
            <w:r>
              <w:rPr>
                <w:rFonts w:hint="default" w:ascii="Times New Roman" w:hAnsi="Times New Roman" w:cs="Times New Roman"/>
                <w:color w:val="auto"/>
                <w:spacing w:val="8"/>
                <w:sz w:val="21"/>
                <w:szCs w:val="21"/>
              </w:rPr>
              <w:t>、</w:t>
            </w:r>
            <w:r>
              <w:rPr>
                <w:rFonts w:hint="default" w:ascii="Times New Roman" w:hAnsi="Times New Roman" w:cs="Times New Roman"/>
                <w:color w:val="auto"/>
                <w:sz w:val="21"/>
                <w:szCs w:val="21"/>
              </w:rPr>
              <w:t>NOx</w:t>
            </w:r>
            <w:r>
              <w:rPr>
                <w:rFonts w:hint="default" w:ascii="Times New Roman" w:hAnsi="Times New Roman" w:cs="Times New Roman"/>
                <w:color w:val="auto"/>
                <w:spacing w:val="8"/>
                <w:sz w:val="21"/>
                <w:szCs w:val="21"/>
              </w:rPr>
              <w:t>、</w:t>
            </w:r>
            <w:r>
              <w:rPr>
                <w:rFonts w:hint="default" w:ascii="Times New Roman" w:hAnsi="Times New Roman" w:cs="Times New Roman"/>
                <w:color w:val="auto"/>
                <w:sz w:val="21"/>
                <w:szCs w:val="21"/>
              </w:rPr>
              <w:t>VOCs</w:t>
            </w:r>
          </w:p>
        </w:tc>
        <w:tc>
          <w:tcPr>
            <w:tcW w:w="1829"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有组织废气监测</w:t>
            </w:r>
            <w:r>
              <w:rPr>
                <w:rFonts w:hint="eastAsia" w:ascii="Times New Roman" w:hAnsi="Times New Roman" w:eastAsia="宋体" w:cs="Times New Roman"/>
                <w:color w:val="auto"/>
                <w:spacing w:val="0"/>
                <w:w w:val="100"/>
                <w:position w:val="1"/>
                <w:sz w:val="21"/>
                <w:szCs w:val="21"/>
                <w:u w:val="none" w:color="auto"/>
                <w:lang w:eastAsia="zh-CN"/>
              </w:rPr>
              <w:t>☑</w:t>
            </w:r>
            <w:r>
              <w:rPr>
                <w:rFonts w:hint="default" w:ascii="Times New Roman" w:hAnsi="Times New Roman" w:eastAsia="宋体" w:cs="Times New Roman"/>
                <w:color w:val="auto"/>
                <w:spacing w:val="0"/>
                <w:w w:val="100"/>
                <w:sz w:val="21"/>
                <w:szCs w:val="21"/>
                <w:u w:val="none" w:color="auto"/>
              </w:rPr>
              <w:t>无组织废气监测</w:t>
            </w:r>
            <w:r>
              <w:rPr>
                <w:rFonts w:hint="eastAsia" w:ascii="Times New Roman" w:hAnsi="Times New Roman" w:eastAsia="宋体" w:cs="Times New Roman"/>
                <w:color w:val="auto"/>
                <w:spacing w:val="0"/>
                <w:w w:val="100"/>
                <w:position w:val="1"/>
                <w:sz w:val="21"/>
                <w:szCs w:val="21"/>
                <w:u w:val="none" w:color="auto"/>
                <w:lang w:eastAsia="zh-CN"/>
              </w:rPr>
              <w:t>☑</w:t>
            </w:r>
          </w:p>
        </w:tc>
        <w:tc>
          <w:tcPr>
            <w:tcW w:w="922"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无监测</w:t>
            </w:r>
            <w:r>
              <w:rPr>
                <w:rFonts w:hint="default" w:ascii="Times New Roman" w:hAnsi="Times New Roman" w:eastAsia="MS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环境质量监测</w:t>
            </w:r>
          </w:p>
        </w:tc>
        <w:tc>
          <w:tcPr>
            <w:tcW w:w="2915" w:type="dxa"/>
            <w:gridSpan w:val="9"/>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eastAsia" w:ascii="Times New Roman" w:hAnsi="Times New Roman" w:eastAsia="宋体" w:cs="Times New Roman"/>
                <w:color w:val="auto"/>
                <w:spacing w:val="0"/>
                <w:w w:val="100"/>
                <w:sz w:val="21"/>
                <w:szCs w:val="21"/>
                <w:u w:val="none" w:color="auto"/>
                <w:lang w:eastAsia="zh-CN"/>
              </w:rPr>
            </w:pPr>
            <w:r>
              <w:rPr>
                <w:rFonts w:hint="default" w:ascii="Times New Roman" w:hAnsi="Times New Roman" w:cs="Times New Roman"/>
                <w:color w:val="auto"/>
                <w:spacing w:val="8"/>
                <w:sz w:val="21"/>
                <w:szCs w:val="21"/>
              </w:rPr>
              <w:t>监测因子</w:t>
            </w:r>
            <w:r>
              <w:rPr>
                <w:rFonts w:hint="default" w:ascii="Times New Roman" w:hAnsi="Times New Roman" w:cs="Times New Roman"/>
                <w:color w:val="auto"/>
                <w:spacing w:val="3"/>
                <w:sz w:val="21"/>
                <w:szCs w:val="21"/>
              </w:rPr>
              <w:t>：</w:t>
            </w:r>
            <w:r>
              <w:rPr>
                <w:rFonts w:hint="default" w:ascii="Times New Roman" w:hAnsi="Times New Roman" w:cs="Times New Roman"/>
                <w:color w:val="auto"/>
                <w:sz w:val="21"/>
                <w:szCs w:val="21"/>
              </w:rPr>
              <w:t>SO</w:t>
            </w:r>
            <w:r>
              <w:rPr>
                <w:rFonts w:hint="default" w:ascii="Times New Roman" w:hAnsi="Times New Roman" w:cs="Times New Roman"/>
                <w:color w:val="auto"/>
                <w:spacing w:val="8"/>
                <w:position w:val="-2"/>
                <w:sz w:val="21"/>
                <w:szCs w:val="21"/>
                <w:vertAlign w:val="subscript"/>
              </w:rPr>
              <w:t>2</w:t>
            </w:r>
            <w:r>
              <w:rPr>
                <w:rFonts w:hint="default" w:ascii="Times New Roman" w:hAnsi="Times New Roman" w:cs="Times New Roman"/>
                <w:color w:val="auto"/>
                <w:spacing w:val="8"/>
                <w:sz w:val="21"/>
                <w:szCs w:val="21"/>
              </w:rPr>
              <w:t>、</w:t>
            </w:r>
            <w:r>
              <w:rPr>
                <w:rFonts w:hint="default" w:ascii="Times New Roman" w:hAnsi="Times New Roman" w:cs="Times New Roman"/>
                <w:color w:val="auto"/>
                <w:sz w:val="21"/>
                <w:szCs w:val="21"/>
              </w:rPr>
              <w:t>NOx</w:t>
            </w:r>
            <w:r>
              <w:rPr>
                <w:rFonts w:hint="default" w:ascii="Times New Roman" w:hAnsi="Times New Roman" w:cs="Times New Roman"/>
                <w:color w:val="auto"/>
                <w:spacing w:val="8"/>
                <w:sz w:val="21"/>
                <w:szCs w:val="21"/>
              </w:rPr>
              <w:t>、</w:t>
            </w:r>
            <w:r>
              <w:rPr>
                <w:rFonts w:hint="default" w:ascii="Times New Roman" w:hAnsi="Times New Roman" w:cs="Times New Roman"/>
                <w:color w:val="auto"/>
                <w:sz w:val="21"/>
                <w:szCs w:val="21"/>
              </w:rPr>
              <w:t>VOCs</w:t>
            </w:r>
          </w:p>
        </w:tc>
        <w:tc>
          <w:tcPr>
            <w:tcW w:w="1829"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eastAsia="zh-CN"/>
              </w:rPr>
            </w:pPr>
            <w:r>
              <w:rPr>
                <w:rFonts w:hint="default" w:ascii="Times New Roman" w:hAnsi="Times New Roman" w:eastAsia="宋体" w:cs="Times New Roman"/>
                <w:color w:val="auto"/>
                <w:spacing w:val="0"/>
                <w:w w:val="100"/>
                <w:sz w:val="21"/>
                <w:szCs w:val="21"/>
                <w:u w:val="none" w:color="auto"/>
              </w:rPr>
              <w:t>监测点位数</w:t>
            </w:r>
            <w:r>
              <w:rPr>
                <w:rFonts w:hint="default" w:ascii="Times New Roman" w:hAnsi="Times New Roman" w:eastAsia="宋体" w:cs="Times New Roman"/>
                <w:color w:val="auto"/>
                <w:spacing w:val="0"/>
                <w:w w:val="100"/>
                <w:sz w:val="21"/>
                <w:szCs w:val="21"/>
                <w:u w:val="none" w:color="auto"/>
                <w:lang w:eastAsia="zh-CN"/>
              </w:rPr>
              <w:t>（</w:t>
            </w:r>
            <w:r>
              <w:rPr>
                <w:rFonts w:hint="eastAsia" w:ascii="Times New Roman" w:hAnsi="Times New Roman" w:eastAsia="宋体" w:cs="Times New Roman"/>
                <w:color w:val="auto"/>
                <w:spacing w:val="0"/>
                <w:w w:val="100"/>
                <w:sz w:val="21"/>
                <w:szCs w:val="21"/>
                <w:u w:val="none" w:color="auto"/>
                <w:lang w:val="en-US" w:eastAsia="zh-CN"/>
              </w:rPr>
              <w:t xml:space="preserve">  </w:t>
            </w:r>
            <w:r>
              <w:rPr>
                <w:rFonts w:hint="default" w:ascii="Times New Roman" w:hAnsi="Times New Roman" w:eastAsia="宋体" w:cs="Times New Roman"/>
                <w:color w:val="auto"/>
                <w:spacing w:val="0"/>
                <w:w w:val="100"/>
                <w:sz w:val="21"/>
                <w:szCs w:val="21"/>
                <w:u w:val="none" w:color="auto"/>
                <w:lang w:eastAsia="zh-CN"/>
              </w:rPr>
              <w:t>）</w:t>
            </w:r>
          </w:p>
        </w:tc>
        <w:tc>
          <w:tcPr>
            <w:tcW w:w="922"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无监测</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评价</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结论</w:t>
            </w: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环境影响</w:t>
            </w:r>
          </w:p>
        </w:tc>
        <w:tc>
          <w:tcPr>
            <w:tcW w:w="5666" w:type="dxa"/>
            <w:gridSpan w:val="1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MS UI Gothic"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可以接受</w:t>
            </w:r>
            <w:r>
              <w:rPr>
                <w:rFonts w:hint="eastAsia" w:ascii="Times New Roman" w:hAnsi="Times New Roman" w:eastAsia="宋体" w:cs="Times New Roman"/>
                <w:color w:val="auto"/>
                <w:spacing w:val="0"/>
                <w:w w:val="100"/>
                <w:position w:val="1"/>
                <w:sz w:val="21"/>
                <w:szCs w:val="21"/>
                <w:u w:val="none" w:color="auto"/>
                <w:lang w:eastAsia="zh-CN"/>
              </w:rPr>
              <w:t>☑</w:t>
            </w:r>
            <w:r>
              <w:rPr>
                <w:rFonts w:hint="eastAsia" w:ascii="Times New Roman" w:hAnsi="Times New Roman" w:eastAsia="宋体" w:cs="Times New Roman"/>
                <w:color w:val="auto"/>
                <w:spacing w:val="0"/>
                <w:w w:val="100"/>
                <w:position w:val="1"/>
                <w:sz w:val="21"/>
                <w:szCs w:val="21"/>
                <w:u w:val="none" w:color="auto"/>
                <w:lang w:val="en-US" w:eastAsia="zh-CN"/>
              </w:rPr>
              <w:t xml:space="preserve">  </w:t>
            </w:r>
            <w:r>
              <w:rPr>
                <w:rFonts w:hint="default" w:ascii="Times New Roman" w:hAnsi="Times New Roman" w:eastAsia="宋体" w:cs="Times New Roman"/>
                <w:color w:val="auto"/>
                <w:spacing w:val="0"/>
                <w:w w:val="100"/>
                <w:sz w:val="21"/>
                <w:szCs w:val="21"/>
                <w:u w:val="none" w:color="auto"/>
              </w:rPr>
              <w:t>不可以接受</w:t>
            </w:r>
            <w:r>
              <w:rPr>
                <w:rFonts w:hint="default" w:ascii="Times New Roman" w:hAnsi="Times New Roman" w:eastAsia="MS UI Gothic" w:cs="Times New Roman"/>
                <w:color w:val="auto"/>
                <w:spacing w:val="0"/>
                <w:w w:val="100"/>
                <w:sz w:val="21"/>
                <w:szCs w:val="21"/>
                <w:u w:val="none" w:color="auto"/>
              </w:rPr>
              <w:t>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大气环境防护距离</w:t>
            </w:r>
          </w:p>
        </w:tc>
        <w:tc>
          <w:tcPr>
            <w:tcW w:w="5666" w:type="dxa"/>
            <w:gridSpan w:val="1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距（）厂界最远（）</w:t>
            </w:r>
            <w:r>
              <w:rPr>
                <w:rFonts w:hint="default" w:ascii="Times New Roman" w:hAnsi="Times New Roman" w:eastAsia="Times New Roman" w:cs="Times New Roman"/>
                <w:color w:val="auto"/>
                <w:spacing w:val="0"/>
                <w:w w:val="100"/>
                <w:sz w:val="21"/>
                <w:szCs w:val="21"/>
                <w:u w:val="none" w:color="auto"/>
              </w:rPr>
              <w:t>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679"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p>
        </w:tc>
        <w:tc>
          <w:tcPr>
            <w:tcW w:w="1934"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污染源年排放量</w:t>
            </w:r>
          </w:p>
        </w:tc>
        <w:tc>
          <w:tcPr>
            <w:tcW w:w="1784" w:type="dxa"/>
            <w:gridSpan w:val="4"/>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eastAsia="Times New Roman" w:cs="Times New Roman"/>
                <w:color w:val="auto"/>
                <w:sz w:val="21"/>
                <w:szCs w:val="21"/>
              </w:rPr>
              <w:t>SO</w:t>
            </w:r>
            <w:r>
              <w:rPr>
                <w:rFonts w:hint="default" w:ascii="Times New Roman" w:hAnsi="Times New Roman" w:eastAsia="Times New Roman" w:cs="Times New Roman"/>
                <w:color w:val="auto"/>
                <w:spacing w:val="2"/>
                <w:position w:val="-1"/>
                <w:sz w:val="21"/>
                <w:szCs w:val="21"/>
                <w:vertAlign w:val="subscript"/>
              </w:rPr>
              <w:t>2</w:t>
            </w:r>
            <w:r>
              <w:rPr>
                <w:rFonts w:hint="default" w:ascii="Times New Roman" w:hAnsi="Times New Roman" w:eastAsia="宋体" w:cs="Times New Roman"/>
                <w:color w:val="auto"/>
                <w:spacing w:val="2"/>
                <w:sz w:val="21"/>
                <w:szCs w:val="21"/>
                <w:lang w:eastAsia="zh-CN"/>
              </w:rPr>
              <w:t>：（</w:t>
            </w:r>
            <w:r>
              <w:rPr>
                <w:rFonts w:hint="default" w:ascii="Times New Roman" w:hAnsi="Times New Roman" w:eastAsia="Times New Roman" w:cs="Times New Roman"/>
                <w:color w:val="auto"/>
                <w:spacing w:val="2"/>
                <w:sz w:val="21"/>
                <w:szCs w:val="21"/>
              </w:rPr>
              <w:t>0.0</w:t>
            </w:r>
            <w:r>
              <w:rPr>
                <w:rFonts w:hint="eastAsia" w:ascii="Times New Roman" w:hAnsi="Times New Roman" w:cs="Times New Roman"/>
                <w:color w:val="auto"/>
                <w:spacing w:val="2"/>
                <w:sz w:val="21"/>
                <w:szCs w:val="21"/>
                <w:lang w:val="en-US" w:eastAsia="zh-CN"/>
              </w:rPr>
              <w:t>09</w:t>
            </w:r>
            <w:r>
              <w:rPr>
                <w:rFonts w:hint="default" w:ascii="Times New Roman" w:hAnsi="Times New Roman" w:eastAsia="宋体" w:cs="Times New Roman"/>
                <w:color w:val="auto"/>
                <w:spacing w:val="2"/>
                <w:sz w:val="21"/>
                <w:szCs w:val="21"/>
                <w:lang w:eastAsia="zh-CN"/>
              </w:rPr>
              <w:t>）</w:t>
            </w:r>
            <w:r>
              <w:rPr>
                <w:rFonts w:hint="default" w:ascii="Times New Roman" w:hAnsi="Times New Roman" w:eastAsia="Times New Roman" w:cs="Times New Roman"/>
                <w:color w:val="auto"/>
                <w:spacing w:val="2"/>
                <w:sz w:val="21"/>
                <w:szCs w:val="21"/>
              </w:rPr>
              <w:t>t/a</w:t>
            </w:r>
          </w:p>
        </w:tc>
        <w:tc>
          <w:tcPr>
            <w:tcW w:w="1874" w:type="dxa"/>
            <w:gridSpan w:val="7"/>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eastAsia="Calibri" w:cs="Times New Roman"/>
                <w:color w:val="auto"/>
                <w:sz w:val="21"/>
                <w:szCs w:val="21"/>
              </w:rPr>
              <w:t>NOx</w:t>
            </w:r>
            <w:r>
              <w:rPr>
                <w:rFonts w:hint="default" w:ascii="Times New Roman" w:hAnsi="Times New Roman" w:eastAsia="宋体" w:cs="Times New Roman"/>
                <w:color w:val="auto"/>
                <w:spacing w:val="3"/>
                <w:sz w:val="21"/>
                <w:szCs w:val="21"/>
                <w:lang w:eastAsia="zh-CN"/>
              </w:rPr>
              <w:t>：（</w:t>
            </w:r>
            <w:r>
              <w:rPr>
                <w:rFonts w:hint="default" w:ascii="Times New Roman" w:hAnsi="Times New Roman" w:eastAsia="Calibri" w:cs="Times New Roman"/>
                <w:color w:val="auto"/>
                <w:spacing w:val="3"/>
                <w:sz w:val="21"/>
                <w:szCs w:val="21"/>
              </w:rPr>
              <w:t>0.</w:t>
            </w:r>
            <w:r>
              <w:rPr>
                <w:rFonts w:hint="eastAsia" w:ascii="Times New Roman" w:hAnsi="Times New Roman" w:cs="Times New Roman"/>
                <w:color w:val="auto"/>
                <w:spacing w:val="3"/>
                <w:sz w:val="21"/>
                <w:szCs w:val="21"/>
                <w:lang w:val="en-US" w:eastAsia="zh-CN"/>
              </w:rPr>
              <w:t>0567</w:t>
            </w:r>
            <w:r>
              <w:rPr>
                <w:rFonts w:hint="default" w:ascii="Times New Roman" w:hAnsi="Times New Roman" w:eastAsia="宋体" w:cs="Times New Roman"/>
                <w:color w:val="auto"/>
                <w:spacing w:val="3"/>
                <w:sz w:val="21"/>
                <w:szCs w:val="21"/>
                <w:lang w:eastAsia="zh-CN"/>
              </w:rPr>
              <w:t>）</w:t>
            </w:r>
            <w:r>
              <w:rPr>
                <w:rFonts w:hint="default" w:ascii="Times New Roman" w:hAnsi="Times New Roman" w:eastAsia="Calibri" w:cs="Times New Roman"/>
                <w:color w:val="auto"/>
                <w:spacing w:val="3"/>
                <w:sz w:val="21"/>
                <w:szCs w:val="21"/>
              </w:rPr>
              <w:t>t/a</w:t>
            </w:r>
          </w:p>
        </w:tc>
        <w:tc>
          <w:tcPr>
            <w:tcW w:w="2008" w:type="dxa"/>
            <w:gridSpan w:val="6"/>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eastAsia="Times New Roman" w:cs="Times New Roman"/>
                <w:color w:val="auto"/>
                <w:sz w:val="21"/>
                <w:szCs w:val="21"/>
              </w:rPr>
              <w:t>VOCs</w:t>
            </w:r>
            <w:r>
              <w:rPr>
                <w:rFonts w:hint="default"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w:t>
            </w:r>
            <w:r>
              <w:rPr>
                <w:rFonts w:hint="default" w:ascii="Times New Roman" w:hAnsi="Times New Roman" w:eastAsia="Times New Roman" w:cs="Times New Roman"/>
                <w:color w:val="auto"/>
                <w:spacing w:val="6"/>
                <w:sz w:val="21"/>
                <w:szCs w:val="21"/>
              </w:rPr>
              <w:t>24.0</w:t>
            </w:r>
            <w:r>
              <w:rPr>
                <w:rFonts w:hint="default" w:ascii="Times New Roman" w:hAnsi="Times New Roman" w:eastAsia="宋体" w:cs="Times New Roman"/>
                <w:color w:val="auto"/>
                <w:spacing w:val="6"/>
                <w:sz w:val="21"/>
                <w:szCs w:val="21"/>
                <w:lang w:val="en-US" w:eastAsia="zh-CN"/>
              </w:rPr>
              <w:t>17</w:t>
            </w:r>
            <w:r>
              <w:rPr>
                <w:rFonts w:hint="default" w:ascii="Times New Roman" w:hAnsi="Times New Roman" w:cs="Times New Roman"/>
                <w:color w:val="auto"/>
                <w:spacing w:val="6"/>
                <w:sz w:val="21"/>
                <w:szCs w:val="21"/>
                <w:lang w:eastAsia="zh-CN"/>
              </w:rPr>
              <w:t>）</w:t>
            </w:r>
            <w:r>
              <w:rPr>
                <w:rFonts w:hint="default" w:ascii="Times New Roman" w:hAnsi="Times New Roman" w:eastAsia="Times New Roman" w:cs="Times New Roman"/>
                <w:color w:val="auto"/>
                <w:spacing w:val="6"/>
                <w:sz w:val="21"/>
                <w:szCs w:val="21"/>
              </w:rPr>
              <w:t>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8279" w:type="dxa"/>
            <w:gridSpan w:val="19"/>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position w:val="1"/>
                <w:sz w:val="21"/>
                <w:szCs w:val="21"/>
                <w:u w:val="none" w:color="auto"/>
              </w:rPr>
              <w:t>注：</w:t>
            </w:r>
            <w:r>
              <w:rPr>
                <w:rFonts w:hint="eastAsia" w:ascii="Times New Roman" w:hAnsi="Times New Roman" w:eastAsia="宋体" w:cs="Times New Roman"/>
                <w:color w:val="auto"/>
                <w:spacing w:val="0"/>
                <w:w w:val="100"/>
                <w:position w:val="1"/>
                <w:sz w:val="21"/>
                <w:szCs w:val="21"/>
                <w:u w:val="none" w:color="auto"/>
                <w:lang w:eastAsia="zh-CN"/>
              </w:rPr>
              <w:t>“□”</w:t>
            </w:r>
            <w:r>
              <w:rPr>
                <w:rFonts w:hint="default" w:ascii="Times New Roman" w:hAnsi="Times New Roman" w:eastAsia="宋体" w:cs="Times New Roman"/>
                <w:color w:val="auto"/>
                <w:spacing w:val="0"/>
                <w:w w:val="100"/>
                <w:position w:val="1"/>
                <w:sz w:val="21"/>
                <w:szCs w:val="21"/>
                <w:u w:val="none" w:color="auto"/>
              </w:rPr>
              <w:t>为勾选项，填</w:t>
            </w:r>
            <w:r>
              <w:rPr>
                <w:rFonts w:hint="eastAsia" w:ascii="Times New Roman" w:hAnsi="Times New Roman" w:eastAsia="宋体" w:cs="Times New Roman"/>
                <w:color w:val="auto"/>
                <w:spacing w:val="0"/>
                <w:w w:val="100"/>
                <w:position w:val="1"/>
                <w:sz w:val="21"/>
                <w:szCs w:val="21"/>
                <w:u w:val="none" w:color="auto"/>
                <w:lang w:eastAsia="zh-CN"/>
              </w:rPr>
              <w:t>“</w:t>
            </w:r>
            <w:r>
              <w:rPr>
                <w:rFonts w:hint="default" w:ascii="Times New Roman" w:hAnsi="Times New Roman" w:eastAsia="Times New Roman" w:cs="Times New Roman"/>
                <w:color w:val="auto"/>
                <w:spacing w:val="0"/>
                <w:w w:val="100"/>
                <w:position w:val="1"/>
                <w:sz w:val="21"/>
                <w:szCs w:val="21"/>
                <w:u w:val="none" w:color="auto"/>
              </w:rPr>
              <w:t>√</w:t>
            </w:r>
            <w:r>
              <w:rPr>
                <w:rFonts w:hint="eastAsia" w:ascii="Times New Roman" w:hAnsi="Times New Roman" w:eastAsia="宋体" w:cs="Times New Roman"/>
                <w:color w:val="auto"/>
                <w:spacing w:val="0"/>
                <w:w w:val="100"/>
                <w:position w:val="1"/>
                <w:sz w:val="21"/>
                <w:szCs w:val="21"/>
                <w:u w:val="none" w:color="auto"/>
                <w:lang w:eastAsia="zh-CN"/>
              </w:rPr>
              <w:t>”；</w:t>
            </w:r>
            <w:r>
              <w:rPr>
                <w:rFonts w:hint="default" w:ascii="Times New Roman" w:hAnsi="Times New Roman" w:eastAsia="宋体" w:cs="Times New Roman"/>
                <w:color w:val="auto"/>
                <w:spacing w:val="0"/>
                <w:w w:val="100"/>
                <w:position w:val="1"/>
                <w:sz w:val="21"/>
                <w:szCs w:val="21"/>
                <w:u w:val="none" w:color="auto"/>
                <w:lang w:eastAsia="zh-CN"/>
              </w:rPr>
              <w:t>（）</w:t>
            </w:r>
            <w:r>
              <w:rPr>
                <w:rFonts w:hint="default" w:ascii="Times New Roman" w:hAnsi="Times New Roman" w:eastAsia="宋体" w:cs="Times New Roman"/>
                <w:color w:val="auto"/>
                <w:spacing w:val="0"/>
                <w:w w:val="100"/>
                <w:position w:val="1"/>
                <w:sz w:val="21"/>
                <w:szCs w:val="21"/>
                <w:u w:val="none" w:color="auto"/>
              </w:rPr>
              <w:t>为内容填写项</w:t>
            </w:r>
          </w:p>
        </w:tc>
      </w:tr>
    </w:tbl>
    <w:p>
      <w:pPr>
        <w:pStyle w:val="10"/>
        <w:numPr>
          <w:ilvl w:val="1"/>
          <w:numId w:val="0"/>
        </w:numPr>
        <w:bidi w:val="0"/>
        <w:spacing w:line="360" w:lineRule="auto"/>
        <w:ind w:leftChars="0"/>
        <w:rPr>
          <w:rFonts w:hint="default" w:ascii="Times New Roman" w:hAnsi="Times New Roman" w:cs="Times New Roman"/>
          <w:color w:val="auto"/>
          <w:sz w:val="32"/>
          <w:szCs w:val="32"/>
        </w:rPr>
        <w:sectPr>
          <w:headerReference r:id="rId13" w:type="default"/>
          <w:pgSz w:w="11906" w:h="16839"/>
          <w:pgMar w:top="1440" w:right="1803" w:bottom="1440" w:left="1803" w:header="850" w:footer="1020" w:gutter="0"/>
          <w:pgBorders>
            <w:top w:val="none" w:sz="0" w:space="0"/>
            <w:left w:val="none" w:sz="0" w:space="0"/>
            <w:bottom w:val="none" w:sz="0" w:space="0"/>
            <w:right w:val="none" w:sz="0" w:space="0"/>
          </w:pgBorders>
          <w:pgNumType w:fmt="numberInDash"/>
          <w:cols w:space="720" w:num="1"/>
          <w:rtlGutter w:val="0"/>
          <w:docGrid w:linePitch="0" w:charSpace="0"/>
        </w:sectPr>
      </w:pP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77" w:name="_Toc23968"/>
      <w:r>
        <w:rPr>
          <w:rFonts w:hint="default" w:ascii="Times New Roman" w:hAnsi="Times New Roman" w:cs="Times New Roman"/>
          <w:color w:val="auto"/>
          <w:sz w:val="32"/>
          <w:szCs w:val="32"/>
        </w:rPr>
        <w:t>附表</w:t>
      </w:r>
      <w:r>
        <w:rPr>
          <w:rFonts w:hint="eastAsia" w:ascii="Times New Roman" w:hAnsi="Times New Roman" w:eastAsia="宋体" w:cs="Times New Roman"/>
          <w:color w:val="auto"/>
          <w:sz w:val="32"/>
          <w:szCs w:val="32"/>
          <w:lang w:val="en-US" w:eastAsia="zh-CN"/>
        </w:rPr>
        <w:t>2</w:t>
      </w:r>
      <w:r>
        <w:rPr>
          <w:rFonts w:hint="default" w:ascii="Times New Roman" w:hAnsi="Times New Roman" w:cs="Times New Roman"/>
          <w:color w:val="auto"/>
          <w:sz w:val="32"/>
          <w:szCs w:val="32"/>
        </w:rPr>
        <w:t>：建设项目地表水环境影响评价自查表</w:t>
      </w:r>
      <w:bookmarkEnd w:id="177"/>
    </w:p>
    <w:p>
      <w:pPr>
        <w:spacing w:line="17" w:lineRule="exact"/>
        <w:rPr>
          <w:color w:val="auto"/>
        </w:rPr>
      </w:pPr>
    </w:p>
    <w:tbl>
      <w:tblPr>
        <w:tblStyle w:val="29"/>
        <w:tblW w:w="499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28"/>
        <w:gridCol w:w="1244"/>
        <w:gridCol w:w="1407"/>
        <w:gridCol w:w="377"/>
        <w:gridCol w:w="23"/>
        <w:gridCol w:w="531"/>
        <w:gridCol w:w="1"/>
        <w:gridCol w:w="461"/>
        <w:gridCol w:w="712"/>
        <w:gridCol w:w="68"/>
        <w:gridCol w:w="343"/>
        <w:gridCol w:w="278"/>
        <w:gridCol w:w="469"/>
        <w:gridCol w:w="6"/>
        <w:gridCol w:w="908"/>
        <w:gridCol w:w="13"/>
        <w:gridCol w:w="115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926" w:type="pct"/>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工作内容</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自查项目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影响识别</w:t>
            </w: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影响类型</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水污染影响型</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；水文要素影响型</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水环境保护目标</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宋体" w:hAnsi="宋体" w:eastAsia="宋体" w:cs="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饮用水水源保护区</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；饮用水取水口</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涉水的自然保护区</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重要湿地</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ascii="宋体" w:hAnsi="宋体" w:eastAsia="宋体" w:cs="宋体"/>
                <w:color w:val="auto"/>
                <w:spacing w:val="0"/>
                <w:w w:val="100"/>
                <w:position w:val="0"/>
                <w:sz w:val="21"/>
                <w:szCs w:val="21"/>
                <w:u w:val="none" w:color="auto"/>
              </w:rPr>
            </w:pPr>
            <w:r>
              <w:rPr>
                <w:rFonts w:hint="eastAsia" w:ascii="宋体" w:hAnsi="宋体" w:eastAsia="宋体" w:cs="宋体"/>
                <w:color w:val="auto"/>
                <w:spacing w:val="0"/>
                <w:w w:val="100"/>
                <w:position w:val="0"/>
                <w:sz w:val="21"/>
                <w:szCs w:val="21"/>
                <w:u w:val="none" w:color="auto"/>
                <w:lang w:eastAsia="zh-CN"/>
              </w:rPr>
              <w:t>重点保护</w:t>
            </w:r>
            <w:r>
              <w:rPr>
                <w:rFonts w:ascii="宋体" w:hAnsi="宋体" w:eastAsia="宋体" w:cs="宋体"/>
                <w:color w:val="auto"/>
                <w:spacing w:val="0"/>
                <w:w w:val="100"/>
                <w:position w:val="0"/>
                <w:sz w:val="21"/>
                <w:szCs w:val="21"/>
                <w:u w:val="none" w:color="auto"/>
              </w:rPr>
              <w:t>珍稀水生生物的栖息地</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重要水生生物的自然产卵场及索饵场、越冬场和洄游通道、天然渔场等渔业水体</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涉水的风景名胜区</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影响途径</w:t>
            </w: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水污染影响型</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水文要素影响型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直接排放</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间接排放</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水温</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径流</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水域面积</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影响因子</w:t>
            </w: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持久性污染物</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有毒有害污染物</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非持久性污染物</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w:t>
            </w:r>
            <w:r>
              <w:rPr>
                <w:rFonts w:ascii="Times New Roman" w:hAnsi="Times New Roman" w:eastAsia="Times New Roman" w:cs="Times New Roman"/>
                <w:color w:val="auto"/>
                <w:spacing w:val="0"/>
                <w:w w:val="100"/>
                <w:position w:val="0"/>
                <w:sz w:val="21"/>
                <w:szCs w:val="21"/>
                <w:u w:val="none" w:color="auto"/>
              </w:rPr>
              <w:t>pH</w:t>
            </w:r>
            <w:r>
              <w:rPr>
                <w:rFonts w:ascii="宋体" w:hAnsi="宋体" w:eastAsia="宋体" w:cs="宋体"/>
                <w:color w:val="auto"/>
                <w:spacing w:val="0"/>
                <w:w w:val="100"/>
                <w:position w:val="0"/>
                <w:sz w:val="21"/>
                <w:szCs w:val="21"/>
                <w:u w:val="none" w:color="auto"/>
              </w:rPr>
              <w:t>值</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；热污染</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富营养化</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水温</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水位（水深）</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流速</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流量</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926" w:type="pct"/>
            <w:gridSpan w:val="2"/>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评价等级</w:t>
            </w: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水污染影响型</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水文要素影响型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926" w:type="pct"/>
            <w:gridSpan w:val="2"/>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一级</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；二级</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；三级</w:t>
            </w:r>
            <w:r>
              <w:rPr>
                <w:rFonts w:ascii="Times New Roman" w:hAnsi="Times New Roman" w:eastAsia="Times New Roman" w:cs="Times New Roman"/>
                <w:color w:val="auto"/>
                <w:spacing w:val="0"/>
                <w:w w:val="100"/>
                <w:position w:val="0"/>
                <w:sz w:val="21"/>
                <w:szCs w:val="21"/>
                <w:u w:val="none" w:color="auto"/>
              </w:rPr>
              <w:t>A</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；三级</w:t>
            </w:r>
            <w:r>
              <w:rPr>
                <w:rFonts w:ascii="Times New Roman" w:hAnsi="Times New Roman" w:eastAsia="Times New Roman" w:cs="Times New Roman"/>
                <w:color w:val="auto"/>
                <w:spacing w:val="0"/>
                <w:w w:val="100"/>
                <w:position w:val="0"/>
                <w:sz w:val="21"/>
                <w:szCs w:val="21"/>
                <w:u w:val="none" w:color="auto"/>
              </w:rPr>
              <w:t>B</w:t>
            </w:r>
            <w:r>
              <w:rPr>
                <w:rFonts w:hint="eastAsia" w:ascii="Times New Roman" w:hAnsi="Times New Roman" w:eastAsia="宋体" w:cs="Times New Roman"/>
                <w:color w:val="auto"/>
                <w:spacing w:val="0"/>
                <w:w w:val="100"/>
                <w:position w:val="0"/>
                <w:sz w:val="21"/>
                <w:szCs w:val="21"/>
                <w:u w:val="none" w:color="auto"/>
                <w:lang w:eastAsia="zh-CN"/>
              </w:rPr>
              <w:t>☑</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一级</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；二级</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；三级</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现状调查</w:t>
            </w:r>
          </w:p>
        </w:tc>
        <w:tc>
          <w:tcPr>
            <w:tcW w:w="748" w:type="pct"/>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区域污染源</w:t>
            </w: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调查项目</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数据来源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1090" w:type="pct"/>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已建</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在建</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拟建</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c>
          <w:tcPr>
            <w:tcW w:w="1070" w:type="pct"/>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拟替代的污染源</w:t>
            </w:r>
            <w:r>
              <w:rPr>
                <w:rFonts w:hint="eastAsia" w:ascii="Times New Roman" w:hAnsi="Times New Roman" w:eastAsia="宋体" w:cs="Times New Roman"/>
                <w:color w:val="auto"/>
                <w:spacing w:val="0"/>
                <w:w w:val="100"/>
                <w:position w:val="0"/>
                <w:sz w:val="21"/>
                <w:szCs w:val="21"/>
                <w:u w:val="none" w:color="auto"/>
                <w:lang w:eastAsia="zh-CN"/>
              </w:rPr>
              <w:t>□</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排污许可证</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；环评</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；环保验收</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；既有实测</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；现场监测</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；入河排放口数据</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受影响水体水环境质量</w:t>
            </w: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调查时期</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数据来源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2161"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丰水期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；平水期</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枯水期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；冰封期</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春季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；夏季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；秋季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；冬季</w:t>
            </w:r>
            <w:r>
              <w:rPr>
                <w:rFonts w:hint="eastAsia" w:ascii="Times New Roman" w:hAnsi="Times New Roman" w:eastAsia="宋体" w:cs="Times New Roman"/>
                <w:color w:val="auto"/>
                <w:spacing w:val="0"/>
                <w:w w:val="100"/>
                <w:position w:val="0"/>
                <w:sz w:val="21"/>
                <w:szCs w:val="21"/>
                <w:u w:val="none" w:color="auto"/>
                <w:lang w:eastAsia="zh-CN"/>
              </w:rPr>
              <w:t>□</w:t>
            </w:r>
          </w:p>
        </w:tc>
        <w:tc>
          <w:tcPr>
            <w:tcW w:w="1911"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生态环境保护主管部门</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；补充监测</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区域水资源开发利用状况</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未开发</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开发量</w:t>
            </w:r>
            <w:r>
              <w:rPr>
                <w:rFonts w:ascii="Times New Roman" w:hAnsi="Times New Roman" w:eastAsia="Times New Roman" w:cs="Times New Roman"/>
                <w:color w:val="auto"/>
                <w:spacing w:val="0"/>
                <w:w w:val="100"/>
                <w:position w:val="0"/>
                <w:sz w:val="21"/>
                <w:szCs w:val="21"/>
                <w:u w:val="none" w:color="auto"/>
              </w:rPr>
              <w:t>40%</w:t>
            </w:r>
            <w:r>
              <w:rPr>
                <w:rFonts w:ascii="宋体" w:hAnsi="宋体" w:eastAsia="宋体" w:cs="宋体"/>
                <w:color w:val="auto"/>
                <w:spacing w:val="0"/>
                <w:w w:val="100"/>
                <w:position w:val="0"/>
                <w:sz w:val="21"/>
                <w:szCs w:val="21"/>
                <w:u w:val="none" w:color="auto"/>
              </w:rPr>
              <w:t>以下</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开发量</w:t>
            </w:r>
            <w:r>
              <w:rPr>
                <w:rFonts w:ascii="Times New Roman" w:hAnsi="Times New Roman" w:eastAsia="Times New Roman" w:cs="Times New Roman"/>
                <w:color w:val="auto"/>
                <w:spacing w:val="0"/>
                <w:w w:val="100"/>
                <w:position w:val="0"/>
                <w:sz w:val="21"/>
                <w:szCs w:val="21"/>
                <w:u w:val="none" w:color="auto"/>
              </w:rPr>
              <w:t>40%</w:t>
            </w:r>
            <w:r>
              <w:rPr>
                <w:rFonts w:ascii="宋体" w:hAnsi="宋体" w:eastAsia="宋体" w:cs="宋体"/>
                <w:color w:val="auto"/>
                <w:spacing w:val="0"/>
                <w:w w:val="100"/>
                <w:position w:val="0"/>
                <w:sz w:val="21"/>
                <w:szCs w:val="21"/>
                <w:u w:val="none" w:color="auto"/>
              </w:rPr>
              <w:t>以上</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水文情势调查</w:t>
            </w:r>
          </w:p>
        </w:tc>
        <w:tc>
          <w:tcPr>
            <w:tcW w:w="2119"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调查时期</w:t>
            </w:r>
          </w:p>
        </w:tc>
        <w:tc>
          <w:tcPr>
            <w:tcW w:w="1953"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数据来源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2119"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丰水期</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平水期</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枯水期</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冰封期</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春季</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夏季</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秋季</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冬季</w:t>
            </w:r>
            <w:r>
              <w:rPr>
                <w:rFonts w:hint="eastAsia" w:ascii="Times New Roman" w:hAnsi="Times New Roman" w:eastAsia="宋体" w:cs="Times New Roman"/>
                <w:color w:val="auto"/>
                <w:spacing w:val="0"/>
                <w:w w:val="100"/>
                <w:position w:val="0"/>
                <w:sz w:val="21"/>
                <w:szCs w:val="21"/>
                <w:u w:val="none" w:color="auto"/>
                <w:lang w:eastAsia="zh-CN"/>
              </w:rPr>
              <w:t>□</w:t>
            </w:r>
          </w:p>
        </w:tc>
        <w:tc>
          <w:tcPr>
            <w:tcW w:w="1953" w:type="pct"/>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水行政主管部门</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补充监测</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补充监测</w:t>
            </w:r>
          </w:p>
        </w:tc>
        <w:tc>
          <w:tcPr>
            <w:tcW w:w="1412" w:type="pct"/>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监测时期</w:t>
            </w:r>
          </w:p>
        </w:tc>
        <w:tc>
          <w:tcPr>
            <w:tcW w:w="1412"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监测因子</w:t>
            </w:r>
          </w:p>
        </w:tc>
        <w:tc>
          <w:tcPr>
            <w:tcW w:w="1248" w:type="pct"/>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监测断面或点位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1412" w:type="pct"/>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丰水期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；平水期</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枯水期</w:t>
            </w:r>
            <w:r>
              <w:rPr>
                <w:rFonts w:hint="eastAsia" w:ascii="Times New Roman" w:hAnsi="Times New Roman" w:eastAsia="宋体" w:cs="Times New Roman"/>
                <w:color w:val="auto"/>
                <w:spacing w:val="0"/>
                <w:w w:val="100"/>
                <w:position w:val="0"/>
                <w:sz w:val="21"/>
                <w:szCs w:val="21"/>
                <w:u w:val="none" w:color="auto"/>
                <w:lang w:eastAsia="zh-CN"/>
              </w:rPr>
              <w:sym w:font="Wingdings 2" w:char="0052"/>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冰封期</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春季</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夏季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；秋季</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冬季</w:t>
            </w:r>
            <w:r>
              <w:rPr>
                <w:rFonts w:hint="eastAsia" w:ascii="Times New Roman" w:hAnsi="Times New Roman" w:eastAsia="宋体" w:cs="Times New Roman"/>
                <w:color w:val="auto"/>
                <w:spacing w:val="0"/>
                <w:w w:val="100"/>
                <w:position w:val="0"/>
                <w:sz w:val="21"/>
                <w:szCs w:val="21"/>
                <w:u w:val="none" w:color="auto"/>
                <w:lang w:eastAsia="zh-CN"/>
              </w:rPr>
              <w:sym w:font="Wingdings 2" w:char="0052"/>
            </w:r>
          </w:p>
        </w:tc>
        <w:tc>
          <w:tcPr>
            <w:tcW w:w="1412"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r>
              <w:rPr>
                <w:rFonts w:hint="default" w:ascii="Times New Roman" w:hAnsi="Times New Roman" w:eastAsia="Calibri" w:cs="Times New Roman"/>
                <w:color w:val="auto"/>
                <w:spacing w:val="0"/>
                <w:position w:val="0"/>
                <w:sz w:val="21"/>
                <w:szCs w:val="21"/>
              </w:rPr>
              <w:t>pH</w:t>
            </w:r>
            <w:r>
              <w:rPr>
                <w:rFonts w:hint="default" w:ascii="Times New Roman" w:hAnsi="Times New Roman" w:cs="Times New Roman"/>
                <w:color w:val="auto"/>
                <w:spacing w:val="0"/>
                <w:position w:val="0"/>
                <w:sz w:val="21"/>
                <w:szCs w:val="21"/>
              </w:rPr>
              <w:t>值、溶解氧、高锰酸盐指数、化学需氧量、</w:t>
            </w:r>
            <w:r>
              <w:rPr>
                <w:rFonts w:hint="default" w:ascii="Times New Roman" w:hAnsi="Times New Roman" w:eastAsia="Calibri" w:cs="Times New Roman"/>
                <w:color w:val="auto"/>
                <w:spacing w:val="0"/>
                <w:position w:val="0"/>
                <w:sz w:val="21"/>
                <w:szCs w:val="21"/>
              </w:rPr>
              <w:t>BOD</w:t>
            </w:r>
            <w:r>
              <w:rPr>
                <w:rFonts w:hint="default" w:ascii="Times New Roman" w:hAnsi="Times New Roman" w:eastAsia="Calibri" w:cs="Times New Roman"/>
                <w:color w:val="auto"/>
                <w:spacing w:val="0"/>
                <w:position w:val="0"/>
                <w:sz w:val="21"/>
                <w:szCs w:val="21"/>
                <w:vertAlign w:val="subscript"/>
              </w:rPr>
              <w:t>5</w:t>
            </w:r>
            <w:r>
              <w:rPr>
                <w:rFonts w:hint="default" w:ascii="Times New Roman" w:hAnsi="Times New Roman" w:cs="Times New Roman"/>
                <w:color w:val="auto"/>
                <w:spacing w:val="0"/>
                <w:position w:val="0"/>
                <w:sz w:val="21"/>
                <w:szCs w:val="21"/>
              </w:rPr>
              <w:t>、氨氮、总磷、</w:t>
            </w:r>
            <w:r>
              <w:rPr>
                <w:rFonts w:hint="eastAsia" w:ascii="Times New Roman" w:hAnsi="Times New Roman" w:cs="Times New Roman"/>
                <w:color w:val="auto"/>
                <w:spacing w:val="0"/>
                <w:position w:val="0"/>
                <w:sz w:val="21"/>
                <w:szCs w:val="21"/>
                <w:lang w:val="en-US" w:eastAsia="zh-CN"/>
              </w:rPr>
              <w:t>总氮、铜、锌、氟化物、硒、砷、汞、镉、六价铬、铅、铊、氰化物、</w:t>
            </w:r>
            <w:r>
              <w:rPr>
                <w:rFonts w:hint="default" w:ascii="Times New Roman" w:hAnsi="Times New Roman" w:cs="Times New Roman"/>
                <w:color w:val="auto"/>
                <w:spacing w:val="0"/>
                <w:position w:val="0"/>
                <w:sz w:val="21"/>
                <w:szCs w:val="21"/>
              </w:rPr>
              <w:t>挥发酚、石油类、</w:t>
            </w:r>
            <w:r>
              <w:rPr>
                <w:rFonts w:hint="eastAsia" w:ascii="Times New Roman" w:hAnsi="Times New Roman" w:cs="Times New Roman"/>
                <w:color w:val="auto"/>
                <w:spacing w:val="0"/>
                <w:position w:val="0"/>
                <w:sz w:val="21"/>
                <w:szCs w:val="21"/>
                <w:lang w:val="en-US" w:eastAsia="zh-CN"/>
              </w:rPr>
              <w:t>阴离子表面活性剂、</w:t>
            </w:r>
            <w:r>
              <w:rPr>
                <w:rFonts w:hint="default" w:ascii="Times New Roman" w:hAnsi="Times New Roman" w:cs="Times New Roman"/>
                <w:color w:val="auto"/>
                <w:spacing w:val="0"/>
                <w:position w:val="0"/>
                <w:sz w:val="21"/>
                <w:szCs w:val="21"/>
              </w:rPr>
              <w:t>硫化物</w:t>
            </w:r>
            <w:r>
              <w:rPr>
                <w:rFonts w:hint="eastAsia" w:ascii="Times New Roman" w:hAnsi="Times New Roman" w:cs="Times New Roman"/>
                <w:color w:val="auto"/>
                <w:spacing w:val="0"/>
                <w:position w:val="0"/>
                <w:sz w:val="21"/>
                <w:szCs w:val="21"/>
                <w:lang w:val="en-US" w:eastAsia="zh-CN"/>
              </w:rPr>
              <w:t>、氯化物、硫酸盐、粪大肠菌群、甲醛、苯、甲苯、二甲苯</w:t>
            </w:r>
            <w:r>
              <w:rPr>
                <w:rFonts w:hint="eastAsia" w:ascii="宋体" w:hAnsi="宋体" w:eastAsia="宋体" w:cs="宋体"/>
                <w:color w:val="auto"/>
                <w:spacing w:val="0"/>
                <w:w w:val="100"/>
                <w:position w:val="0"/>
                <w:sz w:val="21"/>
                <w:szCs w:val="21"/>
                <w:u w:val="none" w:color="auto"/>
                <w:lang w:eastAsia="zh-CN"/>
              </w:rPr>
              <w:t>）</w:t>
            </w:r>
          </w:p>
        </w:tc>
        <w:tc>
          <w:tcPr>
            <w:tcW w:w="1248" w:type="pct"/>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w:t>
            </w:r>
            <w:r>
              <w:rPr>
                <w:rFonts w:hint="default" w:ascii="Times New Roman" w:hAnsi="Times New Roman" w:eastAsia="宋体" w:cs="Times New Roman"/>
                <w:color w:val="auto"/>
                <w:spacing w:val="0"/>
                <w:w w:val="100"/>
                <w:position w:val="0"/>
                <w:sz w:val="21"/>
                <w:szCs w:val="21"/>
                <w:u w:val="none" w:color="auto"/>
              </w:rPr>
              <w:t>断面或点位个数（</w:t>
            </w:r>
            <w:r>
              <w:rPr>
                <w:rFonts w:hint="eastAsia" w:ascii="Times New Roman" w:hAnsi="Times New Roman" w:eastAsia="宋体" w:cs="Times New Roman"/>
                <w:color w:val="auto"/>
                <w:spacing w:val="0"/>
                <w:w w:val="100"/>
                <w:position w:val="0"/>
                <w:sz w:val="21"/>
                <w:szCs w:val="21"/>
                <w:u w:val="none" w:color="auto"/>
                <w:lang w:val="en-US" w:eastAsia="zh-CN"/>
              </w:rPr>
              <w:t>2</w:t>
            </w:r>
            <w:r>
              <w:rPr>
                <w:rFonts w:hint="default" w:ascii="Times New Roman" w:hAnsi="Times New Roman" w:eastAsia="宋体" w:cs="Times New Roman"/>
                <w:color w:val="auto"/>
                <w:spacing w:val="0"/>
                <w:w w:val="100"/>
                <w:position w:val="0"/>
                <w:sz w:val="21"/>
                <w:szCs w:val="21"/>
                <w:u w:val="none" w:color="auto"/>
              </w:rPr>
              <w:t>）个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现状评价</w:t>
            </w: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评价范围</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ascii="宋体" w:hAnsi="宋体" w:eastAsia="宋体" w:cs="宋体"/>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河流：长度（）km；湖库、河口及近岸海域：面积（）km</w:t>
            </w:r>
            <w:r>
              <w:rPr>
                <w:rFonts w:hint="default" w:ascii="Times New Roman" w:hAnsi="Times New Roman" w:eastAsia="宋体" w:cs="Times New Roman"/>
                <w:color w:val="auto"/>
                <w:spacing w:val="0"/>
                <w:w w:val="100"/>
                <w:position w:val="0"/>
                <w:sz w:val="21"/>
                <w:szCs w:val="21"/>
                <w:u w:val="none" w:color="auto"/>
                <w:vertAlign w:val="superscript"/>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评价因子</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w:t>
            </w:r>
            <w:r>
              <w:rPr>
                <w:rFonts w:hint="eastAsia" w:ascii="Times New Roman" w:hAnsi="Times New Roman" w:eastAsia="宋体" w:cs="Times New Roman"/>
                <w:caps w:val="0"/>
                <w:color w:val="auto"/>
                <w:spacing w:val="0"/>
                <w:w w:val="100"/>
                <w:position w:val="0"/>
                <w:sz w:val="21"/>
                <w:szCs w:val="21"/>
                <w:highlight w:val="none"/>
                <w:u w:val="none" w:color="auto"/>
                <w:lang w:val="en-US" w:eastAsia="zh-CN"/>
              </w:rPr>
              <w:t>pH、COD、BOD</w:t>
            </w:r>
            <w:r>
              <w:rPr>
                <w:rFonts w:hint="eastAsia" w:ascii="Times New Roman" w:hAnsi="Times New Roman" w:eastAsia="宋体" w:cs="Times New Roman"/>
                <w:caps w:val="0"/>
                <w:color w:val="auto"/>
                <w:spacing w:val="0"/>
                <w:w w:val="100"/>
                <w:position w:val="0"/>
                <w:sz w:val="21"/>
                <w:szCs w:val="21"/>
                <w:highlight w:val="none"/>
                <w:u w:val="none" w:color="auto"/>
                <w:vertAlign w:val="subscript"/>
                <w:lang w:val="en-US" w:eastAsia="zh-CN"/>
              </w:rPr>
              <w:t>5</w:t>
            </w:r>
            <w:r>
              <w:rPr>
                <w:rFonts w:hint="eastAsia" w:ascii="Times New Roman" w:hAnsi="Times New Roman" w:eastAsia="宋体" w:cs="Times New Roman"/>
                <w:caps w:val="0"/>
                <w:color w:val="auto"/>
                <w:spacing w:val="0"/>
                <w:w w:val="100"/>
                <w:position w:val="0"/>
                <w:sz w:val="21"/>
                <w:szCs w:val="21"/>
                <w:highlight w:val="none"/>
                <w:u w:val="none" w:color="auto"/>
                <w:lang w:val="en-US" w:eastAsia="zh-CN"/>
              </w:rPr>
              <w:t>、SS、氨氮</w:t>
            </w:r>
            <w:r>
              <w:rPr>
                <w:rFonts w:hint="default" w:ascii="Times New Roman" w:hAnsi="Times New Roman" w:cs="Times New Roman"/>
                <w:color w:val="auto"/>
                <w:spacing w:val="0"/>
                <w:position w:val="0"/>
                <w:sz w:val="21"/>
                <w:szCs w:val="21"/>
                <w:u w:val="none" w:color="auto"/>
              </w:rPr>
              <w:t>、</w:t>
            </w:r>
            <w:r>
              <w:rPr>
                <w:rFonts w:hint="eastAsia" w:ascii="Times New Roman" w:hAnsi="Times New Roman" w:cs="Times New Roman"/>
                <w:color w:val="auto"/>
                <w:spacing w:val="0"/>
                <w:position w:val="0"/>
                <w:sz w:val="21"/>
                <w:szCs w:val="21"/>
                <w:u w:val="none" w:color="auto"/>
                <w:lang w:val="en-US" w:eastAsia="zh-CN"/>
              </w:rPr>
              <w:t>动植物油</w:t>
            </w:r>
            <w:r>
              <w:rPr>
                <w:rFonts w:ascii="宋体" w:hAnsi="宋体" w:eastAsia="宋体" w:cs="宋体"/>
                <w:color w:val="auto"/>
                <w:spacing w:val="0"/>
                <w:w w:val="100"/>
                <w:position w:val="0"/>
                <w:sz w:val="21"/>
                <w:szCs w:val="21"/>
                <w:u w:val="none" w:color="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评价标准</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河流、湖库、河口：</w:t>
            </w:r>
            <w:r>
              <w:rPr>
                <w:rFonts w:ascii="Times New Roman" w:hAnsi="Times New Roman" w:eastAsia="Times New Roman" w:cs="Times New Roman"/>
                <w:color w:val="auto"/>
                <w:spacing w:val="0"/>
                <w:w w:val="100"/>
                <w:position w:val="0"/>
                <w:sz w:val="21"/>
                <w:szCs w:val="21"/>
                <w:u w:val="none" w:color="auto"/>
              </w:rPr>
              <w:t>Ⅰ</w:t>
            </w:r>
            <w:r>
              <w:rPr>
                <w:rFonts w:ascii="宋体" w:hAnsi="宋体" w:eastAsia="宋体" w:cs="宋体"/>
                <w:color w:val="auto"/>
                <w:spacing w:val="0"/>
                <w:w w:val="100"/>
                <w:position w:val="0"/>
                <w:sz w:val="21"/>
                <w:szCs w:val="21"/>
                <w:u w:val="none" w:color="auto"/>
              </w:rPr>
              <w:t>类</w:t>
            </w:r>
            <w:r>
              <w:rPr>
                <w:rFonts w:hint="eastAsia" w:ascii="Times New Roman" w:hAnsi="Times New Roman" w:eastAsia="宋体" w:cs="Times New Roman"/>
                <w:color w:val="auto"/>
                <w:spacing w:val="0"/>
                <w:w w:val="100"/>
                <w:position w:val="0"/>
                <w:sz w:val="21"/>
                <w:szCs w:val="21"/>
                <w:u w:val="none" w:color="auto"/>
                <w:lang w:eastAsia="zh-CN"/>
              </w:rPr>
              <w:t>□；</w:t>
            </w:r>
            <w:r>
              <w:rPr>
                <w:rFonts w:ascii="Times New Roman" w:hAnsi="Times New Roman" w:eastAsia="Times New Roman" w:cs="Times New Roman"/>
                <w:color w:val="auto"/>
                <w:spacing w:val="0"/>
                <w:w w:val="100"/>
                <w:position w:val="0"/>
                <w:sz w:val="21"/>
                <w:szCs w:val="21"/>
                <w:u w:val="none" w:color="auto"/>
              </w:rPr>
              <w:t>Ⅱ</w:t>
            </w:r>
            <w:r>
              <w:rPr>
                <w:rFonts w:ascii="宋体" w:hAnsi="宋体" w:eastAsia="宋体" w:cs="宋体"/>
                <w:color w:val="auto"/>
                <w:spacing w:val="0"/>
                <w:w w:val="100"/>
                <w:position w:val="0"/>
                <w:sz w:val="21"/>
                <w:szCs w:val="21"/>
                <w:u w:val="none" w:color="auto"/>
              </w:rPr>
              <w:t>类</w:t>
            </w:r>
            <w:r>
              <w:rPr>
                <w:rFonts w:hint="eastAsia" w:ascii="Times New Roman" w:hAnsi="Times New Roman" w:eastAsia="宋体" w:cs="Times New Roman"/>
                <w:color w:val="auto"/>
                <w:spacing w:val="0"/>
                <w:w w:val="100"/>
                <w:position w:val="0"/>
                <w:sz w:val="21"/>
                <w:szCs w:val="21"/>
                <w:u w:val="none" w:color="auto"/>
                <w:lang w:eastAsia="zh-CN"/>
              </w:rPr>
              <w:t>□；</w:t>
            </w:r>
            <w:r>
              <w:rPr>
                <w:rFonts w:ascii="Times New Roman" w:hAnsi="Times New Roman" w:eastAsia="Times New Roman" w:cs="Times New Roman"/>
                <w:color w:val="auto"/>
                <w:spacing w:val="0"/>
                <w:w w:val="100"/>
                <w:position w:val="0"/>
                <w:sz w:val="21"/>
                <w:szCs w:val="21"/>
                <w:u w:val="none" w:color="auto"/>
              </w:rPr>
              <w:t>Ⅲ</w:t>
            </w:r>
            <w:r>
              <w:rPr>
                <w:rFonts w:ascii="宋体" w:hAnsi="宋体" w:eastAsia="宋体" w:cs="宋体"/>
                <w:color w:val="auto"/>
                <w:spacing w:val="0"/>
                <w:w w:val="100"/>
                <w:position w:val="0"/>
                <w:sz w:val="21"/>
                <w:szCs w:val="21"/>
                <w:u w:val="none" w:color="auto"/>
              </w:rPr>
              <w:t>类</w:t>
            </w:r>
            <w:r>
              <w:rPr>
                <w:rFonts w:hint="eastAsia" w:ascii="Times New Roman" w:hAnsi="Times New Roman" w:eastAsia="宋体" w:cs="Times New Roman"/>
                <w:color w:val="auto"/>
                <w:spacing w:val="0"/>
                <w:w w:val="100"/>
                <w:position w:val="0"/>
                <w:sz w:val="21"/>
                <w:szCs w:val="21"/>
                <w:u w:val="none" w:color="auto"/>
                <w:lang w:eastAsia="zh-CN"/>
              </w:rPr>
              <w:t>☑；</w:t>
            </w:r>
            <w:r>
              <w:rPr>
                <w:rFonts w:ascii="Times New Roman" w:hAnsi="Times New Roman" w:eastAsia="Times New Roman" w:cs="Times New Roman"/>
                <w:color w:val="auto"/>
                <w:spacing w:val="0"/>
                <w:w w:val="100"/>
                <w:position w:val="0"/>
                <w:sz w:val="21"/>
                <w:szCs w:val="21"/>
                <w:u w:val="none" w:color="auto"/>
              </w:rPr>
              <w:t>Ⅳ</w:t>
            </w:r>
            <w:r>
              <w:rPr>
                <w:rFonts w:ascii="宋体" w:hAnsi="宋体" w:eastAsia="宋体" w:cs="宋体"/>
                <w:color w:val="auto"/>
                <w:spacing w:val="0"/>
                <w:w w:val="100"/>
                <w:position w:val="0"/>
                <w:sz w:val="21"/>
                <w:szCs w:val="21"/>
                <w:u w:val="none" w:color="auto"/>
              </w:rPr>
              <w:t>类</w:t>
            </w:r>
            <w:r>
              <w:rPr>
                <w:rFonts w:hint="eastAsia" w:ascii="Times New Roman" w:hAnsi="Times New Roman" w:eastAsia="宋体" w:cs="Times New Roman"/>
                <w:color w:val="auto"/>
                <w:spacing w:val="0"/>
                <w:w w:val="100"/>
                <w:position w:val="0"/>
                <w:sz w:val="21"/>
                <w:szCs w:val="21"/>
                <w:u w:val="none" w:color="auto"/>
                <w:lang w:eastAsia="zh-CN"/>
              </w:rPr>
              <w:t>□；</w:t>
            </w:r>
            <w:r>
              <w:rPr>
                <w:rFonts w:ascii="Times New Roman" w:hAnsi="Times New Roman" w:eastAsia="Times New Roman" w:cs="Times New Roman"/>
                <w:color w:val="auto"/>
                <w:spacing w:val="0"/>
                <w:w w:val="100"/>
                <w:position w:val="0"/>
                <w:sz w:val="21"/>
                <w:szCs w:val="21"/>
                <w:u w:val="none" w:color="auto"/>
              </w:rPr>
              <w:t>Ⅴ</w:t>
            </w:r>
            <w:r>
              <w:rPr>
                <w:rFonts w:ascii="宋体" w:hAnsi="宋体" w:eastAsia="宋体" w:cs="宋体"/>
                <w:color w:val="auto"/>
                <w:spacing w:val="0"/>
                <w:w w:val="100"/>
                <w:position w:val="0"/>
                <w:sz w:val="21"/>
                <w:szCs w:val="21"/>
                <w:u w:val="none" w:color="auto"/>
              </w:rPr>
              <w:t>类</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近岸海域：第一类</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第二类</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第三类</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第四类</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宋体" w:hAnsi="宋体" w:eastAsia="宋体" w:cs="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规划年评价标准</w:t>
            </w:r>
            <w:r>
              <w:rPr>
                <w:rFonts w:hint="eastAsia" w:ascii="宋体" w:hAnsi="宋体" w:eastAsia="宋体" w:cs="宋体"/>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评价时期</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丰水期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平水期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枯水期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冰封期</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春季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夏季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秋季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冬季</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06" w:hRule="atLeast"/>
        </w:trPr>
        <w:tc>
          <w:tcPr>
            <w:tcW w:w="177"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评价结论</w:t>
            </w:r>
          </w:p>
        </w:tc>
        <w:tc>
          <w:tcPr>
            <w:tcW w:w="3371" w:type="pct"/>
            <w:gridSpan w:val="1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水环境功能区或水功能区、近岸海域环境功能区水质达标状况：达标</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不达标</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水环境控制单元或断面水质达标状：达标</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不达标</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水环境保护目标质量状况：达标</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不达标</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对照断面、控制断面等代表性断面的水质状况：达标</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不达标</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底泥污染评价</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水资源与开发利用程度及其水文情势评价</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水环境质量回顾评价</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流域（区域）水资源（包括水能资源）与开发利用总体状况、生态流量管理要求与现状满足程度、建设项目占用水域空间的水流状况与河湖演变状况</w:t>
            </w:r>
            <w:r>
              <w:rPr>
                <w:rFonts w:hint="eastAsia" w:ascii="Times New Roman" w:hAnsi="Times New Roman" w:eastAsia="宋体" w:cs="Times New Roman"/>
                <w:color w:val="auto"/>
                <w:spacing w:val="0"/>
                <w:w w:val="100"/>
                <w:position w:val="0"/>
                <w:sz w:val="21"/>
                <w:szCs w:val="21"/>
                <w:u w:val="none" w:color="auto"/>
                <w:lang w:eastAsia="zh-CN"/>
              </w:rPr>
              <w:t>□</w:t>
            </w:r>
          </w:p>
        </w:tc>
        <w:tc>
          <w:tcPr>
            <w:tcW w:w="701" w:type="pct"/>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微软雅黑" w:hAnsi="微软雅黑" w:eastAsia="微软雅黑" w:cs="微软雅黑"/>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达标区</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不达标区</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影响预测</w:t>
            </w: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预测范围</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河流：长度（</w:t>
            </w:r>
            <w:r>
              <w:rPr>
                <w:rFonts w:hint="eastAsia" w:ascii="宋体" w:hAnsi="宋体" w:eastAsia="宋体" w:cs="宋体"/>
                <w:color w:val="auto"/>
                <w:spacing w:val="0"/>
                <w:w w:val="100"/>
                <w:position w:val="0"/>
                <w:sz w:val="21"/>
                <w:szCs w:val="21"/>
                <w:u w:val="none" w:color="auto"/>
                <w:lang w:val="en-US" w:eastAsia="zh-CN"/>
              </w:rPr>
              <w:t>/</w:t>
            </w:r>
            <w:r>
              <w:rPr>
                <w:rFonts w:ascii="宋体" w:hAnsi="宋体" w:eastAsia="宋体" w:cs="宋体"/>
                <w:color w:val="auto"/>
                <w:spacing w:val="0"/>
                <w:w w:val="100"/>
                <w:position w:val="0"/>
                <w:sz w:val="21"/>
                <w:szCs w:val="21"/>
                <w:u w:val="none" w:color="auto"/>
              </w:rPr>
              <w:t>）</w:t>
            </w:r>
            <w:r>
              <w:rPr>
                <w:rFonts w:ascii="Times New Roman" w:hAnsi="Times New Roman" w:eastAsia="Times New Roman" w:cs="Times New Roman"/>
                <w:color w:val="auto"/>
                <w:spacing w:val="0"/>
                <w:w w:val="100"/>
                <w:position w:val="0"/>
                <w:sz w:val="21"/>
                <w:szCs w:val="21"/>
                <w:u w:val="none" w:color="auto"/>
              </w:rPr>
              <w:t>km</w:t>
            </w:r>
            <w:r>
              <w:rPr>
                <w:rFonts w:ascii="宋体" w:hAnsi="宋体" w:eastAsia="宋体" w:cs="宋体"/>
                <w:color w:val="auto"/>
                <w:spacing w:val="0"/>
                <w:w w:val="100"/>
                <w:position w:val="0"/>
                <w:sz w:val="21"/>
                <w:szCs w:val="21"/>
                <w:u w:val="none" w:color="auto"/>
              </w:rPr>
              <w:t>；湖库、河口及近岸海域：面积（）</w:t>
            </w:r>
            <w:r>
              <w:rPr>
                <w:rFonts w:ascii="Times New Roman" w:hAnsi="Times New Roman" w:eastAsia="Times New Roman" w:cs="Times New Roman"/>
                <w:color w:val="auto"/>
                <w:spacing w:val="0"/>
                <w:w w:val="100"/>
                <w:position w:val="0"/>
                <w:sz w:val="21"/>
                <w:szCs w:val="21"/>
                <w:u w:val="none" w:color="auto"/>
              </w:rPr>
              <w:t>km</w:t>
            </w:r>
            <w:r>
              <w:rPr>
                <w:rFonts w:hint="eastAsia" w:ascii="Times New Roman" w:hAnsi="Times New Roman" w:eastAsia="宋体" w:cs="Times New Roman"/>
                <w:color w:val="auto"/>
                <w:spacing w:val="0"/>
                <w:w w:val="100"/>
                <w:position w:val="0"/>
                <w:sz w:val="21"/>
                <w:szCs w:val="21"/>
                <w:u w:val="none" w:color="auto"/>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预测因子</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val="en-US" w:eastAsia="zh-CN"/>
              </w:rPr>
              <w:t>/</w:t>
            </w:r>
            <w:r>
              <w:rPr>
                <w:rFonts w:hint="eastAsia" w:ascii="宋体" w:hAnsi="宋体" w:eastAsia="宋体" w:cs="宋体"/>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预测时期</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丰水期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平水期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枯水期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冰封期</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春季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夏季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秋季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冬季</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设计水文条件</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预测情景</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建设期</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生产运行期</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服务期满后</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正常工况</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非正常工况</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污染控制和减缓措施方案</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区（流）域环境质量改善目标要求情景</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预测方法</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数值解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解析解</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导则推荐模式</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影响评价</w:t>
            </w: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水污染控制和水环境影响减缓措施有效性评价</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区（流）域水环境质量改善目标</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替代削减源</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水环境影响评价</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排放口混合区外满足水环境管理要求</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水环境功能区或水功能区、近岸海域环境功能区水质达标</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满足水环境保护目标水域水环境质量要求</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水环境控制单元或断面水质达标</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满足重点水污染物排放总量控制指标要求，重点行业建设项目，主要污染物排放满足等量或减量替代要求</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满足区（流）域水环境质量改善目标要求</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水文要素影响型建设项目同时应包括水文情势变化评价、主要水文特征值影响评价、生态流量符合性评价</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对于新设或调整入河（湖库、近岸海域）排放口的建设项目，应包括排放口设置的环境合理性评价</w:t>
            </w:r>
            <w:r>
              <w:rPr>
                <w:rFonts w:hint="eastAsia" w:ascii="Times New Roman" w:hAnsi="Times New Roman" w:eastAsia="宋体" w:cs="Times New Roman"/>
                <w:color w:val="auto"/>
                <w:spacing w:val="0"/>
                <w:w w:val="100"/>
                <w:position w:val="0"/>
                <w:sz w:val="21"/>
                <w:szCs w:val="21"/>
                <w:u w:val="none" w:color="auto"/>
                <w:lang w:eastAsia="zh-CN"/>
              </w:rPr>
              <w:t>□</w:t>
            </w:r>
          </w:p>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ascii="微软雅黑" w:hAnsi="微软雅黑" w:eastAsia="微软雅黑" w:cs="微软雅黑"/>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满足生态保护红线、水环境质量底线、资源利用上线和环境准入清单管理要求区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71"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污染源排放量核算</w:t>
            </w:r>
          </w:p>
        </w:tc>
        <w:tc>
          <w:tcPr>
            <w:tcW w:w="1410" w:type="pct"/>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污染物名称</w:t>
            </w:r>
          </w:p>
        </w:tc>
        <w:tc>
          <w:tcPr>
            <w:tcW w:w="1409"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排放量</w:t>
            </w:r>
            <w:r>
              <w:rPr>
                <w:rFonts w:ascii="Times New Roman" w:hAnsi="Times New Roman" w:eastAsia="Times New Roman" w:cs="Times New Roman"/>
                <w:color w:val="auto"/>
                <w:spacing w:val="0"/>
                <w:w w:val="100"/>
                <w:position w:val="0"/>
                <w:sz w:val="21"/>
                <w:szCs w:val="21"/>
                <w:u w:val="none" w:color="auto"/>
              </w:rPr>
              <w:t>/</w:t>
            </w:r>
            <w:r>
              <w:rPr>
                <w:rFonts w:ascii="宋体" w:hAnsi="宋体" w:eastAsia="宋体" w:cs="宋体"/>
                <w:color w:val="auto"/>
                <w:spacing w:val="0"/>
                <w:w w:val="100"/>
                <w:position w:val="0"/>
                <w:sz w:val="21"/>
                <w:szCs w:val="21"/>
                <w:u w:val="none" w:color="auto"/>
              </w:rPr>
              <w:t>（</w:t>
            </w:r>
            <w:r>
              <w:rPr>
                <w:rFonts w:ascii="Times New Roman" w:hAnsi="Times New Roman" w:eastAsia="Times New Roman" w:cs="Times New Roman"/>
                <w:color w:val="auto"/>
                <w:spacing w:val="0"/>
                <w:w w:val="100"/>
                <w:position w:val="0"/>
                <w:sz w:val="21"/>
                <w:szCs w:val="21"/>
                <w:u w:val="none" w:color="auto"/>
              </w:rPr>
              <w:t>t/a</w:t>
            </w:r>
            <w:r>
              <w:rPr>
                <w:rFonts w:ascii="宋体" w:hAnsi="宋体" w:eastAsia="宋体" w:cs="宋体"/>
                <w:color w:val="auto"/>
                <w:spacing w:val="0"/>
                <w:w w:val="100"/>
                <w:position w:val="0"/>
                <w:sz w:val="21"/>
                <w:szCs w:val="21"/>
                <w:u w:val="none" w:color="auto"/>
              </w:rPr>
              <w:t>）</w:t>
            </w:r>
          </w:p>
        </w:tc>
        <w:tc>
          <w:tcPr>
            <w:tcW w:w="1253" w:type="pct"/>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排放浓度</w:t>
            </w:r>
            <w:r>
              <w:rPr>
                <w:rFonts w:ascii="Times New Roman" w:hAnsi="Times New Roman" w:eastAsia="Times New Roman" w:cs="Times New Roman"/>
                <w:color w:val="auto"/>
                <w:spacing w:val="0"/>
                <w:w w:val="100"/>
                <w:position w:val="0"/>
                <w:sz w:val="21"/>
                <w:szCs w:val="21"/>
                <w:u w:val="none" w:color="auto"/>
              </w:rPr>
              <w:t>/</w:t>
            </w:r>
            <w:r>
              <w:rPr>
                <w:rFonts w:ascii="宋体" w:hAnsi="宋体" w:eastAsia="宋体" w:cs="宋体"/>
                <w:color w:val="auto"/>
                <w:spacing w:val="0"/>
                <w:w w:val="100"/>
                <w:position w:val="0"/>
                <w:sz w:val="21"/>
                <w:szCs w:val="21"/>
                <w:u w:val="none" w:color="auto"/>
              </w:rPr>
              <w:t>（</w:t>
            </w:r>
            <w:r>
              <w:rPr>
                <w:rFonts w:ascii="Times New Roman" w:hAnsi="Times New Roman" w:eastAsia="Times New Roman" w:cs="Times New Roman"/>
                <w:color w:val="auto"/>
                <w:spacing w:val="0"/>
                <w:w w:val="100"/>
                <w:position w:val="0"/>
                <w:sz w:val="21"/>
                <w:szCs w:val="21"/>
                <w:u w:val="none" w:color="auto"/>
              </w:rPr>
              <w:t>mg/L</w:t>
            </w:r>
            <w:r>
              <w:rPr>
                <w:rFonts w:ascii="宋体" w:hAnsi="宋体" w:eastAsia="宋体" w:cs="宋体"/>
                <w:color w:val="auto"/>
                <w:spacing w:val="0"/>
                <w:w w:val="100"/>
                <w:position w:val="0"/>
                <w:sz w:val="21"/>
                <w:szCs w:val="21"/>
                <w:u w:val="none" w:color="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p>
        </w:tc>
        <w:tc>
          <w:tcPr>
            <w:tcW w:w="1410" w:type="pct"/>
            <w:gridSpan w:val="4"/>
            <w:tcBorders>
              <w:tl2br w:val="nil"/>
              <w:tr2bl w:val="nil"/>
            </w:tcBorders>
            <w:shd w:val="clear" w:color="auto" w:fill="auto"/>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en-US" w:bidi="ar-SA"/>
              </w:rPr>
            </w:pPr>
            <w:r>
              <w:rPr>
                <w:rFonts w:hint="default" w:ascii="Times New Roman" w:hAnsi="Times New Roman" w:cs="Times New Roman"/>
                <w:color w:val="auto"/>
                <w:spacing w:val="0"/>
                <w:position w:val="0"/>
                <w:sz w:val="21"/>
                <w:szCs w:val="21"/>
              </w:rPr>
              <w:t>（</w:t>
            </w:r>
            <w:r>
              <w:rPr>
                <w:rFonts w:hint="default" w:ascii="Times New Roman" w:hAnsi="Times New Roman" w:eastAsia="Times New Roman" w:cs="Times New Roman"/>
                <w:color w:val="auto"/>
                <w:spacing w:val="0"/>
                <w:position w:val="0"/>
                <w:sz w:val="21"/>
                <w:szCs w:val="21"/>
              </w:rPr>
              <w:t>COD</w:t>
            </w:r>
            <w:r>
              <w:rPr>
                <w:rFonts w:hint="default" w:ascii="Times New Roman" w:hAnsi="Times New Roman" w:cs="Times New Roman"/>
                <w:color w:val="auto"/>
                <w:spacing w:val="0"/>
                <w:position w:val="0"/>
                <w:sz w:val="21"/>
                <w:szCs w:val="21"/>
              </w:rPr>
              <w:t>）</w:t>
            </w:r>
          </w:p>
        </w:tc>
        <w:tc>
          <w:tcPr>
            <w:tcW w:w="2346" w:type="dxa"/>
            <w:gridSpan w:val="7"/>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Times New Roman" w:cs="Times New Roman"/>
                <w:color w:val="auto"/>
                <w:spacing w:val="0"/>
                <w:position w:val="0"/>
                <w:sz w:val="21"/>
                <w:szCs w:val="21"/>
                <w:lang w:val="en-US" w:eastAsia="zh-CN"/>
              </w:rPr>
            </w:pPr>
            <w:r>
              <w:rPr>
                <w:rFonts w:hint="eastAsia" w:ascii="Times New Roman" w:hAnsi="Times New Roman" w:eastAsia="Times New Roman" w:cs="Times New Roman"/>
                <w:color w:val="auto"/>
                <w:spacing w:val="0"/>
                <w:position w:val="0"/>
                <w:sz w:val="21"/>
                <w:szCs w:val="21"/>
                <w:lang w:val="en-US" w:eastAsia="zh-CN"/>
              </w:rPr>
              <w:t xml:space="preserve">0.222 </w:t>
            </w:r>
          </w:p>
        </w:tc>
        <w:tc>
          <w:tcPr>
            <w:tcW w:w="1253" w:type="pct"/>
            <w:gridSpan w:val="4"/>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cs="Times New Roman"/>
                <w:color w:val="auto"/>
                <w:spacing w:val="0"/>
                <w:position w:val="0"/>
                <w:sz w:val="21"/>
                <w:szCs w:val="21"/>
              </w:rPr>
              <w:t>（</w:t>
            </w:r>
            <w:r>
              <w:rPr>
                <w:rFonts w:hint="eastAsia" w:ascii="Times New Roman" w:hAnsi="Times New Roman" w:eastAsia="宋体" w:cs="Times New Roman"/>
                <w:color w:val="auto"/>
                <w:spacing w:val="0"/>
                <w:position w:val="0"/>
                <w:sz w:val="21"/>
                <w:szCs w:val="21"/>
                <w:lang w:val="en-US" w:eastAsia="zh-CN"/>
              </w:rPr>
              <w:t>4</w:t>
            </w:r>
            <w:r>
              <w:rPr>
                <w:rFonts w:hint="default" w:ascii="Times New Roman" w:hAnsi="Times New Roman" w:eastAsia="Times New Roman" w:cs="Times New Roman"/>
                <w:color w:val="auto"/>
                <w:spacing w:val="0"/>
                <w:position w:val="0"/>
                <w:sz w:val="21"/>
                <w:szCs w:val="21"/>
              </w:rPr>
              <w:t>0</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p>
        </w:tc>
        <w:tc>
          <w:tcPr>
            <w:tcW w:w="1410" w:type="pct"/>
            <w:gridSpan w:val="4"/>
            <w:tcBorders>
              <w:tl2br w:val="nil"/>
              <w:tr2bl w:val="nil"/>
            </w:tcBorders>
            <w:shd w:val="clear" w:color="auto" w:fill="auto"/>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en-US" w:bidi="ar-SA"/>
              </w:rPr>
            </w:pPr>
            <w:r>
              <w:rPr>
                <w:rFonts w:hint="default" w:ascii="Times New Roman" w:hAnsi="Times New Roman" w:cs="Times New Roman"/>
                <w:color w:val="auto"/>
                <w:spacing w:val="0"/>
                <w:position w:val="0"/>
                <w:sz w:val="21"/>
                <w:szCs w:val="21"/>
              </w:rPr>
              <w:t>（</w:t>
            </w:r>
            <w:r>
              <w:rPr>
                <w:rFonts w:hint="default" w:ascii="Times New Roman" w:hAnsi="Times New Roman" w:eastAsia="Times New Roman" w:cs="Times New Roman"/>
                <w:color w:val="auto"/>
                <w:spacing w:val="0"/>
                <w:position w:val="0"/>
                <w:sz w:val="21"/>
                <w:szCs w:val="21"/>
              </w:rPr>
              <w:t>BOD</w:t>
            </w:r>
            <w:r>
              <w:rPr>
                <w:rFonts w:hint="default" w:ascii="Times New Roman" w:hAnsi="Times New Roman" w:eastAsia="Times New Roman" w:cs="Times New Roman"/>
                <w:color w:val="auto"/>
                <w:spacing w:val="0"/>
                <w:position w:val="0"/>
                <w:sz w:val="21"/>
                <w:szCs w:val="21"/>
                <w:vertAlign w:val="subscript"/>
              </w:rPr>
              <w:t>5</w:t>
            </w:r>
            <w:r>
              <w:rPr>
                <w:rFonts w:hint="default" w:ascii="Times New Roman" w:hAnsi="Times New Roman" w:cs="Times New Roman"/>
                <w:color w:val="auto"/>
                <w:spacing w:val="0"/>
                <w:position w:val="0"/>
                <w:sz w:val="21"/>
                <w:szCs w:val="21"/>
              </w:rPr>
              <w:t>）</w:t>
            </w:r>
          </w:p>
        </w:tc>
        <w:tc>
          <w:tcPr>
            <w:tcW w:w="2346" w:type="dxa"/>
            <w:gridSpan w:val="7"/>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Times New Roman" w:cs="Times New Roman"/>
                <w:color w:val="auto"/>
                <w:spacing w:val="0"/>
                <w:position w:val="0"/>
                <w:sz w:val="21"/>
                <w:szCs w:val="21"/>
                <w:lang w:val="en-US" w:eastAsia="zh-CN"/>
              </w:rPr>
            </w:pPr>
            <w:r>
              <w:rPr>
                <w:rFonts w:hint="eastAsia" w:ascii="Times New Roman" w:hAnsi="Times New Roman" w:eastAsia="Times New Roman" w:cs="Times New Roman"/>
                <w:color w:val="auto"/>
                <w:spacing w:val="0"/>
                <w:position w:val="0"/>
                <w:sz w:val="21"/>
                <w:szCs w:val="21"/>
                <w:lang w:val="en-US" w:eastAsia="zh-CN"/>
              </w:rPr>
              <w:t xml:space="preserve">0.056 </w:t>
            </w:r>
          </w:p>
        </w:tc>
        <w:tc>
          <w:tcPr>
            <w:tcW w:w="1253" w:type="pct"/>
            <w:gridSpan w:val="4"/>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cs="Times New Roman"/>
                <w:color w:val="auto"/>
                <w:spacing w:val="0"/>
                <w:position w:val="0"/>
                <w:sz w:val="21"/>
                <w:szCs w:val="21"/>
              </w:rPr>
              <w:t>（</w:t>
            </w:r>
            <w:r>
              <w:rPr>
                <w:rFonts w:hint="default" w:ascii="Times New Roman" w:hAnsi="Times New Roman" w:eastAsia="Times New Roman" w:cs="Times New Roman"/>
                <w:color w:val="auto"/>
                <w:spacing w:val="0"/>
                <w:position w:val="0"/>
                <w:sz w:val="21"/>
                <w:szCs w:val="21"/>
              </w:rPr>
              <w:t>10</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p>
        </w:tc>
        <w:tc>
          <w:tcPr>
            <w:tcW w:w="1410" w:type="pct"/>
            <w:gridSpan w:val="4"/>
            <w:tcBorders>
              <w:tl2br w:val="nil"/>
              <w:tr2bl w:val="nil"/>
            </w:tcBorders>
            <w:shd w:val="clear" w:color="auto" w:fill="auto"/>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en-US" w:bidi="ar-SA"/>
              </w:rPr>
            </w:pPr>
            <w:r>
              <w:rPr>
                <w:rFonts w:hint="default" w:ascii="Times New Roman" w:hAnsi="Times New Roman" w:cs="Times New Roman"/>
                <w:color w:val="auto"/>
                <w:spacing w:val="0"/>
                <w:position w:val="0"/>
                <w:sz w:val="21"/>
                <w:szCs w:val="21"/>
              </w:rPr>
              <w:t>（</w:t>
            </w:r>
            <w:r>
              <w:rPr>
                <w:rFonts w:hint="default" w:ascii="Times New Roman" w:hAnsi="Times New Roman" w:eastAsia="Times New Roman" w:cs="Times New Roman"/>
                <w:color w:val="auto"/>
                <w:spacing w:val="0"/>
                <w:position w:val="0"/>
                <w:sz w:val="21"/>
                <w:szCs w:val="21"/>
              </w:rPr>
              <w:t>SS</w:t>
            </w:r>
            <w:r>
              <w:rPr>
                <w:rFonts w:hint="default" w:ascii="Times New Roman" w:hAnsi="Times New Roman" w:cs="Times New Roman"/>
                <w:color w:val="auto"/>
                <w:spacing w:val="0"/>
                <w:position w:val="0"/>
                <w:sz w:val="21"/>
                <w:szCs w:val="21"/>
              </w:rPr>
              <w:t>）</w:t>
            </w:r>
          </w:p>
        </w:tc>
        <w:tc>
          <w:tcPr>
            <w:tcW w:w="2346" w:type="dxa"/>
            <w:gridSpan w:val="7"/>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Times New Roman" w:cs="Times New Roman"/>
                <w:color w:val="auto"/>
                <w:spacing w:val="0"/>
                <w:position w:val="0"/>
                <w:sz w:val="21"/>
                <w:szCs w:val="21"/>
              </w:rPr>
            </w:pPr>
            <w:r>
              <w:rPr>
                <w:rFonts w:hint="eastAsia" w:ascii="Times New Roman" w:hAnsi="Times New Roman" w:eastAsia="Times New Roman" w:cs="Times New Roman"/>
                <w:color w:val="auto"/>
                <w:spacing w:val="0"/>
                <w:position w:val="0"/>
                <w:sz w:val="21"/>
                <w:szCs w:val="21"/>
                <w:lang w:val="en-US" w:eastAsia="zh-CN"/>
              </w:rPr>
              <w:t xml:space="preserve">0.056 </w:t>
            </w:r>
          </w:p>
        </w:tc>
        <w:tc>
          <w:tcPr>
            <w:tcW w:w="1253" w:type="pct"/>
            <w:gridSpan w:val="4"/>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cs="Times New Roman"/>
                <w:color w:val="auto"/>
                <w:spacing w:val="0"/>
                <w:position w:val="0"/>
                <w:sz w:val="21"/>
                <w:szCs w:val="21"/>
              </w:rPr>
              <w:t>（</w:t>
            </w:r>
            <w:r>
              <w:rPr>
                <w:rFonts w:hint="default" w:ascii="Times New Roman" w:hAnsi="Times New Roman" w:eastAsia="Times New Roman" w:cs="Times New Roman"/>
                <w:color w:val="auto"/>
                <w:spacing w:val="0"/>
                <w:position w:val="0"/>
                <w:sz w:val="21"/>
                <w:szCs w:val="21"/>
              </w:rPr>
              <w:t>10</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position w:val="0"/>
                <w:sz w:val="21"/>
                <w:szCs w:val="21"/>
                <w:u w:val="none" w:color="auto"/>
              </w:rPr>
            </w:pPr>
          </w:p>
        </w:tc>
        <w:tc>
          <w:tcPr>
            <w:tcW w:w="1410" w:type="pct"/>
            <w:gridSpan w:val="4"/>
            <w:tcBorders>
              <w:tl2br w:val="nil"/>
              <w:tr2bl w:val="nil"/>
            </w:tcBorders>
            <w:shd w:val="clear" w:color="auto" w:fill="auto"/>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en-US" w:bidi="ar-SA"/>
              </w:rPr>
            </w:pPr>
            <w:r>
              <w:rPr>
                <w:rFonts w:hint="default" w:ascii="Times New Roman" w:hAnsi="Times New Roman" w:cs="Times New Roman"/>
                <w:color w:val="auto"/>
                <w:spacing w:val="0"/>
                <w:position w:val="0"/>
                <w:sz w:val="21"/>
                <w:szCs w:val="21"/>
              </w:rPr>
              <w:t>（氨氮）</w:t>
            </w:r>
          </w:p>
        </w:tc>
        <w:tc>
          <w:tcPr>
            <w:tcW w:w="2346" w:type="dxa"/>
            <w:gridSpan w:val="7"/>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Times New Roman" w:cs="Times New Roman"/>
                <w:color w:val="auto"/>
                <w:spacing w:val="0"/>
                <w:position w:val="0"/>
                <w:sz w:val="21"/>
                <w:szCs w:val="21"/>
                <w:lang w:val="en-US" w:eastAsia="zh-CN"/>
              </w:rPr>
            </w:pPr>
            <w:r>
              <w:rPr>
                <w:rFonts w:hint="eastAsia" w:ascii="Times New Roman" w:hAnsi="Times New Roman" w:eastAsia="Times New Roman" w:cs="Times New Roman"/>
                <w:color w:val="auto"/>
                <w:spacing w:val="0"/>
                <w:position w:val="0"/>
                <w:sz w:val="21"/>
                <w:szCs w:val="21"/>
                <w:lang w:val="en-US" w:eastAsia="zh-CN"/>
              </w:rPr>
              <w:t xml:space="preserve">0.017 </w:t>
            </w:r>
          </w:p>
        </w:tc>
        <w:tc>
          <w:tcPr>
            <w:tcW w:w="1253" w:type="pct"/>
            <w:gridSpan w:val="4"/>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宋体" w:cs="Times New Roman"/>
                <w:snapToGrid w:val="0"/>
                <w:color w:val="auto"/>
                <w:spacing w:val="0"/>
                <w:w w:val="100"/>
                <w:kern w:val="0"/>
                <w:position w:val="0"/>
                <w:sz w:val="21"/>
                <w:szCs w:val="21"/>
                <w:u w:val="none" w:color="auto"/>
                <w:lang w:val="en-US" w:eastAsia="en-US" w:bidi="ar-SA"/>
              </w:rPr>
            </w:pPr>
            <w:r>
              <w:rPr>
                <w:rFonts w:hint="default" w:ascii="Times New Roman" w:hAnsi="Times New Roman" w:cs="Times New Roman"/>
                <w:color w:val="auto"/>
                <w:spacing w:val="0"/>
                <w:position w:val="0"/>
                <w:sz w:val="21"/>
                <w:szCs w:val="21"/>
              </w:rPr>
              <w:t>（</w:t>
            </w:r>
            <w:r>
              <w:rPr>
                <w:rFonts w:hint="eastAsia" w:ascii="Times New Roman" w:hAnsi="Times New Roman" w:cs="Times New Roman"/>
                <w:color w:val="auto"/>
                <w:spacing w:val="0"/>
                <w:position w:val="0"/>
                <w:sz w:val="21"/>
                <w:szCs w:val="21"/>
                <w:lang w:val="en-US" w:eastAsia="zh-CN"/>
              </w:rPr>
              <w:t>3</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position w:val="0"/>
                <w:sz w:val="21"/>
                <w:szCs w:val="21"/>
                <w:u w:val="none" w:color="auto"/>
              </w:rPr>
            </w:pPr>
          </w:p>
        </w:tc>
        <w:tc>
          <w:tcPr>
            <w:tcW w:w="1410" w:type="pct"/>
            <w:gridSpan w:val="4"/>
            <w:tcBorders>
              <w:tl2br w:val="nil"/>
              <w:tr2bl w:val="nil"/>
            </w:tcBorders>
            <w:shd w:val="clear" w:color="auto" w:fill="auto"/>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zh-CN" w:bidi="ar-SA"/>
              </w:rPr>
            </w:pPr>
            <w:r>
              <w:rPr>
                <w:rFonts w:hint="eastAsia" w:ascii="Times New Roman" w:hAnsi="Times New Roman" w:cs="Times New Roman"/>
                <w:snapToGrid w:val="0"/>
                <w:color w:val="auto"/>
                <w:spacing w:val="0"/>
                <w:kern w:val="0"/>
                <w:position w:val="0"/>
                <w:sz w:val="21"/>
                <w:szCs w:val="21"/>
                <w:lang w:val="en-US" w:eastAsia="zh-CN" w:bidi="ar-SA"/>
              </w:rPr>
              <w:t>动植物油</w:t>
            </w:r>
          </w:p>
        </w:tc>
        <w:tc>
          <w:tcPr>
            <w:tcW w:w="2346" w:type="dxa"/>
            <w:gridSpan w:val="7"/>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default" w:ascii="Times New Roman" w:hAnsi="Times New Roman" w:eastAsia="Times New Roman" w:cs="Times New Roman"/>
                <w:color w:val="auto"/>
                <w:spacing w:val="0"/>
                <w:position w:val="0"/>
                <w:sz w:val="21"/>
                <w:szCs w:val="21"/>
                <w:lang w:val="en-US" w:eastAsia="zh-CN"/>
              </w:rPr>
            </w:pPr>
            <w:r>
              <w:rPr>
                <w:rFonts w:hint="eastAsia" w:ascii="Times New Roman" w:hAnsi="Times New Roman" w:eastAsia="Times New Roman" w:cs="Times New Roman"/>
                <w:color w:val="auto"/>
                <w:spacing w:val="0"/>
                <w:position w:val="0"/>
                <w:sz w:val="21"/>
                <w:szCs w:val="21"/>
                <w:lang w:val="en-US" w:eastAsia="zh-CN"/>
              </w:rPr>
              <w:t xml:space="preserve">0.006 </w:t>
            </w:r>
          </w:p>
        </w:tc>
        <w:tc>
          <w:tcPr>
            <w:tcW w:w="1253" w:type="pct"/>
            <w:gridSpan w:val="4"/>
            <w:tcBorders>
              <w:tl2br w:val="nil"/>
              <w:tr2bl w:val="nil"/>
            </w:tcBorders>
            <w:noWrap w:val="0"/>
            <w:vAlign w:val="center"/>
          </w:tcPr>
          <w:p>
            <w:pPr>
              <w:pStyle w:val="30"/>
              <w:keepNext w:val="0"/>
              <w:keepLines w:val="0"/>
              <w:pageBreakBefore w:val="0"/>
              <w:widowControl/>
              <w:wordWrap/>
              <w:overflowPunct/>
              <w:autoSpaceDE w:val="0"/>
              <w:autoSpaceDN w:val="0"/>
              <w:bidi w:val="0"/>
              <w:adjustRightInd w:val="0"/>
              <w:snapToGrid w:val="0"/>
              <w:ind w:left="0" w:leftChars="0"/>
              <w:jc w:val="center"/>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cs="Times New Roman"/>
                <w:color w:val="auto"/>
                <w:spacing w:val="0"/>
                <w:w w:val="100"/>
                <w:position w:val="0"/>
                <w:sz w:val="21"/>
                <w:szCs w:val="21"/>
                <w:u w:val="none" w:color="auto"/>
                <w:lang w:eastAsia="zh-CN"/>
              </w:rPr>
              <w:t>（</w:t>
            </w:r>
            <w:r>
              <w:rPr>
                <w:rFonts w:hint="eastAsia" w:ascii="Times New Roman" w:hAnsi="Times New Roman" w:cs="Times New Roman"/>
                <w:color w:val="auto"/>
                <w:spacing w:val="0"/>
                <w:w w:val="100"/>
                <w:position w:val="0"/>
                <w:sz w:val="21"/>
                <w:szCs w:val="21"/>
                <w:u w:val="none" w:color="auto"/>
                <w:lang w:val="en-US" w:eastAsia="zh-CN"/>
              </w:rPr>
              <w:t>1</w:t>
            </w:r>
            <w:r>
              <w:rPr>
                <w:rFonts w:hint="eastAsia" w:ascii="Times New Roman" w:hAnsi="Times New Roman"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vAlign w:val="top"/>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color w:val="auto"/>
                <w:spacing w:val="0"/>
                <w:w w:val="100"/>
                <w:position w:val="0"/>
                <w:sz w:val="21"/>
                <w:szCs w:val="21"/>
                <w:u w:val="none" w:color="auto"/>
              </w:rPr>
            </w:pPr>
          </w:p>
        </w:tc>
        <w:tc>
          <w:tcPr>
            <w:tcW w:w="748" w:type="pct"/>
            <w:vMerge w:val="restart"/>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替代源排放情况</w:t>
            </w:r>
          </w:p>
        </w:tc>
        <w:tc>
          <w:tcPr>
            <w:tcW w:w="847" w:type="pct"/>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污染源名称</w:t>
            </w:r>
          </w:p>
        </w:tc>
        <w:tc>
          <w:tcPr>
            <w:tcW w:w="843" w:type="pct"/>
            <w:gridSpan w:val="5"/>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排污许可证编号</w:t>
            </w:r>
          </w:p>
        </w:tc>
        <w:tc>
          <w:tcPr>
            <w:tcW w:w="846" w:type="pct"/>
            <w:gridSpan w:val="4"/>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污染物名称</w:t>
            </w:r>
          </w:p>
        </w:tc>
        <w:tc>
          <w:tcPr>
            <w:tcW w:w="844" w:type="pct"/>
            <w:gridSpan w:val="4"/>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排放量</w:t>
            </w:r>
            <w:r>
              <w:rPr>
                <w:rFonts w:ascii="Times New Roman" w:hAnsi="Times New Roman" w:eastAsia="Times New Roman" w:cs="Times New Roman"/>
                <w:color w:val="auto"/>
                <w:spacing w:val="0"/>
                <w:w w:val="100"/>
                <w:position w:val="0"/>
                <w:sz w:val="21"/>
                <w:szCs w:val="21"/>
                <w:u w:val="none" w:color="auto"/>
              </w:rPr>
              <w:t>/</w:t>
            </w:r>
            <w:r>
              <w:rPr>
                <w:rFonts w:ascii="宋体" w:hAnsi="宋体" w:eastAsia="宋体" w:cs="宋体"/>
                <w:color w:val="auto"/>
                <w:spacing w:val="0"/>
                <w:w w:val="100"/>
                <w:position w:val="0"/>
                <w:sz w:val="21"/>
                <w:szCs w:val="21"/>
                <w:u w:val="none" w:color="auto"/>
              </w:rPr>
              <w:t>（</w:t>
            </w:r>
            <w:r>
              <w:rPr>
                <w:rFonts w:ascii="Times New Roman" w:hAnsi="Times New Roman" w:eastAsia="Times New Roman" w:cs="Times New Roman"/>
                <w:color w:val="auto"/>
                <w:spacing w:val="0"/>
                <w:w w:val="100"/>
                <w:position w:val="0"/>
                <w:sz w:val="21"/>
                <w:szCs w:val="21"/>
                <w:u w:val="none" w:color="auto"/>
              </w:rPr>
              <w:t>t/a</w:t>
            </w:r>
            <w:r>
              <w:rPr>
                <w:rFonts w:ascii="宋体" w:hAnsi="宋体" w:eastAsia="宋体" w:cs="宋体"/>
                <w:color w:val="auto"/>
                <w:spacing w:val="0"/>
                <w:w w:val="100"/>
                <w:position w:val="0"/>
                <w:sz w:val="21"/>
                <w:szCs w:val="21"/>
                <w:u w:val="none" w:color="auto"/>
              </w:rPr>
              <w:t>）</w:t>
            </w:r>
          </w:p>
        </w:tc>
        <w:tc>
          <w:tcPr>
            <w:tcW w:w="692" w:type="pct"/>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排放浓度</w:t>
            </w:r>
            <w:r>
              <w:rPr>
                <w:rFonts w:ascii="Times New Roman" w:hAnsi="Times New Roman" w:eastAsia="Times New Roman" w:cs="Times New Roman"/>
                <w:color w:val="auto"/>
                <w:spacing w:val="0"/>
                <w:w w:val="100"/>
                <w:position w:val="0"/>
                <w:sz w:val="21"/>
                <w:szCs w:val="21"/>
                <w:u w:val="none" w:color="auto"/>
              </w:rPr>
              <w:t>/</w:t>
            </w:r>
            <w:r>
              <w:rPr>
                <w:rFonts w:ascii="宋体" w:hAnsi="宋体" w:eastAsia="宋体" w:cs="宋体"/>
                <w:color w:val="auto"/>
                <w:spacing w:val="0"/>
                <w:w w:val="100"/>
                <w:position w:val="0"/>
                <w:sz w:val="21"/>
                <w:szCs w:val="21"/>
                <w:u w:val="none" w:color="auto"/>
              </w:rPr>
              <w:t>（</w:t>
            </w:r>
            <w:r>
              <w:rPr>
                <w:rFonts w:ascii="Times New Roman" w:hAnsi="Times New Roman" w:eastAsia="Times New Roman" w:cs="Times New Roman"/>
                <w:color w:val="auto"/>
                <w:spacing w:val="0"/>
                <w:w w:val="100"/>
                <w:position w:val="0"/>
                <w:sz w:val="21"/>
                <w:szCs w:val="21"/>
                <w:u w:val="none" w:color="auto"/>
              </w:rPr>
              <w:t>mg/L</w:t>
            </w:r>
            <w:r>
              <w:rPr>
                <w:rFonts w:ascii="宋体" w:hAnsi="宋体" w:eastAsia="宋体" w:cs="宋体"/>
                <w:color w:val="auto"/>
                <w:spacing w:val="0"/>
                <w:w w:val="100"/>
                <w:position w:val="0"/>
                <w:sz w:val="21"/>
                <w:szCs w:val="21"/>
                <w:u w:val="none" w:color="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vAlign w:val="top"/>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top"/>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color w:val="auto"/>
                <w:spacing w:val="0"/>
                <w:w w:val="100"/>
                <w:position w:val="0"/>
                <w:sz w:val="21"/>
                <w:szCs w:val="21"/>
                <w:u w:val="none" w:color="auto"/>
              </w:rPr>
            </w:pPr>
          </w:p>
        </w:tc>
        <w:tc>
          <w:tcPr>
            <w:tcW w:w="847" w:type="pct"/>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p>
        </w:tc>
        <w:tc>
          <w:tcPr>
            <w:tcW w:w="843" w:type="pct"/>
            <w:gridSpan w:val="5"/>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p>
        </w:tc>
        <w:tc>
          <w:tcPr>
            <w:tcW w:w="846" w:type="pct"/>
            <w:gridSpan w:val="4"/>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p>
        </w:tc>
        <w:tc>
          <w:tcPr>
            <w:tcW w:w="844" w:type="pct"/>
            <w:gridSpan w:val="4"/>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p>
        </w:tc>
        <w:tc>
          <w:tcPr>
            <w:tcW w:w="692" w:type="pct"/>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vAlign w:val="top"/>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color w:val="auto"/>
                <w:spacing w:val="0"/>
                <w:w w:val="100"/>
                <w:position w:val="0"/>
                <w:sz w:val="21"/>
                <w:szCs w:val="21"/>
                <w:u w:val="none" w:color="auto"/>
              </w:rPr>
            </w:pPr>
          </w:p>
        </w:tc>
        <w:tc>
          <w:tcPr>
            <w:tcW w:w="748" w:type="pct"/>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生态流量确定</w:t>
            </w:r>
          </w:p>
        </w:tc>
        <w:tc>
          <w:tcPr>
            <w:tcW w:w="4073" w:type="pct"/>
            <w:gridSpan w:val="15"/>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Times New Roman" w:hAnsi="Times New Roman" w:eastAsia="Times New Roman" w:cs="Times New Roman"/>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生态流量：一般水期（）</w:t>
            </w:r>
            <w:r>
              <w:rPr>
                <w:rFonts w:ascii="Times New Roman" w:hAnsi="Times New Roman" w:eastAsia="Times New Roman" w:cs="Times New Roman"/>
                <w:color w:val="auto"/>
                <w:spacing w:val="0"/>
                <w:w w:val="100"/>
                <w:position w:val="0"/>
                <w:sz w:val="21"/>
                <w:szCs w:val="21"/>
                <w:u w:val="none" w:color="auto"/>
              </w:rPr>
              <w:t>m</w:t>
            </w:r>
            <w:r>
              <w:rPr>
                <w:rFonts w:hint="eastAsia" w:ascii="Times New Roman" w:hAnsi="Times New Roman" w:eastAsia="宋体" w:cs="Times New Roman"/>
                <w:color w:val="auto"/>
                <w:spacing w:val="0"/>
                <w:w w:val="100"/>
                <w:position w:val="0"/>
                <w:sz w:val="21"/>
                <w:szCs w:val="21"/>
                <w:u w:val="none" w:color="auto"/>
                <w:vertAlign w:val="superscript"/>
                <w:lang w:val="en-US" w:eastAsia="zh-CN"/>
              </w:rPr>
              <w:t>3</w:t>
            </w:r>
            <w:r>
              <w:rPr>
                <w:rFonts w:ascii="Times New Roman" w:hAnsi="Times New Roman" w:eastAsia="Times New Roman" w:cs="Times New Roman"/>
                <w:color w:val="auto"/>
                <w:spacing w:val="0"/>
                <w:w w:val="100"/>
                <w:position w:val="0"/>
                <w:sz w:val="21"/>
                <w:szCs w:val="21"/>
                <w:u w:val="none" w:color="auto"/>
              </w:rPr>
              <w:t>/s</w:t>
            </w:r>
            <w:r>
              <w:rPr>
                <w:rFonts w:ascii="宋体" w:hAnsi="宋体" w:eastAsia="宋体" w:cs="宋体"/>
                <w:color w:val="auto"/>
                <w:spacing w:val="0"/>
                <w:w w:val="100"/>
                <w:position w:val="0"/>
                <w:sz w:val="21"/>
                <w:szCs w:val="21"/>
                <w:u w:val="none" w:color="auto"/>
              </w:rPr>
              <w:t>；鱼类繁殖期（）</w:t>
            </w:r>
            <w:r>
              <w:rPr>
                <w:rFonts w:ascii="Times New Roman" w:hAnsi="Times New Roman" w:eastAsia="Times New Roman" w:cs="Times New Roman"/>
                <w:color w:val="auto"/>
                <w:spacing w:val="0"/>
                <w:w w:val="100"/>
                <w:position w:val="0"/>
                <w:sz w:val="21"/>
                <w:szCs w:val="21"/>
                <w:u w:val="none" w:color="auto"/>
              </w:rPr>
              <w:t>m</w:t>
            </w:r>
            <w:r>
              <w:rPr>
                <w:rFonts w:hint="eastAsia" w:ascii="Times New Roman" w:hAnsi="Times New Roman" w:eastAsia="宋体" w:cs="Times New Roman"/>
                <w:color w:val="auto"/>
                <w:spacing w:val="0"/>
                <w:w w:val="100"/>
                <w:position w:val="0"/>
                <w:sz w:val="21"/>
                <w:szCs w:val="21"/>
                <w:u w:val="none" w:color="auto"/>
                <w:vertAlign w:val="superscript"/>
                <w:lang w:val="en-US" w:eastAsia="zh-CN"/>
              </w:rPr>
              <w:t>3</w:t>
            </w:r>
            <w:r>
              <w:rPr>
                <w:rFonts w:ascii="Times New Roman" w:hAnsi="Times New Roman" w:eastAsia="Times New Roman" w:cs="Times New Roman"/>
                <w:color w:val="auto"/>
                <w:spacing w:val="0"/>
                <w:w w:val="100"/>
                <w:position w:val="0"/>
                <w:sz w:val="21"/>
                <w:szCs w:val="21"/>
                <w:u w:val="none" w:color="auto"/>
              </w:rPr>
              <w:t>/s</w:t>
            </w:r>
            <w:r>
              <w:rPr>
                <w:rFonts w:ascii="宋体" w:hAnsi="宋体" w:eastAsia="宋体" w:cs="宋体"/>
                <w:color w:val="auto"/>
                <w:spacing w:val="0"/>
                <w:w w:val="100"/>
                <w:position w:val="0"/>
                <w:sz w:val="21"/>
                <w:szCs w:val="21"/>
                <w:u w:val="none" w:color="auto"/>
              </w:rPr>
              <w:t>；其他（）</w:t>
            </w:r>
            <w:r>
              <w:rPr>
                <w:rFonts w:ascii="Times New Roman" w:hAnsi="Times New Roman" w:eastAsia="Times New Roman" w:cs="Times New Roman"/>
                <w:color w:val="auto"/>
                <w:spacing w:val="0"/>
                <w:w w:val="100"/>
                <w:position w:val="0"/>
                <w:sz w:val="21"/>
                <w:szCs w:val="21"/>
                <w:u w:val="none" w:color="auto"/>
              </w:rPr>
              <w:t>m</w:t>
            </w:r>
            <w:r>
              <w:rPr>
                <w:rFonts w:hint="eastAsia" w:ascii="Times New Roman" w:hAnsi="Times New Roman" w:eastAsia="宋体" w:cs="Times New Roman"/>
                <w:color w:val="auto"/>
                <w:spacing w:val="0"/>
                <w:w w:val="100"/>
                <w:position w:val="0"/>
                <w:sz w:val="21"/>
                <w:szCs w:val="21"/>
                <w:u w:val="none" w:color="auto"/>
                <w:vertAlign w:val="superscript"/>
                <w:lang w:val="en-US" w:eastAsia="zh-CN"/>
              </w:rPr>
              <w:t>3</w:t>
            </w:r>
            <w:r>
              <w:rPr>
                <w:rFonts w:ascii="Times New Roman" w:hAnsi="Times New Roman" w:eastAsia="Times New Roman" w:cs="Times New Roman"/>
                <w:color w:val="auto"/>
                <w:spacing w:val="0"/>
                <w:w w:val="100"/>
                <w:position w:val="0"/>
                <w:sz w:val="21"/>
                <w:szCs w:val="21"/>
                <w:u w:val="none" w:color="auto"/>
              </w:rPr>
              <w:t>/s</w:t>
            </w:r>
          </w:p>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Times New Roman" w:hAnsi="Times New Roman" w:eastAsia="Times New Roman" w:cs="Times New Roman"/>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生态水位：一般水期（）</w:t>
            </w:r>
            <w:r>
              <w:rPr>
                <w:rFonts w:ascii="Times New Roman" w:hAnsi="Times New Roman" w:eastAsia="Times New Roman" w:cs="Times New Roman"/>
                <w:color w:val="auto"/>
                <w:spacing w:val="0"/>
                <w:w w:val="100"/>
                <w:position w:val="0"/>
                <w:sz w:val="21"/>
                <w:szCs w:val="21"/>
                <w:u w:val="none" w:color="auto"/>
              </w:rPr>
              <w:t>m</w:t>
            </w:r>
            <w:r>
              <w:rPr>
                <w:rFonts w:ascii="宋体" w:hAnsi="宋体" w:eastAsia="宋体" w:cs="宋体"/>
                <w:color w:val="auto"/>
                <w:spacing w:val="0"/>
                <w:w w:val="100"/>
                <w:position w:val="0"/>
                <w:sz w:val="21"/>
                <w:szCs w:val="21"/>
                <w:u w:val="none" w:color="auto"/>
              </w:rPr>
              <w:t>；鱼类繁殖期（）</w:t>
            </w:r>
            <w:r>
              <w:rPr>
                <w:rFonts w:ascii="Times New Roman" w:hAnsi="Times New Roman" w:eastAsia="Times New Roman" w:cs="Times New Roman"/>
                <w:color w:val="auto"/>
                <w:spacing w:val="0"/>
                <w:w w:val="100"/>
                <w:position w:val="0"/>
                <w:sz w:val="21"/>
                <w:szCs w:val="21"/>
                <w:u w:val="none" w:color="auto"/>
              </w:rPr>
              <w:t>m</w:t>
            </w:r>
            <w:r>
              <w:rPr>
                <w:rFonts w:ascii="宋体" w:hAnsi="宋体" w:eastAsia="宋体" w:cs="宋体"/>
                <w:color w:val="auto"/>
                <w:spacing w:val="0"/>
                <w:w w:val="100"/>
                <w:position w:val="0"/>
                <w:sz w:val="21"/>
                <w:szCs w:val="21"/>
                <w:u w:val="none" w:color="auto"/>
              </w:rPr>
              <w:t>；其他（）</w:t>
            </w:r>
            <w:r>
              <w:rPr>
                <w:rFonts w:ascii="Times New Roman" w:hAnsi="Times New Roman" w:eastAsia="Times New Roman" w:cs="Times New Roman"/>
                <w:color w:val="auto"/>
                <w:spacing w:val="0"/>
                <w:w w:val="100"/>
                <w:position w:val="0"/>
                <w:sz w:val="21"/>
                <w:szCs w:val="21"/>
                <w:u w:val="none" w:color="auto"/>
              </w:rPr>
              <w:t>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防治措施</w:t>
            </w: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环保措施</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污水处理设施</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水文减缓设施</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生态流量保障设施</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区域削减</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依托其他工程措施</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其他</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748" w:type="pct"/>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监测计划</w:t>
            </w:r>
          </w:p>
        </w:tc>
        <w:tc>
          <w:tcPr>
            <w:tcW w:w="1075" w:type="pct"/>
            <w:gridSpan w:val="2"/>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1293"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环境质量</w:t>
            </w:r>
          </w:p>
        </w:tc>
        <w:tc>
          <w:tcPr>
            <w:tcW w:w="1703" w:type="pct"/>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污染源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1075" w:type="pct"/>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监测方式</w:t>
            </w:r>
          </w:p>
        </w:tc>
        <w:tc>
          <w:tcPr>
            <w:tcW w:w="1293"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hint="eastAsia" w:eastAsia="宋体"/>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手动</w:t>
            </w:r>
            <w:r>
              <w:rPr>
                <w:rFonts w:hint="eastAsia" w:ascii="Times New Roman" w:hAnsi="Times New Roman" w:eastAsia="宋体" w:cs="Times New Roman"/>
                <w:color w:val="auto"/>
                <w:spacing w:val="0"/>
                <w:w w:val="100"/>
                <w:position w:val="0"/>
                <w:sz w:val="21"/>
                <w:szCs w:val="21"/>
                <w:u w:val="none" w:color="auto"/>
                <w:lang w:eastAsia="zh-CN"/>
              </w:rPr>
              <w:t>□</w:t>
            </w:r>
            <w:r>
              <w:rPr>
                <w:rFonts w:hint="eastAsia" w:ascii="宋体" w:hAnsi="宋体" w:eastAsia="宋体" w:cs="宋体"/>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自动</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；无监测</w:t>
            </w:r>
            <w:r>
              <w:rPr>
                <w:rFonts w:hint="eastAsia" w:ascii="Times New Roman" w:hAnsi="Times New Roman" w:eastAsia="宋体" w:cs="Times New Roman"/>
                <w:color w:val="auto"/>
                <w:spacing w:val="0"/>
                <w:w w:val="100"/>
                <w:position w:val="0"/>
                <w:sz w:val="21"/>
                <w:szCs w:val="21"/>
                <w:u w:val="none" w:color="auto"/>
                <w:lang w:eastAsia="zh-CN"/>
              </w:rPr>
              <w:t>□</w:t>
            </w:r>
          </w:p>
        </w:tc>
        <w:tc>
          <w:tcPr>
            <w:tcW w:w="1703" w:type="pct"/>
            <w:gridSpan w:val="6"/>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cs="Times New Roman"/>
                <w:color w:val="auto"/>
                <w:spacing w:val="0"/>
                <w:position w:val="0"/>
                <w:sz w:val="21"/>
                <w:szCs w:val="21"/>
              </w:rPr>
              <w:t>手动</w:t>
            </w:r>
            <w:r>
              <w:rPr>
                <w:rFonts w:hint="default" w:ascii="Times New Roman" w:hAnsi="Times New Roman" w:eastAsia="MS Gothic" w:cs="Times New Roman"/>
                <w:color w:val="auto"/>
                <w:spacing w:val="0"/>
                <w:position w:val="0"/>
                <w:sz w:val="21"/>
                <w:szCs w:val="21"/>
              </w:rPr>
              <w:t>☑</w:t>
            </w:r>
            <w:r>
              <w:rPr>
                <w:rFonts w:ascii="宋体" w:hAnsi="宋体" w:eastAsia="宋体" w:cs="宋体"/>
                <w:color w:val="auto"/>
                <w:spacing w:val="0"/>
                <w:w w:val="100"/>
                <w:position w:val="0"/>
                <w:sz w:val="21"/>
                <w:szCs w:val="21"/>
                <w:u w:val="none" w:color="auto"/>
              </w:rPr>
              <w:t>；</w:t>
            </w:r>
            <w:r>
              <w:rPr>
                <w:rFonts w:hint="default" w:ascii="Times New Roman" w:hAnsi="Times New Roman" w:cs="Times New Roman"/>
                <w:color w:val="auto"/>
                <w:spacing w:val="0"/>
                <w:position w:val="0"/>
                <w:sz w:val="21"/>
                <w:szCs w:val="21"/>
              </w:rPr>
              <w:t>自动</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w:t>
            </w:r>
            <w:r>
              <w:rPr>
                <w:rFonts w:hint="default" w:ascii="Times New Roman" w:hAnsi="Times New Roman" w:cs="Times New Roman"/>
                <w:color w:val="auto"/>
                <w:spacing w:val="0"/>
                <w:position w:val="0"/>
                <w:sz w:val="21"/>
                <w:szCs w:val="21"/>
              </w:rPr>
              <w:t>无监测</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1075" w:type="pct"/>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监测点位</w:t>
            </w:r>
          </w:p>
        </w:tc>
        <w:tc>
          <w:tcPr>
            <w:tcW w:w="1293"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p>
        </w:tc>
        <w:tc>
          <w:tcPr>
            <w:tcW w:w="1703" w:type="pct"/>
            <w:gridSpan w:val="6"/>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cs="Times New Roman"/>
                <w:color w:val="auto"/>
                <w:spacing w:val="0"/>
                <w:position w:val="0"/>
                <w:sz w:val="21"/>
                <w:szCs w:val="21"/>
              </w:rPr>
              <w:t>（</w:t>
            </w:r>
            <w:r>
              <w:rPr>
                <w:rFonts w:hint="default" w:ascii="Times New Roman" w:hAnsi="Times New Roman" w:eastAsia="Times New Roman" w:cs="Times New Roman"/>
                <w:color w:val="auto"/>
                <w:spacing w:val="0"/>
                <w:position w:val="0"/>
                <w:sz w:val="21"/>
                <w:szCs w:val="21"/>
              </w:rPr>
              <w:t>1</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748" w:type="pct"/>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1075" w:type="pct"/>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监测因子</w:t>
            </w:r>
          </w:p>
        </w:tc>
        <w:tc>
          <w:tcPr>
            <w:tcW w:w="1293" w:type="pct"/>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hint="eastAsia" w:ascii="宋体" w:hAnsi="宋体" w:eastAsia="宋体" w:cs="宋体"/>
                <w:color w:val="auto"/>
                <w:spacing w:val="0"/>
                <w:w w:val="100"/>
                <w:position w:val="0"/>
                <w:sz w:val="21"/>
                <w:szCs w:val="21"/>
                <w:u w:val="none" w:color="auto"/>
                <w:lang w:eastAsia="zh-CN"/>
              </w:rPr>
            </w:pPr>
            <w:r>
              <w:rPr>
                <w:rFonts w:hint="eastAsia" w:ascii="宋体" w:hAnsi="宋体" w:eastAsia="宋体" w:cs="宋体"/>
                <w:color w:val="auto"/>
                <w:spacing w:val="0"/>
                <w:w w:val="100"/>
                <w:position w:val="0"/>
                <w:sz w:val="21"/>
                <w:szCs w:val="21"/>
                <w:u w:val="none" w:color="auto"/>
                <w:lang w:eastAsia="zh-CN"/>
              </w:rPr>
              <w:t>（）</w:t>
            </w:r>
          </w:p>
        </w:tc>
        <w:tc>
          <w:tcPr>
            <w:tcW w:w="1703" w:type="pct"/>
            <w:gridSpan w:val="6"/>
            <w:tcBorders>
              <w:tl2br w:val="nil"/>
              <w:tr2bl w:val="nil"/>
            </w:tcBorders>
            <w:noWrap w:val="0"/>
            <w:vAlign w:val="center"/>
          </w:tcPr>
          <w:p>
            <w:pPr>
              <w:pStyle w:val="30"/>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cs="Times New Roman"/>
                <w:color w:val="auto"/>
                <w:spacing w:val="0"/>
                <w:position w:val="0"/>
                <w:sz w:val="21"/>
                <w:szCs w:val="21"/>
              </w:rPr>
              <w:t>（</w:t>
            </w:r>
            <w:r>
              <w:rPr>
                <w:rFonts w:hint="default" w:ascii="Times New Roman" w:hAnsi="Times New Roman" w:cs="Times New Roman"/>
                <w:color w:val="auto"/>
                <w:spacing w:val="0"/>
                <w:position w:val="0"/>
                <w:sz w:val="21"/>
                <w:szCs w:val="21"/>
                <w:u w:val="none" w:color="auto"/>
              </w:rPr>
              <w:t>pH、COD</w:t>
            </w:r>
            <w:r>
              <w:rPr>
                <w:rFonts w:hint="default" w:ascii="Times New Roman" w:hAnsi="Times New Roman" w:cs="Times New Roman"/>
                <w:color w:val="auto"/>
                <w:spacing w:val="0"/>
                <w:position w:val="0"/>
                <w:sz w:val="21"/>
                <w:szCs w:val="21"/>
                <w:u w:val="none" w:color="auto"/>
                <w:vertAlign w:val="subscript"/>
              </w:rPr>
              <w:t>Cr</w:t>
            </w:r>
            <w:r>
              <w:rPr>
                <w:rFonts w:hint="default" w:ascii="Times New Roman" w:hAnsi="Times New Roman" w:cs="Times New Roman"/>
                <w:color w:val="auto"/>
                <w:spacing w:val="0"/>
                <w:position w:val="0"/>
                <w:sz w:val="21"/>
                <w:szCs w:val="21"/>
                <w:u w:val="none" w:color="auto"/>
              </w:rPr>
              <w:t>、BOD</w:t>
            </w:r>
            <w:r>
              <w:rPr>
                <w:rFonts w:hint="default" w:ascii="Times New Roman" w:hAnsi="Times New Roman" w:cs="Times New Roman"/>
                <w:color w:val="auto"/>
                <w:spacing w:val="0"/>
                <w:position w:val="0"/>
                <w:sz w:val="21"/>
                <w:szCs w:val="21"/>
                <w:u w:val="none" w:color="auto"/>
                <w:vertAlign w:val="subscript"/>
              </w:rPr>
              <w:t>5</w:t>
            </w:r>
            <w:r>
              <w:rPr>
                <w:rFonts w:hint="default" w:ascii="Times New Roman" w:hAnsi="Times New Roman" w:cs="Times New Roman"/>
                <w:color w:val="auto"/>
                <w:spacing w:val="0"/>
                <w:position w:val="0"/>
                <w:sz w:val="21"/>
                <w:szCs w:val="21"/>
                <w:u w:val="none" w:color="auto"/>
              </w:rPr>
              <w:t>、NH</w:t>
            </w:r>
            <w:r>
              <w:rPr>
                <w:rFonts w:hint="default" w:ascii="Times New Roman" w:hAnsi="Times New Roman" w:cs="Times New Roman"/>
                <w:color w:val="auto"/>
                <w:spacing w:val="0"/>
                <w:position w:val="0"/>
                <w:sz w:val="21"/>
                <w:szCs w:val="21"/>
                <w:u w:val="none" w:color="auto"/>
                <w:vertAlign w:val="subscript"/>
              </w:rPr>
              <w:t>3</w:t>
            </w:r>
            <w:r>
              <w:rPr>
                <w:rFonts w:hint="default" w:ascii="Times New Roman" w:hAnsi="Times New Roman" w:cs="Times New Roman"/>
                <w:color w:val="auto"/>
                <w:spacing w:val="0"/>
                <w:position w:val="0"/>
                <w:sz w:val="21"/>
                <w:szCs w:val="21"/>
                <w:u w:val="none" w:color="auto"/>
              </w:rPr>
              <w:t>-N、SS、TP</w:t>
            </w:r>
            <w:r>
              <w:rPr>
                <w:rFonts w:hint="eastAsia" w:ascii="Times New Roman" w:hAnsi="Times New Roman" w:eastAsia="宋体" w:cs="Times New Roman"/>
                <w:color w:val="auto"/>
                <w:spacing w:val="0"/>
                <w:position w:val="0"/>
                <w:sz w:val="21"/>
                <w:szCs w:val="21"/>
                <w:u w:val="none" w:color="auto"/>
                <w:lang w:eastAsia="zh-CN"/>
              </w:rPr>
              <w:t>、</w:t>
            </w:r>
            <w:r>
              <w:rPr>
                <w:rFonts w:hint="eastAsia" w:ascii="Times New Roman" w:hAnsi="Times New Roman" w:eastAsia="宋体" w:cs="Times New Roman"/>
                <w:color w:val="auto"/>
                <w:spacing w:val="0"/>
                <w:position w:val="0"/>
                <w:sz w:val="21"/>
                <w:szCs w:val="21"/>
                <w:u w:val="none" w:color="auto"/>
                <w:lang w:val="en-US" w:eastAsia="zh-CN"/>
              </w:rPr>
              <w:t>动植物油</w:t>
            </w:r>
            <w:r>
              <w:rPr>
                <w:rFonts w:hint="default" w:ascii="Times New Roman" w:hAnsi="Times New Roman" w:cs="Times New Roman"/>
                <w:color w:val="auto"/>
                <w:spacing w:val="0"/>
                <w:positio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77" w:type="pct"/>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c>
          <w:tcPr>
            <w:tcW w:w="748" w:type="pc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污染物排放清单</w:t>
            </w:r>
          </w:p>
        </w:tc>
        <w:tc>
          <w:tcPr>
            <w:tcW w:w="4073" w:type="pct"/>
            <w:gridSpan w:val="15"/>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color w:val="auto"/>
                <w:spacing w:val="0"/>
                <w:w w:val="100"/>
                <w:position w:val="0"/>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926" w:type="pct"/>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center"/>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评价结论</w:t>
            </w:r>
          </w:p>
        </w:tc>
        <w:tc>
          <w:tcPr>
            <w:tcW w:w="4073" w:type="pct"/>
            <w:gridSpan w:val="1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jc w:val="both"/>
              <w:textAlignment w:val="baseline"/>
              <w:rPr>
                <w:rFonts w:hint="eastAsia" w:ascii="Times New Roman" w:hAnsi="Times New Roman" w:eastAsia="宋体" w:cs="Times New Roman"/>
                <w:color w:val="auto"/>
                <w:spacing w:val="0"/>
                <w:w w:val="100"/>
                <w:position w:val="0"/>
                <w:sz w:val="21"/>
                <w:szCs w:val="21"/>
                <w:u w:val="none" w:color="auto"/>
                <w:lang w:eastAsia="zh-CN"/>
              </w:rPr>
            </w:pPr>
            <w:r>
              <w:rPr>
                <w:rFonts w:ascii="宋体" w:hAnsi="宋体" w:eastAsia="宋体" w:cs="宋体"/>
                <w:color w:val="auto"/>
                <w:spacing w:val="0"/>
                <w:w w:val="100"/>
                <w:position w:val="0"/>
                <w:sz w:val="21"/>
                <w:szCs w:val="21"/>
                <w:u w:val="none" w:color="auto"/>
              </w:rPr>
              <w:t>可以接受</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；不可以接受</w:t>
            </w:r>
            <w:r>
              <w:rPr>
                <w:rFonts w:hint="eastAsia" w:ascii="Times New Roman" w:hAnsi="Times New Roman" w:eastAsia="宋体" w:cs="Times New Roman"/>
                <w:color w:val="auto"/>
                <w:spacing w:val="0"/>
                <w:w w:val="100"/>
                <w:positio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17"/>
            <w:tcBorders>
              <w:tl2br w:val="nil"/>
              <w:tr2bl w:val="nil"/>
            </w:tcBorders>
            <w:noWrap w:val="0"/>
            <w:vAlign w:val="top"/>
          </w:tcPr>
          <w:p>
            <w:pPr>
              <w:keepNext w:val="0"/>
              <w:keepLines w:val="0"/>
              <w:pageBreakBefore w:val="0"/>
              <w:widowControl/>
              <w:kinsoku/>
              <w:wordWrap/>
              <w:overflowPunct/>
              <w:topLinePunct/>
              <w:autoSpaceDE w:val="0"/>
              <w:autoSpaceDN w:val="0"/>
              <w:bidi w:val="0"/>
              <w:adjustRightInd w:val="0"/>
              <w:snapToGrid w:val="0"/>
              <w:spacing w:line="240" w:lineRule="auto"/>
              <w:ind w:left="0"/>
              <w:textAlignment w:val="baseline"/>
              <w:rPr>
                <w:rFonts w:ascii="宋体" w:hAnsi="宋体" w:eastAsia="宋体" w:cs="宋体"/>
                <w:color w:val="auto"/>
                <w:spacing w:val="0"/>
                <w:w w:val="100"/>
                <w:position w:val="0"/>
                <w:sz w:val="21"/>
                <w:szCs w:val="21"/>
                <w:u w:val="none" w:color="auto"/>
              </w:rPr>
            </w:pPr>
            <w:r>
              <w:rPr>
                <w:rFonts w:ascii="宋体" w:hAnsi="宋体" w:eastAsia="宋体" w:cs="宋体"/>
                <w:color w:val="auto"/>
                <w:spacing w:val="0"/>
                <w:w w:val="100"/>
                <w:position w:val="0"/>
                <w:sz w:val="21"/>
                <w:szCs w:val="21"/>
                <w:u w:val="none" w:color="auto"/>
              </w:rPr>
              <w:t>注：</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为勾选项，可</w:t>
            </w:r>
            <w:r>
              <w:rPr>
                <w:rFonts w:ascii="Times New Roman" w:hAnsi="Times New Roman" w:eastAsia="Times New Roman" w:cs="Times New Roman"/>
                <w:color w:val="auto"/>
                <w:spacing w:val="0"/>
                <w:w w:val="100"/>
                <w:position w:val="0"/>
                <w:sz w:val="21"/>
                <w:szCs w:val="21"/>
                <w:u w:val="none" w:color="auto"/>
              </w:rPr>
              <w:t>√</w:t>
            </w:r>
            <w:r>
              <w:rPr>
                <w:rFonts w:hint="eastAsia" w:ascii="宋体" w:hAnsi="宋体" w:eastAsia="宋体" w:cs="宋体"/>
                <w:color w:val="auto"/>
                <w:spacing w:val="0"/>
                <w:w w:val="100"/>
                <w:position w:val="0"/>
                <w:sz w:val="21"/>
                <w:szCs w:val="21"/>
                <w:u w:val="none" w:color="auto"/>
                <w:lang w:eastAsia="zh-CN"/>
              </w:rPr>
              <w:t>；（）</w:t>
            </w:r>
            <w:r>
              <w:rPr>
                <w:rFonts w:ascii="Times New Roman" w:hAnsi="Times New Roman" w:eastAsia="Times New Roman" w:cs="Times New Roman"/>
                <w:color w:val="auto"/>
                <w:spacing w:val="0"/>
                <w:w w:val="100"/>
                <w:position w:val="0"/>
                <w:sz w:val="21"/>
                <w:szCs w:val="21"/>
                <w:u w:val="none" w:color="auto"/>
              </w:rPr>
              <w:t>ℽ</w:t>
            </w:r>
            <w:r>
              <w:rPr>
                <w:rFonts w:ascii="宋体" w:hAnsi="宋体" w:eastAsia="宋体" w:cs="宋体"/>
                <w:color w:val="auto"/>
                <w:spacing w:val="0"/>
                <w:w w:val="100"/>
                <w:position w:val="0"/>
                <w:sz w:val="21"/>
                <w:szCs w:val="21"/>
                <w:u w:val="none" w:color="auto"/>
              </w:rPr>
              <w:t>为内容填写项；</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备注</w:t>
            </w:r>
            <w:r>
              <w:rPr>
                <w:rFonts w:hint="eastAsia" w:ascii="Times New Roman" w:hAnsi="Times New Roman" w:eastAsia="宋体" w:cs="Times New Roman"/>
                <w:color w:val="auto"/>
                <w:spacing w:val="0"/>
                <w:w w:val="100"/>
                <w:position w:val="0"/>
                <w:sz w:val="21"/>
                <w:szCs w:val="21"/>
                <w:u w:val="none" w:color="auto"/>
                <w:lang w:eastAsia="zh-CN"/>
              </w:rPr>
              <w:t>”</w:t>
            </w:r>
            <w:r>
              <w:rPr>
                <w:rFonts w:ascii="宋体" w:hAnsi="宋体" w:eastAsia="宋体" w:cs="宋体"/>
                <w:color w:val="auto"/>
                <w:spacing w:val="0"/>
                <w:w w:val="100"/>
                <w:position w:val="0"/>
                <w:sz w:val="21"/>
                <w:szCs w:val="21"/>
                <w:u w:val="none" w:color="auto"/>
              </w:rPr>
              <w:t>为其他补充内容。</w:t>
            </w:r>
          </w:p>
        </w:tc>
      </w:tr>
    </w:tbl>
    <w:p>
      <w:pPr>
        <w:rPr>
          <w:rFonts w:ascii="Arial"/>
          <w:color w:val="auto"/>
          <w:sz w:val="21"/>
        </w:rPr>
        <w:sectPr>
          <w:pgSz w:w="11906" w:h="16839"/>
          <w:pgMar w:top="1440" w:right="1803" w:bottom="1440" w:left="1803" w:header="850" w:footer="1020" w:gutter="0"/>
          <w:pgBorders>
            <w:top w:val="none" w:sz="0" w:space="0"/>
            <w:left w:val="none" w:sz="0" w:space="0"/>
            <w:bottom w:val="none" w:sz="0" w:space="0"/>
            <w:right w:val="none" w:sz="0" w:space="0"/>
          </w:pgBorders>
          <w:pgNumType w:fmt="numberInDash"/>
          <w:cols w:space="0" w:num="1"/>
          <w:rtlGutter w:val="0"/>
          <w:docGrid w:linePitch="0" w:charSpace="0"/>
        </w:sectPr>
      </w:pPr>
    </w:p>
    <w:p>
      <w:pPr>
        <w:pStyle w:val="10"/>
        <w:numPr>
          <w:ilvl w:val="1"/>
          <w:numId w:val="0"/>
        </w:numPr>
        <w:bidi w:val="0"/>
        <w:spacing w:line="360" w:lineRule="auto"/>
        <w:ind w:leftChars="0"/>
        <w:rPr>
          <w:rFonts w:hint="default" w:ascii="Times New Roman" w:hAnsi="Times New Roman" w:cs="Times New Roman"/>
          <w:color w:val="auto"/>
          <w:sz w:val="32"/>
          <w:szCs w:val="32"/>
        </w:rPr>
      </w:pPr>
      <w:bookmarkStart w:id="178" w:name="_Toc22058"/>
      <w:r>
        <w:rPr>
          <w:rFonts w:hint="default" w:ascii="Times New Roman" w:hAnsi="Times New Roman" w:cs="Times New Roman"/>
          <w:color w:val="auto"/>
          <w:sz w:val="32"/>
          <w:szCs w:val="32"/>
        </w:rPr>
        <w:t>附表</w:t>
      </w:r>
      <w:r>
        <w:rPr>
          <w:rFonts w:hint="eastAsia" w:ascii="Times New Roman" w:hAnsi="Times New Roman" w:eastAsia="宋体" w:cs="Times New Roman"/>
          <w:color w:val="auto"/>
          <w:sz w:val="32"/>
          <w:szCs w:val="32"/>
          <w:lang w:val="en-US" w:eastAsia="zh-CN"/>
        </w:rPr>
        <w:t>3</w:t>
      </w:r>
      <w:r>
        <w:rPr>
          <w:rFonts w:hint="default" w:ascii="Times New Roman" w:hAnsi="Times New Roman" w:cs="Times New Roman"/>
          <w:color w:val="auto"/>
          <w:sz w:val="32"/>
          <w:szCs w:val="32"/>
        </w:rPr>
        <w:t>：建设项目环境风险评价自查表</w:t>
      </w:r>
      <w:bookmarkEnd w:id="178"/>
    </w:p>
    <w:tbl>
      <w:tblPr>
        <w:tblStyle w:val="29"/>
        <w:tblW w:w="8329"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94"/>
        <w:gridCol w:w="1093"/>
        <w:gridCol w:w="1001"/>
        <w:gridCol w:w="660"/>
        <w:gridCol w:w="163"/>
        <w:gridCol w:w="780"/>
        <w:gridCol w:w="309"/>
        <w:gridCol w:w="486"/>
        <w:gridCol w:w="240"/>
        <w:gridCol w:w="294"/>
        <w:gridCol w:w="82"/>
        <w:gridCol w:w="734"/>
        <w:gridCol w:w="225"/>
        <w:gridCol w:w="289"/>
        <w:gridCol w:w="101"/>
        <w:gridCol w:w="122"/>
        <w:gridCol w:w="373"/>
        <w:gridCol w:w="98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工作内容</w:t>
            </w:r>
          </w:p>
        </w:tc>
        <w:tc>
          <w:tcPr>
            <w:tcW w:w="6842" w:type="dxa"/>
            <w:gridSpan w:val="1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完成情况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风险调查</w:t>
            </w:r>
          </w:p>
        </w:tc>
        <w:tc>
          <w:tcPr>
            <w:tcW w:w="1093"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危险物质</w:t>
            </w: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名称</w:t>
            </w:r>
          </w:p>
        </w:tc>
        <w:tc>
          <w:tcPr>
            <w:tcW w:w="823" w:type="dxa"/>
            <w:gridSpan w:val="2"/>
            <w:tcBorders>
              <w:tl2br w:val="nil"/>
              <w:tr2bl w:val="nil"/>
            </w:tcBorders>
            <w:noWrap w:val="0"/>
            <w:vAlign w:val="center"/>
          </w:tcPr>
          <w:p>
            <w:pPr>
              <w:pStyle w:val="30"/>
              <w:spacing w:before="55" w:line="228" w:lineRule="auto"/>
              <w:ind w:left="111" w:leftChars="0"/>
              <w:jc w:val="center"/>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2"/>
                <w:sz w:val="21"/>
                <w:szCs w:val="21"/>
              </w:rPr>
              <w:t>乙酸乙酯</w:t>
            </w:r>
          </w:p>
        </w:tc>
        <w:tc>
          <w:tcPr>
            <w:tcW w:w="780" w:type="dxa"/>
            <w:tcBorders>
              <w:tl2br w:val="nil"/>
              <w:tr2bl w:val="nil"/>
            </w:tcBorders>
            <w:noWrap w:val="0"/>
            <w:vAlign w:val="center"/>
          </w:tcPr>
          <w:p>
            <w:pPr>
              <w:pStyle w:val="30"/>
              <w:spacing w:before="55" w:line="232" w:lineRule="auto"/>
              <w:ind w:left="119" w:leftChars="0"/>
              <w:jc w:val="center"/>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6"/>
                <w:sz w:val="21"/>
                <w:szCs w:val="21"/>
              </w:rPr>
              <w:t>异丙醇</w:t>
            </w:r>
          </w:p>
        </w:tc>
        <w:tc>
          <w:tcPr>
            <w:tcW w:w="795" w:type="dxa"/>
            <w:gridSpan w:val="2"/>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6"/>
                <w:sz w:val="21"/>
                <w:szCs w:val="21"/>
              </w:rPr>
              <w:t>正丙酯</w:t>
            </w:r>
          </w:p>
        </w:tc>
        <w:tc>
          <w:tcPr>
            <w:tcW w:w="616" w:type="dxa"/>
            <w:gridSpan w:val="3"/>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3"/>
                <w:sz w:val="21"/>
                <w:szCs w:val="21"/>
              </w:rPr>
              <w:t>油墨</w:t>
            </w:r>
          </w:p>
        </w:tc>
        <w:tc>
          <w:tcPr>
            <w:tcW w:w="959" w:type="dxa"/>
            <w:gridSpan w:val="2"/>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6"/>
                <w:sz w:val="21"/>
                <w:szCs w:val="21"/>
              </w:rPr>
              <w:t>聚氨酯胶水</w:t>
            </w:r>
          </w:p>
        </w:tc>
        <w:tc>
          <w:tcPr>
            <w:tcW w:w="885" w:type="dxa"/>
            <w:gridSpan w:val="4"/>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rPr>
            </w:pPr>
            <w:r>
              <w:rPr>
                <w:rFonts w:hint="default" w:ascii="Times New Roman" w:hAnsi="Times New Roman" w:cs="Times New Roman"/>
                <w:color w:val="auto"/>
                <w:spacing w:val="7"/>
                <w:sz w:val="21"/>
                <w:szCs w:val="21"/>
                <w:highlight w:val="none"/>
              </w:rPr>
              <w:t>无溶剂胶水</w:t>
            </w:r>
          </w:p>
        </w:tc>
        <w:tc>
          <w:tcPr>
            <w:tcW w:w="983" w:type="dxa"/>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6"/>
                <w:sz w:val="21"/>
                <w:szCs w:val="21"/>
                <w:lang w:val="en-US" w:eastAsia="zh-CN"/>
              </w:rPr>
              <w:t>液化天然气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u w:val="none" w:color="auto"/>
              </w:rPr>
            </w:pPr>
            <w:r>
              <w:rPr>
                <w:rFonts w:hint="default" w:ascii="Times New Roman" w:hAnsi="Times New Roman" w:eastAsia="宋体" w:cs="Times New Roman"/>
                <w:color w:val="auto"/>
                <w:spacing w:val="0"/>
                <w:w w:val="100"/>
                <w:sz w:val="21"/>
                <w:szCs w:val="21"/>
                <w:u w:val="none" w:color="auto"/>
              </w:rPr>
              <w:t>存在总量</w:t>
            </w:r>
            <w:r>
              <w:rPr>
                <w:rFonts w:hint="default" w:ascii="Times New Roman" w:hAnsi="Times New Roman" w:eastAsia="Times New Roman" w:cs="Times New Roman"/>
                <w:color w:val="auto"/>
                <w:spacing w:val="0"/>
                <w:w w:val="100"/>
                <w:sz w:val="21"/>
                <w:szCs w:val="21"/>
                <w:u w:val="none" w:color="auto"/>
              </w:rPr>
              <w:t>/t</w:t>
            </w:r>
          </w:p>
        </w:tc>
        <w:tc>
          <w:tcPr>
            <w:tcW w:w="823" w:type="dxa"/>
            <w:gridSpan w:val="2"/>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val="en-US" w:eastAsia="zh-CN"/>
              </w:rPr>
            </w:pPr>
            <w:r>
              <w:rPr>
                <w:rFonts w:hint="default" w:ascii="Times New Roman" w:hAnsi="Times New Roman" w:cs="Times New Roman"/>
                <w:color w:val="auto"/>
                <w:spacing w:val="0"/>
                <w:w w:val="100"/>
                <w:sz w:val="21"/>
                <w:szCs w:val="21"/>
                <w:u w:val="none" w:color="auto"/>
                <w:lang w:val="en-US" w:eastAsia="zh-CN"/>
              </w:rPr>
              <w:t>30</w:t>
            </w:r>
          </w:p>
        </w:tc>
        <w:tc>
          <w:tcPr>
            <w:tcW w:w="780" w:type="dxa"/>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val="en-US" w:eastAsia="zh-CN"/>
              </w:rPr>
            </w:pPr>
            <w:r>
              <w:rPr>
                <w:rFonts w:hint="default" w:ascii="Times New Roman" w:hAnsi="Times New Roman" w:cs="Times New Roman"/>
                <w:color w:val="auto"/>
                <w:spacing w:val="0"/>
                <w:w w:val="100"/>
                <w:sz w:val="21"/>
                <w:szCs w:val="21"/>
                <w:u w:val="none" w:color="auto"/>
                <w:lang w:val="en-US" w:eastAsia="zh-CN"/>
              </w:rPr>
              <w:t>2.5</w:t>
            </w:r>
          </w:p>
        </w:tc>
        <w:tc>
          <w:tcPr>
            <w:tcW w:w="795" w:type="dxa"/>
            <w:gridSpan w:val="2"/>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val="en-US" w:eastAsia="zh-CN"/>
              </w:rPr>
            </w:pPr>
            <w:r>
              <w:rPr>
                <w:rFonts w:hint="default" w:ascii="Times New Roman" w:hAnsi="Times New Roman" w:cs="Times New Roman"/>
                <w:color w:val="auto"/>
                <w:spacing w:val="0"/>
                <w:w w:val="100"/>
                <w:sz w:val="21"/>
                <w:szCs w:val="21"/>
                <w:u w:val="none" w:color="auto"/>
                <w:lang w:val="en-US" w:eastAsia="zh-CN"/>
              </w:rPr>
              <w:t>30</w:t>
            </w:r>
          </w:p>
        </w:tc>
        <w:tc>
          <w:tcPr>
            <w:tcW w:w="616" w:type="dxa"/>
            <w:gridSpan w:val="3"/>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val="en-US" w:eastAsia="zh-CN"/>
              </w:rPr>
            </w:pPr>
            <w:r>
              <w:rPr>
                <w:rFonts w:hint="default" w:ascii="Times New Roman" w:hAnsi="Times New Roman" w:cs="Times New Roman"/>
                <w:color w:val="auto"/>
                <w:spacing w:val="0"/>
                <w:w w:val="100"/>
                <w:sz w:val="21"/>
                <w:szCs w:val="21"/>
                <w:u w:val="none" w:color="auto"/>
                <w:lang w:val="en-US" w:eastAsia="zh-CN"/>
              </w:rPr>
              <w:t>40</w:t>
            </w:r>
          </w:p>
        </w:tc>
        <w:tc>
          <w:tcPr>
            <w:tcW w:w="959" w:type="dxa"/>
            <w:gridSpan w:val="2"/>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val="en-US" w:eastAsia="zh-CN"/>
              </w:rPr>
            </w:pPr>
            <w:r>
              <w:rPr>
                <w:rFonts w:hint="default" w:ascii="Times New Roman" w:hAnsi="Times New Roman" w:cs="Times New Roman"/>
                <w:color w:val="auto"/>
                <w:spacing w:val="0"/>
                <w:w w:val="100"/>
                <w:sz w:val="21"/>
                <w:szCs w:val="21"/>
                <w:u w:val="none" w:color="auto"/>
                <w:lang w:val="en-US" w:eastAsia="zh-CN"/>
              </w:rPr>
              <w:t>12</w:t>
            </w:r>
          </w:p>
        </w:tc>
        <w:tc>
          <w:tcPr>
            <w:tcW w:w="885" w:type="dxa"/>
            <w:gridSpan w:val="4"/>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lang w:val="en-US" w:eastAsia="zh-CN"/>
              </w:rPr>
            </w:pPr>
            <w:r>
              <w:rPr>
                <w:rFonts w:hint="default" w:ascii="Times New Roman" w:hAnsi="Times New Roman" w:cs="Times New Roman"/>
                <w:color w:val="auto"/>
                <w:spacing w:val="0"/>
                <w:w w:val="100"/>
                <w:sz w:val="21"/>
                <w:szCs w:val="21"/>
                <w:u w:val="none" w:color="auto"/>
                <w:lang w:val="en-US" w:eastAsia="zh-CN"/>
              </w:rPr>
              <w:t>20</w:t>
            </w:r>
          </w:p>
        </w:tc>
        <w:tc>
          <w:tcPr>
            <w:tcW w:w="983" w:type="dxa"/>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w w:val="100"/>
                <w:sz w:val="21"/>
                <w:szCs w:val="21"/>
                <w:u w:val="none" w:color="auto"/>
                <w:lang w:val="en-US" w:eastAsia="zh-CN"/>
              </w:rPr>
            </w:pPr>
            <w:r>
              <w:rPr>
                <w:rFonts w:hint="default" w:ascii="Times New Roman" w:hAnsi="Times New Roman" w:cs="Times New Roman"/>
                <w:color w:val="auto"/>
                <w:spacing w:val="0"/>
                <w:w w:val="100"/>
                <w:sz w:val="21"/>
                <w:szCs w:val="21"/>
                <w:u w:val="none" w:color="auto"/>
                <w:lang w:val="en-US" w:eastAsia="zh-CN"/>
              </w:rPr>
              <w:t>1.71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环境敏感性</w:t>
            </w:r>
          </w:p>
        </w:tc>
        <w:tc>
          <w:tcPr>
            <w:tcW w:w="1001"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大气</w:t>
            </w:r>
          </w:p>
        </w:tc>
        <w:tc>
          <w:tcPr>
            <w:tcW w:w="3014" w:type="dxa"/>
            <w:gridSpan w:val="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500m</w:t>
            </w:r>
            <w:r>
              <w:rPr>
                <w:rFonts w:ascii="宋体" w:hAnsi="宋体" w:eastAsia="宋体" w:cs="宋体"/>
                <w:color w:val="auto"/>
                <w:spacing w:val="0"/>
                <w:w w:val="100"/>
                <w:sz w:val="21"/>
                <w:szCs w:val="21"/>
                <w:u w:val="none" w:color="auto"/>
              </w:rPr>
              <w:t>范围内人口数＞</w:t>
            </w:r>
            <w:r>
              <w:rPr>
                <w:rFonts w:hint="eastAsia" w:ascii="宋体" w:hAnsi="宋体" w:eastAsia="宋体" w:cs="宋体"/>
                <w:color w:val="auto"/>
                <w:spacing w:val="0"/>
                <w:w w:val="100"/>
                <w:sz w:val="21"/>
                <w:szCs w:val="21"/>
                <w:u w:val="single" w:color="auto"/>
                <w:lang w:val="en-US" w:eastAsia="zh-CN"/>
              </w:rPr>
              <w:t xml:space="preserve">    </w:t>
            </w:r>
            <w:r>
              <w:rPr>
                <w:rFonts w:ascii="宋体" w:hAnsi="宋体" w:eastAsia="宋体" w:cs="宋体"/>
                <w:color w:val="auto"/>
                <w:spacing w:val="0"/>
                <w:w w:val="100"/>
                <w:sz w:val="21"/>
                <w:szCs w:val="21"/>
                <w:u w:val="none" w:color="auto"/>
              </w:rPr>
              <w:t>人</w:t>
            </w:r>
          </w:p>
        </w:tc>
        <w:tc>
          <w:tcPr>
            <w:tcW w:w="2827" w:type="dxa"/>
            <w:gridSpan w:val="7"/>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5km</w:t>
            </w:r>
            <w:r>
              <w:rPr>
                <w:rFonts w:ascii="宋体" w:hAnsi="宋体" w:eastAsia="宋体" w:cs="宋体"/>
                <w:color w:val="auto"/>
                <w:spacing w:val="0"/>
                <w:w w:val="100"/>
                <w:sz w:val="21"/>
                <w:szCs w:val="21"/>
                <w:u w:val="none" w:color="auto"/>
              </w:rPr>
              <w:t>范围内人口数＞</w:t>
            </w:r>
            <w:r>
              <w:rPr>
                <w:rFonts w:hint="default" w:ascii="Times New Roman" w:hAnsi="Times New Roman" w:eastAsia="宋体" w:cs="Times New Roman"/>
                <w:color w:val="auto"/>
                <w:spacing w:val="0"/>
                <w:w w:val="100"/>
                <w:sz w:val="21"/>
                <w:szCs w:val="21"/>
                <w:u w:val="single" w:color="auto"/>
                <w:lang w:val="en-US" w:eastAsia="zh-CN"/>
              </w:rPr>
              <w:t xml:space="preserve"> 5万</w:t>
            </w:r>
            <w:r>
              <w:rPr>
                <w:rFonts w:hint="eastAsia" w:ascii="宋体" w:hAnsi="宋体" w:eastAsia="宋体" w:cs="宋体"/>
                <w:color w:val="auto"/>
                <w:spacing w:val="0"/>
                <w:w w:val="100"/>
                <w:sz w:val="21"/>
                <w:szCs w:val="21"/>
                <w:u w:val="single" w:color="auto"/>
                <w:lang w:val="en-US" w:eastAsia="zh-CN"/>
              </w:rPr>
              <w:t xml:space="preserve"> </w:t>
            </w:r>
            <w:r>
              <w:rPr>
                <w:rFonts w:ascii="宋体" w:hAnsi="宋体" w:eastAsia="宋体" w:cs="宋体"/>
                <w:color w:val="auto"/>
                <w:spacing w:val="0"/>
                <w:w w:val="100"/>
                <w:sz w:val="21"/>
                <w:szCs w:val="21"/>
                <w:u w:val="none" w:color="auto"/>
              </w:rPr>
              <w:t>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4485" w:type="dxa"/>
            <w:gridSpan w:val="1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每公里管段周边</w:t>
            </w:r>
            <w:r>
              <w:rPr>
                <w:rFonts w:ascii="Times New Roman" w:hAnsi="Times New Roman" w:eastAsia="Times New Roman" w:cs="Times New Roman"/>
                <w:color w:val="auto"/>
                <w:spacing w:val="0"/>
                <w:w w:val="100"/>
                <w:sz w:val="21"/>
                <w:szCs w:val="21"/>
                <w:u w:val="none" w:color="auto"/>
              </w:rPr>
              <w:t>200m</w:t>
            </w:r>
            <w:r>
              <w:rPr>
                <w:rFonts w:ascii="宋体" w:hAnsi="宋体" w:eastAsia="宋体" w:cs="宋体"/>
                <w:color w:val="auto"/>
                <w:spacing w:val="0"/>
                <w:w w:val="100"/>
                <w:sz w:val="21"/>
                <w:szCs w:val="21"/>
                <w:u w:val="none" w:color="auto"/>
              </w:rPr>
              <w:t>范围内人口数（最大）</w:t>
            </w:r>
          </w:p>
        </w:tc>
        <w:tc>
          <w:tcPr>
            <w:tcW w:w="1356" w:type="dxa"/>
            <w:gridSpan w:val="2"/>
            <w:tcBorders>
              <w:tl2br w:val="nil"/>
              <w:tr2bl w:val="nil"/>
            </w:tcBorders>
            <w:noWrap w:val="0"/>
            <w:vAlign w:val="center"/>
          </w:tcPr>
          <w:p>
            <w:pPr>
              <w:keepNext w:val="0"/>
              <w:keepLines w:val="0"/>
              <w:pageBreakBefore w:val="0"/>
              <w:widowControl/>
              <w:tabs>
                <w:tab w:val="left" w:pos="605"/>
              </w:tabs>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w:t>
            </w:r>
            <w:r>
              <w:rPr>
                <w:rFonts w:ascii="宋体" w:hAnsi="宋体" w:eastAsia="宋体" w:cs="宋体"/>
                <w:color w:val="auto"/>
                <w:spacing w:val="0"/>
                <w:w w:val="100"/>
                <w:sz w:val="21"/>
                <w:szCs w:val="21"/>
                <w:u w:val="none" w:color="auto"/>
              </w:rPr>
              <w:t>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地表水</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地表水功能敏感性</w:t>
            </w:r>
          </w:p>
        </w:tc>
        <w:tc>
          <w:tcPr>
            <w:tcW w:w="110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F1</w:t>
            </w:r>
            <w:r>
              <w:rPr>
                <w:rFonts w:hint="eastAsia" w:ascii="Times New Roman" w:hAnsi="Times New Roman" w:eastAsia="宋体" w:cs="Times New Roman"/>
                <w:color w:val="auto"/>
                <w:spacing w:val="0"/>
                <w:w w:val="100"/>
                <w:sz w:val="21"/>
                <w:szCs w:val="21"/>
                <w:u w:val="none" w:color="auto"/>
                <w:lang w:eastAsia="zh-CN"/>
              </w:rPr>
              <w:t>□</w:t>
            </w:r>
          </w:p>
        </w:tc>
        <w:tc>
          <w:tcPr>
            <w:tcW w:w="147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F2</w:t>
            </w:r>
            <w:r>
              <w:rPr>
                <w:rFonts w:hint="eastAsia" w:ascii="Times New Roman" w:hAnsi="Times New Roman" w:eastAsia="宋体" w:cs="Times New Roman"/>
                <w:color w:val="auto"/>
                <w:spacing w:val="0"/>
                <w:w w:val="100"/>
                <w:sz w:val="21"/>
                <w:szCs w:val="21"/>
                <w:u w:val="none" w:color="auto"/>
                <w:lang w:eastAsia="zh-CN"/>
              </w:rPr>
              <w:t>□</w:t>
            </w:r>
          </w:p>
        </w:tc>
        <w:tc>
          <w:tcPr>
            <w:tcW w:w="1356"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F3</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环境敏感目标分级</w:t>
            </w:r>
          </w:p>
        </w:tc>
        <w:tc>
          <w:tcPr>
            <w:tcW w:w="110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S1</w:t>
            </w:r>
            <w:r>
              <w:rPr>
                <w:rFonts w:hint="eastAsia" w:ascii="Times New Roman" w:hAnsi="Times New Roman" w:eastAsia="宋体" w:cs="Times New Roman"/>
                <w:color w:val="auto"/>
                <w:spacing w:val="0"/>
                <w:w w:val="100"/>
                <w:sz w:val="21"/>
                <w:szCs w:val="21"/>
                <w:u w:val="none" w:color="auto"/>
                <w:lang w:eastAsia="zh-CN"/>
              </w:rPr>
              <w:t>□</w:t>
            </w:r>
          </w:p>
        </w:tc>
        <w:tc>
          <w:tcPr>
            <w:tcW w:w="147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S2</w:t>
            </w:r>
            <w:r>
              <w:rPr>
                <w:rFonts w:hint="eastAsia" w:ascii="Times New Roman" w:hAnsi="Times New Roman" w:eastAsia="宋体" w:cs="Times New Roman"/>
                <w:color w:val="auto"/>
                <w:spacing w:val="0"/>
                <w:w w:val="100"/>
                <w:sz w:val="21"/>
                <w:szCs w:val="21"/>
                <w:u w:val="none" w:color="auto"/>
                <w:lang w:eastAsia="zh-CN"/>
              </w:rPr>
              <w:t>□</w:t>
            </w:r>
          </w:p>
        </w:tc>
        <w:tc>
          <w:tcPr>
            <w:tcW w:w="1356"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S3</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地下水</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地下水功能敏感性</w:t>
            </w:r>
          </w:p>
        </w:tc>
        <w:tc>
          <w:tcPr>
            <w:tcW w:w="110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G1</w:t>
            </w:r>
            <w:r>
              <w:rPr>
                <w:rFonts w:hint="eastAsia" w:ascii="Times New Roman" w:hAnsi="Times New Roman" w:eastAsia="宋体" w:cs="Times New Roman"/>
                <w:color w:val="auto"/>
                <w:spacing w:val="0"/>
                <w:w w:val="100"/>
                <w:sz w:val="21"/>
                <w:szCs w:val="21"/>
                <w:u w:val="none" w:color="auto"/>
                <w:lang w:eastAsia="zh-CN"/>
              </w:rPr>
              <w:t>□</w:t>
            </w:r>
          </w:p>
        </w:tc>
        <w:tc>
          <w:tcPr>
            <w:tcW w:w="147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G2</w:t>
            </w:r>
            <w:r>
              <w:rPr>
                <w:rFonts w:hint="eastAsia" w:ascii="Times New Roman" w:hAnsi="Times New Roman" w:eastAsia="宋体" w:cs="Times New Roman"/>
                <w:color w:val="auto"/>
                <w:spacing w:val="0"/>
                <w:w w:val="100"/>
                <w:sz w:val="21"/>
                <w:szCs w:val="21"/>
                <w:u w:val="none" w:color="auto"/>
                <w:lang w:eastAsia="zh-CN"/>
              </w:rPr>
              <w:t>□</w:t>
            </w:r>
          </w:p>
        </w:tc>
        <w:tc>
          <w:tcPr>
            <w:tcW w:w="1356"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G3</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包气带防污性能</w:t>
            </w:r>
          </w:p>
        </w:tc>
        <w:tc>
          <w:tcPr>
            <w:tcW w:w="110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D1</w:t>
            </w:r>
            <w:r>
              <w:rPr>
                <w:rFonts w:hint="eastAsia" w:ascii="Times New Roman" w:hAnsi="Times New Roman" w:eastAsia="宋体" w:cs="Times New Roman"/>
                <w:color w:val="auto"/>
                <w:spacing w:val="0"/>
                <w:w w:val="100"/>
                <w:sz w:val="21"/>
                <w:szCs w:val="21"/>
                <w:u w:val="none" w:color="auto"/>
                <w:lang w:eastAsia="zh-CN"/>
              </w:rPr>
              <w:t>□</w:t>
            </w:r>
          </w:p>
        </w:tc>
        <w:tc>
          <w:tcPr>
            <w:tcW w:w="147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D2</w:t>
            </w:r>
            <w:r>
              <w:rPr>
                <w:rFonts w:hint="eastAsia" w:ascii="Times New Roman" w:hAnsi="Times New Roman" w:eastAsia="宋体" w:cs="Times New Roman"/>
                <w:color w:val="auto"/>
                <w:spacing w:val="0"/>
                <w:w w:val="100"/>
                <w:sz w:val="21"/>
                <w:szCs w:val="21"/>
                <w:u w:val="none" w:color="auto"/>
                <w:lang w:eastAsia="zh-CN"/>
              </w:rPr>
              <w:t>□</w:t>
            </w:r>
          </w:p>
        </w:tc>
        <w:tc>
          <w:tcPr>
            <w:tcW w:w="1356"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D3</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物质及工艺系统危险性</w:t>
            </w: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Q</w:t>
            </w:r>
            <w:r>
              <w:rPr>
                <w:rFonts w:ascii="宋体" w:hAnsi="宋体" w:eastAsia="宋体" w:cs="宋体"/>
                <w:color w:val="auto"/>
                <w:spacing w:val="0"/>
                <w:w w:val="100"/>
                <w:sz w:val="21"/>
                <w:szCs w:val="21"/>
                <w:u w:val="none" w:color="auto"/>
              </w:rPr>
              <w:t>值</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Q</w:t>
            </w:r>
            <w:r>
              <w:rPr>
                <w:rFonts w:ascii="宋体" w:hAnsi="宋体" w:eastAsia="宋体" w:cs="宋体"/>
                <w:color w:val="auto"/>
                <w:spacing w:val="0"/>
                <w:w w:val="100"/>
                <w:sz w:val="21"/>
                <w:szCs w:val="21"/>
                <w:u w:val="none" w:color="auto"/>
              </w:rPr>
              <w:t>＜</w:t>
            </w:r>
            <w:r>
              <w:rPr>
                <w:rFonts w:ascii="Times New Roman" w:hAnsi="Times New Roman" w:eastAsia="Times New Roman" w:cs="Times New Roman"/>
                <w:color w:val="auto"/>
                <w:spacing w:val="0"/>
                <w:w w:val="100"/>
                <w:sz w:val="21"/>
                <w:szCs w:val="21"/>
                <w:u w:val="none" w:color="auto"/>
              </w:rPr>
              <w:t>1</w:t>
            </w:r>
            <w:r>
              <w:rPr>
                <w:rFonts w:hint="eastAsia" w:ascii="Times New Roman" w:hAnsi="Times New Roman" w:eastAsia="宋体" w:cs="Times New Roman"/>
                <w:color w:val="auto"/>
                <w:spacing w:val="0"/>
                <w:w w:val="100"/>
                <w:sz w:val="21"/>
                <w:szCs w:val="21"/>
                <w:u w:val="none" w:color="auto"/>
                <w:lang w:eastAsia="zh-CN"/>
              </w:rPr>
              <w:t>□</w:t>
            </w:r>
          </w:p>
        </w:tc>
        <w:tc>
          <w:tcPr>
            <w:tcW w:w="110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1≤Q</w:t>
            </w:r>
            <w:r>
              <w:rPr>
                <w:rFonts w:ascii="宋体" w:hAnsi="宋体" w:eastAsia="宋体" w:cs="宋体"/>
                <w:color w:val="auto"/>
                <w:spacing w:val="0"/>
                <w:w w:val="100"/>
                <w:sz w:val="21"/>
                <w:szCs w:val="21"/>
                <w:u w:val="none" w:color="auto"/>
              </w:rPr>
              <w:t>＜</w:t>
            </w:r>
            <w:r>
              <w:rPr>
                <w:rFonts w:ascii="Times New Roman" w:hAnsi="Times New Roman" w:eastAsia="Times New Roman" w:cs="Times New Roman"/>
                <w:color w:val="auto"/>
                <w:spacing w:val="0"/>
                <w:w w:val="100"/>
                <w:sz w:val="21"/>
                <w:szCs w:val="21"/>
                <w:u w:val="none" w:color="auto"/>
              </w:rPr>
              <w:t>10</w:t>
            </w:r>
            <w:r>
              <w:rPr>
                <w:rFonts w:hint="eastAsia" w:ascii="Times New Roman" w:hAnsi="Times New Roman" w:eastAsia="宋体" w:cs="Times New Roman"/>
                <w:color w:val="auto"/>
                <w:spacing w:val="0"/>
                <w:w w:val="100"/>
                <w:sz w:val="21"/>
                <w:szCs w:val="21"/>
                <w:u w:val="none" w:color="auto"/>
                <w:lang w:eastAsia="zh-CN"/>
              </w:rPr>
              <w:sym w:font="Wingdings 2" w:char="0052"/>
            </w:r>
          </w:p>
        </w:tc>
        <w:tc>
          <w:tcPr>
            <w:tcW w:w="147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10≤Q</w:t>
            </w:r>
            <w:r>
              <w:rPr>
                <w:rFonts w:ascii="宋体" w:hAnsi="宋体" w:eastAsia="宋体" w:cs="宋体"/>
                <w:color w:val="auto"/>
                <w:spacing w:val="0"/>
                <w:w w:val="100"/>
                <w:sz w:val="21"/>
                <w:szCs w:val="21"/>
                <w:u w:val="none" w:color="auto"/>
              </w:rPr>
              <w:t>＜</w:t>
            </w:r>
            <w:r>
              <w:rPr>
                <w:rFonts w:ascii="Times New Roman" w:hAnsi="Times New Roman" w:eastAsia="Times New Roman" w:cs="Times New Roman"/>
                <w:color w:val="auto"/>
                <w:spacing w:val="0"/>
                <w:w w:val="100"/>
                <w:sz w:val="21"/>
                <w:szCs w:val="21"/>
                <w:u w:val="none" w:color="auto"/>
              </w:rPr>
              <w:t>100</w:t>
            </w:r>
            <w:r>
              <w:rPr>
                <w:rFonts w:hint="eastAsia" w:ascii="Times New Roman" w:hAnsi="Times New Roman" w:eastAsia="宋体" w:cs="Times New Roman"/>
                <w:color w:val="auto"/>
                <w:spacing w:val="0"/>
                <w:w w:val="100"/>
                <w:sz w:val="21"/>
                <w:szCs w:val="21"/>
                <w:u w:val="none" w:color="auto"/>
                <w:lang w:eastAsia="zh-CN"/>
              </w:rPr>
              <w:t>□</w:t>
            </w:r>
          </w:p>
        </w:tc>
        <w:tc>
          <w:tcPr>
            <w:tcW w:w="1356"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Q</w:t>
            </w:r>
            <w:r>
              <w:rPr>
                <w:rFonts w:ascii="宋体" w:hAnsi="宋体" w:eastAsia="宋体" w:cs="宋体"/>
                <w:color w:val="auto"/>
                <w:spacing w:val="0"/>
                <w:w w:val="100"/>
                <w:sz w:val="21"/>
                <w:szCs w:val="21"/>
                <w:u w:val="none" w:color="auto"/>
              </w:rPr>
              <w:t>＞</w:t>
            </w:r>
            <w:r>
              <w:rPr>
                <w:rFonts w:ascii="Times New Roman" w:hAnsi="Times New Roman" w:eastAsia="Times New Roman" w:cs="Times New Roman"/>
                <w:color w:val="auto"/>
                <w:spacing w:val="0"/>
                <w:w w:val="100"/>
                <w:sz w:val="21"/>
                <w:szCs w:val="21"/>
                <w:u w:val="none" w:color="auto"/>
              </w:rPr>
              <w:t>100</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M</w:t>
            </w:r>
            <w:r>
              <w:rPr>
                <w:rFonts w:ascii="宋体" w:hAnsi="宋体" w:eastAsia="宋体" w:cs="宋体"/>
                <w:color w:val="auto"/>
                <w:spacing w:val="0"/>
                <w:w w:val="100"/>
                <w:sz w:val="21"/>
                <w:szCs w:val="21"/>
                <w:u w:val="none" w:color="auto"/>
              </w:rPr>
              <w:t>值</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M1</w:t>
            </w:r>
            <w:r>
              <w:rPr>
                <w:rFonts w:hint="eastAsia" w:ascii="Times New Roman" w:hAnsi="Times New Roman" w:eastAsia="宋体" w:cs="Times New Roman"/>
                <w:color w:val="auto"/>
                <w:spacing w:val="0"/>
                <w:w w:val="100"/>
                <w:sz w:val="21"/>
                <w:szCs w:val="21"/>
                <w:u w:val="none" w:color="auto"/>
                <w:lang w:eastAsia="zh-CN"/>
              </w:rPr>
              <w:t>□</w:t>
            </w:r>
          </w:p>
        </w:tc>
        <w:tc>
          <w:tcPr>
            <w:tcW w:w="110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M2</w:t>
            </w:r>
            <w:r>
              <w:rPr>
                <w:rFonts w:hint="eastAsia" w:ascii="Times New Roman" w:hAnsi="Times New Roman" w:eastAsia="宋体" w:cs="Times New Roman"/>
                <w:color w:val="auto"/>
                <w:spacing w:val="0"/>
                <w:w w:val="100"/>
                <w:sz w:val="21"/>
                <w:szCs w:val="21"/>
                <w:u w:val="none" w:color="auto"/>
                <w:lang w:eastAsia="zh-CN"/>
              </w:rPr>
              <w:t>□</w:t>
            </w:r>
          </w:p>
        </w:tc>
        <w:tc>
          <w:tcPr>
            <w:tcW w:w="147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M3</w:t>
            </w:r>
            <w:r>
              <w:rPr>
                <w:rFonts w:hint="eastAsia" w:ascii="Times New Roman" w:hAnsi="Times New Roman" w:eastAsia="宋体" w:cs="Times New Roman"/>
                <w:color w:val="auto"/>
                <w:spacing w:val="0"/>
                <w:w w:val="100"/>
                <w:sz w:val="21"/>
                <w:szCs w:val="21"/>
                <w:u w:val="none" w:color="auto"/>
                <w:lang w:eastAsia="zh-CN"/>
              </w:rPr>
              <w:t>□</w:t>
            </w:r>
          </w:p>
        </w:tc>
        <w:tc>
          <w:tcPr>
            <w:tcW w:w="1356"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M4</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P</w:t>
            </w:r>
            <w:r>
              <w:rPr>
                <w:rFonts w:ascii="宋体" w:hAnsi="宋体" w:eastAsia="宋体" w:cs="宋体"/>
                <w:color w:val="auto"/>
                <w:spacing w:val="0"/>
                <w:w w:val="100"/>
                <w:sz w:val="21"/>
                <w:szCs w:val="21"/>
                <w:u w:val="none" w:color="auto"/>
              </w:rPr>
              <w:t>值</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P1</w:t>
            </w:r>
            <w:r>
              <w:rPr>
                <w:rFonts w:hint="eastAsia" w:ascii="Times New Roman" w:hAnsi="Times New Roman" w:eastAsia="宋体" w:cs="Times New Roman"/>
                <w:color w:val="auto"/>
                <w:spacing w:val="0"/>
                <w:w w:val="100"/>
                <w:sz w:val="21"/>
                <w:szCs w:val="21"/>
                <w:u w:val="none" w:color="auto"/>
                <w:lang w:eastAsia="zh-CN"/>
              </w:rPr>
              <w:t>□</w:t>
            </w:r>
          </w:p>
        </w:tc>
        <w:tc>
          <w:tcPr>
            <w:tcW w:w="110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P2</w:t>
            </w:r>
            <w:r>
              <w:rPr>
                <w:rFonts w:hint="eastAsia" w:ascii="Times New Roman" w:hAnsi="Times New Roman" w:eastAsia="宋体" w:cs="Times New Roman"/>
                <w:color w:val="auto"/>
                <w:spacing w:val="0"/>
                <w:w w:val="100"/>
                <w:sz w:val="21"/>
                <w:szCs w:val="21"/>
                <w:u w:val="none" w:color="auto"/>
                <w:lang w:eastAsia="zh-CN"/>
              </w:rPr>
              <w:t>□</w:t>
            </w:r>
          </w:p>
        </w:tc>
        <w:tc>
          <w:tcPr>
            <w:tcW w:w="1471"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P3</w:t>
            </w:r>
            <w:r>
              <w:rPr>
                <w:rFonts w:hint="eastAsia" w:ascii="Times New Roman" w:hAnsi="Times New Roman" w:eastAsia="宋体" w:cs="Times New Roman"/>
                <w:color w:val="auto"/>
                <w:spacing w:val="0"/>
                <w:w w:val="100"/>
                <w:sz w:val="21"/>
                <w:szCs w:val="21"/>
                <w:u w:val="none" w:color="auto"/>
                <w:lang w:eastAsia="zh-CN"/>
              </w:rPr>
              <w:t>□</w:t>
            </w:r>
          </w:p>
        </w:tc>
        <w:tc>
          <w:tcPr>
            <w:tcW w:w="1356"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P4</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环境敏感程度</w:t>
            </w: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大气</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E1</w:t>
            </w:r>
            <w:r>
              <w:rPr>
                <w:rFonts w:hint="eastAsia" w:ascii="Times New Roman" w:hAnsi="Times New Roman" w:eastAsia="宋体" w:cs="Times New Roman"/>
                <w:color w:val="auto"/>
                <w:spacing w:val="0"/>
                <w:w w:val="100"/>
                <w:sz w:val="21"/>
                <w:szCs w:val="21"/>
                <w:u w:val="none" w:color="auto"/>
                <w:lang w:eastAsia="zh-CN"/>
              </w:rPr>
              <w:sym w:font="Wingdings 2" w:char="0052"/>
            </w:r>
          </w:p>
        </w:tc>
        <w:tc>
          <w:tcPr>
            <w:tcW w:w="1836"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E2</w:t>
            </w:r>
            <w:r>
              <w:rPr>
                <w:rFonts w:hint="eastAsia" w:ascii="Times New Roman" w:hAnsi="Times New Roman" w:eastAsia="宋体" w:cs="Times New Roman"/>
                <w:color w:val="auto"/>
                <w:spacing w:val="0"/>
                <w:w w:val="100"/>
                <w:sz w:val="21"/>
                <w:szCs w:val="21"/>
                <w:u w:val="none" w:color="auto"/>
                <w:lang w:eastAsia="zh-CN"/>
              </w:rPr>
              <w:t>□</w:t>
            </w:r>
          </w:p>
        </w:tc>
        <w:tc>
          <w:tcPr>
            <w:tcW w:w="2093"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E3</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地表水</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E1</w:t>
            </w:r>
            <w:r>
              <w:rPr>
                <w:rFonts w:hint="eastAsia" w:ascii="Times New Roman" w:hAnsi="Times New Roman" w:eastAsia="宋体" w:cs="Times New Roman"/>
                <w:color w:val="auto"/>
                <w:spacing w:val="0"/>
                <w:w w:val="100"/>
                <w:sz w:val="21"/>
                <w:szCs w:val="21"/>
                <w:u w:val="none" w:color="auto"/>
                <w:lang w:eastAsia="zh-CN"/>
              </w:rPr>
              <w:t>□</w:t>
            </w:r>
          </w:p>
        </w:tc>
        <w:tc>
          <w:tcPr>
            <w:tcW w:w="1836"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E2</w:t>
            </w:r>
            <w:r>
              <w:rPr>
                <w:rFonts w:hint="eastAsia" w:ascii="Times New Roman" w:hAnsi="Times New Roman" w:eastAsia="宋体" w:cs="Times New Roman"/>
                <w:color w:val="auto"/>
                <w:spacing w:val="0"/>
                <w:w w:val="100"/>
                <w:sz w:val="21"/>
                <w:szCs w:val="21"/>
                <w:u w:val="none" w:color="auto"/>
                <w:lang w:eastAsia="zh-CN"/>
              </w:rPr>
              <w:t>□</w:t>
            </w:r>
          </w:p>
        </w:tc>
        <w:tc>
          <w:tcPr>
            <w:tcW w:w="2093"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E3</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01"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地下水</w:t>
            </w:r>
          </w:p>
        </w:tc>
        <w:tc>
          <w:tcPr>
            <w:tcW w:w="1912"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ascii="Times New Roman" w:hAnsi="Times New Roman" w:eastAsia="Times New Roman" w:cs="Times New Roman"/>
                <w:color w:val="auto"/>
                <w:spacing w:val="0"/>
                <w:w w:val="100"/>
                <w:sz w:val="21"/>
                <w:szCs w:val="21"/>
                <w:u w:val="none" w:color="auto"/>
              </w:rPr>
              <w:t>E1</w:t>
            </w:r>
            <w:r>
              <w:rPr>
                <w:rFonts w:hint="eastAsia" w:ascii="Times New Roman" w:hAnsi="Times New Roman" w:eastAsia="宋体" w:cs="Times New Roman"/>
                <w:color w:val="auto"/>
                <w:spacing w:val="0"/>
                <w:w w:val="100"/>
                <w:sz w:val="21"/>
                <w:szCs w:val="21"/>
                <w:u w:val="none" w:color="auto"/>
                <w:lang w:eastAsia="zh-CN"/>
              </w:rPr>
              <w:t>□</w:t>
            </w:r>
          </w:p>
        </w:tc>
        <w:tc>
          <w:tcPr>
            <w:tcW w:w="1836"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E2</w:t>
            </w:r>
            <w:r>
              <w:rPr>
                <w:rFonts w:hint="eastAsia" w:ascii="Times New Roman" w:hAnsi="Times New Roman" w:eastAsia="宋体" w:cs="Times New Roman"/>
                <w:color w:val="auto"/>
                <w:spacing w:val="0"/>
                <w:w w:val="100"/>
                <w:sz w:val="21"/>
                <w:szCs w:val="21"/>
                <w:u w:val="none" w:color="auto"/>
                <w:lang w:eastAsia="zh-CN"/>
              </w:rPr>
              <w:t>□</w:t>
            </w:r>
          </w:p>
        </w:tc>
        <w:tc>
          <w:tcPr>
            <w:tcW w:w="2093"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E3</w:t>
            </w:r>
            <w:r>
              <w:rPr>
                <w:rFonts w:hint="eastAsia" w:ascii="Times New Roman" w:hAnsi="Times New Roman" w:eastAsia="宋体" w:cs="Times New Roman"/>
                <w:color w:val="auto"/>
                <w:spacing w:val="0"/>
                <w:w w:val="100"/>
                <w:sz w:val="21"/>
                <w:szCs w:val="21"/>
                <w:u w:val="none" w:color="auto"/>
                <w:lang w:eastAsia="zh-CN"/>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环境风险潜势</w:t>
            </w:r>
          </w:p>
        </w:tc>
        <w:tc>
          <w:tcPr>
            <w:tcW w:w="1661"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Ⅳ</w:t>
            </w:r>
            <w:r>
              <w:rPr>
                <w:rFonts w:ascii="Times New Roman" w:hAnsi="Times New Roman" w:eastAsia="Times New Roman" w:cs="Times New Roman"/>
                <w:color w:val="auto"/>
                <w:spacing w:val="0"/>
                <w:w w:val="100"/>
                <w:position w:val="5"/>
                <w:sz w:val="21"/>
                <w:szCs w:val="21"/>
                <w:u w:val="none" w:color="auto"/>
              </w:rPr>
              <w:t>+</w:t>
            </w:r>
            <w:r>
              <w:rPr>
                <w:rFonts w:hint="eastAsia" w:ascii="Times New Roman" w:hAnsi="Times New Roman" w:eastAsia="宋体" w:cs="Times New Roman"/>
                <w:color w:val="auto"/>
                <w:spacing w:val="0"/>
                <w:w w:val="100"/>
                <w:sz w:val="21"/>
                <w:szCs w:val="21"/>
                <w:u w:val="none" w:color="auto"/>
                <w:lang w:eastAsia="zh-CN"/>
              </w:rPr>
              <w:t>□</w:t>
            </w:r>
          </w:p>
        </w:tc>
        <w:tc>
          <w:tcPr>
            <w:tcW w:w="1252"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Ⅳ</w:t>
            </w:r>
            <w:r>
              <w:rPr>
                <w:rFonts w:hint="eastAsia" w:ascii="Times New Roman" w:hAnsi="Times New Roman" w:eastAsia="宋体" w:cs="Times New Roman"/>
                <w:color w:val="auto"/>
                <w:spacing w:val="0"/>
                <w:w w:val="100"/>
                <w:sz w:val="21"/>
                <w:szCs w:val="21"/>
                <w:u w:val="none" w:color="auto"/>
                <w:lang w:eastAsia="zh-CN"/>
              </w:rPr>
              <w:t>□</w:t>
            </w:r>
          </w:p>
        </w:tc>
        <w:tc>
          <w:tcPr>
            <w:tcW w:w="1020"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Ⅲ</w:t>
            </w:r>
            <w:r>
              <w:rPr>
                <w:rFonts w:hint="eastAsia" w:ascii="Times New Roman" w:hAnsi="Times New Roman" w:eastAsia="宋体" w:cs="Times New Roman"/>
                <w:color w:val="auto"/>
                <w:spacing w:val="0"/>
                <w:w w:val="100"/>
                <w:sz w:val="21"/>
                <w:szCs w:val="21"/>
                <w:u w:val="none" w:color="auto"/>
                <w:lang w:eastAsia="zh-CN"/>
              </w:rPr>
              <w:sym w:font="Wingdings 2" w:char="0052"/>
            </w:r>
          </w:p>
        </w:tc>
        <w:tc>
          <w:tcPr>
            <w:tcW w:w="1330"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Ⅱ</w:t>
            </w:r>
            <w:r>
              <w:rPr>
                <w:rFonts w:hint="eastAsia" w:ascii="Times New Roman" w:hAnsi="Times New Roman" w:eastAsia="宋体" w:cs="Times New Roman"/>
                <w:color w:val="auto"/>
                <w:spacing w:val="0"/>
                <w:w w:val="100"/>
                <w:sz w:val="21"/>
                <w:szCs w:val="21"/>
                <w:u w:val="none" w:color="auto"/>
                <w:lang w:eastAsia="zh-CN"/>
              </w:rPr>
              <w:t>□</w:t>
            </w:r>
          </w:p>
        </w:tc>
        <w:tc>
          <w:tcPr>
            <w:tcW w:w="1579"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I</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评价等级</w:t>
            </w:r>
          </w:p>
        </w:tc>
        <w:tc>
          <w:tcPr>
            <w:tcW w:w="1661"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一级</w:t>
            </w:r>
            <w:r>
              <w:rPr>
                <w:rFonts w:hint="eastAsia" w:ascii="Times New Roman" w:hAnsi="Times New Roman" w:eastAsia="宋体" w:cs="Times New Roman"/>
                <w:color w:val="auto"/>
                <w:spacing w:val="0"/>
                <w:w w:val="100"/>
                <w:sz w:val="21"/>
                <w:szCs w:val="21"/>
                <w:u w:val="none" w:color="auto"/>
                <w:lang w:eastAsia="zh-CN"/>
              </w:rPr>
              <w:t>□</w:t>
            </w:r>
          </w:p>
        </w:tc>
        <w:tc>
          <w:tcPr>
            <w:tcW w:w="2272"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二级</w:t>
            </w:r>
            <w:r>
              <w:rPr>
                <w:rFonts w:hint="eastAsia" w:ascii="Times New Roman" w:hAnsi="Times New Roman" w:eastAsia="宋体" w:cs="Times New Roman"/>
                <w:color w:val="auto"/>
                <w:spacing w:val="0"/>
                <w:w w:val="100"/>
                <w:sz w:val="21"/>
                <w:szCs w:val="21"/>
                <w:u w:val="none" w:color="auto"/>
                <w:lang w:eastAsia="zh-CN"/>
              </w:rPr>
              <w:sym w:font="Wingdings 2" w:char="0052"/>
            </w:r>
          </w:p>
        </w:tc>
        <w:tc>
          <w:tcPr>
            <w:tcW w:w="1330"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三级</w:t>
            </w:r>
            <w:r>
              <w:rPr>
                <w:rFonts w:hint="eastAsia" w:ascii="Times New Roman" w:hAnsi="Times New Roman" w:eastAsia="宋体" w:cs="Times New Roman"/>
                <w:color w:val="auto"/>
                <w:spacing w:val="0"/>
                <w:w w:val="100"/>
                <w:sz w:val="21"/>
                <w:szCs w:val="21"/>
                <w:u w:val="none" w:color="auto"/>
                <w:lang w:eastAsia="zh-CN"/>
              </w:rPr>
              <w:t>□</w:t>
            </w:r>
          </w:p>
        </w:tc>
        <w:tc>
          <w:tcPr>
            <w:tcW w:w="1579" w:type="dxa"/>
            <w:gridSpan w:val="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简单分析</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风险识别</w:t>
            </w:r>
          </w:p>
        </w:tc>
        <w:tc>
          <w:tcPr>
            <w:tcW w:w="1093"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物质危险性</w:t>
            </w:r>
          </w:p>
        </w:tc>
        <w:tc>
          <w:tcPr>
            <w:tcW w:w="2913"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有毒有害</w:t>
            </w:r>
            <w:r>
              <w:rPr>
                <w:rFonts w:hint="eastAsia" w:ascii="Times New Roman" w:hAnsi="Times New Roman" w:eastAsia="宋体" w:cs="Times New Roman"/>
                <w:color w:val="auto"/>
                <w:spacing w:val="0"/>
                <w:w w:val="100"/>
                <w:sz w:val="21"/>
                <w:szCs w:val="21"/>
                <w:u w:val="none" w:color="auto"/>
                <w:lang w:eastAsia="zh-CN"/>
              </w:rPr>
              <w:sym w:font="Wingdings 2" w:char="0052"/>
            </w:r>
          </w:p>
        </w:tc>
        <w:tc>
          <w:tcPr>
            <w:tcW w:w="3929" w:type="dxa"/>
            <w:gridSpan w:val="11"/>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易燃易爆</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环境风险类型</w:t>
            </w:r>
          </w:p>
        </w:tc>
        <w:tc>
          <w:tcPr>
            <w:tcW w:w="2913"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泄漏</w:t>
            </w:r>
            <w:r>
              <w:rPr>
                <w:rFonts w:hint="eastAsia" w:ascii="Times New Roman" w:hAnsi="Times New Roman" w:eastAsia="宋体" w:cs="Times New Roman"/>
                <w:color w:val="auto"/>
                <w:spacing w:val="0"/>
                <w:w w:val="100"/>
                <w:sz w:val="21"/>
                <w:szCs w:val="21"/>
                <w:u w:val="none" w:color="auto"/>
                <w:lang w:eastAsia="zh-CN"/>
              </w:rPr>
              <w:t>☑</w:t>
            </w:r>
          </w:p>
        </w:tc>
        <w:tc>
          <w:tcPr>
            <w:tcW w:w="3929" w:type="dxa"/>
            <w:gridSpan w:val="11"/>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火灾、爆炸引发伴生</w:t>
            </w:r>
            <w:r>
              <w:rPr>
                <w:rFonts w:ascii="Times New Roman" w:hAnsi="Times New Roman" w:eastAsia="Times New Roman" w:cs="Times New Roman"/>
                <w:color w:val="auto"/>
                <w:spacing w:val="0"/>
                <w:w w:val="100"/>
                <w:sz w:val="21"/>
                <w:szCs w:val="21"/>
                <w:u w:val="none" w:color="auto"/>
              </w:rPr>
              <w:t>/</w:t>
            </w:r>
            <w:r>
              <w:rPr>
                <w:rFonts w:ascii="宋体" w:hAnsi="宋体" w:eastAsia="宋体" w:cs="宋体"/>
                <w:color w:val="auto"/>
                <w:spacing w:val="0"/>
                <w:w w:val="100"/>
                <w:sz w:val="21"/>
                <w:szCs w:val="21"/>
                <w:u w:val="none" w:color="auto"/>
              </w:rPr>
              <w:t>次生污染物排放</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影响途径</w:t>
            </w:r>
          </w:p>
        </w:tc>
        <w:tc>
          <w:tcPr>
            <w:tcW w:w="2913"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大气</w:t>
            </w:r>
            <w:r>
              <w:rPr>
                <w:rFonts w:hint="eastAsia" w:ascii="Times New Roman" w:hAnsi="Times New Roman" w:eastAsia="宋体" w:cs="Times New Roman"/>
                <w:color w:val="auto"/>
                <w:spacing w:val="0"/>
                <w:w w:val="100"/>
                <w:sz w:val="21"/>
                <w:szCs w:val="21"/>
                <w:u w:val="none" w:color="auto"/>
                <w:lang w:eastAsia="zh-CN"/>
              </w:rPr>
              <w:t>☑</w:t>
            </w:r>
          </w:p>
        </w:tc>
        <w:tc>
          <w:tcPr>
            <w:tcW w:w="1836"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地表水</w:t>
            </w:r>
            <w:r>
              <w:rPr>
                <w:rFonts w:hint="eastAsia" w:ascii="Times New Roman" w:hAnsi="Times New Roman" w:eastAsia="宋体" w:cs="Times New Roman"/>
                <w:color w:val="auto"/>
                <w:spacing w:val="0"/>
                <w:w w:val="100"/>
                <w:sz w:val="21"/>
                <w:szCs w:val="21"/>
                <w:u w:val="none" w:color="auto"/>
                <w:lang w:eastAsia="zh-CN"/>
              </w:rPr>
              <w:t>□</w:t>
            </w:r>
          </w:p>
        </w:tc>
        <w:tc>
          <w:tcPr>
            <w:tcW w:w="2093"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地下水</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事故情形分析</w:t>
            </w:r>
          </w:p>
        </w:tc>
        <w:tc>
          <w:tcPr>
            <w:tcW w:w="1661"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源强设定方法</w:t>
            </w:r>
          </w:p>
        </w:tc>
        <w:tc>
          <w:tcPr>
            <w:tcW w:w="1978"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计算法</w:t>
            </w:r>
            <w:r>
              <w:rPr>
                <w:rFonts w:hint="eastAsia" w:ascii="Times New Roman" w:hAnsi="Times New Roman" w:eastAsia="宋体" w:cs="Times New Roman"/>
                <w:color w:val="auto"/>
                <w:spacing w:val="0"/>
                <w:w w:val="100"/>
                <w:sz w:val="21"/>
                <w:szCs w:val="21"/>
                <w:u w:val="none" w:color="auto"/>
                <w:lang w:eastAsia="zh-CN"/>
              </w:rPr>
              <w:t>□</w:t>
            </w:r>
          </w:p>
        </w:tc>
        <w:tc>
          <w:tcPr>
            <w:tcW w:w="1725"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经验估算法</w:t>
            </w:r>
            <w:r>
              <w:rPr>
                <w:rFonts w:hint="eastAsia" w:ascii="Times New Roman" w:hAnsi="Times New Roman" w:eastAsia="宋体" w:cs="Times New Roman"/>
                <w:color w:val="auto"/>
                <w:spacing w:val="0"/>
                <w:w w:val="100"/>
                <w:sz w:val="21"/>
                <w:szCs w:val="21"/>
                <w:u w:val="none" w:color="auto"/>
                <w:lang w:eastAsia="zh-CN"/>
              </w:rPr>
              <w:t>□</w:t>
            </w:r>
          </w:p>
        </w:tc>
        <w:tc>
          <w:tcPr>
            <w:tcW w:w="1478"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宋体" w:hAnsi="宋体" w:eastAsia="宋体" w:cs="宋体"/>
                <w:color w:val="auto"/>
                <w:spacing w:val="0"/>
                <w:w w:val="100"/>
                <w:sz w:val="21"/>
                <w:szCs w:val="21"/>
                <w:u w:val="none" w:color="auto"/>
              </w:rPr>
              <w:t>其他估算法</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restart"/>
            <w:tcBorders>
              <w:tl2br w:val="nil"/>
              <w:tr2bl w:val="nil"/>
            </w:tcBorders>
            <w:noWrap w:val="0"/>
            <w:textDirection w:val="tbRlV"/>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风险预测与评价</w:t>
            </w:r>
          </w:p>
        </w:tc>
        <w:tc>
          <w:tcPr>
            <w:tcW w:w="1093"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大气</w:t>
            </w:r>
          </w:p>
        </w:tc>
        <w:tc>
          <w:tcPr>
            <w:tcW w:w="1661"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预测模型</w:t>
            </w:r>
          </w:p>
        </w:tc>
        <w:tc>
          <w:tcPr>
            <w:tcW w:w="1978" w:type="dxa"/>
            <w:gridSpan w:val="5"/>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SLAB</w:t>
            </w:r>
            <w:r>
              <w:rPr>
                <w:rFonts w:hint="eastAsia" w:ascii="Times New Roman" w:hAnsi="Times New Roman" w:eastAsia="宋体" w:cs="Times New Roman"/>
                <w:color w:val="auto"/>
                <w:spacing w:val="0"/>
                <w:w w:val="100"/>
                <w:sz w:val="21"/>
                <w:szCs w:val="21"/>
                <w:u w:val="none" w:color="auto"/>
                <w:lang w:eastAsia="zh-CN"/>
              </w:rPr>
              <w:t>□</w:t>
            </w:r>
          </w:p>
        </w:tc>
        <w:tc>
          <w:tcPr>
            <w:tcW w:w="1725" w:type="dxa"/>
            <w:gridSpan w:val="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r>
              <w:rPr>
                <w:rFonts w:ascii="Times New Roman" w:hAnsi="Times New Roman" w:eastAsia="Times New Roman" w:cs="Times New Roman"/>
                <w:color w:val="auto"/>
                <w:spacing w:val="0"/>
                <w:w w:val="100"/>
                <w:sz w:val="21"/>
                <w:szCs w:val="21"/>
                <w:u w:val="none" w:color="auto"/>
              </w:rPr>
              <w:t>AFTOX</w:t>
            </w:r>
            <w:r>
              <w:rPr>
                <w:rFonts w:hint="eastAsia" w:ascii="Times New Roman" w:hAnsi="Times New Roman" w:eastAsia="宋体" w:cs="Times New Roman"/>
                <w:color w:val="auto"/>
                <w:spacing w:val="0"/>
                <w:w w:val="100"/>
                <w:sz w:val="21"/>
                <w:szCs w:val="21"/>
                <w:u w:val="none" w:color="auto"/>
                <w:lang w:eastAsia="zh-CN"/>
              </w:rPr>
              <w:sym w:font="Wingdings 2" w:char="0052"/>
            </w:r>
          </w:p>
        </w:tc>
        <w:tc>
          <w:tcPr>
            <w:tcW w:w="1478" w:type="dxa"/>
            <w:gridSpan w:val="3"/>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0"/>
                <w:w w:val="100"/>
                <w:sz w:val="21"/>
                <w:szCs w:val="21"/>
                <w:u w:val="none" w:color="auto"/>
                <w:lang w:eastAsia="zh-CN"/>
              </w:rPr>
            </w:pPr>
            <w:r>
              <w:rPr>
                <w:rFonts w:ascii="宋体" w:hAnsi="宋体" w:eastAsia="宋体" w:cs="宋体"/>
                <w:color w:val="auto"/>
                <w:spacing w:val="0"/>
                <w:w w:val="100"/>
                <w:sz w:val="21"/>
                <w:szCs w:val="21"/>
                <w:u w:val="none" w:color="auto"/>
              </w:rPr>
              <w:t>其他</w:t>
            </w:r>
            <w:r>
              <w:rPr>
                <w:rFonts w:hint="eastAsia" w:ascii="Times New Roman" w:hAnsi="Times New Roman" w:eastAsia="宋体" w:cs="Times New Roman"/>
                <w:color w:val="auto"/>
                <w:spacing w:val="0"/>
                <w:w w:val="10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661" w:type="dxa"/>
            <w:gridSpan w:val="2"/>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预测结果</w:t>
            </w:r>
          </w:p>
        </w:tc>
        <w:tc>
          <w:tcPr>
            <w:tcW w:w="5181" w:type="dxa"/>
            <w:gridSpan w:val="1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eastAsiaTheme="minorEastAsia"/>
                <w:color w:val="auto"/>
                <w:spacing w:val="0"/>
                <w:w w:val="100"/>
                <w:sz w:val="21"/>
                <w:szCs w:val="21"/>
                <w:u w:val="none" w:color="auto"/>
                <w:lang w:val="en-US" w:eastAsia="zh-CN"/>
              </w:rPr>
            </w:pPr>
            <w:r>
              <w:rPr>
                <w:rFonts w:hint="eastAsia" w:ascii="Times New Roman" w:hAnsi="Times New Roman" w:cs="Times New Roman" w:eastAsiaTheme="minorEastAsia"/>
                <w:color w:val="auto"/>
                <w:spacing w:val="3"/>
                <w:sz w:val="21"/>
                <w:szCs w:val="21"/>
              </w:rPr>
              <w:t>一氧化碳</w:t>
            </w:r>
            <w:r>
              <w:rPr>
                <w:rFonts w:hint="eastAsia" w:ascii="Times New Roman" w:hAnsi="Times New Roman" w:cs="Times New Roman" w:eastAsiaTheme="minorEastAsia"/>
                <w:color w:val="auto"/>
                <w:spacing w:val="3"/>
                <w:sz w:val="21"/>
                <w:szCs w:val="21"/>
                <w:lang w:eastAsia="zh-CN"/>
              </w:rPr>
              <w:t>：</w:t>
            </w:r>
            <w:r>
              <w:rPr>
                <w:rFonts w:hint="eastAsia" w:ascii="Times New Roman" w:hAnsi="Times New Roman" w:cs="Times New Roman" w:eastAsiaTheme="minorEastAsia"/>
                <w:color w:val="auto"/>
                <w:spacing w:val="3"/>
                <w:sz w:val="21"/>
                <w:szCs w:val="21"/>
              </w:rPr>
              <w:t>一氧化碳超过大气毒性终点浓度-2</w:t>
            </w:r>
            <w:r>
              <w:rPr>
                <w:rFonts w:hint="eastAsia" w:ascii="Times New Roman" w:hAnsi="Times New Roman" w:cs="Times New Roman" w:eastAsiaTheme="minorEastAsia"/>
                <w:color w:val="auto"/>
                <w:spacing w:val="3"/>
                <w:sz w:val="21"/>
                <w:szCs w:val="21"/>
                <w:lang w:eastAsia="zh-CN"/>
              </w:rPr>
              <w:t>，</w:t>
            </w:r>
            <w:r>
              <w:rPr>
                <w:rFonts w:hint="eastAsia" w:ascii="Times New Roman" w:hAnsi="Times New Roman" w:cs="Times New Roman" w:eastAsiaTheme="minorEastAsia"/>
                <w:color w:val="auto"/>
                <w:spacing w:val="3"/>
                <w:sz w:val="21"/>
                <w:szCs w:val="21"/>
                <w:lang w:val="en-US" w:eastAsia="zh-CN"/>
              </w:rPr>
              <w:t>但未超过</w:t>
            </w:r>
            <w:r>
              <w:rPr>
                <w:rFonts w:hint="eastAsia" w:ascii="Times New Roman" w:hAnsi="Times New Roman" w:cs="Times New Roman" w:eastAsiaTheme="minorEastAsia"/>
                <w:color w:val="auto"/>
                <w:spacing w:val="3"/>
                <w:sz w:val="21"/>
                <w:szCs w:val="21"/>
              </w:rPr>
              <w:t>大气毒性终点浓度-1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661" w:type="dxa"/>
            <w:gridSpan w:val="2"/>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5181" w:type="dxa"/>
            <w:gridSpan w:val="14"/>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pacing w:val="0"/>
                <w:w w:val="100"/>
                <w:sz w:val="21"/>
                <w:szCs w:val="21"/>
                <w:u w:val="none" w:color="auto"/>
              </w:rPr>
            </w:pPr>
            <w:r>
              <w:rPr>
                <w:rFonts w:hint="eastAsia" w:ascii="Times New Roman" w:hAnsi="Times New Roman" w:cs="Times New Roman" w:eastAsiaTheme="minorEastAsia"/>
                <w:color w:val="auto"/>
                <w:spacing w:val="3"/>
                <w:sz w:val="21"/>
                <w:szCs w:val="21"/>
                <w:u w:val="none"/>
                <w:lang w:val="en-US" w:eastAsia="zh-CN"/>
              </w:rPr>
              <w:t>二氧化硫：</w:t>
            </w:r>
            <w:r>
              <w:rPr>
                <w:rFonts w:hint="eastAsia" w:ascii="Times New Roman" w:hAnsi="Times New Roman" w:eastAsia="宋体" w:cs="Times New Roman"/>
                <w:color w:val="auto"/>
                <w:kern w:val="0"/>
                <w:sz w:val="21"/>
                <w:szCs w:val="21"/>
                <w:highlight w:val="none"/>
                <w:u w:val="none"/>
              </w:rPr>
              <w:t>没有超过大气毒性终点浓度-2和大气毒性终点浓度-1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地表水</w:t>
            </w:r>
          </w:p>
        </w:tc>
        <w:tc>
          <w:tcPr>
            <w:tcW w:w="6842" w:type="dxa"/>
            <w:gridSpan w:val="1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pacing w:val="0"/>
                <w:w w:val="100"/>
                <w:sz w:val="21"/>
                <w:szCs w:val="21"/>
                <w:u w:val="none" w:color="auto"/>
              </w:rPr>
            </w:pPr>
            <w:r>
              <w:rPr>
                <w:rFonts w:ascii="宋体" w:hAnsi="宋体" w:eastAsia="宋体" w:cs="宋体"/>
                <w:color w:val="auto"/>
                <w:spacing w:val="0"/>
                <w:w w:val="100"/>
                <w:sz w:val="21"/>
                <w:szCs w:val="21"/>
                <w:u w:val="none" w:color="auto"/>
              </w:rPr>
              <w:t>最近环境敏感目标</w:t>
            </w:r>
            <w:r>
              <w:rPr>
                <w:rFonts w:hint="eastAsia" w:ascii="宋体" w:hAnsi="宋体" w:eastAsia="宋体" w:cs="宋体"/>
                <w:color w:val="auto"/>
                <w:spacing w:val="0"/>
                <w:w w:val="100"/>
                <w:sz w:val="21"/>
                <w:szCs w:val="21"/>
                <w:u w:val="none" w:color="auto"/>
                <w:lang w:val="en-US" w:eastAsia="zh-CN"/>
              </w:rPr>
              <w:t>/</w:t>
            </w:r>
            <w:r>
              <w:rPr>
                <w:rFonts w:ascii="宋体" w:hAnsi="宋体" w:eastAsia="宋体" w:cs="宋体"/>
                <w:color w:val="auto"/>
                <w:spacing w:val="0"/>
                <w:w w:val="100"/>
                <w:sz w:val="21"/>
                <w:szCs w:val="21"/>
                <w:u w:val="none" w:color="auto"/>
              </w:rPr>
              <w:t>，到达时间</w:t>
            </w:r>
            <w:r>
              <w:rPr>
                <w:rFonts w:hint="eastAsia" w:ascii="宋体" w:hAnsi="宋体" w:eastAsia="宋体" w:cs="宋体"/>
                <w:color w:val="auto"/>
                <w:spacing w:val="0"/>
                <w:w w:val="100"/>
                <w:sz w:val="21"/>
                <w:szCs w:val="21"/>
                <w:u w:val="none" w:color="auto"/>
                <w:lang w:val="en-US" w:eastAsia="zh-CN"/>
              </w:rPr>
              <w:t>/</w:t>
            </w:r>
            <w:r>
              <w:rPr>
                <w:rFonts w:ascii="Times New Roman" w:hAnsi="Times New Roman" w:eastAsia="Times New Roman" w:cs="Times New Roman"/>
                <w:color w:val="auto"/>
                <w:spacing w:val="0"/>
                <w:w w:val="100"/>
                <w:sz w:val="21"/>
                <w:szCs w:val="21"/>
                <w:u w:val="none" w:color="auto"/>
              </w:rPr>
              <w:t>h</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restart"/>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地下水</w:t>
            </w:r>
          </w:p>
        </w:tc>
        <w:tc>
          <w:tcPr>
            <w:tcW w:w="6842" w:type="dxa"/>
            <w:gridSpan w:val="1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pacing w:val="0"/>
                <w:w w:val="100"/>
                <w:sz w:val="21"/>
                <w:szCs w:val="21"/>
                <w:u w:val="none" w:color="auto"/>
              </w:rPr>
            </w:pPr>
            <w:r>
              <w:rPr>
                <w:rFonts w:ascii="宋体" w:hAnsi="宋体" w:eastAsia="宋体" w:cs="宋体"/>
                <w:color w:val="auto"/>
                <w:spacing w:val="0"/>
                <w:w w:val="100"/>
                <w:sz w:val="21"/>
                <w:szCs w:val="21"/>
                <w:u w:val="none" w:color="auto"/>
              </w:rPr>
              <w:t>下游厂区边界到达时间</w:t>
            </w:r>
            <w:r>
              <w:rPr>
                <w:rFonts w:hint="eastAsia" w:ascii="宋体" w:hAnsi="宋体" w:eastAsia="宋体" w:cs="宋体"/>
                <w:color w:val="auto"/>
                <w:spacing w:val="0"/>
                <w:w w:val="100"/>
                <w:sz w:val="21"/>
                <w:szCs w:val="21"/>
                <w:u w:val="none" w:color="auto"/>
                <w:lang w:val="en-US" w:eastAsia="zh-CN"/>
              </w:rPr>
              <w:t>/</w:t>
            </w:r>
            <w:r>
              <w:rPr>
                <w:rFonts w:ascii="Times New Roman" w:hAnsi="Times New Roman" w:eastAsia="Times New Roman" w:cs="Times New Roman"/>
                <w:color w:val="auto"/>
                <w:spacing w:val="0"/>
                <w:w w:val="100"/>
                <w:sz w:val="21"/>
                <w:szCs w:val="21"/>
                <w:u w:val="none" w:color="auto"/>
              </w:rPr>
              <w:t>d</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4" w:type="dxa"/>
            <w:vMerge w:val="continue"/>
            <w:tcBorders>
              <w:tl2br w:val="nil"/>
              <w:tr2bl w:val="nil"/>
            </w:tcBorders>
            <w:noWrap w:val="0"/>
            <w:textDirection w:val="tbRlV"/>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1093" w:type="dxa"/>
            <w:vMerge w:val="continue"/>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color w:val="auto"/>
                <w:spacing w:val="0"/>
                <w:w w:val="100"/>
                <w:sz w:val="21"/>
                <w:szCs w:val="21"/>
                <w:u w:val="none" w:color="auto"/>
              </w:rPr>
            </w:pPr>
          </w:p>
        </w:tc>
        <w:tc>
          <w:tcPr>
            <w:tcW w:w="6842" w:type="dxa"/>
            <w:gridSpan w:val="16"/>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pacing w:val="0"/>
                <w:w w:val="100"/>
                <w:sz w:val="21"/>
                <w:szCs w:val="21"/>
                <w:u w:val="none" w:color="auto"/>
              </w:rPr>
            </w:pPr>
            <w:r>
              <w:rPr>
                <w:rFonts w:ascii="宋体" w:hAnsi="宋体" w:eastAsia="宋体" w:cs="宋体"/>
                <w:color w:val="auto"/>
                <w:spacing w:val="0"/>
                <w:w w:val="100"/>
                <w:sz w:val="21"/>
                <w:szCs w:val="21"/>
                <w:u w:val="none" w:color="auto"/>
              </w:rPr>
              <w:t>最近环境敏感目标</w:t>
            </w:r>
            <w:r>
              <w:rPr>
                <w:rFonts w:hint="eastAsia" w:ascii="宋体" w:hAnsi="宋体" w:eastAsia="宋体" w:cs="宋体"/>
                <w:color w:val="auto"/>
                <w:spacing w:val="0"/>
                <w:w w:val="100"/>
                <w:sz w:val="21"/>
                <w:szCs w:val="21"/>
                <w:u w:val="none" w:color="auto"/>
                <w:lang w:val="en-US" w:eastAsia="zh-CN"/>
              </w:rPr>
              <w:t>/</w:t>
            </w:r>
            <w:r>
              <w:rPr>
                <w:rFonts w:ascii="宋体" w:hAnsi="宋体" w:eastAsia="宋体" w:cs="宋体"/>
                <w:color w:val="auto"/>
                <w:spacing w:val="0"/>
                <w:w w:val="100"/>
                <w:sz w:val="21"/>
                <w:szCs w:val="21"/>
                <w:u w:val="none" w:color="auto"/>
              </w:rPr>
              <w:t>，到达时间</w:t>
            </w:r>
            <w:r>
              <w:rPr>
                <w:rFonts w:hint="eastAsia" w:ascii="宋体" w:hAnsi="宋体" w:eastAsia="宋体" w:cs="宋体"/>
                <w:color w:val="auto"/>
                <w:spacing w:val="0"/>
                <w:w w:val="100"/>
                <w:sz w:val="21"/>
                <w:szCs w:val="21"/>
                <w:u w:val="none" w:color="auto"/>
                <w:lang w:val="en-US" w:eastAsia="zh-CN"/>
              </w:rPr>
              <w:t>/</w:t>
            </w:r>
            <w:r>
              <w:rPr>
                <w:rFonts w:ascii="Times New Roman" w:hAnsi="Times New Roman" w:eastAsia="Times New Roman" w:cs="Times New Roman"/>
                <w:color w:val="auto"/>
                <w:spacing w:val="0"/>
                <w:w w:val="100"/>
                <w:sz w:val="21"/>
                <w:szCs w:val="21"/>
                <w:u w:val="none" w:color="auto"/>
              </w:rPr>
              <w:t>d</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重点风险防范措施</w:t>
            </w:r>
          </w:p>
        </w:tc>
        <w:tc>
          <w:tcPr>
            <w:tcW w:w="6842" w:type="dxa"/>
            <w:gridSpan w:val="16"/>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eastAsiaTheme="minorEastAsia"/>
                <w:color w:val="auto"/>
                <w:spacing w:val="-2"/>
                <w:sz w:val="21"/>
                <w:szCs w:val="21"/>
                <w:lang w:eastAsia="zh-CN"/>
              </w:rPr>
            </w:pPr>
            <w:r>
              <w:rPr>
                <w:rFonts w:hint="default" w:ascii="Times New Roman" w:hAnsi="Times New Roman" w:cs="Times New Roman" w:eastAsiaTheme="minorEastAsia"/>
                <w:color w:val="auto"/>
                <w:spacing w:val="-2"/>
                <w:sz w:val="21"/>
                <w:szCs w:val="21"/>
              </w:rPr>
              <w:t>从建设、生产、贮存等各方面积极采取防护措施，制定并及时修订突发环境事件应急预案，做好与园区环境风险防控体系的衔接与分级响应措施。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gridSpan w:val="2"/>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评价结论与建议</w:t>
            </w:r>
          </w:p>
        </w:tc>
        <w:tc>
          <w:tcPr>
            <w:tcW w:w="6842" w:type="dxa"/>
            <w:gridSpan w:val="16"/>
            <w:tcBorders>
              <w:tl2br w:val="nil"/>
              <w:tr2bl w:val="nil"/>
            </w:tcBorders>
            <w:noWrap w:val="0"/>
            <w:vAlign w:val="center"/>
          </w:tcPr>
          <w:p>
            <w:pPr>
              <w:pStyle w:val="30"/>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eastAsiaTheme="minorEastAsia"/>
                <w:color w:val="auto"/>
                <w:spacing w:val="-2"/>
                <w:sz w:val="21"/>
                <w:szCs w:val="21"/>
              </w:rPr>
            </w:pPr>
            <w:r>
              <w:rPr>
                <w:rFonts w:hint="eastAsia" w:ascii="Times New Roman" w:hAnsi="Times New Roman" w:cs="Times New Roman" w:eastAsiaTheme="minorEastAsia"/>
                <w:color w:val="auto"/>
                <w:spacing w:val="-2"/>
                <w:sz w:val="21"/>
                <w:szCs w:val="21"/>
                <w:lang w:val="en-US" w:eastAsia="zh-CN"/>
              </w:rPr>
              <w:t>发生火灾事故时，</w:t>
            </w:r>
            <w:r>
              <w:rPr>
                <w:rFonts w:hint="default" w:ascii="Times New Roman" w:hAnsi="Times New Roman" w:cs="Times New Roman" w:eastAsiaTheme="minorEastAsia"/>
                <w:color w:val="auto"/>
                <w:spacing w:val="-2"/>
                <w:sz w:val="21"/>
                <w:szCs w:val="21"/>
              </w:rPr>
              <w:t>事故现场周边</w:t>
            </w:r>
            <w:r>
              <w:rPr>
                <w:rFonts w:hint="eastAsia" w:ascii="Times New Roman" w:hAnsi="Times New Roman" w:cs="Times New Roman" w:eastAsiaTheme="minorEastAsia"/>
                <w:color w:val="auto"/>
                <w:spacing w:val="-2"/>
                <w:sz w:val="21"/>
                <w:szCs w:val="21"/>
                <w:lang w:val="en-US" w:eastAsia="zh-CN"/>
              </w:rPr>
              <w:t>43</w:t>
            </w:r>
            <w:r>
              <w:rPr>
                <w:rFonts w:hint="default" w:ascii="Times New Roman" w:hAnsi="Times New Roman" w:cs="Times New Roman" w:eastAsiaTheme="minorEastAsia"/>
                <w:color w:val="auto"/>
                <w:spacing w:val="-2"/>
                <w:sz w:val="21"/>
                <w:szCs w:val="21"/>
              </w:rPr>
              <w:t>m范围内员工撤离至上风处，并立即隔离50m，严格限制出入</w:t>
            </w:r>
            <w:r>
              <w:rPr>
                <w:rFonts w:hint="eastAsia" w:ascii="Times New Roman" w:hAnsi="Times New Roman" w:cs="Times New Roman" w:eastAsiaTheme="minorEastAsia"/>
                <w:color w:val="auto"/>
                <w:spacing w:val="-2"/>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8329" w:type="dxa"/>
            <w:gridSpan w:val="18"/>
            <w:tcBorders>
              <w:tl2br w:val="nil"/>
              <w:tr2bl w:val="nil"/>
            </w:tcBorders>
            <w:noWrap w:val="0"/>
            <w:vAlign w:val="center"/>
          </w:tcPr>
          <w:p>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pacing w:val="0"/>
                <w:w w:val="100"/>
                <w:sz w:val="21"/>
                <w:szCs w:val="21"/>
                <w:u w:val="none" w:color="auto"/>
              </w:rPr>
            </w:pPr>
            <w:r>
              <w:rPr>
                <w:rFonts w:ascii="宋体" w:hAnsi="宋体" w:eastAsia="宋体" w:cs="宋体"/>
                <w:color w:val="auto"/>
                <w:spacing w:val="0"/>
                <w:w w:val="100"/>
                <w:sz w:val="21"/>
                <w:szCs w:val="21"/>
                <w:u w:val="none" w:color="auto"/>
              </w:rPr>
              <w:t>注：</w:t>
            </w:r>
            <w:r>
              <w:rPr>
                <w:rFonts w:hint="eastAsia" w:ascii="Times New Roman" w:hAnsi="Times New Roman" w:eastAsia="宋体" w:cs="Times New Roman"/>
                <w:color w:val="auto"/>
                <w:spacing w:val="0"/>
                <w:w w:val="100"/>
                <w:sz w:val="21"/>
                <w:szCs w:val="21"/>
                <w:u w:val="none" w:color="auto"/>
                <w:lang w:eastAsia="zh-CN"/>
              </w:rPr>
              <w:t>“□”</w:t>
            </w:r>
            <w:r>
              <w:rPr>
                <w:rFonts w:ascii="宋体" w:hAnsi="宋体" w:eastAsia="宋体" w:cs="宋体"/>
                <w:color w:val="auto"/>
                <w:spacing w:val="0"/>
                <w:w w:val="100"/>
                <w:sz w:val="21"/>
                <w:szCs w:val="21"/>
                <w:u w:val="none" w:color="auto"/>
              </w:rPr>
              <w:t>为勾选项，</w:t>
            </w:r>
            <w:r>
              <w:rPr>
                <w:rFonts w:hint="eastAsia" w:ascii="Times New Roman" w:hAnsi="Times New Roman" w:eastAsia="宋体" w:cs="Times New Roman"/>
                <w:color w:val="auto"/>
                <w:spacing w:val="0"/>
                <w:w w:val="100"/>
                <w:sz w:val="21"/>
                <w:szCs w:val="21"/>
                <w:u w:val="none" w:color="auto"/>
                <w:lang w:eastAsia="zh-CN"/>
              </w:rPr>
              <w:t>“”</w:t>
            </w:r>
            <w:r>
              <w:rPr>
                <w:rFonts w:ascii="宋体" w:hAnsi="宋体" w:eastAsia="宋体" w:cs="宋体"/>
                <w:color w:val="auto"/>
                <w:spacing w:val="0"/>
                <w:w w:val="100"/>
                <w:sz w:val="21"/>
                <w:szCs w:val="21"/>
                <w:u w:val="none" w:color="auto"/>
              </w:rPr>
              <w:t>为填写项。</w:t>
            </w:r>
          </w:p>
        </w:tc>
      </w:tr>
    </w:tbl>
    <w:p>
      <w:pPr>
        <w:rPr>
          <w:rFonts w:ascii="Arial"/>
          <w:color w:val="auto"/>
          <w:sz w:val="21"/>
        </w:rPr>
      </w:pPr>
      <w:r>
        <w:rPr>
          <w:rFonts w:ascii="Arial"/>
          <w:color w:val="auto"/>
          <w:sz w:val="21"/>
        </w:rPr>
        <w:br w:type="page"/>
      </w:r>
    </w:p>
    <w:p>
      <w:pPr>
        <w:pStyle w:val="10"/>
        <w:numPr>
          <w:ilvl w:val="1"/>
          <w:numId w:val="0"/>
        </w:numPr>
        <w:bidi w:val="0"/>
        <w:spacing w:line="360" w:lineRule="auto"/>
        <w:ind w:leftChars="0"/>
        <w:outlineLvl w:val="0"/>
        <w:rPr>
          <w:rFonts w:hint="eastAsia" w:ascii="Times New Roman" w:hAnsi="Times New Roman" w:cs="Times New Roman"/>
          <w:color w:val="auto"/>
          <w:sz w:val="32"/>
          <w:szCs w:val="32"/>
          <w:lang w:val="en-US" w:eastAsia="zh-CN"/>
        </w:rPr>
        <w:sectPr>
          <w:pgSz w:w="11906" w:h="16839"/>
          <w:pgMar w:top="1440" w:right="1803" w:bottom="1440" w:left="1803" w:header="850" w:footer="1020" w:gutter="0"/>
          <w:pgBorders>
            <w:top w:val="none" w:sz="0" w:space="0"/>
            <w:left w:val="none" w:sz="0" w:space="0"/>
            <w:bottom w:val="none" w:sz="0" w:space="0"/>
            <w:right w:val="none" w:sz="0" w:space="0"/>
          </w:pgBorders>
          <w:pgNumType w:fmt="numberInDash"/>
          <w:cols w:space="720" w:num="1"/>
          <w:rtlGutter w:val="0"/>
          <w:docGrid w:linePitch="0" w:charSpace="0"/>
        </w:sectPr>
      </w:pPr>
      <w:bookmarkStart w:id="179" w:name="_Toc8384"/>
    </w:p>
    <w:p>
      <w:pPr>
        <w:pStyle w:val="10"/>
        <w:numPr>
          <w:ilvl w:val="1"/>
          <w:numId w:val="0"/>
        </w:numPr>
        <w:bidi w:val="0"/>
        <w:spacing w:line="360" w:lineRule="auto"/>
        <w:ind w:leftChars="0"/>
        <w:outlineLvl w:val="0"/>
        <w:rPr>
          <w:rFonts w:hint="eastAsia" w:ascii="Times New Roman" w:hAnsi="Times New Roman" w:cs="Times New Roman"/>
          <w:color w:val="auto"/>
          <w:sz w:val="32"/>
          <w:szCs w:val="32"/>
          <w:lang w:val="en-US" w:eastAsia="zh-CN"/>
        </w:rPr>
      </w:pPr>
      <w:r>
        <w:rPr>
          <w:rFonts w:hint="eastAsia" w:ascii="Times New Roman" w:hAnsi="Times New Roman" w:cs="Times New Roman"/>
          <w:color w:val="auto"/>
          <w:sz w:val="32"/>
          <w:szCs w:val="32"/>
          <w:lang w:val="en-US" w:eastAsia="zh-CN"/>
        </w:rPr>
        <w:t>建设项目环境影响报告书审批基础信息表</w:t>
      </w:r>
      <w:bookmarkEnd w:id="179"/>
    </w:p>
    <w:p>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eastAsia"/>
          <w:lang w:val="en-US" w:eastAsia="zh-CN"/>
        </w:rPr>
      </w:pPr>
      <w:r>
        <w:rPr>
          <w:rFonts w:hint="eastAsia"/>
          <w:lang w:val="en-US" w:eastAsia="zh-CN"/>
        </w:rPr>
        <w:drawing>
          <wp:inline distT="0" distB="0" distL="114300" distR="114300">
            <wp:extent cx="8213725" cy="4808855"/>
            <wp:effectExtent l="0" t="0" r="15875" b="10795"/>
            <wp:docPr id="155" name="图片 155" descr="1-2、（打印1-3页）永州大道包装--《建设项目环境影响报告书审批基础信息表》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5" name="图片 155" descr="1-2、（打印1-3页）永州大道包装--《建设项目环境影响报告书审批基础信息表》_00"/>
                    <pic:cNvPicPr>
                      <a:picLocks noChangeAspect="true"/>
                    </pic:cNvPicPr>
                  </pic:nvPicPr>
                  <pic:blipFill>
                    <a:blip r:embed="rId152"/>
                    <a:srcRect t="8715" b="8486"/>
                    <a:stretch>
                      <a:fillRect/>
                    </a:stretch>
                  </pic:blipFill>
                  <pic:spPr>
                    <a:xfrm>
                      <a:off x="0" y="0"/>
                      <a:ext cx="8213725" cy="4808855"/>
                    </a:xfrm>
                    <a:prstGeom prst="rect">
                      <a:avLst/>
                    </a:prstGeom>
                  </pic:spPr>
                </pic:pic>
              </a:graphicData>
            </a:graphic>
          </wp:inline>
        </w:drawing>
      </w:r>
      <w:r>
        <w:rPr>
          <w:rFonts w:hint="eastAsia"/>
          <w:lang w:val="en-US" w:eastAsia="zh-CN"/>
        </w:rPr>
        <w:drawing>
          <wp:inline distT="0" distB="0" distL="114300" distR="114300">
            <wp:extent cx="8609330" cy="5191125"/>
            <wp:effectExtent l="0" t="0" r="1270" b="9525"/>
            <wp:docPr id="154" name="图片 154" descr="1-2、（打印1-3页）永州大道包装--《建设项目环境影响报告书审批基础信息表》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4" name="图片 154" descr="1-2、（打印1-3页）永州大道包装--《建设项目环境影响报告书审批基础信息表》_01"/>
                    <pic:cNvPicPr>
                      <a:picLocks noChangeAspect="true"/>
                    </pic:cNvPicPr>
                  </pic:nvPicPr>
                  <pic:blipFill>
                    <a:blip r:embed="rId153"/>
                    <a:srcRect t="7160" b="7570"/>
                    <a:stretch>
                      <a:fillRect/>
                    </a:stretch>
                  </pic:blipFill>
                  <pic:spPr>
                    <a:xfrm>
                      <a:off x="0" y="0"/>
                      <a:ext cx="8609330" cy="5191125"/>
                    </a:xfrm>
                    <a:prstGeom prst="rect">
                      <a:avLst/>
                    </a:prstGeom>
                  </pic:spPr>
                </pic:pic>
              </a:graphicData>
            </a:graphic>
          </wp:inline>
        </w:drawing>
      </w:r>
      <w:r>
        <w:rPr>
          <w:rFonts w:hint="eastAsia"/>
          <w:lang w:val="en-US" w:eastAsia="zh-CN"/>
        </w:rPr>
        <w:drawing>
          <wp:inline distT="0" distB="0" distL="114300" distR="114300">
            <wp:extent cx="8840470" cy="5194300"/>
            <wp:effectExtent l="0" t="0" r="17780" b="6350"/>
            <wp:docPr id="153" name="图片 153" descr="1-2、（打印1-3页）永州大道包装--《建设项目环境影响报告书审批基础信息表》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 name="图片 153" descr="1-2、（打印1-3页）永州大道包装--《建设项目环境影响报告书审批基础信息表》_02"/>
                    <pic:cNvPicPr>
                      <a:picLocks noChangeAspect="true"/>
                    </pic:cNvPicPr>
                  </pic:nvPicPr>
                  <pic:blipFill>
                    <a:blip r:embed="rId154"/>
                    <a:srcRect t="7486" b="9426"/>
                    <a:stretch>
                      <a:fillRect/>
                    </a:stretch>
                  </pic:blipFill>
                  <pic:spPr>
                    <a:xfrm>
                      <a:off x="0" y="0"/>
                      <a:ext cx="8840470" cy="5194300"/>
                    </a:xfrm>
                    <a:prstGeom prst="rect">
                      <a:avLst/>
                    </a:prstGeom>
                  </pic:spPr>
                </pic:pic>
              </a:graphicData>
            </a:graphic>
          </wp:inline>
        </w:drawing>
      </w:r>
    </w:p>
    <w:sectPr>
      <w:pgSz w:w="16839" w:h="11906" w:orient="landscape"/>
      <w:pgMar w:top="1803" w:right="1440" w:bottom="1803" w:left="1440" w:header="850" w:footer="1020" w:gutter="0"/>
      <w:pgBorders>
        <w:top w:val="none" w:sz="0" w:space="0"/>
        <w:left w:val="none" w:sz="0" w:space="0"/>
        <w:bottom w:val="none" w:sz="0" w:space="0"/>
        <w:right w:val="none" w:sz="0" w:space="0"/>
      </w:pgBorders>
      <w:pgNumType w:fmt="numberInDash"/>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81"/>
    <w:family w:val="swiss"/>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新宋体">
    <w:altName w:val="方正书宋_GBK"/>
    <w:panose1 w:val="02010609030101010101"/>
    <w:charset w:val="86"/>
    <w:family w:val="modern"/>
    <w:pitch w:val="default"/>
    <w:sig w:usb0="00000000" w:usb1="00000000" w:usb2="0000000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Tahoma">
    <w:altName w:val="Droid Sans"/>
    <w:panose1 w:val="020B0604030504040204"/>
    <w:charset w:val="00"/>
    <w:family w:val="auto"/>
    <w:pitch w:val="default"/>
    <w:sig w:usb0="00000000" w:usb1="00000000" w:usb2="00000029" w:usb3="00000000" w:csb0="200101FF" w:csb1="20280000"/>
  </w:font>
  <w:font w:name="仿宋">
    <w:panose1 w:val="02010609060101010101"/>
    <w:charset w:val="86"/>
    <w:family w:val="modern"/>
    <w:pitch w:val="default"/>
    <w:sig w:usb0="800002BF" w:usb1="38CF7CFA" w:usb2="00000016" w:usb3="00000000" w:csb0="00040001" w:csb1="00000000"/>
  </w:font>
  <w:font w:name="CIDFont">
    <w:altName w:val="汉仪仿宋S"/>
    <w:panose1 w:val="00000000000000000000"/>
    <w:charset w:val="00"/>
    <w:family w:val="auto"/>
    <w:pitch w:val="default"/>
    <w:sig w:usb0="00000000" w:usb1="00000000" w:usb2="00000000" w:usb3="00000000" w:csb0="00000000" w:csb1="00000000"/>
  </w:font>
  <w:font w:name="TimesNewRomanPSMT">
    <w:altName w:val="Nimbus Roman No9 L"/>
    <w:panose1 w:val="00000000000000000000"/>
    <w:charset w:val="00"/>
    <w:family w:val="auto"/>
    <w:pitch w:val="default"/>
    <w:sig w:usb0="00000000" w:usb1="00000000" w:usb2="00000000" w:usb3="00000000" w:csb0="00000000" w:csb1="00000000"/>
  </w:font>
  <w:font w:name="Wingdings 2">
    <w:panose1 w:val="05020102010507070707"/>
    <w:charset w:val="02"/>
    <w:family w:val="auto"/>
    <w:pitch w:val="default"/>
    <w:sig w:usb0="00000000" w:usb1="00000000" w:usb2="00000000" w:usb3="00000000" w:csb0="80000000" w:csb1="00000000"/>
  </w:font>
  <w:font w:name="榛戜綋">
    <w:altName w:val="汉仪仿宋S"/>
    <w:panose1 w:val="00000000000000000000"/>
    <w:charset w:val="00"/>
    <w:family w:val="auto"/>
    <w:pitch w:val="default"/>
    <w:sig w:usb0="00000000" w:usb1="00000000" w:usb2="00000000" w:usb3="00000000" w:csb0="00000000" w:csb1="00000000"/>
  </w:font>
  <w:font w:name="MS Gothic">
    <w:altName w:val="方正书宋_GBK"/>
    <w:panose1 w:val="020B0609070205080204"/>
    <w:charset w:val="80"/>
    <w:family w:val="auto"/>
    <w:pitch w:val="default"/>
    <w:sig w:usb0="00000000" w:usb1="00000000" w:usb2="08000012" w:usb3="00000000" w:csb0="4002009F" w:csb1="DFD70000"/>
  </w:font>
  <w:font w:name="MS UI Gothic">
    <w:altName w:val="方正书宋_GBK"/>
    <w:panose1 w:val="020B0600070205080204"/>
    <w:charset w:val="80"/>
    <w:family w:val="auto"/>
    <w:pitch w:val="default"/>
    <w:sig w:usb0="00000000" w:usb1="00000000" w:usb2="08000012" w:usb3="00000000" w:csb0="4002009F" w:csb1="DFD70000"/>
  </w:font>
  <w:font w:name="微软雅黑">
    <w:altName w:val="黑体"/>
    <w:panose1 w:val="020B0503020204020204"/>
    <w:charset w:val="86"/>
    <w:family w:val="auto"/>
    <w:pitch w:val="default"/>
    <w:sig w:usb0="00000000" w:usb1="00000000" w:usb2="00000016" w:usb3="00000000" w:csb0="0004001F"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方正宋体S-超大字符集">
    <w:panose1 w:val="02000000000000000000"/>
    <w:charset w:val="86"/>
    <w:family w:val="auto"/>
    <w:pitch w:val="default"/>
    <w:sig w:usb0="00000001" w:usb1="08000000" w:usb2="00000000" w:usb3="00000000" w:csb0="00040000" w:csb1="00000000"/>
  </w:font>
  <w:font w:name="Droid Sans">
    <w:panose1 w:val="020B0606030804020204"/>
    <w:charset w:val="00"/>
    <w:family w:val="auto"/>
    <w:pitch w:val="default"/>
    <w:sig w:usb0="E00002EF" w:usb1="4000205B" w:usb2="00000028" w:usb3="00000000" w:csb0="2000019F" w:csb1="00000000"/>
  </w:font>
  <w:font w:name="Liberation Serif">
    <w:panose1 w:val="02020603050405020304"/>
    <w:charset w:val="00"/>
    <w:family w:val="auto"/>
    <w:pitch w:val="default"/>
    <w:sig w:usb0="A00002AF" w:usb1="500078FB" w:usb2="00000000" w:usb3="00000000" w:csb0="6000009F" w:csb1="DFD70000"/>
  </w:font>
  <w:font w:name="汉仪仿宋S">
    <w:panose1 w:val="00020600040101000101"/>
    <w:charset w:val="86"/>
    <w:family w:val="auto"/>
    <w:pitch w:val="default"/>
    <w:sig w:usb0="A00002BF" w:usb1="38CF7CFA" w:usb2="00000016" w:usb3="00000000" w:csb0="0004009F" w:csb1="00000000"/>
  </w:font>
  <w:font w:name="Droid Sans Fallback">
    <w:panose1 w:val="020B0502000000000001"/>
    <w:charset w:val="86"/>
    <w:family w:val="auto"/>
    <w:pitch w:val="default"/>
    <w:sig w:usb0="910002FF" w:usb1="2BDFFCFB" w:usb2="00000036" w:usb3="00000000" w:csb0="203F01FF" w:csb1="D7FF0000"/>
  </w:font>
  <w:font w:name="DejaVu Math TeX Gyre">
    <w:panose1 w:val="02000503000000000000"/>
    <w:charset w:val="00"/>
    <w:family w:val="auto"/>
    <w:pitch w:val="default"/>
    <w:sig w:usb0="A10000EF" w:usb1="4201F9EE" w:usb2="02000000" w:usb3="00000000" w:csb0="60000193" w:csb1="0DD4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8" w:lineRule="auto"/>
      <w:rPr>
        <w:rFonts w:ascii="Calibri" w:hAnsi="Calibri" w:eastAsia="Calibri" w:cs="Calibri"/>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9" w:lineRule="auto"/>
      <w:rPr>
        <w:rFonts w:ascii="Calibri" w:hAnsi="Calibri" w:eastAsia="Calibri" w:cs="Calibri"/>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49"/>
      </w:tabs>
      <w:spacing w:line="169" w:lineRule="auto"/>
      <w:rPr>
        <w:rFonts w:ascii="Calibri" w:hAnsi="Calibri" w:eastAsia="Calibri" w:cs="Calibri"/>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keepNext w:val="0"/>
                            <w:keepLines w:val="0"/>
                            <w:pageBreakBefore w:val="0"/>
                            <w:widowControl w:val="0"/>
                            <w:kinsoku w:val="0"/>
                            <w:wordWrap/>
                            <w:overflowPunct w:val="0"/>
                            <w:topLinePunct w:val="0"/>
                            <w:bidi w:val="0"/>
                            <w:adjustRightInd w:val="0"/>
                            <w:snapToGrid w:val="0"/>
                            <w:jc w:val="center"/>
                            <w:textAlignment w:val="baseline"/>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uEOqPxwCAAArBAAADgAAAAAAAAABACAAAAA1AQAAZHJzL2Uyb0RvYy54bWxQSwUG&#10;AAAAAAYABgBZAQAAwwUAAAAA&#10;">
              <v:fill on="f" focussize="0,0"/>
              <v:stroke on="f" weight="0.5pt"/>
              <v:imagedata o:title=""/>
              <o:lock v:ext="edit" aspectratio="f"/>
              <v:textbox inset="0mm,0mm,0mm,0mm" style="mso-fit-shape-to-text:t;">
                <w:txbxContent>
                  <w:p>
                    <w:pPr>
                      <w:pStyle w:val="18"/>
                      <w:keepNext w:val="0"/>
                      <w:keepLines w:val="0"/>
                      <w:pageBreakBefore w:val="0"/>
                      <w:widowControl w:val="0"/>
                      <w:kinsoku w:val="0"/>
                      <w:wordWrap/>
                      <w:overflowPunct w:val="0"/>
                      <w:topLinePunct w:val="0"/>
                      <w:bidi w:val="0"/>
                      <w:adjustRightInd w:val="0"/>
                      <w:snapToGrid w:val="0"/>
                      <w:jc w:val="center"/>
                      <w:textAlignment w:val="baseline"/>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r>
      <w:rPr>
        <w:rFonts w:hint="eastAsia" w:ascii="Calibri" w:hAnsi="Calibri" w:eastAsia="宋体" w:cs="Calibri"/>
        <w:sz w:val="18"/>
        <w:szCs w:val="18"/>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49"/>
      </w:tabs>
      <w:spacing w:line="169" w:lineRule="auto"/>
      <w:rPr>
        <w:rFonts w:ascii="Calibri" w:hAnsi="Calibri" w:eastAsia="Calibri" w:cs="Calibri"/>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keepNext w:val="0"/>
                            <w:keepLines w:val="0"/>
                            <w:pageBreakBefore w:val="0"/>
                            <w:widowControl w:val="0"/>
                            <w:kinsoku w:val="0"/>
                            <w:wordWrap/>
                            <w:overflowPunct w:val="0"/>
                            <w:topLinePunct w:val="0"/>
                            <w:bidi w:val="0"/>
                            <w:adjustRightInd w:val="0"/>
                            <w:snapToGrid w:val="0"/>
                            <w:jc w:val="center"/>
                            <w:textAlignment w:val="baseline"/>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HP7RKwdAgAAKwQAAA4AAAAAAAAAAQAgAAAANQEAAGRycy9lMm9Eb2MueG1sUEsF&#10;BgAAAAAGAAYAWQEAAMQFAAAAAA==&#10;">
              <v:fill on="f" focussize="0,0"/>
              <v:stroke on="f" weight="0.5pt"/>
              <v:imagedata o:title=""/>
              <o:lock v:ext="edit" aspectratio="f"/>
              <v:textbox inset="0mm,0mm,0mm,0mm" style="mso-fit-shape-to-text:t;">
                <w:txbxContent>
                  <w:p>
                    <w:pPr>
                      <w:pStyle w:val="18"/>
                      <w:keepNext w:val="0"/>
                      <w:keepLines w:val="0"/>
                      <w:pageBreakBefore w:val="0"/>
                      <w:widowControl w:val="0"/>
                      <w:kinsoku w:val="0"/>
                      <w:wordWrap/>
                      <w:overflowPunct w:val="0"/>
                      <w:topLinePunct w:val="0"/>
                      <w:bidi w:val="0"/>
                      <w:adjustRightInd w:val="0"/>
                      <w:snapToGrid w:val="0"/>
                      <w:jc w:val="center"/>
                      <w:textAlignment w:val="baseline"/>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r>
      <w:rPr>
        <w:rFonts w:hint="eastAsia" w:ascii="Calibri" w:hAnsi="Calibri" w:eastAsia="宋体" w:cs="Calibri"/>
        <w:sz w:val="18"/>
        <w:szCs w:val="18"/>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49"/>
      </w:tabs>
      <w:spacing w:line="169" w:lineRule="auto"/>
      <w:rPr>
        <w:rFonts w:ascii="Calibri" w:hAnsi="Calibri" w:eastAsia="Calibri" w:cs="Calibri"/>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keepNext w:val="0"/>
                            <w:keepLines w:val="0"/>
                            <w:pageBreakBefore w:val="0"/>
                            <w:widowControl w:val="0"/>
                            <w:kinsoku w:val="0"/>
                            <w:wordWrap/>
                            <w:overflowPunct w:val="0"/>
                            <w:topLinePunct w:val="0"/>
                            <w:bidi w:val="0"/>
                            <w:adjustRightInd w:val="0"/>
                            <w:snapToGrid w:val="0"/>
                            <w:jc w:val="center"/>
                            <w:textAlignment w:val="baseline"/>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AE5ohAdAgAAKwQAAA4AAAAAAAAAAQAgAAAANQEAAGRycy9lMm9Eb2MueG1sUEsF&#10;BgAAAAAGAAYAWQEAAMQFAAAAAA==&#10;">
              <v:fill on="f" focussize="0,0"/>
              <v:stroke on="f" weight="0.5pt"/>
              <v:imagedata o:title=""/>
              <o:lock v:ext="edit" aspectratio="f"/>
              <v:textbox inset="0mm,0mm,0mm,0mm" style="mso-fit-shape-to-text:t;">
                <w:txbxContent>
                  <w:p>
                    <w:pPr>
                      <w:pStyle w:val="18"/>
                      <w:keepNext w:val="0"/>
                      <w:keepLines w:val="0"/>
                      <w:pageBreakBefore w:val="0"/>
                      <w:widowControl w:val="0"/>
                      <w:kinsoku w:val="0"/>
                      <w:wordWrap/>
                      <w:overflowPunct w:val="0"/>
                      <w:topLinePunct w:val="0"/>
                      <w:bidi w:val="0"/>
                      <w:adjustRightInd w:val="0"/>
                      <w:snapToGrid w:val="0"/>
                      <w:jc w:val="center"/>
                      <w:textAlignment w:val="baseline"/>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r>
      <w:rPr>
        <w:rFonts w:hint="eastAsia" w:ascii="Calibri" w:hAnsi="Calibri" w:eastAsia="宋体" w:cs="Calibri"/>
        <w:sz w:val="18"/>
        <w:szCs w:val="18"/>
        <w:lang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736" w:lineRule="exact"/>
      <w:ind w:firstLine="8161"/>
    </w:pPr>
  </w:p>
  <w:p>
    <w:pPr>
      <w:spacing w:line="47"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FA39F6C"/>
    <w:multiLevelType w:val="multilevel"/>
    <w:tmpl w:val="7FA39F6C"/>
    <w:lvl w:ilvl="0" w:tentative="0">
      <w:start w:val="1"/>
      <w:numFmt w:val="decimal"/>
      <w:pStyle w:val="5"/>
      <w:lvlText w:val="%1"/>
      <w:lvlJc w:val="left"/>
      <w:pPr>
        <w:tabs>
          <w:tab w:val="left" w:pos="0"/>
        </w:tabs>
        <w:ind w:left="284" w:hanging="284"/>
      </w:pPr>
      <w:rPr>
        <w:rFonts w:hint="eastAsia"/>
      </w:rPr>
    </w:lvl>
    <w:lvl w:ilvl="1" w:tentative="0">
      <w:start w:val="1"/>
      <w:numFmt w:val="decimal"/>
      <w:pStyle w:val="10"/>
      <w:suff w:val="space"/>
      <w:lvlText w:val="%1.%2"/>
      <w:lvlJc w:val="left"/>
      <w:pPr>
        <w:tabs>
          <w:tab w:val="left" w:pos="0"/>
        </w:tabs>
        <w:ind w:left="567" w:hanging="567"/>
      </w:pPr>
      <w:rPr>
        <w:rFonts w:hint="default" w:ascii="Times New Roman" w:hAnsi="Times New Roman" w:eastAsia="宋体"/>
        <w:b/>
        <w:i w:val="0"/>
      </w:rPr>
    </w:lvl>
    <w:lvl w:ilvl="2" w:tentative="0">
      <w:start w:val="1"/>
      <w:numFmt w:val="decimal"/>
      <w:pStyle w:val="11"/>
      <w:suff w:val="space"/>
      <w:lvlText w:val="%1.%2.%3"/>
      <w:lvlJc w:val="left"/>
      <w:pPr>
        <w:ind w:left="851" w:hanging="851"/>
      </w:pPr>
    </w:lvl>
    <w:lvl w:ilvl="3" w:tentative="0">
      <w:start w:val="1"/>
      <w:numFmt w:val="decimal"/>
      <w:pStyle w:val="12"/>
      <w:suff w:val="space"/>
      <w:lvlText w:val="%1.%2.%3.%4"/>
      <w:lvlJc w:val="left"/>
      <w:pPr>
        <w:ind w:left="0" w:firstLine="0"/>
      </w:pPr>
      <w:rPr>
        <w:rFonts w:hint="default"/>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4"/>
  <w:displayBackgroundShape w:val="true"/>
  <w:bordersDoNotSurroundHeader w:val="false"/>
  <w:bordersDoNotSurroundFooter w:val="false"/>
  <w:documentProtection w:enforcement="0"/>
  <w:displayHorizontalDrawingGridEvery w:val="1"/>
  <w:displayVerticalDrawingGridEvery w:val="1"/>
  <w:noPunctuationKerning w:val="true"/>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DEyY2NkYzhkZGI0ODNlMzU5MzhmZjk2NGMyMzNlZjQifQ=="/>
    <w:docVar w:name="KSO_WPS_MARK_KEY" w:val="47ba00fb-37ef-4bdd-a5fa-a178dd3b6568"/>
  </w:docVars>
  <w:rsids>
    <w:rsidRoot w:val="00000000"/>
    <w:rsid w:val="00847535"/>
    <w:rsid w:val="009412BA"/>
    <w:rsid w:val="01760A79"/>
    <w:rsid w:val="02562EA0"/>
    <w:rsid w:val="03455F4E"/>
    <w:rsid w:val="03BE185C"/>
    <w:rsid w:val="03D34C17"/>
    <w:rsid w:val="04190207"/>
    <w:rsid w:val="043C308B"/>
    <w:rsid w:val="04781A0B"/>
    <w:rsid w:val="04AE5CF3"/>
    <w:rsid w:val="053347C1"/>
    <w:rsid w:val="05340028"/>
    <w:rsid w:val="05544226"/>
    <w:rsid w:val="06A242A7"/>
    <w:rsid w:val="06C61153"/>
    <w:rsid w:val="06D870D9"/>
    <w:rsid w:val="071C5C86"/>
    <w:rsid w:val="076B5857"/>
    <w:rsid w:val="07D84CE9"/>
    <w:rsid w:val="08B33959"/>
    <w:rsid w:val="09815806"/>
    <w:rsid w:val="09AD381B"/>
    <w:rsid w:val="0A6668D4"/>
    <w:rsid w:val="0B024724"/>
    <w:rsid w:val="0B5D70C2"/>
    <w:rsid w:val="0B664A3E"/>
    <w:rsid w:val="0BC71663"/>
    <w:rsid w:val="0C837E9D"/>
    <w:rsid w:val="0C9F66CF"/>
    <w:rsid w:val="0CA24EC1"/>
    <w:rsid w:val="0CB0105D"/>
    <w:rsid w:val="0D8E24DE"/>
    <w:rsid w:val="0DB81F13"/>
    <w:rsid w:val="0E211365"/>
    <w:rsid w:val="0EC50D69"/>
    <w:rsid w:val="10667503"/>
    <w:rsid w:val="10EE720A"/>
    <w:rsid w:val="11EF15C1"/>
    <w:rsid w:val="12353631"/>
    <w:rsid w:val="126F6B43"/>
    <w:rsid w:val="13EB044B"/>
    <w:rsid w:val="142164BD"/>
    <w:rsid w:val="14734E24"/>
    <w:rsid w:val="14A16D5C"/>
    <w:rsid w:val="15926C0E"/>
    <w:rsid w:val="16510E75"/>
    <w:rsid w:val="167F1D3D"/>
    <w:rsid w:val="16A42B33"/>
    <w:rsid w:val="16BC7078"/>
    <w:rsid w:val="172A09C7"/>
    <w:rsid w:val="188E75F7"/>
    <w:rsid w:val="1B5C48DA"/>
    <w:rsid w:val="1BA54A74"/>
    <w:rsid w:val="1C6E39C8"/>
    <w:rsid w:val="1CB766C4"/>
    <w:rsid w:val="1CEE0B2F"/>
    <w:rsid w:val="1D61084B"/>
    <w:rsid w:val="1D951428"/>
    <w:rsid w:val="1DAF2701"/>
    <w:rsid w:val="1DED217A"/>
    <w:rsid w:val="1FA92F69"/>
    <w:rsid w:val="1FC128ED"/>
    <w:rsid w:val="20110664"/>
    <w:rsid w:val="202A5E57"/>
    <w:rsid w:val="204E28A5"/>
    <w:rsid w:val="21B634AE"/>
    <w:rsid w:val="22743D02"/>
    <w:rsid w:val="231057D9"/>
    <w:rsid w:val="23FC2E13"/>
    <w:rsid w:val="241A5660"/>
    <w:rsid w:val="24CE771E"/>
    <w:rsid w:val="24E66CAA"/>
    <w:rsid w:val="255B2F57"/>
    <w:rsid w:val="26F11FB0"/>
    <w:rsid w:val="27157A42"/>
    <w:rsid w:val="273050A0"/>
    <w:rsid w:val="276C0B1A"/>
    <w:rsid w:val="276F5D75"/>
    <w:rsid w:val="27BB4DBE"/>
    <w:rsid w:val="281F29D4"/>
    <w:rsid w:val="291650F4"/>
    <w:rsid w:val="293543E4"/>
    <w:rsid w:val="2A0E2346"/>
    <w:rsid w:val="2A467D32"/>
    <w:rsid w:val="2B5D17D7"/>
    <w:rsid w:val="2B6D12EE"/>
    <w:rsid w:val="2C8503B5"/>
    <w:rsid w:val="2D0D4B37"/>
    <w:rsid w:val="2DCC054E"/>
    <w:rsid w:val="2E096380"/>
    <w:rsid w:val="2E141EF5"/>
    <w:rsid w:val="2EAC25F3"/>
    <w:rsid w:val="2EE23DA1"/>
    <w:rsid w:val="2F302D5E"/>
    <w:rsid w:val="2F923A19"/>
    <w:rsid w:val="2F983BD7"/>
    <w:rsid w:val="30307FB9"/>
    <w:rsid w:val="30547DC6"/>
    <w:rsid w:val="306237CA"/>
    <w:rsid w:val="31BD1CFC"/>
    <w:rsid w:val="32F50547"/>
    <w:rsid w:val="33A7446D"/>
    <w:rsid w:val="34586FDF"/>
    <w:rsid w:val="3575596F"/>
    <w:rsid w:val="35800664"/>
    <w:rsid w:val="35A30854"/>
    <w:rsid w:val="36127662"/>
    <w:rsid w:val="36F143CA"/>
    <w:rsid w:val="386909EE"/>
    <w:rsid w:val="39333156"/>
    <w:rsid w:val="398779D6"/>
    <w:rsid w:val="39967505"/>
    <w:rsid w:val="399F2FBB"/>
    <w:rsid w:val="3A3301DF"/>
    <w:rsid w:val="3A4267C6"/>
    <w:rsid w:val="3A781F27"/>
    <w:rsid w:val="3A7A70F1"/>
    <w:rsid w:val="3ABD5DEE"/>
    <w:rsid w:val="3B133C60"/>
    <w:rsid w:val="3B7765BA"/>
    <w:rsid w:val="3BC93FB9"/>
    <w:rsid w:val="3BFA6BCE"/>
    <w:rsid w:val="3C987E9E"/>
    <w:rsid w:val="3D7824A0"/>
    <w:rsid w:val="3DA66102"/>
    <w:rsid w:val="3DC2196D"/>
    <w:rsid w:val="3EDA2E5F"/>
    <w:rsid w:val="3F0323EA"/>
    <w:rsid w:val="3F086430"/>
    <w:rsid w:val="3F205705"/>
    <w:rsid w:val="3F2C3542"/>
    <w:rsid w:val="3FF1653A"/>
    <w:rsid w:val="4019244A"/>
    <w:rsid w:val="40721429"/>
    <w:rsid w:val="40F139D1"/>
    <w:rsid w:val="41674E14"/>
    <w:rsid w:val="421A1D78"/>
    <w:rsid w:val="4389389E"/>
    <w:rsid w:val="43BC0209"/>
    <w:rsid w:val="43C64CC3"/>
    <w:rsid w:val="440F51E1"/>
    <w:rsid w:val="449556E6"/>
    <w:rsid w:val="44CE660D"/>
    <w:rsid w:val="4555722F"/>
    <w:rsid w:val="45B60A52"/>
    <w:rsid w:val="47347852"/>
    <w:rsid w:val="47E5395A"/>
    <w:rsid w:val="47E96C73"/>
    <w:rsid w:val="4830353D"/>
    <w:rsid w:val="48895562"/>
    <w:rsid w:val="48D1479B"/>
    <w:rsid w:val="497A4942"/>
    <w:rsid w:val="4A266DE0"/>
    <w:rsid w:val="4A4861AE"/>
    <w:rsid w:val="4A6873F9"/>
    <w:rsid w:val="4AE75348"/>
    <w:rsid w:val="4BFA506D"/>
    <w:rsid w:val="4C7A13B4"/>
    <w:rsid w:val="4CD14597"/>
    <w:rsid w:val="4EA03605"/>
    <w:rsid w:val="4ECF5C98"/>
    <w:rsid w:val="4EE92AD3"/>
    <w:rsid w:val="4F9C0232"/>
    <w:rsid w:val="4FB22FC1"/>
    <w:rsid w:val="50245B70"/>
    <w:rsid w:val="518070B0"/>
    <w:rsid w:val="526A0EA7"/>
    <w:rsid w:val="52723047"/>
    <w:rsid w:val="52C66B24"/>
    <w:rsid w:val="536A41E2"/>
    <w:rsid w:val="53C146CE"/>
    <w:rsid w:val="54085ED4"/>
    <w:rsid w:val="54447157"/>
    <w:rsid w:val="549C6E35"/>
    <w:rsid w:val="54FF02B0"/>
    <w:rsid w:val="55515AB4"/>
    <w:rsid w:val="56A41A73"/>
    <w:rsid w:val="56F91B04"/>
    <w:rsid w:val="57383440"/>
    <w:rsid w:val="57FC3451"/>
    <w:rsid w:val="5944539C"/>
    <w:rsid w:val="59855A94"/>
    <w:rsid w:val="59A321FB"/>
    <w:rsid w:val="5AD44BEF"/>
    <w:rsid w:val="5BE014E5"/>
    <w:rsid w:val="5BE317EA"/>
    <w:rsid w:val="5C9A4986"/>
    <w:rsid w:val="5D016DC8"/>
    <w:rsid w:val="5D3B6F2A"/>
    <w:rsid w:val="5D8E68C4"/>
    <w:rsid w:val="5DA34095"/>
    <w:rsid w:val="5DE27796"/>
    <w:rsid w:val="5DE66B5A"/>
    <w:rsid w:val="5E873AA5"/>
    <w:rsid w:val="5E966CFA"/>
    <w:rsid w:val="5EA51C4A"/>
    <w:rsid w:val="5ED9312D"/>
    <w:rsid w:val="5F443B39"/>
    <w:rsid w:val="606326E4"/>
    <w:rsid w:val="60F872D1"/>
    <w:rsid w:val="6110461A"/>
    <w:rsid w:val="61A8101A"/>
    <w:rsid w:val="621C3904"/>
    <w:rsid w:val="627D7928"/>
    <w:rsid w:val="62AF4A66"/>
    <w:rsid w:val="64615784"/>
    <w:rsid w:val="64E41933"/>
    <w:rsid w:val="650F65D3"/>
    <w:rsid w:val="65777DD5"/>
    <w:rsid w:val="66E41DF6"/>
    <w:rsid w:val="693115D2"/>
    <w:rsid w:val="695A2D32"/>
    <w:rsid w:val="6A227CAF"/>
    <w:rsid w:val="6A54091E"/>
    <w:rsid w:val="6A7F6310"/>
    <w:rsid w:val="6A9C0CCD"/>
    <w:rsid w:val="6ADD35F8"/>
    <w:rsid w:val="6BFB0073"/>
    <w:rsid w:val="6C6717A7"/>
    <w:rsid w:val="6C8E6D3B"/>
    <w:rsid w:val="6D174FD9"/>
    <w:rsid w:val="6D705F82"/>
    <w:rsid w:val="6DF703B1"/>
    <w:rsid w:val="6E70216F"/>
    <w:rsid w:val="6EB7213D"/>
    <w:rsid w:val="6EB74327"/>
    <w:rsid w:val="6EED5F9B"/>
    <w:rsid w:val="6F5558EE"/>
    <w:rsid w:val="6F990B91"/>
    <w:rsid w:val="70C34349"/>
    <w:rsid w:val="720E221A"/>
    <w:rsid w:val="72C04D9D"/>
    <w:rsid w:val="73691968"/>
    <w:rsid w:val="73D35A7A"/>
    <w:rsid w:val="74692034"/>
    <w:rsid w:val="746F7452"/>
    <w:rsid w:val="74744A68"/>
    <w:rsid w:val="74891519"/>
    <w:rsid w:val="752554D7"/>
    <w:rsid w:val="752701FF"/>
    <w:rsid w:val="75874327"/>
    <w:rsid w:val="75B43BBF"/>
    <w:rsid w:val="773B4D12"/>
    <w:rsid w:val="77CE4490"/>
    <w:rsid w:val="78AF300A"/>
    <w:rsid w:val="78CC6C21"/>
    <w:rsid w:val="78FE2B52"/>
    <w:rsid w:val="792627D5"/>
    <w:rsid w:val="7967694A"/>
    <w:rsid w:val="79AD02EC"/>
    <w:rsid w:val="7A106FE1"/>
    <w:rsid w:val="7A4A42A1"/>
    <w:rsid w:val="7BDC7AE0"/>
    <w:rsid w:val="7CD75B94"/>
    <w:rsid w:val="7E101385"/>
    <w:rsid w:val="7E282B4B"/>
    <w:rsid w:val="7F323556"/>
    <w:rsid w:val="7FAB3A34"/>
    <w:rsid w:val="7FB55E96"/>
    <w:rsid w:val="EF7F94C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5">
    <w:name w:val="heading 1"/>
    <w:basedOn w:val="6"/>
    <w:next w:val="6"/>
    <w:qFormat/>
    <w:uiPriority w:val="0"/>
    <w:pPr>
      <w:keepNext/>
      <w:keepLines/>
      <w:numPr>
        <w:ilvl w:val="0"/>
        <w:numId w:val="1"/>
      </w:numPr>
      <w:adjustRightInd w:val="0"/>
      <w:spacing w:before="50" w:beforeLines="50" w:after="50" w:afterLines="50" w:line="360" w:lineRule="auto"/>
      <w:ind w:left="284" w:hanging="284" w:firstLineChars="0"/>
      <w:jc w:val="center"/>
      <w:outlineLvl w:val="0"/>
    </w:pPr>
    <w:rPr>
      <w:rFonts w:ascii="黑体" w:hAnsi="黑体" w:eastAsia="黑体"/>
      <w:b/>
      <w:bCs/>
      <w:kern w:val="44"/>
      <w:sz w:val="32"/>
      <w:szCs w:val="44"/>
    </w:rPr>
  </w:style>
  <w:style w:type="paragraph" w:styleId="10">
    <w:name w:val="heading 2"/>
    <w:basedOn w:val="1"/>
    <w:next w:val="1"/>
    <w:qFormat/>
    <w:uiPriority w:val="99"/>
    <w:pPr>
      <w:keepNext/>
      <w:keepLines/>
      <w:numPr>
        <w:ilvl w:val="1"/>
        <w:numId w:val="1"/>
      </w:numPr>
      <w:spacing w:line="360" w:lineRule="auto"/>
      <w:ind w:left="567" w:hanging="567"/>
      <w:jc w:val="left"/>
      <w:outlineLvl w:val="1"/>
    </w:pPr>
    <w:rPr>
      <w:b/>
      <w:bCs/>
      <w:kern w:val="0"/>
      <w:sz w:val="30"/>
      <w:szCs w:val="32"/>
    </w:rPr>
  </w:style>
  <w:style w:type="paragraph" w:styleId="11">
    <w:name w:val="heading 3"/>
    <w:basedOn w:val="1"/>
    <w:next w:val="1"/>
    <w:qFormat/>
    <w:uiPriority w:val="99"/>
    <w:pPr>
      <w:numPr>
        <w:ilvl w:val="2"/>
        <w:numId w:val="1"/>
      </w:numPr>
      <w:tabs>
        <w:tab w:val="left" w:pos="0"/>
      </w:tabs>
      <w:spacing w:line="360" w:lineRule="auto"/>
      <w:ind w:left="851" w:hanging="851"/>
      <w:outlineLvl w:val="2"/>
    </w:pPr>
    <w:rPr>
      <w:rFonts w:ascii="Times New Roman" w:hAnsi="Times New Roman" w:eastAsia="宋体"/>
      <w:b/>
      <w:sz w:val="28"/>
    </w:rPr>
  </w:style>
  <w:style w:type="paragraph" w:styleId="12">
    <w:name w:val="heading 4"/>
    <w:basedOn w:val="1"/>
    <w:next w:val="1"/>
    <w:qFormat/>
    <w:uiPriority w:val="99"/>
    <w:pPr>
      <w:numPr>
        <w:ilvl w:val="3"/>
        <w:numId w:val="1"/>
      </w:numPr>
      <w:tabs>
        <w:tab w:val="left" w:pos="0"/>
      </w:tabs>
      <w:spacing w:line="360" w:lineRule="auto"/>
      <w:ind w:left="0" w:firstLine="0"/>
      <w:outlineLvl w:val="3"/>
    </w:pPr>
    <w:rPr>
      <w:rFonts w:ascii="Times New Roman" w:hAnsi="Times New Roman" w:eastAsia="宋体"/>
      <w:b/>
      <w:sz w:val="24"/>
      <w:szCs w:val="28"/>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customStyle="1" w:styleId="2">
    <w:name w:val="Default"/>
    <w:basedOn w:val="3"/>
    <w:next w:val="1"/>
    <w:qFormat/>
    <w:uiPriority w:val="0"/>
    <w:pPr>
      <w:widowControl w:val="0"/>
      <w:autoSpaceDE w:val="0"/>
      <w:autoSpaceDN w:val="0"/>
      <w:adjustRightInd w:val="0"/>
    </w:pPr>
    <w:rPr>
      <w:rFonts w:ascii="宋体"/>
      <w:color w:val="000000"/>
      <w:sz w:val="24"/>
      <w:szCs w:val="24"/>
      <w:lang w:val="en-US" w:eastAsia="zh-CN" w:bidi="ar-SA"/>
    </w:rPr>
  </w:style>
  <w:style w:type="paragraph" w:customStyle="1" w:styleId="3">
    <w:name w:val="纯文本1"/>
    <w:basedOn w:val="1"/>
    <w:next w:val="4"/>
    <w:qFormat/>
    <w:uiPriority w:val="0"/>
    <w:pPr>
      <w:adjustRightInd w:val="0"/>
      <w:ind w:firstLine="0"/>
      <w:jc w:val="center"/>
      <w:textAlignment w:val="baseline"/>
    </w:pPr>
    <w:rPr>
      <w:rFonts w:ascii="宋体" w:hAnsi="Courier New"/>
    </w:rPr>
  </w:style>
  <w:style w:type="paragraph" w:styleId="4">
    <w:name w:val="Plain Text"/>
    <w:basedOn w:val="1"/>
    <w:next w:val="1"/>
    <w:qFormat/>
    <w:uiPriority w:val="0"/>
    <w:pPr>
      <w:tabs>
        <w:tab w:val="left" w:pos="0"/>
      </w:tabs>
      <w:snapToGrid w:val="0"/>
      <w:spacing w:line="324" w:lineRule="auto"/>
    </w:pPr>
    <w:rPr>
      <w:rFonts w:ascii="宋体" w:hAnsi="Courier New"/>
      <w:kern w:val="2"/>
      <w:sz w:val="21"/>
    </w:rPr>
  </w:style>
  <w:style w:type="paragraph" w:styleId="6">
    <w:name w:val="Body Text First Indent"/>
    <w:basedOn w:val="7"/>
    <w:next w:val="1"/>
    <w:unhideWhenUsed/>
    <w:qFormat/>
    <w:uiPriority w:val="99"/>
    <w:pPr>
      <w:spacing w:before="100" w:beforeAutospacing="1" w:after="0"/>
      <w:ind w:firstLine="420" w:firstLineChars="100"/>
    </w:pPr>
    <w:rPr>
      <w:rFonts w:ascii="宋体" w:hAnsi="宋体" w:cs="宋体"/>
      <w:szCs w:val="21"/>
    </w:rPr>
  </w:style>
  <w:style w:type="paragraph" w:styleId="7">
    <w:name w:val="Body Text"/>
    <w:basedOn w:val="1"/>
    <w:next w:val="8"/>
    <w:semiHidden/>
    <w:qFormat/>
    <w:uiPriority w:val="0"/>
    <w:rPr>
      <w:rFonts w:ascii="黑体" w:hAnsi="黑体" w:eastAsia="黑体" w:cs="黑体"/>
      <w:sz w:val="43"/>
      <w:szCs w:val="43"/>
      <w:lang w:val="en-US" w:eastAsia="en-US" w:bidi="ar-SA"/>
    </w:rPr>
  </w:style>
  <w:style w:type="paragraph" w:customStyle="1" w:styleId="8">
    <w:name w:val="xl27"/>
    <w:basedOn w:val="9"/>
    <w:next w:val="1"/>
    <w:qFormat/>
    <w:uiPriority w:val="0"/>
    <w:pPr>
      <w:spacing w:before="100" w:beforeAutospacing="1" w:after="100" w:afterAutospacing="1" w:line="240" w:lineRule="auto"/>
      <w:ind w:firstLine="0" w:firstLineChars="0"/>
      <w:jc w:val="center"/>
      <w:textAlignment w:val="center"/>
    </w:pPr>
    <w:rPr>
      <w:rFonts w:hint="eastAsia" w:ascii="黑体" w:eastAsia="黑体"/>
      <w:w w:val="80"/>
      <w:sz w:val="32"/>
      <w:szCs w:val="32"/>
    </w:rPr>
  </w:style>
  <w:style w:type="paragraph" w:styleId="9">
    <w:name w:val="table of authorities"/>
    <w:basedOn w:val="1"/>
    <w:next w:val="1"/>
    <w:qFormat/>
    <w:uiPriority w:val="0"/>
    <w:pPr>
      <w:ind w:left="420" w:leftChars="200"/>
    </w:pPr>
  </w:style>
  <w:style w:type="paragraph" w:styleId="13">
    <w:name w:val="Normal Indent"/>
    <w:basedOn w:val="1"/>
    <w:next w:val="14"/>
    <w:qFormat/>
    <w:uiPriority w:val="0"/>
    <w:pPr>
      <w:tabs>
        <w:tab w:val="left" w:pos="1021"/>
      </w:tabs>
      <w:spacing w:line="300" w:lineRule="auto"/>
      <w:ind w:firstLine="420" w:firstLineChars="200"/>
    </w:pPr>
    <w:rPr>
      <w:szCs w:val="20"/>
    </w:rPr>
  </w:style>
  <w:style w:type="paragraph" w:styleId="14">
    <w:name w:val="Body Text First Indent 2"/>
    <w:basedOn w:val="15"/>
    <w:next w:val="1"/>
    <w:qFormat/>
    <w:uiPriority w:val="0"/>
    <w:pPr>
      <w:ind w:firstLine="420" w:firstLineChars="200"/>
    </w:pPr>
    <w:rPr>
      <w:sz w:val="21"/>
    </w:rPr>
  </w:style>
  <w:style w:type="paragraph" w:styleId="15">
    <w:name w:val="Body Text Indent"/>
    <w:basedOn w:val="1"/>
    <w:next w:val="1"/>
    <w:qFormat/>
    <w:uiPriority w:val="0"/>
    <w:pPr>
      <w:spacing w:after="120" w:afterLines="0"/>
      <w:ind w:left="420" w:leftChars="200"/>
    </w:pPr>
    <w:rPr>
      <w:sz w:val="21"/>
    </w:rPr>
  </w:style>
  <w:style w:type="paragraph" w:styleId="16">
    <w:name w:val="caption"/>
    <w:basedOn w:val="1"/>
    <w:next w:val="1"/>
    <w:semiHidden/>
    <w:unhideWhenUsed/>
    <w:qFormat/>
    <w:uiPriority w:val="0"/>
    <w:rPr>
      <w:rFonts w:ascii="Arial" w:hAnsi="Arial" w:eastAsia="黑体"/>
      <w:sz w:val="20"/>
    </w:rPr>
  </w:style>
  <w:style w:type="paragraph" w:styleId="17">
    <w:name w:val="annotation text"/>
    <w:basedOn w:val="1"/>
    <w:qFormat/>
    <w:uiPriority w:val="0"/>
    <w:pPr>
      <w:jc w:val="left"/>
    </w:pPr>
  </w:style>
  <w:style w:type="paragraph" w:styleId="18">
    <w:name w:val="footer"/>
    <w:basedOn w:val="1"/>
    <w:qFormat/>
    <w:uiPriority w:val="99"/>
    <w:pPr>
      <w:tabs>
        <w:tab w:val="center" w:pos="4153"/>
        <w:tab w:val="right" w:pos="8306"/>
      </w:tabs>
      <w:snapToGrid w:val="0"/>
      <w:jc w:val="left"/>
    </w:pPr>
    <w:rPr>
      <w:sz w:val="18"/>
      <w:szCs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0">
    <w:name w:val="toc 1"/>
    <w:basedOn w:val="1"/>
    <w:next w:val="1"/>
    <w:qFormat/>
    <w:uiPriority w:val="0"/>
  </w:style>
  <w:style w:type="paragraph" w:styleId="21">
    <w:name w:val="toc 2"/>
    <w:basedOn w:val="1"/>
    <w:next w:val="1"/>
    <w:qFormat/>
    <w:uiPriority w:val="0"/>
    <w:pPr>
      <w:ind w:left="420" w:leftChars="200"/>
    </w:pPr>
  </w:style>
  <w:style w:type="paragraph" w:styleId="22">
    <w:name w:val="Normal (Web)"/>
    <w:basedOn w:val="1"/>
    <w:qFormat/>
    <w:uiPriority w:val="0"/>
    <w:rPr>
      <w:sz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Emphasis"/>
    <w:basedOn w:val="25"/>
    <w:qFormat/>
    <w:uiPriority w:val="0"/>
    <w:rPr>
      <w:i/>
    </w:rPr>
  </w:style>
  <w:style w:type="character" w:styleId="28">
    <w:name w:val="Hyperlink"/>
    <w:basedOn w:val="25"/>
    <w:qFormat/>
    <w:uiPriority w:val="0"/>
    <w:rPr>
      <w:color w:val="0000FF"/>
      <w:u w:val="single"/>
    </w:rPr>
  </w:style>
  <w:style w:type="table" w:customStyle="1" w:styleId="29">
    <w:name w:val="Table Normal"/>
    <w:semiHidden/>
    <w:unhideWhenUsed/>
    <w:qFormat/>
    <w:uiPriority w:val="0"/>
    <w:tblPr>
      <w:tblCellMar>
        <w:top w:w="0" w:type="dxa"/>
        <w:left w:w="0" w:type="dxa"/>
        <w:bottom w:w="0" w:type="dxa"/>
        <w:right w:w="0" w:type="dxa"/>
      </w:tblCellMar>
    </w:tblPr>
  </w:style>
  <w:style w:type="paragraph" w:customStyle="1" w:styleId="30">
    <w:name w:val="Table Text"/>
    <w:basedOn w:val="1"/>
    <w:semiHidden/>
    <w:qFormat/>
    <w:uiPriority w:val="0"/>
    <w:rPr>
      <w:rFonts w:ascii="宋体" w:hAnsi="宋体" w:eastAsia="宋体" w:cs="宋体"/>
      <w:sz w:val="20"/>
      <w:szCs w:val="20"/>
      <w:lang w:val="en-US" w:eastAsia="en-US" w:bidi="ar-SA"/>
    </w:rPr>
  </w:style>
  <w:style w:type="paragraph" w:customStyle="1" w:styleId="31">
    <w:name w:val="文本"/>
    <w:basedOn w:val="1"/>
    <w:qFormat/>
    <w:uiPriority w:val="0"/>
    <w:pPr>
      <w:spacing w:line="360" w:lineRule="auto"/>
      <w:ind w:firstLine="422" w:firstLineChars="200"/>
    </w:pPr>
    <w:rPr>
      <w:kern w:val="0"/>
      <w:sz w:val="24"/>
      <w:szCs w:val="20"/>
    </w:rPr>
  </w:style>
  <w:style w:type="paragraph" w:customStyle="1" w:styleId="32">
    <w:name w:val="WPSOffice手动目录 1"/>
    <w:qFormat/>
    <w:uiPriority w:val="0"/>
    <w:pPr>
      <w:ind w:leftChars="0"/>
    </w:pPr>
    <w:rPr>
      <w:rFonts w:ascii="Arial" w:hAnsi="Arial" w:eastAsia="Arial" w:cs="Arial"/>
      <w:sz w:val="20"/>
      <w:szCs w:val="20"/>
    </w:rPr>
  </w:style>
  <w:style w:type="paragraph" w:customStyle="1" w:styleId="33">
    <w:name w:val="WPSOffice手动目录 2"/>
    <w:qFormat/>
    <w:uiPriority w:val="0"/>
    <w:pPr>
      <w:ind w:leftChars="200"/>
    </w:pPr>
    <w:rPr>
      <w:rFonts w:ascii="Arial" w:hAnsi="Arial" w:eastAsia="Arial" w:cs="Arial"/>
      <w:sz w:val="20"/>
      <w:szCs w:val="20"/>
    </w:rPr>
  </w:style>
  <w:style w:type="paragraph" w:customStyle="1" w:styleId="34">
    <w:name w:val="_Style 1"/>
    <w:qFormat/>
    <w:uiPriority w:val="0"/>
    <w:pPr>
      <w:widowControl w:val="0"/>
      <w:spacing w:line="360" w:lineRule="exact"/>
      <w:jc w:val="center"/>
    </w:pPr>
    <w:rPr>
      <w:rFonts w:ascii="Times New Roman" w:hAnsi="Times New Roman" w:eastAsia="新宋体" w:cs="Times New Roman"/>
      <w:kern w:val="2"/>
      <w:sz w:val="21"/>
      <w:szCs w:val="22"/>
      <w:lang w:val="en-US" w:eastAsia="zh-CN" w:bidi="ar-SA"/>
    </w:rPr>
  </w:style>
  <w:style w:type="paragraph" w:customStyle="1" w:styleId="35">
    <w:name w:val="正 文"/>
    <w:basedOn w:val="1"/>
    <w:qFormat/>
    <w:uiPriority w:val="0"/>
    <w:pPr>
      <w:widowControl w:val="0"/>
      <w:spacing w:line="360" w:lineRule="auto"/>
      <w:ind w:firstLine="562" w:firstLineChars="200"/>
      <w:jc w:val="both"/>
    </w:pPr>
    <w:rPr>
      <w:rFonts w:ascii="Arial" w:hAnsi="Arial" w:eastAsia="Times New Roman" w:cs="Times New Roman"/>
    </w:rPr>
  </w:style>
  <w:style w:type="paragraph" w:customStyle="1" w:styleId="36">
    <w:name w:val="标题2-易恒"/>
    <w:basedOn w:val="10"/>
    <w:next w:val="37"/>
    <w:qFormat/>
    <w:uiPriority w:val="0"/>
    <w:pPr>
      <w:spacing w:before="0" w:after="0" w:line="360" w:lineRule="auto"/>
    </w:pPr>
    <w:rPr>
      <w:rFonts w:ascii="Times New Roman" w:hAnsi="Times New Roman" w:eastAsia="宋体"/>
      <w:sz w:val="24"/>
    </w:rPr>
  </w:style>
  <w:style w:type="paragraph" w:customStyle="1" w:styleId="37">
    <w:name w:val="正文-易恒"/>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38">
    <w:name w:val="☆正文"/>
    <w:basedOn w:val="1"/>
    <w:next w:val="14"/>
    <w:link w:val="44"/>
    <w:qFormat/>
    <w:uiPriority w:val="0"/>
    <w:pPr>
      <w:tabs>
        <w:tab w:val="left" w:pos="2128"/>
      </w:tabs>
      <w:adjustRightInd w:val="0"/>
      <w:snapToGrid w:val="0"/>
      <w:spacing w:line="360" w:lineRule="auto"/>
      <w:ind w:firstLine="480" w:firstLineChars="200"/>
    </w:pPr>
    <w:rPr>
      <w:snapToGrid w:val="0"/>
      <w:sz w:val="24"/>
      <w:szCs w:val="21"/>
      <w:lang w:val="zh-CN"/>
    </w:rPr>
  </w:style>
  <w:style w:type="paragraph" w:customStyle="1" w:styleId="39">
    <w:name w:val="表格文字"/>
    <w:basedOn w:val="1"/>
    <w:next w:val="1"/>
    <w:qFormat/>
    <w:uiPriority w:val="99"/>
    <w:pPr>
      <w:widowControl/>
      <w:spacing w:line="240" w:lineRule="auto"/>
      <w:ind w:firstLine="0" w:firstLineChars="0"/>
      <w:jc w:val="center"/>
    </w:pPr>
    <w:rPr>
      <w:rFonts w:cs="Times New Roman"/>
      <w:sz w:val="21"/>
      <w:szCs w:val="21"/>
    </w:rPr>
  </w:style>
  <w:style w:type="paragraph" w:customStyle="1" w:styleId="40">
    <w:name w:val="表中文字"/>
    <w:basedOn w:val="41"/>
    <w:qFormat/>
    <w:uiPriority w:val="0"/>
    <w:pPr>
      <w:tabs>
        <w:tab w:val="left" w:pos="0"/>
      </w:tabs>
      <w:spacing w:line="240" w:lineRule="auto"/>
    </w:pPr>
  </w:style>
  <w:style w:type="paragraph" w:customStyle="1" w:styleId="41">
    <w:name w:val="表头"/>
    <w:basedOn w:val="4"/>
    <w:next w:val="1"/>
    <w:qFormat/>
    <w:uiPriority w:val="0"/>
    <w:pPr>
      <w:adjustRightInd w:val="0"/>
      <w:spacing w:line="500" w:lineRule="exact"/>
      <w:jc w:val="center"/>
    </w:pPr>
    <w:rPr>
      <w:rFonts w:ascii="Times New Roman" w:hAnsi="Times New Roman" w:eastAsia="楷体_GB2312"/>
      <w:kern w:val="0"/>
      <w:sz w:val="28"/>
      <w:szCs w:val="28"/>
    </w:rPr>
  </w:style>
  <w:style w:type="paragraph" w:customStyle="1" w:styleId="42">
    <w:name w:val="附录公式编号制表符"/>
    <w:basedOn w:val="1"/>
    <w:next w:val="43"/>
    <w:qFormat/>
    <w:uiPriority w:val="0"/>
    <w:pPr>
      <w:widowControl/>
      <w:tabs>
        <w:tab w:val="center" w:pos="4201"/>
        <w:tab w:val="right" w:leader="dot" w:pos="9298"/>
      </w:tabs>
      <w:autoSpaceDE w:val="0"/>
      <w:autoSpaceDN w:val="0"/>
    </w:pPr>
    <w:rPr>
      <w:rFonts w:ascii="宋体"/>
      <w:kern w:val="0"/>
      <w:szCs w:val="20"/>
    </w:rPr>
  </w:style>
  <w:style w:type="paragraph" w:customStyle="1" w:styleId="43">
    <w:name w:val="段"/>
    <w:qFormat/>
    <w:uiPriority w:val="99"/>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44">
    <w:name w:val="☆正文 Char"/>
    <w:link w:val="38"/>
    <w:qFormat/>
    <w:uiPriority w:val="0"/>
    <w:rPr>
      <w:snapToGrid w:val="0"/>
      <w:sz w:val="24"/>
      <w:szCs w:val="21"/>
      <w:lang w:val="zh-CN"/>
    </w:rPr>
  </w:style>
  <w:style w:type="paragraph" w:customStyle="1" w:styleId="45">
    <w:name w:val="环评表格"/>
    <w:basedOn w:val="1"/>
    <w:qFormat/>
    <w:uiPriority w:val="0"/>
    <w:pPr>
      <w:pBdr>
        <w:top w:val="none" w:color="auto" w:sz="0" w:space="1"/>
        <w:left w:val="none" w:color="auto" w:sz="0" w:space="4"/>
        <w:bottom w:val="none" w:color="auto" w:sz="0" w:space="1"/>
        <w:right w:val="none" w:color="auto" w:sz="0" w:space="4"/>
      </w:pBdr>
      <w:jc w:val="center"/>
    </w:pPr>
    <w:rPr>
      <w:rFonts w:ascii="Times New Roman" w:hAnsi="Times New Roman" w:eastAsia="宋体" w:cs="Times New Roman"/>
      <w:szCs w:val="28"/>
    </w:rPr>
  </w:style>
  <w:style w:type="table" w:customStyle="1" w:styleId="46">
    <w:name w:val="网格型3"/>
    <w:basedOn w:val="23"/>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7">
    <w:name w:val="报告表格"/>
    <w:basedOn w:val="1"/>
    <w:qFormat/>
    <w:uiPriority w:val="0"/>
    <w:pPr>
      <w:autoSpaceDE w:val="0"/>
      <w:autoSpaceDN w:val="0"/>
      <w:adjustRightInd w:val="0"/>
      <w:snapToGrid w:val="0"/>
      <w:spacing w:line="240" w:lineRule="auto"/>
      <w:jc w:val="center"/>
      <w:textAlignment w:val="baseline"/>
    </w:pPr>
    <w:rPr>
      <w:kern w:val="0"/>
      <w:sz w:val="21"/>
      <w:szCs w:val="20"/>
    </w:rPr>
  </w:style>
  <w:style w:type="paragraph" w:customStyle="1" w:styleId="48">
    <w:name w:val="Table Paragraph"/>
    <w:basedOn w:val="1"/>
    <w:qFormat/>
    <w:uiPriority w:val="1"/>
    <w:pPr>
      <w:jc w:val="left"/>
    </w:pPr>
    <w:rPr>
      <w:rFonts w:ascii="Calibri" w:hAnsi="Calibri"/>
      <w:kern w:val="0"/>
      <w:sz w:val="22"/>
      <w:szCs w:val="22"/>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header" Target="header3.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jpeg"/><Relationship Id="rId82" Type="http://schemas.openxmlformats.org/officeDocument/2006/relationships/image" Target="media/image60.jpeg"/><Relationship Id="rId81" Type="http://schemas.openxmlformats.org/officeDocument/2006/relationships/image" Target="media/image59.jpeg"/><Relationship Id="rId80" Type="http://schemas.openxmlformats.org/officeDocument/2006/relationships/image" Target="media/image58.jpeg"/><Relationship Id="rId8" Type="http://schemas.openxmlformats.org/officeDocument/2006/relationships/footer" Target="footer2.xml"/><Relationship Id="rId79" Type="http://schemas.openxmlformats.org/officeDocument/2006/relationships/image" Target="media/image57.jpeg"/><Relationship Id="rId78" Type="http://schemas.openxmlformats.org/officeDocument/2006/relationships/image" Target="media/image56.jpeg"/><Relationship Id="rId77" Type="http://schemas.openxmlformats.org/officeDocument/2006/relationships/image" Target="media/image55.jpeg"/><Relationship Id="rId76" Type="http://schemas.openxmlformats.org/officeDocument/2006/relationships/image" Target="media/image54.jpeg"/><Relationship Id="rId75" Type="http://schemas.openxmlformats.org/officeDocument/2006/relationships/image" Target="media/image53.jpeg"/><Relationship Id="rId74" Type="http://schemas.openxmlformats.org/officeDocument/2006/relationships/image" Target="media/image52.jpeg"/><Relationship Id="rId73" Type="http://schemas.openxmlformats.org/officeDocument/2006/relationships/image" Target="media/image51.jpeg"/><Relationship Id="rId72" Type="http://schemas.openxmlformats.org/officeDocument/2006/relationships/image" Target="media/image50.jpeg"/><Relationship Id="rId71" Type="http://schemas.openxmlformats.org/officeDocument/2006/relationships/image" Target="media/image49.jpeg"/><Relationship Id="rId70" Type="http://schemas.openxmlformats.org/officeDocument/2006/relationships/image" Target="media/image48.jpeg"/><Relationship Id="rId7" Type="http://schemas.openxmlformats.org/officeDocument/2006/relationships/header" Target="header2.xml"/><Relationship Id="rId69" Type="http://schemas.openxmlformats.org/officeDocument/2006/relationships/image" Target="media/image47.jpeg"/><Relationship Id="rId68" Type="http://schemas.openxmlformats.org/officeDocument/2006/relationships/image" Target="media/image46.jpeg"/><Relationship Id="rId67" Type="http://schemas.openxmlformats.org/officeDocument/2006/relationships/image" Target="media/image45.jpeg"/><Relationship Id="rId66" Type="http://schemas.openxmlformats.org/officeDocument/2006/relationships/image" Target="media/image44.jpeg"/><Relationship Id="rId65" Type="http://schemas.openxmlformats.org/officeDocument/2006/relationships/image" Target="media/image43.jpeg"/><Relationship Id="rId64" Type="http://schemas.openxmlformats.org/officeDocument/2006/relationships/image" Target="media/image42.jpeg"/><Relationship Id="rId63" Type="http://schemas.openxmlformats.org/officeDocument/2006/relationships/image" Target="media/image41.jpeg"/><Relationship Id="rId62" Type="http://schemas.openxmlformats.org/officeDocument/2006/relationships/image" Target="media/image40.jpeg"/><Relationship Id="rId61" Type="http://schemas.openxmlformats.org/officeDocument/2006/relationships/image" Target="media/image39.jpeg"/><Relationship Id="rId60" Type="http://schemas.openxmlformats.org/officeDocument/2006/relationships/image" Target="media/image38.jpeg"/><Relationship Id="rId6" Type="http://schemas.openxmlformats.org/officeDocument/2006/relationships/footer" Target="footer1.xml"/><Relationship Id="rId59" Type="http://schemas.openxmlformats.org/officeDocument/2006/relationships/image" Target="media/image37.jpeg"/><Relationship Id="rId58" Type="http://schemas.openxmlformats.org/officeDocument/2006/relationships/image" Target="media/image36.jpeg"/><Relationship Id="rId57" Type="http://schemas.openxmlformats.org/officeDocument/2006/relationships/image" Target="media/image35.jpeg"/><Relationship Id="rId56" Type="http://schemas.openxmlformats.org/officeDocument/2006/relationships/image" Target="media/image34.jpe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jpeg"/><Relationship Id="rId52" Type="http://schemas.openxmlformats.org/officeDocument/2006/relationships/image" Target="media/image30.jpe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1.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jpeg"/><Relationship Id="rId44" Type="http://schemas.openxmlformats.org/officeDocument/2006/relationships/image" Target="media/image22.jpeg"/><Relationship Id="rId43" Type="http://schemas.openxmlformats.org/officeDocument/2006/relationships/image" Target="media/image21.jpeg"/><Relationship Id="rId42" Type="http://schemas.openxmlformats.org/officeDocument/2006/relationships/image" Target="media/image20.jpeg"/><Relationship Id="rId41" Type="http://schemas.openxmlformats.org/officeDocument/2006/relationships/image" Target="media/image19.jpeg"/><Relationship Id="rId40" Type="http://schemas.openxmlformats.org/officeDocument/2006/relationships/image" Target="media/image18.jpeg"/><Relationship Id="rId4" Type="http://schemas.openxmlformats.org/officeDocument/2006/relationships/endnotes" Target="endnotes.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png"/><Relationship Id="rId33" Type="http://schemas.openxmlformats.org/officeDocument/2006/relationships/image" Target="media/image11.png"/><Relationship Id="rId32" Type="http://schemas.openxmlformats.org/officeDocument/2006/relationships/image" Target="media/image10.png"/><Relationship Id="rId31" Type="http://schemas.openxmlformats.org/officeDocument/2006/relationships/chart" Target="charts/chart3.xml"/><Relationship Id="rId30" Type="http://schemas.openxmlformats.org/officeDocument/2006/relationships/chart" Target="charts/chart2.xml"/><Relationship Id="rId3" Type="http://schemas.openxmlformats.org/officeDocument/2006/relationships/footnotes" Target="footnotes.xml"/><Relationship Id="rId29" Type="http://schemas.openxmlformats.org/officeDocument/2006/relationships/chart" Target="charts/chart1.xml"/><Relationship Id="rId28" Type="http://schemas.openxmlformats.org/officeDocument/2006/relationships/image" Target="media/image9.png"/><Relationship Id="rId27" Type="http://schemas.openxmlformats.org/officeDocument/2006/relationships/image" Target="media/image8.emf"/><Relationship Id="rId26" Type="http://schemas.openxmlformats.org/officeDocument/2006/relationships/image" Target="media/image7.emf"/><Relationship Id="rId25" Type="http://schemas.openxmlformats.org/officeDocument/2006/relationships/oleObject" Target="embeddings/oleObject5.bin"/><Relationship Id="rId24" Type="http://schemas.openxmlformats.org/officeDocument/2006/relationships/image" Target="media/image6.emf"/><Relationship Id="rId23" Type="http://schemas.openxmlformats.org/officeDocument/2006/relationships/oleObject" Target="embeddings/oleObject4.bin"/><Relationship Id="rId22" Type="http://schemas.openxmlformats.org/officeDocument/2006/relationships/image" Target="media/image5.emf"/><Relationship Id="rId21" Type="http://schemas.openxmlformats.org/officeDocument/2006/relationships/oleObject" Target="embeddings/oleObject3.bin"/><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3.emf"/><Relationship Id="rId17" Type="http://schemas.openxmlformats.org/officeDocument/2006/relationships/oleObject" Target="embeddings/oleObject1.bin"/><Relationship Id="rId16" Type="http://schemas.openxmlformats.org/officeDocument/2006/relationships/image" Target="media/image2.png"/><Relationship Id="rId157" Type="http://schemas.openxmlformats.org/officeDocument/2006/relationships/fontTable" Target="fontTable.xml"/><Relationship Id="rId156" Type="http://schemas.openxmlformats.org/officeDocument/2006/relationships/numbering" Target="numbering.xml"/><Relationship Id="rId155" Type="http://schemas.openxmlformats.org/officeDocument/2006/relationships/customXml" Target="../customXml/item1.xml"/><Relationship Id="rId154" Type="http://schemas.openxmlformats.org/officeDocument/2006/relationships/image" Target="media/image132.jpeg"/><Relationship Id="rId153" Type="http://schemas.openxmlformats.org/officeDocument/2006/relationships/image" Target="media/image131.jpeg"/><Relationship Id="rId152" Type="http://schemas.openxmlformats.org/officeDocument/2006/relationships/image" Target="media/image130.jpeg"/><Relationship Id="rId151" Type="http://schemas.openxmlformats.org/officeDocument/2006/relationships/image" Target="media/image129.jpeg"/><Relationship Id="rId150" Type="http://schemas.openxmlformats.org/officeDocument/2006/relationships/image" Target="media/image128.jpeg"/><Relationship Id="rId15" Type="http://schemas.openxmlformats.org/officeDocument/2006/relationships/image" Target="media/image1.jpeg"/><Relationship Id="rId149" Type="http://schemas.openxmlformats.org/officeDocument/2006/relationships/image" Target="media/image127.jpeg"/><Relationship Id="rId148" Type="http://schemas.openxmlformats.org/officeDocument/2006/relationships/image" Target="media/image126.jpeg"/><Relationship Id="rId147" Type="http://schemas.openxmlformats.org/officeDocument/2006/relationships/image" Target="media/image125.jpeg"/><Relationship Id="rId146" Type="http://schemas.openxmlformats.org/officeDocument/2006/relationships/image" Target="media/image124.jpeg"/><Relationship Id="rId145" Type="http://schemas.openxmlformats.org/officeDocument/2006/relationships/image" Target="media/image123.jpeg"/><Relationship Id="rId144" Type="http://schemas.openxmlformats.org/officeDocument/2006/relationships/image" Target="media/image122.jpeg"/><Relationship Id="rId143" Type="http://schemas.openxmlformats.org/officeDocument/2006/relationships/image" Target="media/image121.png"/><Relationship Id="rId142" Type="http://schemas.openxmlformats.org/officeDocument/2006/relationships/image" Target="media/image120.png"/><Relationship Id="rId141" Type="http://schemas.openxmlformats.org/officeDocument/2006/relationships/image" Target="media/image119.png"/><Relationship Id="rId140" Type="http://schemas.openxmlformats.org/officeDocument/2006/relationships/image" Target="media/image118.jpeg"/><Relationship Id="rId14" Type="http://schemas.openxmlformats.org/officeDocument/2006/relationships/theme" Target="theme/theme1.xml"/><Relationship Id="rId139" Type="http://schemas.openxmlformats.org/officeDocument/2006/relationships/image" Target="media/image117.png"/><Relationship Id="rId138" Type="http://schemas.openxmlformats.org/officeDocument/2006/relationships/image" Target="media/image116.png"/><Relationship Id="rId137" Type="http://schemas.openxmlformats.org/officeDocument/2006/relationships/image" Target="media/image115.jpeg"/><Relationship Id="rId136" Type="http://schemas.openxmlformats.org/officeDocument/2006/relationships/image" Target="media/image114.png"/><Relationship Id="rId135" Type="http://schemas.openxmlformats.org/officeDocument/2006/relationships/image" Target="media/image113.png"/><Relationship Id="rId134" Type="http://schemas.openxmlformats.org/officeDocument/2006/relationships/image" Target="media/image112.png"/><Relationship Id="rId133" Type="http://schemas.openxmlformats.org/officeDocument/2006/relationships/image" Target="media/image111.png"/><Relationship Id="rId132" Type="http://schemas.openxmlformats.org/officeDocument/2006/relationships/image" Target="media/image110.jpeg"/><Relationship Id="rId131" Type="http://schemas.openxmlformats.org/officeDocument/2006/relationships/image" Target="media/image109.jpeg"/><Relationship Id="rId130" Type="http://schemas.openxmlformats.org/officeDocument/2006/relationships/image" Target="media/image108.jpeg"/><Relationship Id="rId13" Type="http://schemas.openxmlformats.org/officeDocument/2006/relationships/header" Target="header4.xml"/><Relationship Id="rId129" Type="http://schemas.openxmlformats.org/officeDocument/2006/relationships/image" Target="media/image107.jpeg"/><Relationship Id="rId128" Type="http://schemas.openxmlformats.org/officeDocument/2006/relationships/image" Target="media/image106.jpeg"/><Relationship Id="rId127" Type="http://schemas.openxmlformats.org/officeDocument/2006/relationships/image" Target="media/image105.jpeg"/><Relationship Id="rId126" Type="http://schemas.openxmlformats.org/officeDocument/2006/relationships/image" Target="media/image104.png"/><Relationship Id="rId125" Type="http://schemas.openxmlformats.org/officeDocument/2006/relationships/image" Target="media/image103.png"/><Relationship Id="rId124" Type="http://schemas.openxmlformats.org/officeDocument/2006/relationships/image" Target="media/image102.png"/><Relationship Id="rId123" Type="http://schemas.openxmlformats.org/officeDocument/2006/relationships/image" Target="media/image101.png"/><Relationship Id="rId122" Type="http://schemas.openxmlformats.org/officeDocument/2006/relationships/image" Target="media/image100.png"/><Relationship Id="rId121" Type="http://schemas.openxmlformats.org/officeDocument/2006/relationships/image" Target="media/image99.png"/><Relationship Id="rId120" Type="http://schemas.openxmlformats.org/officeDocument/2006/relationships/image" Target="media/image98.jpeg"/><Relationship Id="rId12" Type="http://schemas.openxmlformats.org/officeDocument/2006/relationships/footer" Target="footer5.xml"/><Relationship Id="rId119" Type="http://schemas.openxmlformats.org/officeDocument/2006/relationships/image" Target="media/image97.jpeg"/><Relationship Id="rId118" Type="http://schemas.openxmlformats.org/officeDocument/2006/relationships/image" Target="media/image96.jpeg"/><Relationship Id="rId117" Type="http://schemas.openxmlformats.org/officeDocument/2006/relationships/image" Target="media/image95.jpeg"/><Relationship Id="rId116" Type="http://schemas.openxmlformats.org/officeDocument/2006/relationships/image" Target="media/image94.jpeg"/><Relationship Id="rId115" Type="http://schemas.openxmlformats.org/officeDocument/2006/relationships/image" Target="media/image93.jpeg"/><Relationship Id="rId114" Type="http://schemas.openxmlformats.org/officeDocument/2006/relationships/image" Target="media/image92.jpeg"/><Relationship Id="rId113" Type="http://schemas.openxmlformats.org/officeDocument/2006/relationships/image" Target="media/image91.jpeg"/><Relationship Id="rId112" Type="http://schemas.openxmlformats.org/officeDocument/2006/relationships/image" Target="media/image90.jpeg"/><Relationship Id="rId111" Type="http://schemas.openxmlformats.org/officeDocument/2006/relationships/image" Target="media/image89.jpeg"/><Relationship Id="rId110" Type="http://schemas.openxmlformats.org/officeDocument/2006/relationships/image" Target="media/image88.jpeg"/><Relationship Id="rId11" Type="http://schemas.openxmlformats.org/officeDocument/2006/relationships/footer" Target="footer4.xml"/><Relationship Id="rId109" Type="http://schemas.openxmlformats.org/officeDocument/2006/relationships/image" Target="media/image87.jpeg"/><Relationship Id="rId108" Type="http://schemas.openxmlformats.org/officeDocument/2006/relationships/image" Target="media/image86.png"/><Relationship Id="rId107" Type="http://schemas.openxmlformats.org/officeDocument/2006/relationships/image" Target="media/image85.png"/><Relationship Id="rId106" Type="http://schemas.openxmlformats.org/officeDocument/2006/relationships/image" Target="media/image84.png"/><Relationship Id="rId105" Type="http://schemas.openxmlformats.org/officeDocument/2006/relationships/image" Target="media/image83.png"/><Relationship Id="rId104" Type="http://schemas.openxmlformats.org/officeDocument/2006/relationships/image" Target="media/image82.png"/><Relationship Id="rId103" Type="http://schemas.openxmlformats.org/officeDocument/2006/relationships/image" Target="media/image81.png"/><Relationship Id="rId102" Type="http://schemas.openxmlformats.org/officeDocument/2006/relationships/image" Target="media/image80.png"/><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21608;&#29577;&#36805;\Desktop\&#22823;&#27668;&#39044;&#27979;\&#39044;&#27979;&#32467;&#26524;&#65288;&#22823;&#36947;&#65289;\&#22823;&#36947;&#22320;&#38754;&#27668;&#35937;.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21608;&#29577;&#36805;\Desktop\&#22823;&#27668;&#39044;&#27979;\&#39044;&#27979;&#32467;&#26524;&#65288;&#22823;&#36947;&#65289;\&#22823;&#36947;&#22320;&#38754;&#27668;&#35937;.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21608;&#29577;&#36805;\Desktop\&#22823;&#27668;&#39044;&#27979;\&#39044;&#27979;&#32467;&#26524;&#65288;&#22823;&#36947;&#65289;\&#22823;&#36947;&#22320;&#38754;&#27668;&#35937;.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true"/>
          <a:lstStyle/>
          <a:p>
            <a:pPr defTabSz="914400">
              <a:defRPr lang="zh-CN" sz="1200" b="0" i="0" u="none" strike="noStrike" kern="1200" baseline="0">
                <a:solidFill>
                  <a:srgbClr val="000000"/>
                </a:solidFill>
                <a:latin typeface="Times New Roman" charset="0"/>
                <a:ea typeface="Times New Roman" charset="0"/>
                <a:cs typeface="Times New Roman" charset="0"/>
                <a:sym typeface="Times New Roman" charset="0"/>
              </a:defRPr>
            </a:pPr>
            <a:r>
              <a:rPr>
                <a:latin typeface="Times New Roman" charset="0"/>
                <a:ea typeface="Times New Roman" charset="0"/>
                <a:cs typeface="Times New Roman" charset="0"/>
                <a:sym typeface="Times New Roman" charset="0"/>
              </a:rPr>
              <a:t>  &lt;1&gt;附表C.11 年平均温度的月变化图  </a:t>
            </a:r>
            <a:endParaRPr sz="1200" b="0" i="0" u="none" strike="noStrike" baseline="0">
              <a:solidFill>
                <a:srgbClr val="000000"/>
              </a:solidFill>
              <a:latin typeface="Times New Roman" charset="0"/>
              <a:ea typeface="Times New Roman" charset="0"/>
              <a:cs typeface="Times New Roman" charset="0"/>
              <a:sym typeface="Times New Roman" charset="0"/>
            </a:endParaRPr>
          </a:p>
        </c:rich>
      </c:tx>
      <c:layout/>
      <c:overlay val="false"/>
    </c:title>
    <c:autoTitleDeleted val="false"/>
    <c:plotArea>
      <c:layout>
        <c:manualLayout>
          <c:layoutTarget val="inner"/>
          <c:xMode val="edge"/>
          <c:yMode val="edge"/>
          <c:x val="0.101"/>
          <c:y val="0.20225"/>
          <c:w val="0.84375"/>
          <c:h val="0.63975"/>
        </c:manualLayout>
      </c:layout>
      <c:lineChart>
        <c:grouping val="standard"/>
        <c:varyColors val="false"/>
        <c:ser>
          <c:idx val="0"/>
          <c:order val="0"/>
          <c:tx>
            <c:strRef>
              <c:f>[大道地面气象.XLS]数据!$A$3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true"/>
          </c:dLbls>
          <c:cat>
            <c:strRef>
              <c:f>[大道地面气象.XLS]数据!$B$2:$M$2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[大道地面气象.XLS]数据!$B$3:$M$3</c:f>
              <c:numCache>
                <c:formatCode>0.00_ </c:formatCode>
                <c:ptCount val="12"/>
                <c:pt idx="0">
                  <c:v>8.97000026702881</c:v>
                </c:pt>
                <c:pt idx="1">
                  <c:v>9.11999988555908</c:v>
                </c:pt>
                <c:pt idx="2">
                  <c:v>15.1300001144409</c:v>
                </c:pt>
                <c:pt idx="3">
                  <c:v>19.5300006866455</c:v>
                </c:pt>
                <c:pt idx="4">
                  <c:v>23.8299999237061</c:v>
                </c:pt>
                <c:pt idx="5">
                  <c:v>27.3700008392334</c:v>
                </c:pt>
                <c:pt idx="6">
                  <c:v>30.8700008392334</c:v>
                </c:pt>
                <c:pt idx="7">
                  <c:v>29.0100002288818</c:v>
                </c:pt>
                <c:pt idx="8">
                  <c:v>26.0100002288818</c:v>
                </c:pt>
                <c:pt idx="9">
                  <c:v>20.8199996948242</c:v>
                </c:pt>
                <c:pt idx="10">
                  <c:v>15.9200000762939</c:v>
                </c:pt>
                <c:pt idx="11">
                  <c:v>9.60000038146973</c:v>
                </c:pt>
              </c:numCache>
            </c:numRef>
          </c:val>
          <c:smooth val="false"/>
        </c:ser>
        <c:dLbls>
          <c:showLegendKey val="false"/>
          <c:showVal val="false"/>
          <c:showCatName val="false"/>
          <c:showSerName val="false"/>
          <c:showPercent val="false"/>
          <c:showBubbleSize val="false"/>
        </c:dLbls>
        <c:marker val="true"/>
        <c:smooth val="false"/>
        <c:axId val="882693237"/>
        <c:axId val="884622888"/>
      </c:lineChart>
      <c:catAx>
        <c:axId val="882693237"/>
        <c:scaling>
          <c:orientation val="minMax"/>
        </c:scaling>
        <c:delete val="false"/>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crossAx val="884622888"/>
        <c:crosses val="autoZero"/>
        <c:auto val="true"/>
        <c:lblAlgn val="ctr"/>
        <c:lblOffset val="100"/>
        <c:noMultiLvlLbl val="false"/>
      </c:catAx>
      <c:valAx>
        <c:axId val="884622888"/>
        <c:scaling>
          <c:orientation val="minMax"/>
        </c:scaling>
        <c:delete val="false"/>
        <c:axPos val="l"/>
        <c:majorGridlines>
          <c:spPr>
            <a:ln w="3175" cap="flat" cmpd="sng" algn="ctr">
              <a:solidFill>
                <a:srgbClr val="000000">
                  <a:alpha val="100000"/>
                </a:srgbClr>
              </a:solidFill>
              <a:prstDash val="solid"/>
              <a:round/>
            </a:ln>
          </c:spPr>
        </c:majorGridlines>
        <c:title>
          <c:tx>
            <c:rich>
              <a:bodyPr rot="0" spcFirstLastPara="0" vertOverflow="ellipsis" vert="horz" wrap="square" anchor="ctr" anchorCtr="true"/>
              <a:lstStyle/>
              <a:p>
                <a:pPr defTabSz="914400">
                  <a:defRPr lang="zh-CN" sz="1200" b="0" i="0" u="none" strike="noStrike" kern="1200" baseline="0">
                    <a:solidFill>
                      <a:srgbClr val="000000"/>
                    </a:solidFill>
                    <a:latin typeface="Times New Roman" charset="0"/>
                    <a:ea typeface="Times New Roman" charset="0"/>
                    <a:cs typeface="Times New Roman" charset="0"/>
                    <a:sym typeface="Times New Roman" charset="0"/>
                  </a:defRPr>
                </a:pPr>
                <a:r>
                  <a:rPr>
                    <a:latin typeface="Times New Roman" charset="0"/>
                    <a:ea typeface="Times New Roman" charset="0"/>
                    <a:cs typeface="Times New Roman" charset="0"/>
                    <a:sym typeface="Times New Roman" charset="0"/>
                  </a:rPr>
                  <a:t>温度(℃) </a:t>
                </a:r>
                <a:endParaRPr sz="1200" b="0" i="0" u="none" strike="noStrike" baseline="0">
                  <a:solidFill>
                    <a:srgbClr val="000000"/>
                  </a:solidFill>
                  <a:latin typeface="Times New Roman" charset="0"/>
                  <a:ea typeface="Times New Roman" charset="0"/>
                  <a:cs typeface="Times New Roman" charset="0"/>
                  <a:sym typeface="Times New Roman" charset="0"/>
                </a:endParaRPr>
              </a:p>
            </c:rich>
          </c:tx>
          <c:layout>
            <c:manualLayout>
              <c:xMode val="edge"/>
              <c:yMode val="edge"/>
              <c:x val="0.00446159411551911"/>
              <c:y val="0.0232708079529855"/>
            </c:manualLayout>
          </c:layout>
          <c:overlay val="false"/>
        </c:title>
        <c:numFmt formatCode="0.00_ " sourceLinked="true"/>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crossAx val="882693237"/>
        <c:crosses val="autoZero"/>
        <c:crossBetween val="between"/>
      </c:valAx>
      <c:spPr>
        <a:solidFill>
          <a:srgbClr val="C0C0C0">
            <a:alpha val="100000"/>
          </a:srgbClr>
        </a:solidFill>
        <a:ln w="12700">
          <a:solidFill>
            <a:srgbClr val="808080">
              <a:alpha val="100000"/>
            </a:srgbClr>
          </a:solidFill>
          <a:prstDash val="solid"/>
        </a:ln>
      </c:spPr>
    </c:plotArea>
    <c:plotVisOnly val="true"/>
    <c:dispBlanksAs val="gap"/>
    <c:showDLblsOverMax val="false"/>
  </c:chart>
  <c:spPr>
    <a:solidFill>
      <a:srgbClr val="FFFFFF"/>
    </a:solidFill>
    <a:ln w="3175" cap="flat" cmpd="sng" algn="ctr">
      <a:solidFill>
        <a:srgbClr val="000000">
          <a:alpha val="100000"/>
        </a:srgbClr>
      </a:solidFill>
      <a:prstDash val="solid"/>
      <a:round/>
    </a:ln>
  </c:spPr>
  <c:txPr>
    <a:bodyPr rot="0" wrap="square" anchor="ctr" anchorCtr="true"/>
    <a:lstStyle/>
    <a:p>
      <a:pPr>
        <a:defRPr lang="zh-CN" sz="1200" b="0" i="0" u="none" strike="noStrike" baseline="0">
          <a:solidFill>
            <a:srgbClr val="000000"/>
          </a:solidFill>
          <a:latin typeface="Times New Roman" charset="0"/>
          <a:ea typeface="Times New Roman" charset="0"/>
          <a:cs typeface="Times New Roman" charset="0"/>
          <a:sym typeface="Times New Roman" charset="0"/>
        </a:defRPr>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true"/>
          <a:lstStyle/>
          <a:p>
            <a:pPr defTabSz="914400">
              <a:defRPr lang="zh-CN" sz="1200" b="0" i="0" u="none" strike="noStrike" kern="1200" baseline="0">
                <a:solidFill>
                  <a:srgbClr val="000000"/>
                </a:solidFill>
                <a:latin typeface="Times New Roman" charset="0"/>
                <a:ea typeface="Times New Roman" charset="0"/>
                <a:cs typeface="Times New Roman" charset="0"/>
                <a:sym typeface="Times New Roman" charset="0"/>
              </a:defRPr>
            </a:pPr>
            <a:r>
              <a:rPr>
                <a:latin typeface="Times New Roman" charset="0"/>
                <a:ea typeface="Times New Roman" charset="0"/>
                <a:cs typeface="Times New Roman" charset="0"/>
                <a:sym typeface="Times New Roman" charset="0"/>
              </a:rPr>
              <a:t> &lt;2&gt;附表C.12 年平均风速的月变化  </a:t>
            </a:r>
            <a:endParaRPr sz="1200" b="0" i="0" u="none" strike="noStrike" baseline="0">
              <a:solidFill>
                <a:srgbClr val="000000"/>
              </a:solidFill>
              <a:latin typeface="Times New Roman" charset="0"/>
              <a:ea typeface="Times New Roman" charset="0"/>
              <a:cs typeface="Times New Roman" charset="0"/>
              <a:sym typeface="Times New Roman" charset="0"/>
            </a:endParaRPr>
          </a:p>
        </c:rich>
      </c:tx>
      <c:layout/>
      <c:overlay val="false"/>
    </c:title>
    <c:autoTitleDeleted val="false"/>
    <c:plotArea>
      <c:layout>
        <c:manualLayout>
          <c:layoutTarget val="inner"/>
          <c:xMode val="edge"/>
          <c:yMode val="edge"/>
          <c:x val="0.122"/>
          <c:y val="0.20225"/>
          <c:w val="0.83075"/>
          <c:h val="0.63975"/>
        </c:manualLayout>
      </c:layout>
      <c:lineChart>
        <c:grouping val="standard"/>
        <c:varyColors val="false"/>
        <c:ser>
          <c:idx val="0"/>
          <c:order val="0"/>
          <c:tx>
            <c:strRef>
              <c:f>[大道地面气象.XLS]数据!$A$7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true"/>
          </c:dLbls>
          <c:cat>
            <c:strRef>
              <c:f>[大道地面气象.XLS]数据!$B$6:$M$6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[大道地面气象.XLS]数据!$B$7:$M$7</c:f>
              <c:numCache>
                <c:formatCode>0.00_ </c:formatCode>
                <c:ptCount val="12"/>
                <c:pt idx="0">
                  <c:v>1.38999998569489</c:v>
                </c:pt>
                <c:pt idx="1">
                  <c:v>2.38000011444092</c:v>
                </c:pt>
                <c:pt idx="2">
                  <c:v>2.25999999046326</c:v>
                </c:pt>
                <c:pt idx="3">
                  <c:v>2.50999999046326</c:v>
                </c:pt>
                <c:pt idx="4">
                  <c:v>2.33999991416931</c:v>
                </c:pt>
                <c:pt idx="5">
                  <c:v>2.25</c:v>
                </c:pt>
                <c:pt idx="6">
                  <c:v>2.73000001907349</c:v>
                </c:pt>
                <c:pt idx="7">
                  <c:v>2.04999995231628</c:v>
                </c:pt>
                <c:pt idx="8">
                  <c:v>2.39000010490417</c:v>
                </c:pt>
                <c:pt idx="9">
                  <c:v>2.32999992370605</c:v>
                </c:pt>
                <c:pt idx="10">
                  <c:v>2.16000008583069</c:v>
                </c:pt>
                <c:pt idx="11">
                  <c:v>2.0699999332428</c:v>
                </c:pt>
              </c:numCache>
            </c:numRef>
          </c:val>
          <c:smooth val="false"/>
        </c:ser>
        <c:dLbls>
          <c:showLegendKey val="false"/>
          <c:showVal val="false"/>
          <c:showCatName val="false"/>
          <c:showSerName val="false"/>
          <c:showPercent val="false"/>
          <c:showBubbleSize val="false"/>
        </c:dLbls>
        <c:marker val="true"/>
        <c:smooth val="false"/>
        <c:axId val="291093405"/>
        <c:axId val="256470259"/>
      </c:lineChart>
      <c:catAx>
        <c:axId val="291093405"/>
        <c:scaling>
          <c:orientation val="minMax"/>
        </c:scaling>
        <c:delete val="false"/>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crossAx val="256470259"/>
        <c:crosses val="autoZero"/>
        <c:auto val="true"/>
        <c:lblAlgn val="ctr"/>
        <c:lblOffset val="100"/>
        <c:noMultiLvlLbl val="false"/>
      </c:catAx>
      <c:valAx>
        <c:axId val="256470259"/>
        <c:scaling>
          <c:orientation val="minMax"/>
        </c:scaling>
        <c:delete val="false"/>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true"/>
              <a:lstStyle/>
              <a:p>
                <a:pPr defTabSz="914400">
                  <a:defRPr lang="zh-CN" sz="1200" b="0" i="0" u="none" strike="noStrike" kern="1200" baseline="0">
                    <a:solidFill>
                      <a:srgbClr val="000000"/>
                    </a:solidFill>
                    <a:latin typeface="Times New Roman" charset="0"/>
                    <a:ea typeface="Times New Roman" charset="0"/>
                    <a:cs typeface="Times New Roman" charset="0"/>
                    <a:sym typeface="Times New Roman" charset="0"/>
                  </a:defRPr>
                </a:pPr>
                <a:r>
                  <a:rPr>
                    <a:latin typeface="Times New Roman" charset="0"/>
                    <a:ea typeface="Times New Roman" charset="0"/>
                    <a:cs typeface="Times New Roman" charset="0"/>
                    <a:sym typeface="Times New Roman" charset="0"/>
                  </a:rPr>
                  <a:t>风速(m/s) </a:t>
                </a:r>
                <a:endParaRPr sz="1200" b="0" i="0" u="none" strike="noStrike" baseline="0">
                  <a:solidFill>
                    <a:srgbClr val="000000"/>
                  </a:solidFill>
                  <a:latin typeface="Times New Roman" charset="0"/>
                  <a:ea typeface="Times New Roman" charset="0"/>
                  <a:cs typeface="Times New Roman" charset="0"/>
                  <a:sym typeface="Times New Roman" charset="0"/>
                </a:endParaRPr>
              </a:p>
            </c:rich>
          </c:tx>
          <c:layout>
            <c:manualLayout>
              <c:xMode val="edge"/>
              <c:yMode val="edge"/>
              <c:x val="0"/>
              <c:y val="0.378416439174705"/>
            </c:manualLayout>
          </c:layout>
          <c:overlay val="false"/>
        </c:title>
        <c:numFmt formatCode="0.00_ " sourceLinked="false"/>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crossAx val="291093405"/>
        <c:crosses val="autoZero"/>
        <c:crossBetween val="between"/>
      </c:valAx>
      <c:spPr>
        <a:solidFill>
          <a:srgbClr val="C0C0C0">
            <a:alpha val="100000"/>
          </a:srgbClr>
        </a:solidFill>
        <a:ln w="12700">
          <a:solidFill>
            <a:srgbClr val="808080">
              <a:alpha val="100000"/>
            </a:srgbClr>
          </a:solidFill>
          <a:prstDash val="solid"/>
        </a:ln>
      </c:spPr>
    </c:plotArea>
    <c:plotVisOnly val="true"/>
    <c:dispBlanksAs val="gap"/>
    <c:showDLblsOverMax val="false"/>
  </c:chart>
  <c:spPr>
    <a:solidFill>
      <a:srgbClr val="FFFFFF"/>
    </a:solidFill>
    <a:ln w="3175" cap="flat" cmpd="sng" algn="ctr">
      <a:solidFill>
        <a:srgbClr val="000000">
          <a:alpha val="100000"/>
        </a:srgbClr>
      </a:solidFill>
      <a:prstDash val="solid"/>
      <a:round/>
    </a:ln>
  </c:spPr>
  <c:txPr>
    <a:bodyPr rot="0" wrap="square" anchor="ctr" anchorCtr="true"/>
    <a:lstStyle/>
    <a:p>
      <a:pPr>
        <a:defRPr lang="zh-CN" sz="1200" b="0" i="0" u="none" strike="noStrike" baseline="0">
          <a:solidFill>
            <a:srgbClr val="000000"/>
          </a:solidFill>
          <a:latin typeface="Times New Roman" charset="0"/>
          <a:ea typeface="Times New Roman" charset="0"/>
          <a:cs typeface="Times New Roman" charset="0"/>
          <a:sym typeface="Times New Roman" charset="0"/>
        </a:defRPr>
      </a:pPr>
    </a:p>
  </c:txPr>
  <c:externalData r:id="rId1">
    <c:autoUpdate val="false"/>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true"/>
          <a:lstStyle/>
          <a:p>
            <a:pPr defTabSz="914400">
              <a:defRPr lang="zh-CN" sz="1200" b="0" i="0" u="none" strike="noStrike" kern="1200" baseline="0">
                <a:solidFill>
                  <a:srgbClr val="000000">
                    <a:alpha val="100000"/>
                  </a:srgbClr>
                </a:solidFill>
                <a:latin typeface="Times New Roman" charset="0"/>
                <a:ea typeface="Times New Roman" charset="0"/>
                <a:cs typeface="Times New Roman" charset="0"/>
                <a:sym typeface="Times New Roman" charset="0"/>
              </a:defRPr>
            </a:pPr>
            <a:r>
              <a:rPr>
                <a:latin typeface="Times New Roman" charset="0"/>
                <a:ea typeface="Times New Roman" charset="0"/>
                <a:cs typeface="Times New Roman" charset="0"/>
                <a:sym typeface="Times New Roman" charset="0"/>
              </a:rPr>
              <a:t>&lt;3&gt;附表C.13 季小时平均风速的日变化</a:t>
            </a:r>
            <a:endParaRPr sz="1200" b="0" i="0" u="none" strike="noStrike" baseline="0">
              <a:solidFill>
                <a:srgbClr val="000000">
                  <a:alpha val="100000"/>
                </a:srgbClr>
              </a:solidFill>
              <a:latin typeface="Times New Roman" charset="0"/>
              <a:ea typeface="Times New Roman" charset="0"/>
              <a:cs typeface="Times New Roman" charset="0"/>
              <a:sym typeface="Times New Roman" charset="0"/>
            </a:endParaRPr>
          </a:p>
        </c:rich>
      </c:tx>
      <c:layout/>
      <c:overlay val="false"/>
      <c:spPr>
        <a:noFill/>
        <a:ln w="3175">
          <a:noFill/>
        </a:ln>
      </c:spPr>
    </c:title>
    <c:autoTitleDeleted val="false"/>
    <c:plotArea>
      <c:layout>
        <c:manualLayout>
          <c:layoutTarget val="inner"/>
          <c:xMode val="edge"/>
          <c:yMode val="edge"/>
          <c:x val="0.1205"/>
          <c:y val="0.142"/>
          <c:w val="0.7285"/>
          <c:h val="0.71275"/>
        </c:manualLayout>
      </c:layout>
      <c:lineChart>
        <c:grouping val="standard"/>
        <c:varyColors val="false"/>
        <c:ser>
          <c:idx val="0"/>
          <c:order val="0"/>
          <c:tx>
            <c:strRef>
              <c:f>[大道地面气象.XLS]图形!$A$167</c:f>
              <c:strCache>
                <c:ptCount val="1"/>
                <c:pt idx="0">
                  <c:v>春季                </c:v>
                </c:pt>
              </c:strCache>
            </c:strRef>
          </c:tx>
          <c:spPr>
            <a:ln w="12700" cap="rnd" cmpd="sng" algn="ctr">
              <a:solidFill>
                <a:srgbClr val="000080">
                  <a:alpha val="100000"/>
                </a:srgbClr>
              </a:solidFill>
              <a:prstDash val="solid"/>
              <a:round/>
            </a:ln>
          </c:spPr>
          <c:marker>
            <c:symbol val="diamond"/>
            <c:size val="5"/>
            <c:spPr>
              <a:solidFill>
                <a:srgbClr val="000080">
                  <a:alpha val="100000"/>
                </a:srgbClr>
              </a:solidFill>
              <a:ln w="6350" cap="flat" cmpd="sng" algn="ctr">
                <a:solidFill>
                  <a:srgbClr val="000080">
                    <a:alpha val="100000"/>
                  </a:srgbClr>
                </a:solidFill>
                <a:prstDash val="solid"/>
                <a:round/>
              </a:ln>
            </c:spPr>
          </c:marker>
          <c:dLbls>
            <c:delete val="true"/>
          </c:dLbls>
          <c:val>
            <c:numRef>
              <c:f>[大道地面气象.XLS]图形!$B$167:$Y$167</c:f>
              <c:numCache>
                <c:formatCode>General</c:formatCode>
                <c:ptCount val="24"/>
                <c:pt idx="0">
                  <c:v>2.33999991416931</c:v>
                </c:pt>
                <c:pt idx="1">
                  <c:v>2.3199999332428</c:v>
                </c:pt>
                <c:pt idx="2">
                  <c:v>2.21000003814697</c:v>
                </c:pt>
                <c:pt idx="3">
                  <c:v>2.10999989509583</c:v>
                </c:pt>
                <c:pt idx="4">
                  <c:v>2.25</c:v>
                </c:pt>
                <c:pt idx="5">
                  <c:v>2.1800000667572</c:v>
                </c:pt>
                <c:pt idx="6">
                  <c:v>2.15000009536743</c:v>
                </c:pt>
                <c:pt idx="7">
                  <c:v>2.1800000667572</c:v>
                </c:pt>
                <c:pt idx="8">
                  <c:v>2.19000005722046</c:v>
                </c:pt>
                <c:pt idx="9">
                  <c:v>2.33999991416931</c:v>
                </c:pt>
                <c:pt idx="10">
                  <c:v>2.42000007629395</c:v>
                </c:pt>
                <c:pt idx="11">
                  <c:v>2.52999997138977</c:v>
                </c:pt>
                <c:pt idx="12">
                  <c:v>2.61999988555908</c:v>
                </c:pt>
                <c:pt idx="13">
                  <c:v>2.5699999332428</c:v>
                </c:pt>
                <c:pt idx="14">
                  <c:v>2.53999996185303</c:v>
                </c:pt>
                <c:pt idx="15">
                  <c:v>2.71000003814697</c:v>
                </c:pt>
                <c:pt idx="16">
                  <c:v>2.57999992370605</c:v>
                </c:pt>
                <c:pt idx="17">
                  <c:v>2.5699999332428</c:v>
                </c:pt>
                <c:pt idx="18">
                  <c:v>2.46000003814697</c:v>
                </c:pt>
                <c:pt idx="19">
                  <c:v>2.55999994277954</c:v>
                </c:pt>
                <c:pt idx="20">
                  <c:v>2.38000011444092</c:v>
                </c:pt>
                <c:pt idx="21">
                  <c:v>2.32999992370605</c:v>
                </c:pt>
                <c:pt idx="22">
                  <c:v>2.26999998092651</c:v>
                </c:pt>
                <c:pt idx="23">
                  <c:v>2.05999994277954</c:v>
                </c:pt>
              </c:numCache>
            </c:numRef>
          </c:val>
          <c:smooth val="false"/>
        </c:ser>
        <c:ser>
          <c:idx val="1"/>
          <c:order val="1"/>
          <c:tx>
            <c:strRef>
              <c:f>[大道地面气象.XLS]图形!$A$168</c:f>
              <c:strCache>
                <c:ptCount val="1"/>
                <c:pt idx="0">
                  <c:v>夏季                </c:v>
                </c:pt>
              </c:strCache>
            </c:strRef>
          </c:tx>
          <c:spPr>
            <a:ln w="12700" cap="rnd" cmpd="sng" algn="ctr">
              <a:solidFill>
                <a:srgbClr val="FF00FF">
                  <a:alpha val="100000"/>
                </a:srgbClr>
              </a:solidFill>
              <a:prstDash val="solid"/>
              <a:round/>
            </a:ln>
          </c:spPr>
          <c:marker>
            <c:symbol val="square"/>
            <c:size val="5"/>
            <c:spPr>
              <a:solidFill>
                <a:srgbClr val="FF00FF">
                  <a:alpha val="100000"/>
                </a:srgbClr>
              </a:solidFill>
              <a:ln w="6350" cap="flat" cmpd="sng" algn="ctr">
                <a:solidFill>
                  <a:srgbClr val="FF00FF">
                    <a:alpha val="100000"/>
                  </a:srgbClr>
                </a:solidFill>
                <a:prstDash val="solid"/>
                <a:round/>
              </a:ln>
            </c:spPr>
          </c:marker>
          <c:dLbls>
            <c:delete val="true"/>
          </c:dLbls>
          <c:val>
            <c:numRef>
              <c:f>[大道地面气象.XLS]图形!$B$168:$Y$168</c:f>
              <c:numCache>
                <c:formatCode>General</c:formatCode>
                <c:ptCount val="24"/>
                <c:pt idx="0">
                  <c:v>2.00999999046326</c:v>
                </c:pt>
                <c:pt idx="1">
                  <c:v>1.89999997615814</c:v>
                </c:pt>
                <c:pt idx="2">
                  <c:v>1.89999997615814</c:v>
                </c:pt>
                <c:pt idx="3">
                  <c:v>1.96000003814697</c:v>
                </c:pt>
                <c:pt idx="4">
                  <c:v>1.86000001430511</c:v>
                </c:pt>
                <c:pt idx="5">
                  <c:v>1.98000001907349</c:v>
                </c:pt>
                <c:pt idx="6">
                  <c:v>1.88999998569489</c:v>
                </c:pt>
                <c:pt idx="7">
                  <c:v>1.89999997615814</c:v>
                </c:pt>
                <c:pt idx="8">
                  <c:v>2.02999997138977</c:v>
                </c:pt>
                <c:pt idx="9">
                  <c:v>2.27999997138977</c:v>
                </c:pt>
                <c:pt idx="10">
                  <c:v>2.52999997138977</c:v>
                </c:pt>
                <c:pt idx="11">
                  <c:v>2.69000005722046</c:v>
                </c:pt>
                <c:pt idx="12">
                  <c:v>2.79999995231628</c:v>
                </c:pt>
                <c:pt idx="13">
                  <c:v>2.95000004768372</c:v>
                </c:pt>
                <c:pt idx="14">
                  <c:v>3.21000003814697</c:v>
                </c:pt>
                <c:pt idx="15">
                  <c:v>3.02999997138977</c:v>
                </c:pt>
                <c:pt idx="16">
                  <c:v>2.96000003814697</c:v>
                </c:pt>
                <c:pt idx="17">
                  <c:v>2.88000011444092</c:v>
                </c:pt>
                <c:pt idx="18">
                  <c:v>2.67000007629395</c:v>
                </c:pt>
                <c:pt idx="19">
                  <c:v>2.39000010490417</c:v>
                </c:pt>
                <c:pt idx="20">
                  <c:v>2.27999997138977</c:v>
                </c:pt>
                <c:pt idx="21">
                  <c:v>2.14000010490417</c:v>
                </c:pt>
                <c:pt idx="22">
                  <c:v>2.14000010490417</c:v>
                </c:pt>
                <c:pt idx="23">
                  <c:v>1.96000003814697</c:v>
                </c:pt>
              </c:numCache>
            </c:numRef>
          </c:val>
          <c:smooth val="false"/>
        </c:ser>
        <c:ser>
          <c:idx val="2"/>
          <c:order val="2"/>
          <c:tx>
            <c:strRef>
              <c:f>[大道地面气象.XLS]图形!$A$169</c:f>
              <c:strCache>
                <c:ptCount val="1"/>
                <c:pt idx="0">
                  <c:v>秋季                </c:v>
                </c:pt>
              </c:strCache>
            </c:strRef>
          </c:tx>
          <c:spPr>
            <a:ln w="12700" cap="rnd" cmpd="sng" algn="ctr">
              <a:solidFill>
                <a:srgbClr val="FFFF00">
                  <a:alpha val="100000"/>
                </a:srgbClr>
              </a:solidFill>
              <a:prstDash val="solid"/>
              <a:round/>
            </a:ln>
          </c:spPr>
          <c:marker>
            <c:symbol val="triangle"/>
            <c:size val="5"/>
            <c:spPr>
              <a:solidFill>
                <a:srgbClr val="FFFF00">
                  <a:alpha val="100000"/>
                </a:srgbClr>
              </a:solidFill>
              <a:ln w="6350" cap="flat" cmpd="sng" algn="ctr">
                <a:solidFill>
                  <a:srgbClr val="FFFF00">
                    <a:alpha val="100000"/>
                  </a:srgbClr>
                </a:solidFill>
                <a:prstDash val="solid"/>
                <a:round/>
              </a:ln>
            </c:spPr>
          </c:marker>
          <c:dLbls>
            <c:delete val="true"/>
          </c:dLbls>
          <c:val>
            <c:numRef>
              <c:f>[大道地面气象.XLS]图形!$B$169:$Y$169</c:f>
              <c:numCache>
                <c:formatCode>General</c:formatCode>
                <c:ptCount val="24"/>
                <c:pt idx="0">
                  <c:v>2.1800000667572</c:v>
                </c:pt>
                <c:pt idx="1">
                  <c:v>2.10999989509583</c:v>
                </c:pt>
                <c:pt idx="2">
                  <c:v>2.03999996185303</c:v>
                </c:pt>
                <c:pt idx="3">
                  <c:v>1.92999994754791</c:v>
                </c:pt>
                <c:pt idx="4">
                  <c:v>1.8400000333786</c:v>
                </c:pt>
                <c:pt idx="5">
                  <c:v>1.9099999666214</c:v>
                </c:pt>
                <c:pt idx="6">
                  <c:v>1.92999994754791</c:v>
                </c:pt>
                <c:pt idx="7">
                  <c:v>1.89999997615814</c:v>
                </c:pt>
                <c:pt idx="8">
                  <c:v>2.04999995231628</c:v>
                </c:pt>
                <c:pt idx="9">
                  <c:v>2.14000010490417</c:v>
                </c:pt>
                <c:pt idx="10">
                  <c:v>2.19000005722046</c:v>
                </c:pt>
                <c:pt idx="11">
                  <c:v>2.22000002861023</c:v>
                </c:pt>
                <c:pt idx="12">
                  <c:v>2.25999999046326</c:v>
                </c:pt>
                <c:pt idx="13">
                  <c:v>2.38000011444092</c:v>
                </c:pt>
                <c:pt idx="14">
                  <c:v>2.57999992370605</c:v>
                </c:pt>
                <c:pt idx="15">
                  <c:v>2.58999991416931</c:v>
                </c:pt>
                <c:pt idx="16">
                  <c:v>2.83999991416931</c:v>
                </c:pt>
                <c:pt idx="17">
                  <c:v>2.82999992370605</c:v>
                </c:pt>
                <c:pt idx="18">
                  <c:v>2.63000011444092</c:v>
                </c:pt>
                <c:pt idx="19">
                  <c:v>2.59999990463257</c:v>
                </c:pt>
                <c:pt idx="20">
                  <c:v>2.65000009536743</c:v>
                </c:pt>
                <c:pt idx="21">
                  <c:v>2.52999997138977</c:v>
                </c:pt>
                <c:pt idx="22">
                  <c:v>2.4300000667572</c:v>
                </c:pt>
                <c:pt idx="23">
                  <c:v>2.3199999332428</c:v>
                </c:pt>
              </c:numCache>
            </c:numRef>
          </c:val>
          <c:smooth val="false"/>
        </c:ser>
        <c:ser>
          <c:idx val="3"/>
          <c:order val="3"/>
          <c:tx>
            <c:strRef>
              <c:f>[大道地面气象.XLS]图形!$A$170</c:f>
              <c:strCache>
                <c:ptCount val="1"/>
                <c:pt idx="0">
                  <c:v>冬季                </c:v>
                </c:pt>
              </c:strCache>
            </c:strRef>
          </c:tx>
          <c:spPr>
            <a:ln w="12700" cap="rnd" cmpd="sng" algn="ctr">
              <a:solidFill>
                <a:srgbClr val="00FFFF">
                  <a:alpha val="100000"/>
                </a:srgbClr>
              </a:solidFill>
              <a:prstDash val="solid"/>
              <a:round/>
            </a:ln>
          </c:spPr>
          <c:marker>
            <c:symbol val="x"/>
            <c:size val="5"/>
            <c:spPr>
              <a:noFill/>
              <a:ln w="6350" cap="flat" cmpd="sng" algn="ctr">
                <a:solidFill>
                  <a:srgbClr val="00FFFF">
                    <a:alpha val="100000"/>
                  </a:srgbClr>
                </a:solidFill>
                <a:prstDash val="solid"/>
                <a:round/>
              </a:ln>
            </c:spPr>
          </c:marker>
          <c:dLbls>
            <c:delete val="true"/>
          </c:dLbls>
          <c:val>
            <c:numRef>
              <c:f>[大道地面气象.XLS]图形!$B$170:$Y$170</c:f>
              <c:numCache>
                <c:formatCode>General</c:formatCode>
                <c:ptCount val="24"/>
                <c:pt idx="0">
                  <c:v>1.77999997138977</c:v>
                </c:pt>
                <c:pt idx="1">
                  <c:v>1.76999998092651</c:v>
                </c:pt>
                <c:pt idx="2">
                  <c:v>1.83000004291534</c:v>
                </c:pt>
                <c:pt idx="3">
                  <c:v>1.87000000476837</c:v>
                </c:pt>
                <c:pt idx="4">
                  <c:v>1.74000000953674</c:v>
                </c:pt>
                <c:pt idx="5">
                  <c:v>1.73000001907349</c:v>
                </c:pt>
                <c:pt idx="6">
                  <c:v>1.80999994277954</c:v>
                </c:pt>
                <c:pt idx="7">
                  <c:v>1.73000001907349</c:v>
                </c:pt>
                <c:pt idx="8">
                  <c:v>1.5900000333786</c:v>
                </c:pt>
                <c:pt idx="9">
                  <c:v>1.72000002861023</c:v>
                </c:pt>
                <c:pt idx="10">
                  <c:v>1.82000005245209</c:v>
                </c:pt>
                <c:pt idx="11">
                  <c:v>2.09999990463257</c:v>
                </c:pt>
                <c:pt idx="12">
                  <c:v>2.15000009536743</c:v>
                </c:pt>
                <c:pt idx="13">
                  <c:v>2.0699999332428</c:v>
                </c:pt>
                <c:pt idx="14">
                  <c:v>2.09999990463257</c:v>
                </c:pt>
                <c:pt idx="15">
                  <c:v>2.10999989509583</c:v>
                </c:pt>
                <c:pt idx="16">
                  <c:v>2.25</c:v>
                </c:pt>
                <c:pt idx="17">
                  <c:v>2.22000002861023</c:v>
                </c:pt>
                <c:pt idx="18">
                  <c:v>2.23000001907349</c:v>
                </c:pt>
                <c:pt idx="19">
                  <c:v>2.15000009536743</c:v>
                </c:pt>
                <c:pt idx="20">
                  <c:v>2</c:v>
                </c:pt>
                <c:pt idx="21">
                  <c:v>1.92999994754791</c:v>
                </c:pt>
                <c:pt idx="22">
                  <c:v>1.82000005245209</c:v>
                </c:pt>
                <c:pt idx="23">
                  <c:v>1.80999994277954</c:v>
                </c:pt>
              </c:numCache>
            </c:numRef>
          </c:val>
          <c:smooth val="false"/>
        </c:ser>
        <c:dLbls>
          <c:showLegendKey val="false"/>
          <c:showVal val="false"/>
          <c:showCatName val="false"/>
          <c:showSerName val="false"/>
          <c:showPercent val="false"/>
          <c:showBubbleSize val="false"/>
        </c:dLbls>
        <c:marker val="true"/>
        <c:smooth val="false"/>
        <c:axId val="269858324"/>
        <c:axId val="222989401"/>
      </c:lineChart>
      <c:catAx>
        <c:axId val="269858324"/>
        <c:scaling>
          <c:orientation val="minMax"/>
        </c:scaling>
        <c:delete val="false"/>
        <c:axPos val="b"/>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true"/>
          <a:lstStyle/>
          <a:p>
            <a:pPr>
              <a:defRPr lang="zh-CN" sz="1200" b="0" i="0" u="none" strike="noStrike" kern="1200" baseline="0">
                <a:solidFill>
                  <a:srgbClr val="000000">
                    <a:alpha val="100000"/>
                  </a:srgbClr>
                </a:solidFill>
                <a:latin typeface="Times New Roman" charset="0"/>
                <a:ea typeface="Times New Roman" charset="0"/>
                <a:cs typeface="Times New Roman" charset="0"/>
                <a:sym typeface="Times New Roman" charset="0"/>
              </a:defRPr>
            </a:pPr>
          </a:p>
        </c:txPr>
        <c:crossAx val="222989401"/>
        <c:crosses val="autoZero"/>
        <c:auto val="true"/>
        <c:lblAlgn val="ctr"/>
        <c:lblOffset val="100"/>
        <c:noMultiLvlLbl val="false"/>
      </c:catAx>
      <c:valAx>
        <c:axId val="222989401"/>
        <c:scaling>
          <c:orientation val="minMax"/>
        </c:scaling>
        <c:delete val="false"/>
        <c:axPos val="l"/>
        <c:majorGridlines>
          <c:spPr>
            <a:ln w="3175" cap="flat" cmpd="sng" algn="ctr">
              <a:solidFill>
                <a:srgbClr val="000000">
                  <a:alpha val="100000"/>
                </a:srgbClr>
              </a:solidFill>
              <a:prstDash val="solid"/>
              <a:round/>
            </a:ln>
          </c:spPr>
        </c:majorGridlines>
        <c:title>
          <c:tx>
            <c:rich>
              <a:bodyPr rot="0" spcFirstLastPara="0" vertOverflow="ellipsis" vert="horz" wrap="square" anchor="ctr" anchorCtr="true"/>
              <a:lstStyle/>
              <a:p>
                <a:pPr defTabSz="914400">
                  <a:defRPr lang="zh-CN" sz="1200" b="0" i="0" u="none" strike="noStrike" kern="1200" baseline="0">
                    <a:solidFill>
                      <a:srgbClr val="000000">
                        <a:alpha val="100000"/>
                      </a:srgbClr>
                    </a:solidFill>
                    <a:latin typeface="Times New Roman" charset="0"/>
                    <a:ea typeface="Times New Roman" charset="0"/>
                    <a:cs typeface="Times New Roman" charset="0"/>
                    <a:sym typeface="Times New Roman" charset="0"/>
                  </a:defRPr>
                </a:pPr>
                <a:r>
                  <a:rPr>
                    <a:latin typeface="Times New Roman" charset="0"/>
                    <a:ea typeface="Times New Roman" charset="0"/>
                    <a:cs typeface="Times New Roman" charset="0"/>
                    <a:sym typeface="Times New Roman" charset="0"/>
                  </a:rPr>
                  <a:t>风速(m/s)</a:t>
                </a:r>
                <a:endParaRPr sz="1200" b="0" i="0" u="none" strike="noStrike" baseline="0">
                  <a:solidFill>
                    <a:srgbClr val="000000">
                      <a:alpha val="100000"/>
                    </a:srgbClr>
                  </a:solidFill>
                  <a:latin typeface="Times New Roman" charset="0"/>
                  <a:ea typeface="Times New Roman" charset="0"/>
                  <a:cs typeface="Times New Roman" charset="0"/>
                  <a:sym typeface="Times New Roman" charset="0"/>
                </a:endParaRPr>
              </a:p>
            </c:rich>
          </c:tx>
          <c:layout>
            <c:manualLayout>
              <c:xMode val="edge"/>
              <c:yMode val="edge"/>
              <c:x val="0.0479680870603361"/>
              <c:y val="0.0178041543026706"/>
            </c:manualLayout>
          </c:layout>
          <c:overlay val="false"/>
          <c:spPr>
            <a:noFill/>
            <a:ln w="3175">
              <a:noFill/>
            </a:ln>
          </c:spPr>
        </c:title>
        <c:numFmt formatCode="0.00_ " sourceLinked="false"/>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true"/>
          <a:lstStyle/>
          <a:p>
            <a:pPr>
              <a:defRPr lang="zh-CN" sz="1200" b="0" i="0" u="none" strike="noStrike" kern="1200" baseline="0">
                <a:solidFill>
                  <a:srgbClr val="000000">
                    <a:alpha val="100000"/>
                  </a:srgbClr>
                </a:solidFill>
                <a:latin typeface="Times New Roman" charset="0"/>
                <a:ea typeface="Times New Roman" charset="0"/>
                <a:cs typeface="Times New Roman" charset="0"/>
                <a:sym typeface="Times New Roman" charset="0"/>
              </a:defRPr>
            </a:pPr>
          </a:p>
        </c:txPr>
        <c:crossAx val="269858324"/>
        <c:crosses val="autoZero"/>
        <c:crossBetween val="between"/>
      </c:valAx>
      <c:spPr>
        <a:solidFill>
          <a:srgbClr val="C0C0C0">
            <a:alpha val="100000"/>
          </a:srgbClr>
        </a:solidFill>
        <a:ln w="12700">
          <a:solidFill>
            <a:srgbClr val="808080">
              <a:alpha val="100000"/>
            </a:srgbClr>
          </a:solidFill>
          <a:prstDash val="solid"/>
        </a:ln>
      </c:spPr>
    </c:plotArea>
    <c:legend>
      <c:legendPos val="r"/>
      <c:legendEntry>
        <c:idx val="0"/>
        <c:txPr>
          <a:bodyPr rot="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legendEntry>
      <c:legendEntry>
        <c:idx val="1"/>
        <c:txPr>
          <a:bodyPr rot="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legendEntry>
      <c:legendEntry>
        <c:idx val="2"/>
        <c:txPr>
          <a:bodyPr rot="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legendEntry>
      <c:legendEntry>
        <c:idx val="3"/>
        <c:txPr>
          <a:bodyPr rot="0" spcFirstLastPara="0" vertOverflow="ellipsis" vert="horz" wrap="square" anchor="ctr" anchorCtr="true"/>
          <a:lstStyle/>
          <a:p>
            <a:pPr>
              <a:defRPr lang="zh-CN" sz="1200" b="0" i="0" u="none" strike="noStrike" kern="1200" baseline="0">
                <a:solidFill>
                  <a:srgbClr val="000000"/>
                </a:solidFill>
                <a:latin typeface="Times New Roman" charset="0"/>
                <a:ea typeface="Times New Roman" charset="0"/>
                <a:cs typeface="Times New Roman" charset="0"/>
                <a:sym typeface="Times New Roman" charset="0"/>
              </a:defRPr>
            </a:pPr>
          </a:p>
        </c:txPr>
      </c:legendEntry>
      <c:layout>
        <c:manualLayout>
          <c:xMode val="edge"/>
          <c:yMode val="edge"/>
          <c:x val="0.85975"/>
          <c:y val="0.18475"/>
          <c:w val="0.1255"/>
          <c:h val="0.50525"/>
        </c:manualLayout>
      </c:layout>
      <c:overlay val="false"/>
      <c:spPr>
        <a:solidFill>
          <a:srgbClr val="FFFFFF">
            <a:alpha val="100000"/>
          </a:srgbClr>
        </a:solidFill>
        <a:ln w="3175">
          <a:solidFill>
            <a:srgbClr val="000000">
              <a:alpha val="100000"/>
            </a:srgbClr>
          </a:solidFill>
          <a:prstDash val="solid"/>
        </a:ln>
      </c:spPr>
      <c:txPr>
        <a:bodyPr rot="0" spcFirstLastPara="0" vertOverflow="ellipsis" vert="horz" wrap="square" anchor="ctr" anchorCtr="true"/>
        <a:lstStyle/>
        <a:p>
          <a:pPr>
            <a:defRPr lang="zh-CN" sz="1200" b="0" i="0" u="none" strike="noStrike" kern="1200" baseline="0">
              <a:solidFill>
                <a:srgbClr val="000000">
                  <a:alpha val="100000"/>
                </a:srgbClr>
              </a:solidFill>
              <a:latin typeface="Times New Roman" charset="0"/>
              <a:ea typeface="Times New Roman" charset="0"/>
              <a:cs typeface="Times New Roman" charset="0"/>
              <a:sym typeface="Times New Roman" charset="0"/>
            </a:defRPr>
          </a:pPr>
        </a:p>
      </c:txPr>
    </c:legend>
    <c:plotVisOnly val="true"/>
    <c:dispBlanksAs val="gap"/>
    <c:showDLblsOverMax val="false"/>
  </c:chart>
  <c:spPr>
    <a:solidFill>
      <a:srgbClr val="FFFFFF">
        <a:alpha val="100000"/>
      </a:srgbClr>
    </a:solidFill>
    <a:ln w="3175" cap="flat" cmpd="sng" algn="ctr">
      <a:solidFill>
        <a:srgbClr val="000000">
          <a:alpha val="100000"/>
        </a:srgbClr>
      </a:solidFill>
      <a:prstDash val="solid"/>
      <a:round/>
    </a:ln>
  </c:spPr>
  <c:txPr>
    <a:bodyPr rot="0" wrap="square" anchor="ctr" anchorCtr="true"/>
    <a:lstStyle/>
    <a:p>
      <a:pPr>
        <a:defRPr lang="zh-CN" sz="1200" b="0" i="0" u="none" strike="noStrike" baseline="0">
          <a:solidFill>
            <a:srgbClr val="000000"/>
          </a:solidFill>
          <a:latin typeface="Times New Roman" charset="0"/>
          <a:ea typeface="Times New Roman" charset="0"/>
          <a:cs typeface="Times New Roman" charset="0"/>
          <a:sym typeface="Times New Roman" charset="0"/>
        </a:defRPr>
      </a:pPr>
    </a:p>
  </c:txPr>
  <c:externalData r:id="rId1">
    <c:autoUpdate val="false"/>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273</Pages>
  <Words>110631</Words>
  <Characters>130028</Characters>
  <TotalTime>2</TotalTime>
  <ScaleCrop>false</ScaleCrop>
  <LinksUpToDate>false</LinksUpToDate>
  <CharactersWithSpaces>131429</CharactersWithSpaces>
  <Application>WPS Office_11.8.2.10251_F1E327BC-269C-435d-A152-05C5408002CA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2021-07-28T03:46:00Z</dcterms:created>
  <dc:creator>USER</dc:creator>
  <cp:lastModifiedBy>kylin</cp:lastModifiedBy>
  <dcterms:modified xsi:type="dcterms:W3CDTF">2024-12-09T16:47:40Z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2024-10-10T09:45:22Z</vt:filetime>
  </property>
  <property fmtid="{D5CDD505-2E9C-101B-9397-08002B2CF9AE}" pid="4" name="KSOProductBuildVer">
    <vt:lpwstr>2052-11.8.2.10251</vt:lpwstr>
  </property>
  <property fmtid="{D5CDD505-2E9C-101B-9397-08002B2CF9AE}" pid="5" name="ICV">
    <vt:lpwstr>41282139A1F74DEE894F75E8D93AF9DE_13</vt:lpwstr>
  </property>
</Properties>
</file>