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both"/>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rPr>
      </w:pPr>
      <w:r>
        <w:rPr>
          <w:rFonts w:hint="eastAsia"/>
          <w:sz w:val="56"/>
          <w:szCs w:val="56"/>
          <w:lang w:eastAsia="zh-CN"/>
        </w:rPr>
        <w:t>宁远县疾控中心公共卫生检验检测及突发公共卫生事件应急处置中心建设项目</w:t>
      </w:r>
      <w:r>
        <w:rPr>
          <w:rFonts w:hint="eastAsia"/>
          <w:sz w:val="56"/>
          <w:szCs w:val="56"/>
        </w:rPr>
        <w:t>环境影响报告书</w:t>
      </w:r>
    </w:p>
    <w:p>
      <w:pPr>
        <w:bidi w:val="0"/>
        <w:jc w:val="center"/>
        <w:rPr>
          <w:rFonts w:hint="eastAsia"/>
          <w:sz w:val="56"/>
          <w:szCs w:val="56"/>
        </w:rPr>
      </w:pPr>
    </w:p>
    <w:p>
      <w:pPr>
        <w:bidi w:val="0"/>
        <w:jc w:val="center"/>
        <w:rPr>
          <w:rFonts w:hint="eastAsia"/>
          <w:sz w:val="56"/>
          <w:szCs w:val="56"/>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48"/>
          <w:szCs w:val="48"/>
          <w:lang w:eastAsia="zh-CN"/>
        </w:rPr>
      </w:pPr>
      <w:r>
        <w:rPr>
          <w:rFonts w:hint="eastAsia"/>
          <w:sz w:val="48"/>
          <w:szCs w:val="48"/>
          <w:lang w:eastAsia="zh-CN"/>
        </w:rPr>
        <w:t>建设单位：宁远县疾病预防控制中心</w:t>
      </w:r>
    </w:p>
    <w:p>
      <w:pPr>
        <w:bidi w:val="0"/>
        <w:jc w:val="center"/>
        <w:rPr>
          <w:rFonts w:hint="eastAsia"/>
          <w:sz w:val="48"/>
          <w:szCs w:val="48"/>
          <w:lang w:eastAsia="zh-CN"/>
        </w:rPr>
      </w:pPr>
      <w:r>
        <w:rPr>
          <w:rFonts w:hint="eastAsia"/>
          <w:sz w:val="48"/>
          <w:szCs w:val="48"/>
          <w:lang w:eastAsia="zh-CN"/>
        </w:rPr>
        <w:t>编制单位：湖南博然环保科技有限公司</w:t>
      </w:r>
    </w:p>
    <w:p>
      <w:pPr>
        <w:bidi w:val="0"/>
        <w:jc w:val="center"/>
        <w:rPr>
          <w:rFonts w:hint="eastAsia"/>
          <w:sz w:val="48"/>
          <w:szCs w:val="48"/>
          <w:lang w:eastAsia="zh-CN"/>
        </w:rPr>
        <w:sectPr>
          <w:headerReference r:id="rId5" w:type="default"/>
          <w:footerReference r:id="rId6" w:type="default"/>
          <w:pgSz w:w="11906" w:h="16839"/>
          <w:pgMar w:top="1147" w:right="1133" w:bottom="1306" w:left="1418" w:header="878" w:footer="973" w:gutter="0"/>
          <w:pgBorders w:offsetFrom="page">
            <w:top w:val="none" w:sz="0" w:space="0"/>
            <w:left w:val="none" w:sz="0" w:space="0"/>
            <w:bottom w:val="none" w:sz="0" w:space="0"/>
            <w:right w:val="none" w:sz="0" w:space="0"/>
          </w:pgBorders>
          <w:cols w:space="720" w:num="1"/>
        </w:sectPr>
      </w:pPr>
      <w:r>
        <w:rPr>
          <w:rFonts w:hint="eastAsia"/>
          <w:sz w:val="48"/>
          <w:szCs w:val="48"/>
          <w:lang w:eastAsia="zh-CN"/>
        </w:rPr>
        <w:t>二〇二</w:t>
      </w:r>
      <w:r>
        <w:rPr>
          <w:rFonts w:hint="eastAsia"/>
          <w:sz w:val="48"/>
          <w:szCs w:val="48"/>
          <w:lang w:val="en-US" w:eastAsia="zh-CN"/>
        </w:rPr>
        <w:t>四</w:t>
      </w:r>
      <w:r>
        <w:rPr>
          <w:rFonts w:hint="eastAsia"/>
          <w:sz w:val="48"/>
          <w:szCs w:val="48"/>
          <w:lang w:eastAsia="zh-CN"/>
        </w:rPr>
        <w:t>年</w:t>
      </w:r>
      <w:r>
        <w:rPr>
          <w:rFonts w:hint="eastAsia"/>
          <w:sz w:val="48"/>
          <w:szCs w:val="48"/>
          <w:lang w:val="en-US" w:eastAsia="zh-CN"/>
        </w:rPr>
        <w:t>十一</w:t>
      </w:r>
      <w:r>
        <w:rPr>
          <w:rFonts w:hint="eastAsia"/>
          <w:sz w:val="48"/>
          <w:szCs w:val="48"/>
          <w:lang w:eastAsia="zh-CN"/>
        </w:rPr>
        <w:t>月</w:t>
      </w:r>
    </w:p>
    <w:sdt>
      <w:sdtPr>
        <w:rPr>
          <w:rFonts w:ascii="宋体" w:hAnsi="宋体" w:eastAsia="宋体" w:cs="Arial"/>
          <w:snapToGrid w:val="0"/>
          <w:color w:val="000000"/>
          <w:kern w:val="0"/>
          <w:sz w:val="24"/>
          <w:szCs w:val="24"/>
        </w:rPr>
        <w:id w:val="147461401"/>
        <w15:color w:val="DBDBDB"/>
        <w:docPartObj>
          <w:docPartGallery w:val="Table of Contents"/>
          <w:docPartUnique/>
        </w:docPartObj>
      </w:sdtPr>
      <w:sdtEndPr>
        <w:rPr>
          <w:rFonts w:ascii="宋体" w:hAnsi="宋体" w:eastAsia="宋体" w:cs="Arial"/>
          <w:b/>
          <w:snapToGrid w:val="0"/>
          <w:color w:val="000000"/>
          <w:kern w:val="0"/>
          <w:sz w:val="18"/>
          <w:szCs w:val="18"/>
        </w:rPr>
      </w:sdtEndPr>
      <w:sdtContent>
        <w:p>
          <w:pPr>
            <w:spacing w:before="0" w:beforeLines="0" w:after="0" w:afterLines="0" w:line="240" w:lineRule="auto"/>
            <w:ind w:left="0" w:leftChars="0" w:right="0" w:rightChars="0" w:firstLine="0" w:firstLineChars="0"/>
            <w:jc w:val="center"/>
            <w:rPr>
              <w:sz w:val="24"/>
              <w:szCs w:val="24"/>
            </w:rPr>
          </w:pPr>
          <w:r>
            <w:rPr>
              <w:rFonts w:ascii="宋体" w:hAnsi="宋体" w:eastAsia="宋体"/>
              <w:sz w:val="28"/>
              <w:szCs w:val="28"/>
            </w:rPr>
            <w:t>目录</w:t>
          </w:r>
        </w:p>
        <w:p>
          <w:pPr>
            <w:pStyle w:val="20"/>
            <w:tabs>
              <w:tab w:val="right" w:leader="dot" w:pos="9355"/>
            </w:tabs>
            <w:rPr>
              <w:sz w:val="24"/>
              <w:szCs w:val="24"/>
            </w:rPr>
          </w:pPr>
          <w:r>
            <w:rPr>
              <w:sz w:val="24"/>
              <w:szCs w:val="24"/>
            </w:rPr>
            <w:fldChar w:fldCharType="begin"/>
          </w:r>
          <w:r>
            <w:rPr>
              <w:sz w:val="24"/>
              <w:szCs w:val="24"/>
            </w:rPr>
            <w:instrText xml:space="preserve">TOC \o "1-2" \h \u </w:instrText>
          </w:r>
          <w:r>
            <w:rPr>
              <w:sz w:val="24"/>
              <w:szCs w:val="24"/>
            </w:rPr>
            <w:fldChar w:fldCharType="separate"/>
          </w:r>
          <w:r>
            <w:rPr>
              <w:sz w:val="24"/>
              <w:szCs w:val="24"/>
            </w:rPr>
            <w:fldChar w:fldCharType="begin"/>
          </w:r>
          <w:r>
            <w:rPr>
              <w:sz w:val="24"/>
              <w:szCs w:val="24"/>
            </w:rPr>
            <w:instrText xml:space="preserve"> HYPERLINK \l _Toc12933 </w:instrText>
          </w:r>
          <w:r>
            <w:rPr>
              <w:sz w:val="24"/>
              <w:szCs w:val="24"/>
            </w:rPr>
            <w:fldChar w:fldCharType="separate"/>
          </w:r>
          <w:r>
            <w:rPr>
              <w:rFonts w:hint="eastAsia"/>
              <w:sz w:val="24"/>
              <w:szCs w:val="24"/>
              <w:lang w:val="en-US" w:eastAsia="zh-CN"/>
            </w:rPr>
            <w:t xml:space="preserve">第一章 </w:t>
          </w:r>
          <w:r>
            <w:rPr>
              <w:sz w:val="24"/>
              <w:szCs w:val="24"/>
            </w:rPr>
            <w:t>概  述</w:t>
          </w:r>
          <w:r>
            <w:rPr>
              <w:sz w:val="24"/>
              <w:szCs w:val="24"/>
            </w:rPr>
            <w:tab/>
          </w:r>
          <w:r>
            <w:rPr>
              <w:sz w:val="24"/>
              <w:szCs w:val="24"/>
            </w:rPr>
            <w:fldChar w:fldCharType="begin"/>
          </w:r>
          <w:r>
            <w:rPr>
              <w:sz w:val="24"/>
              <w:szCs w:val="24"/>
            </w:rPr>
            <w:instrText xml:space="preserve"> PAGEREF _Toc12933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_Toc18757 </w:instrText>
          </w:r>
          <w:r>
            <w:rPr>
              <w:sz w:val="24"/>
              <w:szCs w:val="24"/>
            </w:rPr>
            <w:fldChar w:fldCharType="separate"/>
          </w:r>
          <w:r>
            <w:rPr>
              <w:sz w:val="24"/>
              <w:szCs w:val="24"/>
            </w:rPr>
            <w:t>1</w:t>
          </w:r>
          <w:r>
            <w:rPr>
              <w:rFonts w:hint="eastAsia"/>
              <w:sz w:val="24"/>
              <w:szCs w:val="24"/>
              <w:lang w:val="en-US" w:eastAsia="zh-CN"/>
            </w:rPr>
            <w:t xml:space="preserve">.1 </w:t>
          </w:r>
          <w:r>
            <w:rPr>
              <w:sz w:val="24"/>
              <w:szCs w:val="24"/>
            </w:rPr>
            <w:t>项目由来</w:t>
          </w:r>
          <w:r>
            <w:rPr>
              <w:sz w:val="24"/>
              <w:szCs w:val="24"/>
            </w:rPr>
            <w:tab/>
          </w:r>
          <w:r>
            <w:rPr>
              <w:sz w:val="24"/>
              <w:szCs w:val="24"/>
            </w:rPr>
            <w:fldChar w:fldCharType="begin"/>
          </w:r>
          <w:r>
            <w:rPr>
              <w:sz w:val="24"/>
              <w:szCs w:val="24"/>
            </w:rPr>
            <w:instrText xml:space="preserve"> PAGEREF _Toc18757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_Toc29408 </w:instrText>
          </w:r>
          <w:r>
            <w:rPr>
              <w:sz w:val="24"/>
              <w:szCs w:val="24"/>
            </w:rPr>
            <w:fldChar w:fldCharType="separate"/>
          </w:r>
          <w:r>
            <w:rPr>
              <w:rFonts w:hint="eastAsia"/>
              <w:sz w:val="24"/>
              <w:szCs w:val="24"/>
              <w:lang w:val="en-US" w:eastAsia="zh-CN"/>
            </w:rPr>
            <w:t xml:space="preserve">1.2 </w:t>
          </w:r>
          <w:r>
            <w:rPr>
              <w:rFonts w:hint="eastAsia"/>
              <w:sz w:val="24"/>
              <w:szCs w:val="24"/>
            </w:rPr>
            <w:t>项目特点</w:t>
          </w:r>
          <w:r>
            <w:rPr>
              <w:sz w:val="24"/>
              <w:szCs w:val="24"/>
            </w:rPr>
            <w:tab/>
          </w:r>
          <w:r>
            <w:rPr>
              <w:sz w:val="24"/>
              <w:szCs w:val="24"/>
            </w:rPr>
            <w:fldChar w:fldCharType="begin"/>
          </w:r>
          <w:r>
            <w:rPr>
              <w:sz w:val="24"/>
              <w:szCs w:val="24"/>
            </w:rPr>
            <w:instrText xml:space="preserve"> PAGEREF _Toc29408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_Toc20009 </w:instrText>
          </w:r>
          <w:r>
            <w:rPr>
              <w:sz w:val="24"/>
              <w:szCs w:val="24"/>
            </w:rPr>
            <w:fldChar w:fldCharType="separate"/>
          </w:r>
          <w:r>
            <w:rPr>
              <w:rFonts w:hint="eastAsia"/>
              <w:sz w:val="24"/>
              <w:szCs w:val="24"/>
              <w:lang w:val="en-US" w:eastAsia="zh-CN"/>
            </w:rPr>
            <w:t xml:space="preserve">1.3 </w:t>
          </w:r>
          <w:r>
            <w:rPr>
              <w:rFonts w:hint="eastAsia"/>
              <w:sz w:val="24"/>
              <w:szCs w:val="24"/>
            </w:rPr>
            <w:t>环境影响评价的工作过程</w:t>
          </w:r>
          <w:r>
            <w:rPr>
              <w:sz w:val="24"/>
              <w:szCs w:val="24"/>
            </w:rPr>
            <w:tab/>
          </w:r>
          <w:r>
            <w:rPr>
              <w:sz w:val="24"/>
              <w:szCs w:val="24"/>
            </w:rPr>
            <w:fldChar w:fldCharType="begin"/>
          </w:r>
          <w:r>
            <w:rPr>
              <w:sz w:val="24"/>
              <w:szCs w:val="24"/>
            </w:rPr>
            <w:instrText xml:space="preserve"> PAGEREF _Toc20009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_Toc3823 </w:instrText>
          </w:r>
          <w:r>
            <w:rPr>
              <w:sz w:val="24"/>
              <w:szCs w:val="24"/>
            </w:rPr>
            <w:fldChar w:fldCharType="separate"/>
          </w:r>
          <w:r>
            <w:rPr>
              <w:rFonts w:hint="eastAsia"/>
              <w:sz w:val="24"/>
              <w:szCs w:val="24"/>
            </w:rPr>
            <w:t>1.4 分析判定相关情况</w:t>
          </w:r>
          <w:r>
            <w:rPr>
              <w:sz w:val="24"/>
              <w:szCs w:val="24"/>
            </w:rPr>
            <w:tab/>
          </w:r>
          <w:r>
            <w:rPr>
              <w:sz w:val="24"/>
              <w:szCs w:val="24"/>
            </w:rPr>
            <w:fldChar w:fldCharType="begin"/>
          </w:r>
          <w:r>
            <w:rPr>
              <w:sz w:val="24"/>
              <w:szCs w:val="24"/>
            </w:rPr>
            <w:instrText xml:space="preserve"> PAGEREF _Toc3823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_Toc999 </w:instrText>
          </w:r>
          <w:r>
            <w:rPr>
              <w:sz w:val="24"/>
              <w:szCs w:val="24"/>
            </w:rPr>
            <w:fldChar w:fldCharType="separate"/>
          </w:r>
          <w:r>
            <w:rPr>
              <w:rFonts w:hint="eastAsia"/>
              <w:sz w:val="24"/>
              <w:szCs w:val="24"/>
              <w:lang w:val="en-US" w:eastAsia="zh-CN"/>
            </w:rPr>
            <w:t>1.</w:t>
          </w:r>
          <w:r>
            <w:rPr>
              <w:rFonts w:hint="eastAsia"/>
              <w:sz w:val="24"/>
              <w:szCs w:val="24"/>
              <w:lang w:eastAsia="zh-CN"/>
            </w:rPr>
            <w:t>5 关注的主要环境问题及环境影响</w:t>
          </w:r>
          <w:r>
            <w:rPr>
              <w:sz w:val="24"/>
              <w:szCs w:val="24"/>
            </w:rPr>
            <w:tab/>
          </w:r>
          <w:r>
            <w:rPr>
              <w:sz w:val="24"/>
              <w:szCs w:val="24"/>
            </w:rPr>
            <w:fldChar w:fldCharType="begin"/>
          </w:r>
          <w:r>
            <w:rPr>
              <w:sz w:val="24"/>
              <w:szCs w:val="24"/>
            </w:rPr>
            <w:instrText xml:space="preserve"> PAGEREF _Toc999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_Toc12691 </w:instrText>
          </w:r>
          <w:r>
            <w:rPr>
              <w:sz w:val="24"/>
              <w:szCs w:val="24"/>
            </w:rPr>
            <w:fldChar w:fldCharType="separate"/>
          </w:r>
          <w:r>
            <w:rPr>
              <w:rFonts w:hint="eastAsia"/>
              <w:sz w:val="24"/>
              <w:szCs w:val="24"/>
              <w:lang w:eastAsia="zh-CN"/>
            </w:rPr>
            <w:t>1.6 环境影响评价的主要结论</w:t>
          </w:r>
          <w:r>
            <w:rPr>
              <w:sz w:val="24"/>
              <w:szCs w:val="24"/>
            </w:rPr>
            <w:tab/>
          </w:r>
          <w:r>
            <w:rPr>
              <w:sz w:val="24"/>
              <w:szCs w:val="24"/>
            </w:rPr>
            <w:fldChar w:fldCharType="begin"/>
          </w:r>
          <w:r>
            <w:rPr>
              <w:sz w:val="24"/>
              <w:szCs w:val="24"/>
            </w:rPr>
            <w:instrText xml:space="preserve"> PAGEREF _Toc12691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_Toc11142 </w:instrText>
          </w:r>
          <w:r>
            <w:rPr>
              <w:sz w:val="24"/>
              <w:szCs w:val="24"/>
            </w:rPr>
            <w:fldChar w:fldCharType="separate"/>
          </w:r>
          <w:r>
            <w:rPr>
              <w:sz w:val="24"/>
              <w:szCs w:val="24"/>
            </w:rPr>
            <w:t>第</w:t>
          </w:r>
          <w:r>
            <w:rPr>
              <w:rFonts w:hint="eastAsia"/>
              <w:sz w:val="24"/>
              <w:szCs w:val="24"/>
              <w:lang w:val="en-US" w:eastAsia="zh-CN"/>
            </w:rPr>
            <w:t>二</w:t>
          </w:r>
          <w:r>
            <w:rPr>
              <w:sz w:val="24"/>
              <w:szCs w:val="24"/>
            </w:rPr>
            <w:t>章 总则</w:t>
          </w:r>
          <w:r>
            <w:rPr>
              <w:sz w:val="24"/>
              <w:szCs w:val="24"/>
            </w:rPr>
            <w:tab/>
          </w:r>
          <w:r>
            <w:rPr>
              <w:sz w:val="24"/>
              <w:szCs w:val="24"/>
            </w:rPr>
            <w:fldChar w:fldCharType="begin"/>
          </w:r>
          <w:r>
            <w:rPr>
              <w:sz w:val="24"/>
              <w:szCs w:val="24"/>
            </w:rPr>
            <w:instrText xml:space="preserve"> PAGEREF _Toc11142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_Toc31411 </w:instrText>
          </w:r>
          <w:r>
            <w:rPr>
              <w:sz w:val="24"/>
              <w:szCs w:val="24"/>
            </w:rPr>
            <w:fldChar w:fldCharType="separate"/>
          </w:r>
          <w:r>
            <w:rPr>
              <w:rFonts w:hint="eastAsia"/>
              <w:sz w:val="24"/>
              <w:szCs w:val="24"/>
              <w:lang w:val="en-US" w:eastAsia="zh-CN"/>
            </w:rPr>
            <w:t>2</w:t>
          </w:r>
          <w:r>
            <w:rPr>
              <w:sz w:val="24"/>
              <w:szCs w:val="24"/>
            </w:rPr>
            <w:t>.1 编制依据</w:t>
          </w:r>
          <w:r>
            <w:rPr>
              <w:sz w:val="24"/>
              <w:szCs w:val="24"/>
            </w:rPr>
            <w:tab/>
          </w:r>
          <w:r>
            <w:rPr>
              <w:sz w:val="24"/>
              <w:szCs w:val="24"/>
            </w:rPr>
            <w:fldChar w:fldCharType="begin"/>
          </w:r>
          <w:r>
            <w:rPr>
              <w:sz w:val="24"/>
              <w:szCs w:val="24"/>
            </w:rPr>
            <w:instrText xml:space="preserve"> PAGEREF _Toc31411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_Toc17484 </w:instrText>
          </w:r>
          <w:r>
            <w:rPr>
              <w:sz w:val="24"/>
              <w:szCs w:val="24"/>
            </w:rPr>
            <w:fldChar w:fldCharType="separate"/>
          </w:r>
          <w:r>
            <w:rPr>
              <w:rFonts w:hint="eastAsia"/>
              <w:sz w:val="24"/>
              <w:szCs w:val="24"/>
              <w:lang w:val="en-US" w:eastAsia="zh-CN"/>
            </w:rPr>
            <w:t>2.2 评价目的和原则</w:t>
          </w:r>
          <w:r>
            <w:rPr>
              <w:sz w:val="24"/>
              <w:szCs w:val="24"/>
            </w:rPr>
            <w:tab/>
          </w:r>
          <w:r>
            <w:rPr>
              <w:sz w:val="24"/>
              <w:szCs w:val="24"/>
            </w:rPr>
            <w:fldChar w:fldCharType="begin"/>
          </w:r>
          <w:r>
            <w:rPr>
              <w:sz w:val="24"/>
              <w:szCs w:val="24"/>
            </w:rPr>
            <w:instrText xml:space="preserve"> PAGEREF _Toc17484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_Toc14230 </w:instrText>
          </w:r>
          <w:r>
            <w:rPr>
              <w:sz w:val="24"/>
              <w:szCs w:val="24"/>
            </w:rPr>
            <w:fldChar w:fldCharType="separate"/>
          </w:r>
          <w:r>
            <w:rPr>
              <w:rFonts w:hint="eastAsia"/>
              <w:sz w:val="24"/>
              <w:szCs w:val="24"/>
              <w:lang w:val="en-US" w:eastAsia="zh-CN"/>
            </w:rPr>
            <w:t xml:space="preserve">2.3 </w:t>
          </w:r>
          <w:r>
            <w:rPr>
              <w:sz w:val="24"/>
              <w:szCs w:val="24"/>
            </w:rPr>
            <w:t>环境影响因素识别及评价因子筛选</w:t>
          </w:r>
          <w:r>
            <w:rPr>
              <w:sz w:val="24"/>
              <w:szCs w:val="24"/>
            </w:rPr>
            <w:tab/>
          </w:r>
          <w:r>
            <w:rPr>
              <w:sz w:val="24"/>
              <w:szCs w:val="24"/>
            </w:rPr>
            <w:fldChar w:fldCharType="begin"/>
          </w:r>
          <w:r>
            <w:rPr>
              <w:sz w:val="24"/>
              <w:szCs w:val="24"/>
            </w:rPr>
            <w:instrText xml:space="preserve"> PAGEREF _Toc14230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_Toc19755 </w:instrText>
          </w:r>
          <w:r>
            <w:rPr>
              <w:sz w:val="24"/>
              <w:szCs w:val="24"/>
            </w:rPr>
            <w:fldChar w:fldCharType="separate"/>
          </w:r>
          <w:r>
            <w:rPr>
              <w:rFonts w:hint="eastAsia"/>
              <w:sz w:val="24"/>
              <w:szCs w:val="24"/>
              <w:lang w:val="en-US" w:eastAsia="zh-CN"/>
            </w:rPr>
            <w:t>2.4</w:t>
          </w:r>
          <w:r>
            <w:rPr>
              <w:sz w:val="24"/>
              <w:szCs w:val="24"/>
            </w:rPr>
            <w:t xml:space="preserve"> 评价工作等级及评价范围</w:t>
          </w:r>
          <w:r>
            <w:rPr>
              <w:sz w:val="24"/>
              <w:szCs w:val="24"/>
            </w:rPr>
            <w:tab/>
          </w:r>
          <w:r>
            <w:rPr>
              <w:sz w:val="24"/>
              <w:szCs w:val="24"/>
            </w:rPr>
            <w:fldChar w:fldCharType="begin"/>
          </w:r>
          <w:r>
            <w:rPr>
              <w:sz w:val="24"/>
              <w:szCs w:val="24"/>
            </w:rPr>
            <w:instrText xml:space="preserve"> PAGEREF _Toc19755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_Toc24320 </w:instrText>
          </w:r>
          <w:r>
            <w:rPr>
              <w:sz w:val="24"/>
              <w:szCs w:val="24"/>
            </w:rPr>
            <w:fldChar w:fldCharType="separate"/>
          </w:r>
          <w:r>
            <w:rPr>
              <w:rFonts w:hint="eastAsia"/>
              <w:sz w:val="24"/>
              <w:szCs w:val="24"/>
              <w:lang w:val="en-US" w:eastAsia="zh-CN"/>
            </w:rPr>
            <w:t>2.5 环境功能区划及评价标准</w:t>
          </w:r>
          <w:r>
            <w:rPr>
              <w:sz w:val="24"/>
              <w:szCs w:val="24"/>
            </w:rPr>
            <w:tab/>
          </w:r>
          <w:r>
            <w:rPr>
              <w:sz w:val="24"/>
              <w:szCs w:val="24"/>
            </w:rPr>
            <w:fldChar w:fldCharType="begin"/>
          </w:r>
          <w:r>
            <w:rPr>
              <w:sz w:val="24"/>
              <w:szCs w:val="24"/>
            </w:rPr>
            <w:instrText xml:space="preserve"> PAGEREF _Toc24320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_Toc3826 </w:instrText>
          </w:r>
          <w:r>
            <w:rPr>
              <w:sz w:val="24"/>
              <w:szCs w:val="24"/>
            </w:rPr>
            <w:fldChar w:fldCharType="separate"/>
          </w:r>
          <w:r>
            <w:rPr>
              <w:rFonts w:hint="eastAsia"/>
              <w:sz w:val="24"/>
              <w:szCs w:val="24"/>
              <w:lang w:val="en-US" w:eastAsia="zh-CN"/>
            </w:rPr>
            <w:t>2.6 评</w:t>
          </w:r>
          <w:r>
            <w:rPr>
              <w:sz w:val="24"/>
              <w:szCs w:val="24"/>
              <w:lang w:val="zh-CN"/>
            </w:rPr>
            <w:t>价</w:t>
          </w:r>
          <w:r>
            <w:rPr>
              <w:rFonts w:hint="eastAsia"/>
              <w:sz w:val="24"/>
              <w:szCs w:val="24"/>
              <w:lang w:val="zh-CN"/>
            </w:rPr>
            <w:t>工作内容、评价重点与评价时段</w:t>
          </w:r>
          <w:r>
            <w:rPr>
              <w:sz w:val="24"/>
              <w:szCs w:val="24"/>
            </w:rPr>
            <w:tab/>
          </w:r>
          <w:r>
            <w:rPr>
              <w:sz w:val="24"/>
              <w:szCs w:val="24"/>
            </w:rPr>
            <w:fldChar w:fldCharType="begin"/>
          </w:r>
          <w:r>
            <w:rPr>
              <w:sz w:val="24"/>
              <w:szCs w:val="24"/>
            </w:rPr>
            <w:instrText xml:space="preserve"> PAGEREF _Toc3826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_Toc30526 </w:instrText>
          </w:r>
          <w:r>
            <w:rPr>
              <w:sz w:val="24"/>
              <w:szCs w:val="24"/>
            </w:rPr>
            <w:fldChar w:fldCharType="separate"/>
          </w:r>
          <w:r>
            <w:rPr>
              <w:rFonts w:hint="eastAsia"/>
              <w:sz w:val="24"/>
              <w:szCs w:val="24"/>
              <w:lang w:val="en-US" w:eastAsia="zh-CN"/>
            </w:rPr>
            <w:t xml:space="preserve">2.7 </w:t>
          </w:r>
          <w:r>
            <w:rPr>
              <w:rFonts w:hint="default"/>
              <w:sz w:val="24"/>
              <w:szCs w:val="24"/>
              <w:lang w:val="en-US" w:eastAsia="zh-CN"/>
            </w:rPr>
            <w:t>主要环境保护目标</w:t>
          </w:r>
          <w:r>
            <w:rPr>
              <w:sz w:val="24"/>
              <w:szCs w:val="24"/>
            </w:rPr>
            <w:tab/>
          </w:r>
          <w:r>
            <w:rPr>
              <w:sz w:val="24"/>
              <w:szCs w:val="24"/>
            </w:rPr>
            <w:fldChar w:fldCharType="begin"/>
          </w:r>
          <w:r>
            <w:rPr>
              <w:sz w:val="24"/>
              <w:szCs w:val="24"/>
            </w:rPr>
            <w:instrText xml:space="preserve"> PAGEREF _Toc30526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_Toc7332 </w:instrText>
          </w:r>
          <w:r>
            <w:rPr>
              <w:sz w:val="24"/>
              <w:szCs w:val="24"/>
            </w:rPr>
            <w:fldChar w:fldCharType="separate"/>
          </w:r>
          <w:r>
            <w:rPr>
              <w:sz w:val="24"/>
              <w:szCs w:val="24"/>
            </w:rPr>
            <w:t>第</w:t>
          </w:r>
          <w:r>
            <w:rPr>
              <w:rFonts w:hint="eastAsia"/>
              <w:sz w:val="24"/>
              <w:szCs w:val="24"/>
              <w:lang w:val="en-US" w:eastAsia="zh-CN"/>
            </w:rPr>
            <w:t>三</w:t>
          </w:r>
          <w:r>
            <w:rPr>
              <w:sz w:val="24"/>
              <w:szCs w:val="24"/>
            </w:rPr>
            <w:t>章 项目概况和工程分析</w:t>
          </w:r>
          <w:r>
            <w:rPr>
              <w:sz w:val="24"/>
              <w:szCs w:val="24"/>
            </w:rPr>
            <w:tab/>
          </w:r>
          <w:r>
            <w:rPr>
              <w:sz w:val="24"/>
              <w:szCs w:val="24"/>
            </w:rPr>
            <w:fldChar w:fldCharType="begin"/>
          </w:r>
          <w:r>
            <w:rPr>
              <w:sz w:val="24"/>
              <w:szCs w:val="24"/>
            </w:rPr>
            <w:instrText xml:space="preserve"> PAGEREF _Toc7332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_Toc32132 </w:instrText>
          </w:r>
          <w:r>
            <w:rPr>
              <w:sz w:val="24"/>
              <w:szCs w:val="24"/>
            </w:rPr>
            <w:fldChar w:fldCharType="separate"/>
          </w:r>
          <w:r>
            <w:rPr>
              <w:rFonts w:hint="eastAsia"/>
              <w:sz w:val="24"/>
              <w:szCs w:val="24"/>
              <w:lang w:val="en-US" w:eastAsia="zh-CN"/>
            </w:rPr>
            <w:t>3</w:t>
          </w:r>
          <w:r>
            <w:rPr>
              <w:sz w:val="24"/>
              <w:szCs w:val="24"/>
            </w:rPr>
            <w:t>.1 项目概况</w:t>
          </w:r>
          <w:r>
            <w:rPr>
              <w:sz w:val="24"/>
              <w:szCs w:val="24"/>
            </w:rPr>
            <w:tab/>
          </w:r>
          <w:r>
            <w:rPr>
              <w:sz w:val="24"/>
              <w:szCs w:val="24"/>
            </w:rPr>
            <w:fldChar w:fldCharType="begin"/>
          </w:r>
          <w:r>
            <w:rPr>
              <w:sz w:val="24"/>
              <w:szCs w:val="24"/>
            </w:rPr>
            <w:instrText xml:space="preserve"> PAGEREF _Toc32132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_Toc25567 </w:instrText>
          </w:r>
          <w:r>
            <w:rPr>
              <w:sz w:val="24"/>
              <w:szCs w:val="24"/>
            </w:rPr>
            <w:fldChar w:fldCharType="separate"/>
          </w:r>
          <w:r>
            <w:rPr>
              <w:rFonts w:hint="eastAsia"/>
              <w:sz w:val="24"/>
              <w:szCs w:val="24"/>
              <w:lang w:val="en-US" w:eastAsia="zh-CN"/>
            </w:rPr>
            <w:t>3.2 工程分析</w:t>
          </w:r>
          <w:r>
            <w:rPr>
              <w:sz w:val="24"/>
              <w:szCs w:val="24"/>
            </w:rPr>
            <w:tab/>
          </w:r>
          <w:r>
            <w:rPr>
              <w:sz w:val="24"/>
              <w:szCs w:val="24"/>
            </w:rPr>
            <w:fldChar w:fldCharType="begin"/>
          </w:r>
          <w:r>
            <w:rPr>
              <w:sz w:val="24"/>
              <w:szCs w:val="24"/>
            </w:rPr>
            <w:instrText xml:space="preserve"> PAGEREF _Toc25567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_Toc24906 </w:instrText>
          </w:r>
          <w:r>
            <w:rPr>
              <w:sz w:val="24"/>
              <w:szCs w:val="24"/>
            </w:rPr>
            <w:fldChar w:fldCharType="separate"/>
          </w:r>
          <w:r>
            <w:rPr>
              <w:rFonts w:hint="eastAsia"/>
              <w:sz w:val="24"/>
              <w:szCs w:val="24"/>
              <w:lang w:val="en-US" w:eastAsia="zh-CN"/>
            </w:rPr>
            <w:t xml:space="preserve">第四章 </w:t>
          </w:r>
          <w:r>
            <w:rPr>
              <w:rFonts w:hint="default"/>
              <w:sz w:val="24"/>
              <w:szCs w:val="24"/>
              <w:lang w:val="en-US" w:eastAsia="zh-CN"/>
            </w:rPr>
            <w:t>环境现状调查与评价</w:t>
          </w:r>
          <w:r>
            <w:rPr>
              <w:sz w:val="24"/>
              <w:szCs w:val="24"/>
            </w:rPr>
            <w:tab/>
          </w:r>
          <w:r>
            <w:rPr>
              <w:sz w:val="24"/>
              <w:szCs w:val="24"/>
            </w:rPr>
            <w:fldChar w:fldCharType="begin"/>
          </w:r>
          <w:r>
            <w:rPr>
              <w:sz w:val="24"/>
              <w:szCs w:val="24"/>
            </w:rPr>
            <w:instrText xml:space="preserve"> PAGEREF _Toc24906 \h </w:instrText>
          </w:r>
          <w:r>
            <w:rPr>
              <w:sz w:val="24"/>
              <w:szCs w:val="24"/>
            </w:rPr>
            <w:fldChar w:fldCharType="separate"/>
          </w:r>
          <w:r>
            <w:rPr>
              <w:sz w:val="24"/>
              <w:szCs w:val="24"/>
            </w:rPr>
            <w:t>76</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_Toc13637 </w:instrText>
          </w:r>
          <w:r>
            <w:rPr>
              <w:sz w:val="24"/>
              <w:szCs w:val="24"/>
            </w:rPr>
            <w:fldChar w:fldCharType="separate"/>
          </w:r>
          <w:r>
            <w:rPr>
              <w:rFonts w:hint="eastAsia"/>
              <w:sz w:val="24"/>
              <w:szCs w:val="24"/>
              <w:lang w:val="en-US" w:eastAsia="zh-CN"/>
            </w:rPr>
            <w:t>4</w:t>
          </w:r>
          <w:r>
            <w:rPr>
              <w:rFonts w:hint="default"/>
              <w:sz w:val="24"/>
              <w:szCs w:val="24"/>
              <w:lang w:val="en-US" w:eastAsia="zh-CN"/>
            </w:rPr>
            <w:t>.1区域自然环境概况</w:t>
          </w:r>
          <w:r>
            <w:rPr>
              <w:sz w:val="24"/>
              <w:szCs w:val="24"/>
            </w:rPr>
            <w:tab/>
          </w:r>
          <w:r>
            <w:rPr>
              <w:sz w:val="24"/>
              <w:szCs w:val="24"/>
            </w:rPr>
            <w:fldChar w:fldCharType="begin"/>
          </w:r>
          <w:r>
            <w:rPr>
              <w:sz w:val="24"/>
              <w:szCs w:val="24"/>
            </w:rPr>
            <w:instrText xml:space="preserve"> PAGEREF _Toc13637 \h </w:instrText>
          </w:r>
          <w:r>
            <w:rPr>
              <w:sz w:val="24"/>
              <w:szCs w:val="24"/>
            </w:rPr>
            <w:fldChar w:fldCharType="separate"/>
          </w:r>
          <w:r>
            <w:rPr>
              <w:sz w:val="24"/>
              <w:szCs w:val="24"/>
            </w:rPr>
            <w:t>76</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_Toc31631 </w:instrText>
          </w:r>
          <w:r>
            <w:rPr>
              <w:sz w:val="24"/>
              <w:szCs w:val="24"/>
            </w:rPr>
            <w:fldChar w:fldCharType="separate"/>
          </w:r>
          <w:r>
            <w:rPr>
              <w:rFonts w:hint="eastAsia"/>
              <w:sz w:val="24"/>
              <w:szCs w:val="24"/>
              <w:lang w:val="en-US" w:eastAsia="zh-CN"/>
            </w:rPr>
            <w:t>4</w:t>
          </w:r>
          <w:r>
            <w:rPr>
              <w:rFonts w:hint="default"/>
              <w:sz w:val="24"/>
              <w:szCs w:val="24"/>
              <w:lang w:val="en-US" w:eastAsia="zh-CN"/>
            </w:rPr>
            <w:t>.2环境空气质量现状监测与评价</w:t>
          </w:r>
          <w:r>
            <w:rPr>
              <w:sz w:val="24"/>
              <w:szCs w:val="24"/>
            </w:rPr>
            <w:tab/>
          </w:r>
          <w:r>
            <w:rPr>
              <w:sz w:val="24"/>
              <w:szCs w:val="24"/>
            </w:rPr>
            <w:fldChar w:fldCharType="begin"/>
          </w:r>
          <w:r>
            <w:rPr>
              <w:sz w:val="24"/>
              <w:szCs w:val="24"/>
            </w:rPr>
            <w:instrText xml:space="preserve"> PAGEREF _Toc31631 \h </w:instrText>
          </w:r>
          <w:r>
            <w:rPr>
              <w:sz w:val="24"/>
              <w:szCs w:val="24"/>
            </w:rPr>
            <w:fldChar w:fldCharType="separate"/>
          </w:r>
          <w:r>
            <w:rPr>
              <w:sz w:val="24"/>
              <w:szCs w:val="24"/>
            </w:rPr>
            <w:t>80</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_Toc11573 </w:instrText>
          </w:r>
          <w:r>
            <w:rPr>
              <w:sz w:val="24"/>
              <w:szCs w:val="24"/>
            </w:rPr>
            <w:fldChar w:fldCharType="separate"/>
          </w:r>
          <w:r>
            <w:rPr>
              <w:rFonts w:hint="eastAsia"/>
              <w:sz w:val="24"/>
              <w:szCs w:val="24"/>
              <w:lang w:val="en-US" w:eastAsia="zh-CN"/>
            </w:rPr>
            <w:t>4.3</w:t>
          </w:r>
          <w:r>
            <w:rPr>
              <w:rFonts w:hint="default"/>
              <w:sz w:val="24"/>
              <w:szCs w:val="24"/>
              <w:lang w:val="en-US" w:eastAsia="zh-CN"/>
            </w:rPr>
            <w:t>地表水环境现状监测</w:t>
          </w:r>
          <w:r>
            <w:rPr>
              <w:rFonts w:hint="eastAsia"/>
              <w:sz w:val="24"/>
              <w:szCs w:val="24"/>
              <w:lang w:val="en-US" w:eastAsia="zh-CN"/>
            </w:rPr>
            <w:t>及评价</w:t>
          </w:r>
          <w:r>
            <w:rPr>
              <w:sz w:val="24"/>
              <w:szCs w:val="24"/>
            </w:rPr>
            <w:tab/>
          </w:r>
          <w:r>
            <w:rPr>
              <w:sz w:val="24"/>
              <w:szCs w:val="24"/>
            </w:rPr>
            <w:fldChar w:fldCharType="begin"/>
          </w:r>
          <w:r>
            <w:rPr>
              <w:sz w:val="24"/>
              <w:szCs w:val="24"/>
            </w:rPr>
            <w:instrText xml:space="preserve"> PAGEREF _Toc11573 \h </w:instrText>
          </w:r>
          <w:r>
            <w:rPr>
              <w:sz w:val="24"/>
              <w:szCs w:val="24"/>
            </w:rPr>
            <w:fldChar w:fldCharType="separate"/>
          </w:r>
          <w:r>
            <w:rPr>
              <w:sz w:val="24"/>
              <w:szCs w:val="24"/>
            </w:rPr>
            <w:t>83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_Toc26916 </w:instrText>
          </w:r>
          <w:r>
            <w:rPr>
              <w:sz w:val="24"/>
              <w:szCs w:val="24"/>
            </w:rPr>
            <w:fldChar w:fldCharType="separate"/>
          </w:r>
          <w:r>
            <w:rPr>
              <w:rFonts w:hint="eastAsia"/>
              <w:sz w:val="24"/>
              <w:szCs w:val="24"/>
              <w:lang w:val="en-US" w:eastAsia="zh-CN"/>
            </w:rPr>
            <w:t>4.4</w:t>
          </w:r>
          <w:r>
            <w:rPr>
              <w:sz w:val="24"/>
              <w:szCs w:val="24"/>
            </w:rPr>
            <w:t>声环境质量现状调查与评价</w:t>
          </w:r>
          <w:r>
            <w:rPr>
              <w:sz w:val="24"/>
              <w:szCs w:val="24"/>
            </w:rPr>
            <w:tab/>
          </w:r>
          <w:r>
            <w:rPr>
              <w:sz w:val="24"/>
              <w:szCs w:val="24"/>
            </w:rPr>
            <w:fldChar w:fldCharType="begin"/>
          </w:r>
          <w:r>
            <w:rPr>
              <w:sz w:val="24"/>
              <w:szCs w:val="24"/>
            </w:rPr>
            <w:instrText xml:space="preserve"> PAGEREF _Toc26916 \h </w:instrText>
          </w:r>
          <w:r>
            <w:rPr>
              <w:sz w:val="24"/>
              <w:szCs w:val="24"/>
            </w:rPr>
            <w:fldChar w:fldCharType="separate"/>
          </w:r>
          <w:r>
            <w:rPr>
              <w:sz w:val="24"/>
              <w:szCs w:val="24"/>
            </w:rPr>
            <w:t>83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_Toc26466 </w:instrText>
          </w:r>
          <w:r>
            <w:rPr>
              <w:sz w:val="24"/>
              <w:szCs w:val="24"/>
            </w:rPr>
            <w:fldChar w:fldCharType="separate"/>
          </w:r>
          <w:r>
            <w:rPr>
              <w:rFonts w:hint="eastAsia"/>
              <w:sz w:val="24"/>
              <w:szCs w:val="24"/>
              <w:lang w:val="en-US" w:eastAsia="zh-CN"/>
            </w:rPr>
            <w:t>4.5</w:t>
          </w:r>
          <w:r>
            <w:rPr>
              <w:rFonts w:hint="default"/>
              <w:sz w:val="24"/>
              <w:szCs w:val="24"/>
              <w:lang w:val="en-US" w:eastAsia="zh-CN"/>
            </w:rPr>
            <w:t>地下水环境质量现状调查与评价</w:t>
          </w:r>
          <w:r>
            <w:rPr>
              <w:sz w:val="24"/>
              <w:szCs w:val="24"/>
            </w:rPr>
            <w:tab/>
          </w:r>
          <w:r>
            <w:rPr>
              <w:sz w:val="24"/>
              <w:szCs w:val="24"/>
            </w:rPr>
            <w:fldChar w:fldCharType="begin"/>
          </w:r>
          <w:r>
            <w:rPr>
              <w:sz w:val="24"/>
              <w:szCs w:val="24"/>
            </w:rPr>
            <w:instrText xml:space="preserve"> PAGEREF _Toc26466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_Toc10357 </w:instrText>
          </w:r>
          <w:r>
            <w:rPr>
              <w:sz w:val="24"/>
              <w:szCs w:val="24"/>
            </w:rPr>
            <w:fldChar w:fldCharType="separate"/>
          </w:r>
          <w:r>
            <w:rPr>
              <w:rFonts w:hint="eastAsia"/>
              <w:sz w:val="24"/>
              <w:szCs w:val="24"/>
              <w:lang w:val="en-US" w:eastAsia="zh-CN"/>
            </w:rPr>
            <w:t>4.6</w:t>
          </w:r>
          <w:r>
            <w:rPr>
              <w:sz w:val="24"/>
              <w:szCs w:val="24"/>
            </w:rPr>
            <w:t>土壤环境现状调查与评价</w:t>
          </w:r>
          <w:r>
            <w:rPr>
              <w:sz w:val="24"/>
              <w:szCs w:val="24"/>
            </w:rPr>
            <w:tab/>
          </w:r>
          <w:r>
            <w:rPr>
              <w:sz w:val="24"/>
              <w:szCs w:val="24"/>
            </w:rPr>
            <w:fldChar w:fldCharType="begin"/>
          </w:r>
          <w:r>
            <w:rPr>
              <w:sz w:val="24"/>
              <w:szCs w:val="24"/>
            </w:rPr>
            <w:instrText xml:space="preserve"> PAGEREF _Toc10357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_Toc31751 </w:instrText>
          </w:r>
          <w:r>
            <w:rPr>
              <w:sz w:val="24"/>
              <w:szCs w:val="24"/>
            </w:rPr>
            <w:fldChar w:fldCharType="separate"/>
          </w:r>
          <w:r>
            <w:rPr>
              <w:rFonts w:hint="eastAsia"/>
              <w:sz w:val="24"/>
              <w:szCs w:val="24"/>
              <w:lang w:val="en-US" w:eastAsia="zh-CN"/>
            </w:rPr>
            <w:t>4.7生</w:t>
          </w:r>
          <w:r>
            <w:rPr>
              <w:rFonts w:hint="default"/>
              <w:sz w:val="24"/>
              <w:szCs w:val="24"/>
              <w:lang w:val="en-US" w:eastAsia="zh-CN"/>
            </w:rPr>
            <w:t>态环境现状调查评价</w:t>
          </w:r>
          <w:r>
            <w:rPr>
              <w:sz w:val="24"/>
              <w:szCs w:val="24"/>
            </w:rPr>
            <w:tab/>
          </w:r>
          <w:r>
            <w:rPr>
              <w:sz w:val="24"/>
              <w:szCs w:val="24"/>
            </w:rPr>
            <w:fldChar w:fldCharType="begin"/>
          </w:r>
          <w:r>
            <w:rPr>
              <w:sz w:val="24"/>
              <w:szCs w:val="24"/>
            </w:rPr>
            <w:instrText xml:space="preserve"> PAGEREF _Toc31751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_Toc7780 </w:instrText>
          </w:r>
          <w:r>
            <w:rPr>
              <w:sz w:val="24"/>
              <w:szCs w:val="24"/>
            </w:rPr>
            <w:fldChar w:fldCharType="separate"/>
          </w:r>
          <w:r>
            <w:rPr>
              <w:rFonts w:hint="eastAsia"/>
              <w:sz w:val="24"/>
              <w:szCs w:val="24"/>
              <w:lang w:val="en-US" w:eastAsia="zh-CN"/>
            </w:rPr>
            <w:t>4.8</w:t>
          </w:r>
          <w:r>
            <w:rPr>
              <w:rFonts w:hint="default"/>
              <w:sz w:val="24"/>
              <w:szCs w:val="24"/>
              <w:lang w:val="en-US" w:eastAsia="zh-CN"/>
            </w:rPr>
            <w:t>项目区域污染源调查</w:t>
          </w:r>
          <w:r>
            <w:rPr>
              <w:sz w:val="24"/>
              <w:szCs w:val="24"/>
            </w:rPr>
            <w:tab/>
          </w:r>
          <w:r>
            <w:rPr>
              <w:sz w:val="24"/>
              <w:szCs w:val="24"/>
            </w:rPr>
            <w:fldChar w:fldCharType="begin"/>
          </w:r>
          <w:r>
            <w:rPr>
              <w:sz w:val="24"/>
              <w:szCs w:val="24"/>
            </w:rPr>
            <w:instrText xml:space="preserve"> PAGEREF _Toc7780 \h </w:instrText>
          </w:r>
          <w:r>
            <w:rPr>
              <w:sz w:val="24"/>
              <w:szCs w:val="24"/>
            </w:rPr>
            <w:fldChar w:fldCharType="separate"/>
          </w:r>
          <w:r>
            <w:rPr>
              <w:sz w:val="24"/>
              <w:szCs w:val="24"/>
            </w:rPr>
            <w:t>86</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_Toc31683 </w:instrText>
          </w:r>
          <w:r>
            <w:rPr>
              <w:sz w:val="24"/>
              <w:szCs w:val="24"/>
            </w:rPr>
            <w:fldChar w:fldCharType="separate"/>
          </w:r>
          <w:r>
            <w:rPr>
              <w:rFonts w:hint="default"/>
              <w:sz w:val="24"/>
              <w:szCs w:val="24"/>
              <w:lang w:val="en-US" w:eastAsia="zh-CN"/>
            </w:rPr>
            <w:t>第</w:t>
          </w:r>
          <w:r>
            <w:rPr>
              <w:rFonts w:hint="eastAsia"/>
              <w:sz w:val="24"/>
              <w:szCs w:val="24"/>
              <w:lang w:val="en-US" w:eastAsia="zh-CN"/>
            </w:rPr>
            <w:t>五</w:t>
          </w:r>
          <w:r>
            <w:rPr>
              <w:rFonts w:hint="default"/>
              <w:sz w:val="24"/>
              <w:szCs w:val="24"/>
              <w:lang w:val="en-US" w:eastAsia="zh-CN"/>
            </w:rPr>
            <w:t>章 环境影响预测与评价</w:t>
          </w:r>
          <w:r>
            <w:rPr>
              <w:sz w:val="24"/>
              <w:szCs w:val="24"/>
            </w:rPr>
            <w:tab/>
          </w:r>
          <w:r>
            <w:rPr>
              <w:sz w:val="24"/>
              <w:szCs w:val="24"/>
            </w:rPr>
            <w:fldChar w:fldCharType="begin"/>
          </w:r>
          <w:r>
            <w:rPr>
              <w:sz w:val="24"/>
              <w:szCs w:val="24"/>
            </w:rPr>
            <w:instrText xml:space="preserve"> PAGEREF _Toc31683 \h </w:instrText>
          </w:r>
          <w:r>
            <w:rPr>
              <w:sz w:val="24"/>
              <w:szCs w:val="24"/>
            </w:rPr>
            <w:fldChar w:fldCharType="separate"/>
          </w:r>
          <w:r>
            <w:rPr>
              <w:sz w:val="24"/>
              <w:szCs w:val="24"/>
            </w:rPr>
            <w:t>87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_Toc820 </w:instrText>
          </w:r>
          <w:r>
            <w:rPr>
              <w:sz w:val="24"/>
              <w:szCs w:val="24"/>
            </w:rPr>
            <w:fldChar w:fldCharType="separate"/>
          </w:r>
          <w:r>
            <w:rPr>
              <w:rFonts w:hint="eastAsia"/>
              <w:sz w:val="24"/>
              <w:szCs w:val="24"/>
              <w:lang w:val="en-US" w:eastAsia="zh-CN"/>
            </w:rPr>
            <w:t>5</w:t>
          </w:r>
          <w:r>
            <w:rPr>
              <w:rFonts w:hint="default"/>
              <w:sz w:val="24"/>
              <w:szCs w:val="24"/>
              <w:lang w:val="en-US" w:eastAsia="zh-CN"/>
            </w:rPr>
            <w:t>.1 施工期环境影响预测与评价</w:t>
          </w:r>
          <w:r>
            <w:rPr>
              <w:sz w:val="24"/>
              <w:szCs w:val="24"/>
            </w:rPr>
            <w:tab/>
          </w:r>
          <w:r>
            <w:rPr>
              <w:sz w:val="24"/>
              <w:szCs w:val="24"/>
            </w:rPr>
            <w:fldChar w:fldCharType="begin"/>
          </w:r>
          <w:r>
            <w:rPr>
              <w:sz w:val="24"/>
              <w:szCs w:val="24"/>
            </w:rPr>
            <w:instrText xml:space="preserve"> PAGEREF _Toc820 \h </w:instrText>
          </w:r>
          <w:r>
            <w:rPr>
              <w:sz w:val="24"/>
              <w:szCs w:val="24"/>
            </w:rPr>
            <w:fldChar w:fldCharType="separate"/>
          </w:r>
          <w:r>
            <w:rPr>
              <w:sz w:val="24"/>
              <w:szCs w:val="24"/>
            </w:rPr>
            <w:t>87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_Toc1899 </w:instrText>
          </w:r>
          <w:r>
            <w:rPr>
              <w:sz w:val="24"/>
              <w:szCs w:val="24"/>
            </w:rPr>
            <w:fldChar w:fldCharType="separate"/>
          </w:r>
          <w:r>
            <w:rPr>
              <w:rFonts w:hint="eastAsia"/>
              <w:sz w:val="24"/>
              <w:szCs w:val="24"/>
              <w:lang w:val="en-US" w:eastAsia="zh-CN"/>
            </w:rPr>
            <w:t xml:space="preserve">5.2 </w:t>
          </w:r>
          <w:r>
            <w:rPr>
              <w:rFonts w:hint="default"/>
              <w:sz w:val="24"/>
              <w:szCs w:val="24"/>
              <w:lang w:val="en-US" w:eastAsia="zh-CN"/>
            </w:rPr>
            <w:t>营运期</w:t>
          </w:r>
          <w:r>
            <w:rPr>
              <w:rFonts w:hint="eastAsia"/>
              <w:sz w:val="24"/>
              <w:szCs w:val="24"/>
              <w:lang w:val="en-US" w:eastAsia="zh-CN"/>
            </w:rPr>
            <w:t>大气</w:t>
          </w:r>
          <w:r>
            <w:rPr>
              <w:rFonts w:hint="default"/>
              <w:sz w:val="24"/>
              <w:szCs w:val="24"/>
              <w:lang w:val="en-US" w:eastAsia="zh-CN"/>
            </w:rPr>
            <w:t>环境影响预测与评价</w:t>
          </w:r>
          <w:r>
            <w:rPr>
              <w:sz w:val="24"/>
              <w:szCs w:val="24"/>
            </w:rPr>
            <w:tab/>
          </w:r>
          <w:r>
            <w:rPr>
              <w:sz w:val="24"/>
              <w:szCs w:val="24"/>
            </w:rPr>
            <w:fldChar w:fldCharType="begin"/>
          </w:r>
          <w:r>
            <w:rPr>
              <w:sz w:val="24"/>
              <w:szCs w:val="24"/>
            </w:rPr>
            <w:instrText xml:space="preserve"> PAGEREF _Toc1899 \h </w:instrText>
          </w:r>
          <w:r>
            <w:rPr>
              <w:sz w:val="24"/>
              <w:szCs w:val="24"/>
            </w:rPr>
            <w:fldChar w:fldCharType="separate"/>
          </w:r>
          <w:r>
            <w:rPr>
              <w:sz w:val="24"/>
              <w:szCs w:val="24"/>
            </w:rPr>
            <w:t>91</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_Toc32662 </w:instrText>
          </w:r>
          <w:r>
            <w:rPr>
              <w:sz w:val="24"/>
              <w:szCs w:val="24"/>
            </w:rPr>
            <w:fldChar w:fldCharType="separate"/>
          </w:r>
          <w:r>
            <w:rPr>
              <w:rFonts w:hint="eastAsia"/>
              <w:sz w:val="24"/>
              <w:szCs w:val="24"/>
              <w:lang w:val="en-US" w:eastAsia="zh-CN"/>
            </w:rPr>
            <w:t xml:space="preserve">5.3 </w:t>
          </w:r>
          <w:r>
            <w:rPr>
              <w:rFonts w:hint="default"/>
              <w:sz w:val="24"/>
              <w:szCs w:val="24"/>
              <w:lang w:val="en-US" w:eastAsia="zh-CN"/>
            </w:rPr>
            <w:t>营运期地表水环境影响预测与评价</w:t>
          </w:r>
          <w:r>
            <w:rPr>
              <w:sz w:val="24"/>
              <w:szCs w:val="24"/>
            </w:rPr>
            <w:tab/>
          </w:r>
          <w:r>
            <w:rPr>
              <w:sz w:val="24"/>
              <w:szCs w:val="24"/>
            </w:rPr>
            <w:fldChar w:fldCharType="begin"/>
          </w:r>
          <w:r>
            <w:rPr>
              <w:sz w:val="24"/>
              <w:szCs w:val="24"/>
            </w:rPr>
            <w:instrText xml:space="preserve"> PAGEREF _Toc32662 \h </w:instrText>
          </w:r>
          <w:r>
            <w:rPr>
              <w:sz w:val="24"/>
              <w:szCs w:val="24"/>
            </w:rPr>
            <w:fldChar w:fldCharType="separate"/>
          </w:r>
          <w:r>
            <w:rPr>
              <w:sz w:val="24"/>
              <w:szCs w:val="24"/>
            </w:rPr>
            <w:t>97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_Toc19282 </w:instrText>
          </w:r>
          <w:r>
            <w:rPr>
              <w:sz w:val="24"/>
              <w:szCs w:val="24"/>
            </w:rPr>
            <w:fldChar w:fldCharType="separate"/>
          </w:r>
          <w:r>
            <w:rPr>
              <w:rFonts w:hint="eastAsia"/>
              <w:sz w:val="24"/>
              <w:szCs w:val="24"/>
              <w:lang w:val="en-US" w:eastAsia="zh-CN"/>
            </w:rPr>
            <w:t xml:space="preserve">5.4 </w:t>
          </w:r>
          <w:r>
            <w:rPr>
              <w:rFonts w:hint="default"/>
              <w:sz w:val="24"/>
              <w:szCs w:val="24"/>
              <w:lang w:val="en-US" w:eastAsia="zh-CN"/>
            </w:rPr>
            <w:t>营运期地下水的影响预测与评价</w:t>
          </w:r>
          <w:r>
            <w:rPr>
              <w:sz w:val="24"/>
              <w:szCs w:val="24"/>
            </w:rPr>
            <w:tab/>
          </w:r>
          <w:r>
            <w:rPr>
              <w:sz w:val="24"/>
              <w:szCs w:val="24"/>
            </w:rPr>
            <w:fldChar w:fldCharType="begin"/>
          </w:r>
          <w:r>
            <w:rPr>
              <w:sz w:val="24"/>
              <w:szCs w:val="24"/>
            </w:rPr>
            <w:instrText xml:space="preserve"> PAGEREF _Toc19282 \h </w:instrText>
          </w:r>
          <w:r>
            <w:rPr>
              <w:sz w:val="24"/>
              <w:szCs w:val="24"/>
            </w:rPr>
            <w:fldChar w:fldCharType="separate"/>
          </w:r>
          <w:r>
            <w:rPr>
              <w:sz w:val="24"/>
              <w:szCs w:val="24"/>
            </w:rPr>
            <w:t>99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_Toc17238 </w:instrText>
          </w:r>
          <w:r>
            <w:rPr>
              <w:sz w:val="24"/>
              <w:szCs w:val="24"/>
            </w:rPr>
            <w:fldChar w:fldCharType="separate"/>
          </w:r>
          <w:r>
            <w:rPr>
              <w:rFonts w:hint="eastAsia"/>
              <w:sz w:val="24"/>
              <w:szCs w:val="24"/>
              <w:lang w:val="en-US" w:eastAsia="zh-CN"/>
            </w:rPr>
            <w:t>5</w:t>
          </w:r>
          <w:r>
            <w:rPr>
              <w:rFonts w:hint="default"/>
              <w:sz w:val="24"/>
              <w:szCs w:val="24"/>
              <w:lang w:val="en-US" w:eastAsia="zh-CN"/>
            </w:rPr>
            <w:t>.</w:t>
          </w:r>
          <w:r>
            <w:rPr>
              <w:rFonts w:hint="eastAsia"/>
              <w:sz w:val="24"/>
              <w:szCs w:val="24"/>
              <w:lang w:val="en-US" w:eastAsia="zh-CN"/>
            </w:rPr>
            <w:t xml:space="preserve">5 </w:t>
          </w:r>
          <w:r>
            <w:rPr>
              <w:rFonts w:hint="default"/>
              <w:sz w:val="24"/>
              <w:szCs w:val="24"/>
              <w:lang w:val="en-US" w:eastAsia="zh-CN"/>
            </w:rPr>
            <w:t>营运期声环境影响预测与评价</w:t>
          </w:r>
          <w:r>
            <w:rPr>
              <w:sz w:val="24"/>
              <w:szCs w:val="24"/>
            </w:rPr>
            <w:tab/>
          </w:r>
          <w:r>
            <w:rPr>
              <w:sz w:val="24"/>
              <w:szCs w:val="24"/>
            </w:rPr>
            <w:fldChar w:fldCharType="begin"/>
          </w:r>
          <w:r>
            <w:rPr>
              <w:sz w:val="24"/>
              <w:szCs w:val="24"/>
            </w:rPr>
            <w:instrText xml:space="preserve"> PAGEREF _Toc17238 \h </w:instrText>
          </w:r>
          <w:r>
            <w:rPr>
              <w:sz w:val="24"/>
              <w:szCs w:val="24"/>
            </w:rPr>
            <w:fldChar w:fldCharType="separate"/>
          </w:r>
          <w:r>
            <w:rPr>
              <w:sz w:val="24"/>
              <w:szCs w:val="24"/>
            </w:rPr>
            <w:t>100</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_Toc8656 </w:instrText>
          </w:r>
          <w:r>
            <w:rPr>
              <w:sz w:val="24"/>
              <w:szCs w:val="24"/>
            </w:rPr>
            <w:fldChar w:fldCharType="separate"/>
          </w:r>
          <w:r>
            <w:rPr>
              <w:rFonts w:hint="eastAsia"/>
              <w:sz w:val="24"/>
              <w:szCs w:val="24"/>
              <w:lang w:val="en-US" w:eastAsia="zh-CN"/>
            </w:rPr>
            <w:t>5.6 营运期土壤</w:t>
          </w:r>
          <w:r>
            <w:rPr>
              <w:rFonts w:hint="default"/>
              <w:sz w:val="24"/>
              <w:szCs w:val="24"/>
              <w:lang w:val="en-US" w:eastAsia="zh-CN"/>
            </w:rPr>
            <w:t>环境影响预测与评价</w:t>
          </w:r>
          <w:r>
            <w:rPr>
              <w:sz w:val="24"/>
              <w:szCs w:val="24"/>
            </w:rPr>
            <w:tab/>
          </w:r>
          <w:r>
            <w:rPr>
              <w:sz w:val="24"/>
              <w:szCs w:val="24"/>
            </w:rPr>
            <w:fldChar w:fldCharType="begin"/>
          </w:r>
          <w:r>
            <w:rPr>
              <w:sz w:val="24"/>
              <w:szCs w:val="24"/>
            </w:rPr>
            <w:instrText xml:space="preserve"> PAGEREF _Toc8656 \h </w:instrText>
          </w:r>
          <w:r>
            <w:rPr>
              <w:sz w:val="24"/>
              <w:szCs w:val="24"/>
            </w:rPr>
            <w:fldChar w:fldCharType="separate"/>
          </w:r>
          <w:r>
            <w:rPr>
              <w:sz w:val="24"/>
              <w:szCs w:val="24"/>
            </w:rPr>
            <w:t>104</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_Toc27197 </w:instrText>
          </w:r>
          <w:r>
            <w:rPr>
              <w:sz w:val="24"/>
              <w:szCs w:val="24"/>
            </w:rPr>
            <w:fldChar w:fldCharType="separate"/>
          </w:r>
          <w:r>
            <w:rPr>
              <w:rFonts w:hint="eastAsia"/>
              <w:sz w:val="24"/>
              <w:szCs w:val="24"/>
              <w:lang w:val="en-US" w:eastAsia="zh-CN"/>
            </w:rPr>
            <w:t xml:space="preserve">5.7 </w:t>
          </w:r>
          <w:r>
            <w:rPr>
              <w:sz w:val="24"/>
              <w:szCs w:val="24"/>
            </w:rPr>
            <w:t>运营期固体废物环境影响分析</w:t>
          </w:r>
          <w:r>
            <w:rPr>
              <w:sz w:val="24"/>
              <w:szCs w:val="24"/>
            </w:rPr>
            <w:tab/>
          </w:r>
          <w:r>
            <w:rPr>
              <w:sz w:val="24"/>
              <w:szCs w:val="24"/>
            </w:rPr>
            <w:fldChar w:fldCharType="begin"/>
          </w:r>
          <w:r>
            <w:rPr>
              <w:sz w:val="24"/>
              <w:szCs w:val="24"/>
            </w:rPr>
            <w:instrText xml:space="preserve"> PAGEREF _Toc27197 \h </w:instrText>
          </w:r>
          <w:r>
            <w:rPr>
              <w:sz w:val="24"/>
              <w:szCs w:val="24"/>
            </w:rPr>
            <w:fldChar w:fldCharType="separate"/>
          </w:r>
          <w:r>
            <w:rPr>
              <w:sz w:val="24"/>
              <w:szCs w:val="24"/>
            </w:rPr>
            <w:t>104</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_Toc32535 </w:instrText>
          </w:r>
          <w:r>
            <w:rPr>
              <w:sz w:val="24"/>
              <w:szCs w:val="24"/>
            </w:rPr>
            <w:fldChar w:fldCharType="separate"/>
          </w:r>
          <w:r>
            <w:rPr>
              <w:rFonts w:hint="eastAsia"/>
              <w:sz w:val="24"/>
              <w:szCs w:val="24"/>
              <w:lang w:val="en-US" w:eastAsia="zh-CN"/>
            </w:rPr>
            <w:t xml:space="preserve">5.8 </w:t>
          </w:r>
          <w:r>
            <w:rPr>
              <w:sz w:val="24"/>
              <w:szCs w:val="24"/>
            </w:rPr>
            <w:t>生态环境影响分析</w:t>
          </w:r>
          <w:r>
            <w:rPr>
              <w:rFonts w:hint="eastAsia"/>
              <w:sz w:val="24"/>
              <w:szCs w:val="24"/>
              <w:lang w:val="en-US" w:eastAsia="zh-CN"/>
            </w:rPr>
            <w:t>与评价</w:t>
          </w:r>
          <w:r>
            <w:rPr>
              <w:sz w:val="24"/>
              <w:szCs w:val="24"/>
            </w:rPr>
            <w:tab/>
          </w:r>
          <w:r>
            <w:rPr>
              <w:sz w:val="24"/>
              <w:szCs w:val="24"/>
            </w:rPr>
            <w:fldChar w:fldCharType="begin"/>
          </w:r>
          <w:r>
            <w:rPr>
              <w:sz w:val="24"/>
              <w:szCs w:val="24"/>
            </w:rPr>
            <w:instrText xml:space="preserve"> PAGEREF _Toc32535 \h </w:instrText>
          </w:r>
          <w:r>
            <w:rPr>
              <w:sz w:val="24"/>
              <w:szCs w:val="24"/>
            </w:rPr>
            <w:fldChar w:fldCharType="separate"/>
          </w:r>
          <w:r>
            <w:rPr>
              <w:sz w:val="24"/>
              <w:szCs w:val="24"/>
            </w:rPr>
            <w:t>107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_Toc26905 </w:instrText>
          </w:r>
          <w:r>
            <w:rPr>
              <w:sz w:val="24"/>
              <w:szCs w:val="24"/>
            </w:rPr>
            <w:fldChar w:fldCharType="separate"/>
          </w:r>
          <w:r>
            <w:rPr>
              <w:rFonts w:hint="eastAsia"/>
              <w:sz w:val="24"/>
              <w:szCs w:val="24"/>
              <w:lang w:val="en-US" w:eastAsia="zh-CN"/>
            </w:rPr>
            <w:t xml:space="preserve">5.9 </w:t>
          </w:r>
          <w:r>
            <w:rPr>
              <w:rFonts w:hint="default"/>
              <w:sz w:val="24"/>
              <w:szCs w:val="24"/>
              <w:lang w:val="en-US" w:eastAsia="zh-CN"/>
            </w:rPr>
            <w:t>环境风险评价</w:t>
          </w:r>
          <w:r>
            <w:rPr>
              <w:sz w:val="24"/>
              <w:szCs w:val="24"/>
            </w:rPr>
            <w:tab/>
          </w:r>
          <w:r>
            <w:rPr>
              <w:sz w:val="24"/>
              <w:szCs w:val="24"/>
            </w:rPr>
            <w:fldChar w:fldCharType="begin"/>
          </w:r>
          <w:r>
            <w:rPr>
              <w:sz w:val="24"/>
              <w:szCs w:val="24"/>
            </w:rPr>
            <w:instrText xml:space="preserve"> PAGEREF _Toc26905 \h </w:instrText>
          </w:r>
          <w:r>
            <w:rPr>
              <w:sz w:val="24"/>
              <w:szCs w:val="24"/>
            </w:rPr>
            <w:fldChar w:fldCharType="separate"/>
          </w:r>
          <w:r>
            <w:rPr>
              <w:sz w:val="24"/>
              <w:szCs w:val="24"/>
            </w:rPr>
            <w:t>108</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_Toc6290 </w:instrText>
          </w:r>
          <w:r>
            <w:rPr>
              <w:sz w:val="24"/>
              <w:szCs w:val="24"/>
            </w:rPr>
            <w:fldChar w:fldCharType="separate"/>
          </w:r>
          <w:r>
            <w:rPr>
              <w:rFonts w:hint="eastAsia"/>
              <w:sz w:val="24"/>
              <w:szCs w:val="24"/>
            </w:rPr>
            <w:t xml:space="preserve">第六章 </w:t>
          </w:r>
          <w:r>
            <w:rPr>
              <w:sz w:val="24"/>
              <w:szCs w:val="24"/>
            </w:rPr>
            <w:t>环境保护措施及其可行性论证</w:t>
          </w:r>
          <w:r>
            <w:rPr>
              <w:sz w:val="24"/>
              <w:szCs w:val="24"/>
            </w:rPr>
            <w:tab/>
          </w:r>
          <w:r>
            <w:rPr>
              <w:sz w:val="24"/>
              <w:szCs w:val="24"/>
            </w:rPr>
            <w:fldChar w:fldCharType="begin"/>
          </w:r>
          <w:r>
            <w:rPr>
              <w:sz w:val="24"/>
              <w:szCs w:val="24"/>
            </w:rPr>
            <w:instrText xml:space="preserve"> PAGEREF _Toc6290 \h </w:instrText>
          </w:r>
          <w:r>
            <w:rPr>
              <w:sz w:val="24"/>
              <w:szCs w:val="24"/>
            </w:rPr>
            <w:fldChar w:fldCharType="separate"/>
          </w:r>
          <w:r>
            <w:rPr>
              <w:sz w:val="24"/>
              <w:szCs w:val="24"/>
            </w:rPr>
            <w:t>123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_Toc19480 </w:instrText>
          </w:r>
          <w:r>
            <w:rPr>
              <w:sz w:val="24"/>
              <w:szCs w:val="24"/>
            </w:rPr>
            <w:fldChar w:fldCharType="separate"/>
          </w:r>
          <w:r>
            <w:rPr>
              <w:rFonts w:hint="eastAsia"/>
              <w:sz w:val="24"/>
              <w:szCs w:val="24"/>
              <w:lang w:val="en-US" w:eastAsia="zh-CN"/>
            </w:rPr>
            <w:t>6</w:t>
          </w:r>
          <w:r>
            <w:rPr>
              <w:rFonts w:hint="default"/>
              <w:sz w:val="24"/>
              <w:szCs w:val="24"/>
              <w:lang w:val="en-US" w:eastAsia="zh-CN"/>
            </w:rPr>
            <w:t>.1 施工期污染防治措施</w:t>
          </w:r>
          <w:r>
            <w:rPr>
              <w:sz w:val="24"/>
              <w:szCs w:val="24"/>
            </w:rPr>
            <w:tab/>
          </w:r>
          <w:r>
            <w:rPr>
              <w:sz w:val="24"/>
              <w:szCs w:val="24"/>
            </w:rPr>
            <w:fldChar w:fldCharType="begin"/>
          </w:r>
          <w:r>
            <w:rPr>
              <w:sz w:val="24"/>
              <w:szCs w:val="24"/>
            </w:rPr>
            <w:instrText xml:space="preserve"> PAGEREF _Toc19480 \h </w:instrText>
          </w:r>
          <w:r>
            <w:rPr>
              <w:sz w:val="24"/>
              <w:szCs w:val="24"/>
            </w:rPr>
            <w:fldChar w:fldCharType="separate"/>
          </w:r>
          <w:r>
            <w:rPr>
              <w:sz w:val="24"/>
              <w:szCs w:val="24"/>
            </w:rPr>
            <w:t>123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_Toc3174 </w:instrText>
          </w:r>
          <w:r>
            <w:rPr>
              <w:sz w:val="24"/>
              <w:szCs w:val="24"/>
            </w:rPr>
            <w:fldChar w:fldCharType="separate"/>
          </w:r>
          <w:r>
            <w:rPr>
              <w:rFonts w:hint="eastAsia"/>
              <w:sz w:val="24"/>
              <w:szCs w:val="24"/>
              <w:lang w:val="en-US" w:eastAsia="zh-CN"/>
            </w:rPr>
            <w:t>6</w:t>
          </w:r>
          <w:r>
            <w:rPr>
              <w:rFonts w:hint="default"/>
              <w:sz w:val="24"/>
              <w:szCs w:val="24"/>
              <w:lang w:val="en-US" w:eastAsia="zh-CN"/>
            </w:rPr>
            <w:t>.2 营运期污染防治措施及技术经济可行性分析</w:t>
          </w:r>
          <w:r>
            <w:rPr>
              <w:sz w:val="24"/>
              <w:szCs w:val="24"/>
            </w:rPr>
            <w:tab/>
          </w:r>
          <w:r>
            <w:rPr>
              <w:sz w:val="24"/>
              <w:szCs w:val="24"/>
            </w:rPr>
            <w:fldChar w:fldCharType="begin"/>
          </w:r>
          <w:r>
            <w:rPr>
              <w:sz w:val="24"/>
              <w:szCs w:val="24"/>
            </w:rPr>
            <w:instrText xml:space="preserve"> PAGEREF _Toc3174 \h </w:instrText>
          </w:r>
          <w:r>
            <w:rPr>
              <w:sz w:val="24"/>
              <w:szCs w:val="24"/>
            </w:rPr>
            <w:fldChar w:fldCharType="separate"/>
          </w:r>
          <w:r>
            <w:rPr>
              <w:sz w:val="24"/>
              <w:szCs w:val="24"/>
            </w:rPr>
            <w:t>125</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_Toc6350 </w:instrText>
          </w:r>
          <w:r>
            <w:rPr>
              <w:sz w:val="24"/>
              <w:szCs w:val="24"/>
            </w:rPr>
            <w:fldChar w:fldCharType="separate"/>
          </w:r>
          <w:r>
            <w:rPr>
              <w:sz w:val="24"/>
              <w:szCs w:val="24"/>
              <w:lang w:val="en-US" w:eastAsia="zh-CN"/>
            </w:rPr>
            <w:t>第</w:t>
          </w:r>
          <w:r>
            <w:rPr>
              <w:rFonts w:hint="eastAsia"/>
              <w:sz w:val="24"/>
              <w:szCs w:val="24"/>
              <w:lang w:val="en-US" w:eastAsia="zh-CN"/>
            </w:rPr>
            <w:t>七</w:t>
          </w:r>
          <w:r>
            <w:rPr>
              <w:sz w:val="24"/>
              <w:szCs w:val="24"/>
              <w:lang w:val="en-US" w:eastAsia="zh-CN"/>
            </w:rPr>
            <w:t xml:space="preserve">章 </w:t>
          </w:r>
          <w:r>
            <w:rPr>
              <w:rFonts w:hint="eastAsia"/>
              <w:sz w:val="24"/>
              <w:szCs w:val="24"/>
              <w:lang w:val="en-US" w:eastAsia="zh-CN"/>
            </w:rPr>
            <w:t>环境经济损益分析</w:t>
          </w:r>
          <w:r>
            <w:rPr>
              <w:sz w:val="24"/>
              <w:szCs w:val="24"/>
            </w:rPr>
            <w:tab/>
          </w:r>
          <w:r>
            <w:rPr>
              <w:sz w:val="24"/>
              <w:szCs w:val="24"/>
            </w:rPr>
            <w:fldChar w:fldCharType="begin"/>
          </w:r>
          <w:r>
            <w:rPr>
              <w:sz w:val="24"/>
              <w:szCs w:val="24"/>
            </w:rPr>
            <w:instrText xml:space="preserve"> PAGEREF _Toc6350 \h </w:instrText>
          </w:r>
          <w:r>
            <w:rPr>
              <w:sz w:val="24"/>
              <w:szCs w:val="24"/>
            </w:rPr>
            <w:fldChar w:fldCharType="separate"/>
          </w:r>
          <w:r>
            <w:rPr>
              <w:sz w:val="24"/>
              <w:szCs w:val="24"/>
            </w:rPr>
            <w:t>136</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_Toc12748 </w:instrText>
          </w:r>
          <w:r>
            <w:rPr>
              <w:sz w:val="24"/>
              <w:szCs w:val="24"/>
            </w:rPr>
            <w:fldChar w:fldCharType="separate"/>
          </w:r>
          <w:r>
            <w:rPr>
              <w:rFonts w:hint="eastAsia"/>
              <w:sz w:val="24"/>
              <w:szCs w:val="24"/>
              <w:lang w:val="en-US" w:eastAsia="zh-CN"/>
            </w:rPr>
            <w:t>7.1 社会效益分析</w:t>
          </w:r>
          <w:r>
            <w:rPr>
              <w:sz w:val="24"/>
              <w:szCs w:val="24"/>
            </w:rPr>
            <w:tab/>
          </w:r>
          <w:r>
            <w:rPr>
              <w:sz w:val="24"/>
              <w:szCs w:val="24"/>
            </w:rPr>
            <w:fldChar w:fldCharType="begin"/>
          </w:r>
          <w:r>
            <w:rPr>
              <w:sz w:val="24"/>
              <w:szCs w:val="24"/>
            </w:rPr>
            <w:instrText xml:space="preserve"> PAGEREF _Toc12748 \h </w:instrText>
          </w:r>
          <w:r>
            <w:rPr>
              <w:sz w:val="24"/>
              <w:szCs w:val="24"/>
            </w:rPr>
            <w:fldChar w:fldCharType="separate"/>
          </w:r>
          <w:r>
            <w:rPr>
              <w:sz w:val="24"/>
              <w:szCs w:val="24"/>
            </w:rPr>
            <w:t>136</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_Toc31139 </w:instrText>
          </w:r>
          <w:r>
            <w:rPr>
              <w:sz w:val="24"/>
              <w:szCs w:val="24"/>
            </w:rPr>
            <w:fldChar w:fldCharType="separate"/>
          </w:r>
          <w:r>
            <w:rPr>
              <w:rFonts w:hint="eastAsia"/>
              <w:sz w:val="24"/>
              <w:szCs w:val="24"/>
              <w:lang w:val="en-US" w:eastAsia="zh-CN"/>
            </w:rPr>
            <w:t>7.2 经济效益分析</w:t>
          </w:r>
          <w:r>
            <w:rPr>
              <w:sz w:val="24"/>
              <w:szCs w:val="24"/>
            </w:rPr>
            <w:tab/>
          </w:r>
          <w:r>
            <w:rPr>
              <w:sz w:val="24"/>
              <w:szCs w:val="24"/>
            </w:rPr>
            <w:fldChar w:fldCharType="begin"/>
          </w:r>
          <w:r>
            <w:rPr>
              <w:sz w:val="24"/>
              <w:szCs w:val="24"/>
            </w:rPr>
            <w:instrText xml:space="preserve"> PAGEREF _Toc31139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_Toc16727 </w:instrText>
          </w:r>
          <w:r>
            <w:rPr>
              <w:sz w:val="24"/>
              <w:szCs w:val="24"/>
            </w:rPr>
            <w:fldChar w:fldCharType="separate"/>
          </w:r>
          <w:r>
            <w:rPr>
              <w:rFonts w:hint="eastAsia"/>
              <w:sz w:val="24"/>
              <w:szCs w:val="24"/>
              <w:lang w:val="en-US" w:eastAsia="zh-CN"/>
            </w:rPr>
            <w:t>7.3 环境效益分析</w:t>
          </w:r>
          <w:r>
            <w:rPr>
              <w:sz w:val="24"/>
              <w:szCs w:val="24"/>
            </w:rPr>
            <w:tab/>
          </w:r>
          <w:r>
            <w:rPr>
              <w:sz w:val="24"/>
              <w:szCs w:val="24"/>
            </w:rPr>
            <w:fldChar w:fldCharType="begin"/>
          </w:r>
          <w:r>
            <w:rPr>
              <w:sz w:val="24"/>
              <w:szCs w:val="24"/>
            </w:rPr>
            <w:instrText xml:space="preserve"> PAGEREF _Toc16727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_Toc17791 </w:instrText>
          </w:r>
          <w:r>
            <w:rPr>
              <w:sz w:val="24"/>
              <w:szCs w:val="24"/>
            </w:rPr>
            <w:fldChar w:fldCharType="separate"/>
          </w:r>
          <w:r>
            <w:rPr>
              <w:rFonts w:hint="default"/>
              <w:sz w:val="24"/>
              <w:szCs w:val="24"/>
              <w:lang w:val="en-US" w:eastAsia="zh-CN"/>
            </w:rPr>
            <w:t>7.4 环保投资估算</w:t>
          </w:r>
          <w:r>
            <w:rPr>
              <w:sz w:val="24"/>
              <w:szCs w:val="24"/>
            </w:rPr>
            <w:tab/>
          </w:r>
          <w:r>
            <w:rPr>
              <w:sz w:val="24"/>
              <w:szCs w:val="24"/>
            </w:rPr>
            <w:fldChar w:fldCharType="begin"/>
          </w:r>
          <w:r>
            <w:rPr>
              <w:sz w:val="24"/>
              <w:szCs w:val="24"/>
            </w:rPr>
            <w:instrText xml:space="preserve"> PAGEREF _Toc17791 \h </w:instrText>
          </w:r>
          <w:r>
            <w:rPr>
              <w:sz w:val="24"/>
              <w:szCs w:val="24"/>
            </w:rPr>
            <w:fldChar w:fldCharType="separate"/>
          </w:r>
          <w:r>
            <w:rPr>
              <w:sz w:val="24"/>
              <w:szCs w:val="24"/>
            </w:rPr>
            <w:t>138</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_Toc15470 </w:instrText>
          </w:r>
          <w:r>
            <w:rPr>
              <w:sz w:val="24"/>
              <w:szCs w:val="24"/>
            </w:rPr>
            <w:fldChar w:fldCharType="separate"/>
          </w:r>
          <w:r>
            <w:rPr>
              <w:rFonts w:hint="default"/>
              <w:sz w:val="24"/>
              <w:szCs w:val="24"/>
              <w:lang w:val="en-US" w:eastAsia="zh-CN"/>
            </w:rPr>
            <w:t>7.5 分析结论</w:t>
          </w:r>
          <w:r>
            <w:rPr>
              <w:sz w:val="24"/>
              <w:szCs w:val="24"/>
            </w:rPr>
            <w:tab/>
          </w:r>
          <w:r>
            <w:rPr>
              <w:sz w:val="24"/>
              <w:szCs w:val="24"/>
            </w:rPr>
            <w:fldChar w:fldCharType="begin"/>
          </w:r>
          <w:r>
            <w:rPr>
              <w:sz w:val="24"/>
              <w:szCs w:val="24"/>
            </w:rPr>
            <w:instrText xml:space="preserve"> PAGEREF _Toc15470 \h </w:instrText>
          </w:r>
          <w:r>
            <w:rPr>
              <w:sz w:val="24"/>
              <w:szCs w:val="24"/>
            </w:rPr>
            <w:fldChar w:fldCharType="separate"/>
          </w:r>
          <w:r>
            <w:rPr>
              <w:sz w:val="24"/>
              <w:szCs w:val="24"/>
            </w:rPr>
            <w:t>138</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_Toc19937 </w:instrText>
          </w:r>
          <w:r>
            <w:rPr>
              <w:sz w:val="24"/>
              <w:szCs w:val="24"/>
            </w:rPr>
            <w:fldChar w:fldCharType="separate"/>
          </w:r>
          <w:r>
            <w:rPr>
              <w:rFonts w:hint="eastAsia"/>
              <w:sz w:val="24"/>
              <w:szCs w:val="24"/>
              <w:lang w:val="en-US" w:eastAsia="zh-CN"/>
            </w:rPr>
            <w:t>第八章 环境管理与监测计划</w:t>
          </w:r>
          <w:r>
            <w:rPr>
              <w:sz w:val="24"/>
              <w:szCs w:val="24"/>
            </w:rPr>
            <w:tab/>
          </w:r>
          <w:r>
            <w:rPr>
              <w:sz w:val="24"/>
              <w:szCs w:val="24"/>
            </w:rPr>
            <w:fldChar w:fldCharType="begin"/>
          </w:r>
          <w:r>
            <w:rPr>
              <w:sz w:val="24"/>
              <w:szCs w:val="24"/>
            </w:rPr>
            <w:instrText xml:space="preserve"> PAGEREF _Toc19937 \h </w:instrText>
          </w:r>
          <w:r>
            <w:rPr>
              <w:sz w:val="24"/>
              <w:szCs w:val="24"/>
            </w:rPr>
            <w:fldChar w:fldCharType="separate"/>
          </w:r>
          <w:r>
            <w:rPr>
              <w:sz w:val="24"/>
              <w:szCs w:val="24"/>
            </w:rPr>
            <w:t>139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_Toc30071 </w:instrText>
          </w:r>
          <w:r>
            <w:rPr>
              <w:sz w:val="24"/>
              <w:szCs w:val="24"/>
            </w:rPr>
            <w:fldChar w:fldCharType="separate"/>
          </w:r>
          <w:r>
            <w:rPr>
              <w:rFonts w:hint="eastAsia"/>
              <w:sz w:val="24"/>
              <w:szCs w:val="24"/>
              <w:lang w:val="en-US" w:eastAsia="zh-CN"/>
            </w:rPr>
            <w:t>8</w:t>
          </w:r>
          <w:r>
            <w:rPr>
              <w:rFonts w:hint="default"/>
              <w:sz w:val="24"/>
              <w:szCs w:val="24"/>
              <w:lang w:val="en-US" w:eastAsia="zh-CN"/>
            </w:rPr>
            <w:t xml:space="preserve">.1 </w:t>
          </w:r>
          <w:r>
            <w:rPr>
              <w:rFonts w:hint="eastAsia"/>
              <w:sz w:val="24"/>
              <w:szCs w:val="24"/>
              <w:lang w:val="en-US" w:eastAsia="zh-CN"/>
            </w:rPr>
            <w:t>环境管理</w:t>
          </w:r>
          <w:r>
            <w:rPr>
              <w:sz w:val="24"/>
              <w:szCs w:val="24"/>
            </w:rPr>
            <w:tab/>
          </w:r>
          <w:r>
            <w:rPr>
              <w:sz w:val="24"/>
              <w:szCs w:val="24"/>
            </w:rPr>
            <w:fldChar w:fldCharType="begin"/>
          </w:r>
          <w:r>
            <w:rPr>
              <w:sz w:val="24"/>
              <w:szCs w:val="24"/>
            </w:rPr>
            <w:instrText xml:space="preserve"> PAGEREF _Toc30071 \h </w:instrText>
          </w:r>
          <w:r>
            <w:rPr>
              <w:sz w:val="24"/>
              <w:szCs w:val="24"/>
            </w:rPr>
            <w:fldChar w:fldCharType="separate"/>
          </w:r>
          <w:r>
            <w:rPr>
              <w:sz w:val="24"/>
              <w:szCs w:val="24"/>
            </w:rPr>
            <w:t>139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_Toc28372 </w:instrText>
          </w:r>
          <w:r>
            <w:rPr>
              <w:sz w:val="24"/>
              <w:szCs w:val="24"/>
            </w:rPr>
            <w:fldChar w:fldCharType="separate"/>
          </w:r>
          <w:r>
            <w:rPr>
              <w:rFonts w:hint="eastAsia"/>
              <w:sz w:val="24"/>
              <w:szCs w:val="24"/>
              <w:lang w:val="en-US" w:eastAsia="zh-CN"/>
            </w:rPr>
            <w:t xml:space="preserve">8.2 </w:t>
          </w:r>
          <w:r>
            <w:rPr>
              <w:rFonts w:hint="default"/>
              <w:sz w:val="24"/>
              <w:szCs w:val="24"/>
              <w:lang w:val="en-US" w:eastAsia="zh-CN"/>
            </w:rPr>
            <w:t>排污许可证</w:t>
          </w:r>
          <w:r>
            <w:rPr>
              <w:sz w:val="24"/>
              <w:szCs w:val="24"/>
            </w:rPr>
            <w:tab/>
          </w:r>
          <w:r>
            <w:rPr>
              <w:sz w:val="24"/>
              <w:szCs w:val="24"/>
            </w:rPr>
            <w:fldChar w:fldCharType="begin"/>
          </w:r>
          <w:r>
            <w:rPr>
              <w:sz w:val="24"/>
              <w:szCs w:val="24"/>
            </w:rPr>
            <w:instrText xml:space="preserve"> PAGEREF _Toc28372 \h </w:instrText>
          </w:r>
          <w:r>
            <w:rPr>
              <w:sz w:val="24"/>
              <w:szCs w:val="24"/>
            </w:rPr>
            <w:fldChar w:fldCharType="separate"/>
          </w:r>
          <w:r>
            <w:rPr>
              <w:sz w:val="24"/>
              <w:szCs w:val="24"/>
            </w:rPr>
            <w:t>142</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_Toc26255 </w:instrText>
          </w:r>
          <w:r>
            <w:rPr>
              <w:sz w:val="24"/>
              <w:szCs w:val="24"/>
            </w:rPr>
            <w:fldChar w:fldCharType="separate"/>
          </w:r>
          <w:r>
            <w:rPr>
              <w:rFonts w:hint="eastAsia"/>
              <w:sz w:val="24"/>
              <w:szCs w:val="24"/>
              <w:lang w:val="en-US" w:eastAsia="zh-CN"/>
            </w:rPr>
            <w:t xml:space="preserve">8.3 </w:t>
          </w:r>
          <w:r>
            <w:rPr>
              <w:rFonts w:hint="default"/>
              <w:sz w:val="24"/>
              <w:szCs w:val="24"/>
            </w:rPr>
            <w:t>排污口规范化建设与管理</w:t>
          </w:r>
          <w:r>
            <w:rPr>
              <w:sz w:val="24"/>
              <w:szCs w:val="24"/>
            </w:rPr>
            <w:tab/>
          </w:r>
          <w:r>
            <w:rPr>
              <w:sz w:val="24"/>
              <w:szCs w:val="24"/>
            </w:rPr>
            <w:fldChar w:fldCharType="begin"/>
          </w:r>
          <w:r>
            <w:rPr>
              <w:sz w:val="24"/>
              <w:szCs w:val="24"/>
            </w:rPr>
            <w:instrText xml:space="preserve"> PAGEREF _Toc26255 \h </w:instrText>
          </w:r>
          <w:r>
            <w:rPr>
              <w:sz w:val="24"/>
              <w:szCs w:val="24"/>
            </w:rPr>
            <w:fldChar w:fldCharType="separate"/>
          </w:r>
          <w:r>
            <w:rPr>
              <w:sz w:val="24"/>
              <w:szCs w:val="24"/>
            </w:rPr>
            <w:t>144</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_Toc30553 </w:instrText>
          </w:r>
          <w:r>
            <w:rPr>
              <w:sz w:val="24"/>
              <w:szCs w:val="24"/>
            </w:rPr>
            <w:fldChar w:fldCharType="separate"/>
          </w:r>
          <w:r>
            <w:rPr>
              <w:rFonts w:hint="eastAsia"/>
              <w:sz w:val="24"/>
              <w:szCs w:val="24"/>
              <w:lang w:val="en-US" w:eastAsia="zh-CN"/>
            </w:rPr>
            <w:t>8.4 总量控制</w:t>
          </w:r>
          <w:r>
            <w:rPr>
              <w:sz w:val="24"/>
              <w:szCs w:val="24"/>
            </w:rPr>
            <w:tab/>
          </w:r>
          <w:r>
            <w:rPr>
              <w:sz w:val="24"/>
              <w:szCs w:val="24"/>
            </w:rPr>
            <w:fldChar w:fldCharType="begin"/>
          </w:r>
          <w:r>
            <w:rPr>
              <w:sz w:val="24"/>
              <w:szCs w:val="24"/>
            </w:rPr>
            <w:instrText xml:space="preserve"> PAGEREF _Toc30553 \h </w:instrText>
          </w:r>
          <w:r>
            <w:rPr>
              <w:sz w:val="24"/>
              <w:szCs w:val="24"/>
            </w:rPr>
            <w:fldChar w:fldCharType="separate"/>
          </w:r>
          <w:r>
            <w:rPr>
              <w:sz w:val="24"/>
              <w:szCs w:val="24"/>
            </w:rPr>
            <w:t>145</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_Toc12989 </w:instrText>
          </w:r>
          <w:r>
            <w:rPr>
              <w:sz w:val="24"/>
              <w:szCs w:val="24"/>
            </w:rPr>
            <w:fldChar w:fldCharType="separate"/>
          </w:r>
          <w:r>
            <w:rPr>
              <w:rFonts w:hint="eastAsia"/>
              <w:sz w:val="24"/>
              <w:szCs w:val="24"/>
              <w:lang w:val="en-US" w:eastAsia="zh-CN"/>
            </w:rPr>
            <w:t xml:space="preserve">8.5 </w:t>
          </w:r>
          <w:r>
            <w:rPr>
              <w:rFonts w:hint="default"/>
              <w:sz w:val="24"/>
              <w:szCs w:val="24"/>
              <w:lang w:val="en-US" w:eastAsia="zh-CN"/>
            </w:rPr>
            <w:t>环境监测计划</w:t>
          </w:r>
          <w:r>
            <w:rPr>
              <w:sz w:val="24"/>
              <w:szCs w:val="24"/>
            </w:rPr>
            <w:tab/>
          </w:r>
          <w:r>
            <w:rPr>
              <w:sz w:val="24"/>
              <w:szCs w:val="24"/>
            </w:rPr>
            <w:fldChar w:fldCharType="begin"/>
          </w:r>
          <w:r>
            <w:rPr>
              <w:sz w:val="24"/>
              <w:szCs w:val="24"/>
            </w:rPr>
            <w:instrText xml:space="preserve"> PAGEREF _Toc12989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_Toc30263 </w:instrText>
          </w:r>
          <w:r>
            <w:rPr>
              <w:sz w:val="24"/>
              <w:szCs w:val="24"/>
            </w:rPr>
            <w:fldChar w:fldCharType="separate"/>
          </w:r>
          <w:r>
            <w:rPr>
              <w:rFonts w:hint="eastAsia"/>
              <w:sz w:val="24"/>
              <w:szCs w:val="24"/>
              <w:lang w:val="en-US" w:eastAsia="zh-CN"/>
            </w:rPr>
            <w:t xml:space="preserve">8.6 </w:t>
          </w:r>
          <w:r>
            <w:rPr>
              <w:rFonts w:hint="default"/>
              <w:sz w:val="24"/>
              <w:szCs w:val="24"/>
              <w:lang w:val="en-US" w:eastAsia="zh-CN"/>
            </w:rPr>
            <w:t>竣工环境保护验收</w:t>
          </w:r>
          <w:r>
            <w:rPr>
              <w:sz w:val="24"/>
              <w:szCs w:val="24"/>
            </w:rPr>
            <w:tab/>
          </w:r>
          <w:r>
            <w:rPr>
              <w:sz w:val="24"/>
              <w:szCs w:val="24"/>
            </w:rPr>
            <w:fldChar w:fldCharType="begin"/>
          </w:r>
          <w:r>
            <w:rPr>
              <w:sz w:val="24"/>
              <w:szCs w:val="24"/>
            </w:rPr>
            <w:instrText xml:space="preserve"> PAGEREF _Toc30263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20"/>
            <w:tabs>
              <w:tab w:val="right" w:leader="dot" w:pos="9355"/>
            </w:tabs>
            <w:rPr>
              <w:sz w:val="24"/>
              <w:szCs w:val="24"/>
            </w:rPr>
          </w:pPr>
          <w:r>
            <w:rPr>
              <w:sz w:val="24"/>
              <w:szCs w:val="24"/>
            </w:rPr>
            <w:fldChar w:fldCharType="begin"/>
          </w:r>
          <w:r>
            <w:rPr>
              <w:sz w:val="24"/>
              <w:szCs w:val="24"/>
            </w:rPr>
            <w:instrText xml:space="preserve"> HYPERLINK \l _Toc19972 </w:instrText>
          </w:r>
          <w:r>
            <w:rPr>
              <w:sz w:val="24"/>
              <w:szCs w:val="24"/>
            </w:rPr>
            <w:fldChar w:fldCharType="separate"/>
          </w:r>
          <w:r>
            <w:rPr>
              <w:rFonts w:hint="eastAsia"/>
              <w:sz w:val="24"/>
              <w:szCs w:val="24"/>
              <w:lang w:val="en-US" w:eastAsia="zh-CN"/>
            </w:rPr>
            <w:t xml:space="preserve">第九章 </w:t>
          </w:r>
          <w:r>
            <w:rPr>
              <w:rFonts w:hint="default"/>
              <w:sz w:val="24"/>
              <w:szCs w:val="24"/>
              <w:lang w:val="en-US" w:eastAsia="zh-CN"/>
            </w:rPr>
            <w:t>环境影响评价结论</w:t>
          </w:r>
          <w:r>
            <w:rPr>
              <w:sz w:val="24"/>
              <w:szCs w:val="24"/>
            </w:rPr>
            <w:tab/>
          </w:r>
          <w:r>
            <w:rPr>
              <w:sz w:val="24"/>
              <w:szCs w:val="24"/>
            </w:rPr>
            <w:fldChar w:fldCharType="begin"/>
          </w:r>
          <w:r>
            <w:rPr>
              <w:sz w:val="24"/>
              <w:szCs w:val="24"/>
            </w:rPr>
            <w:instrText xml:space="preserve"> PAGEREF _Toc19972 \h </w:instrText>
          </w:r>
          <w:r>
            <w:rPr>
              <w:sz w:val="24"/>
              <w:szCs w:val="24"/>
            </w:rPr>
            <w:fldChar w:fldCharType="separate"/>
          </w:r>
          <w:r>
            <w:rPr>
              <w:sz w:val="24"/>
              <w:szCs w:val="24"/>
            </w:rPr>
            <w:t>149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_Toc5726 </w:instrText>
          </w:r>
          <w:r>
            <w:rPr>
              <w:sz w:val="24"/>
              <w:szCs w:val="24"/>
            </w:rPr>
            <w:fldChar w:fldCharType="separate"/>
          </w:r>
          <w:r>
            <w:rPr>
              <w:rFonts w:hint="eastAsia"/>
              <w:sz w:val="24"/>
              <w:szCs w:val="24"/>
              <w:lang w:val="en-US" w:eastAsia="zh-CN"/>
            </w:rPr>
            <w:t>9</w:t>
          </w:r>
          <w:r>
            <w:rPr>
              <w:rFonts w:hint="default"/>
              <w:sz w:val="24"/>
              <w:szCs w:val="24"/>
              <w:lang w:val="en-US" w:eastAsia="zh-CN"/>
            </w:rPr>
            <w:t>.1 项目建设概况</w:t>
          </w:r>
          <w:r>
            <w:rPr>
              <w:sz w:val="24"/>
              <w:szCs w:val="24"/>
            </w:rPr>
            <w:tab/>
          </w:r>
          <w:r>
            <w:rPr>
              <w:sz w:val="24"/>
              <w:szCs w:val="24"/>
            </w:rPr>
            <w:fldChar w:fldCharType="begin"/>
          </w:r>
          <w:r>
            <w:rPr>
              <w:sz w:val="24"/>
              <w:szCs w:val="24"/>
            </w:rPr>
            <w:instrText xml:space="preserve"> PAGEREF _Toc5726 \h </w:instrText>
          </w:r>
          <w:r>
            <w:rPr>
              <w:sz w:val="24"/>
              <w:szCs w:val="24"/>
            </w:rPr>
            <w:fldChar w:fldCharType="separate"/>
          </w:r>
          <w:r>
            <w:rPr>
              <w:sz w:val="24"/>
              <w:szCs w:val="24"/>
            </w:rPr>
            <w:t>149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_Toc27328 </w:instrText>
          </w:r>
          <w:r>
            <w:rPr>
              <w:sz w:val="24"/>
              <w:szCs w:val="24"/>
            </w:rPr>
            <w:fldChar w:fldCharType="separate"/>
          </w:r>
          <w:r>
            <w:rPr>
              <w:rFonts w:hint="eastAsia"/>
              <w:sz w:val="24"/>
              <w:szCs w:val="24"/>
              <w:lang w:val="en-US" w:eastAsia="zh-CN"/>
            </w:rPr>
            <w:t xml:space="preserve">9.2 </w:t>
          </w:r>
          <w:r>
            <w:rPr>
              <w:rFonts w:hint="default"/>
              <w:sz w:val="24"/>
              <w:szCs w:val="24"/>
              <w:lang w:val="en-US" w:eastAsia="zh-CN"/>
            </w:rPr>
            <w:t>环境质量现状评价</w:t>
          </w:r>
          <w:r>
            <w:rPr>
              <w:sz w:val="24"/>
              <w:szCs w:val="24"/>
            </w:rPr>
            <w:tab/>
          </w:r>
          <w:r>
            <w:rPr>
              <w:sz w:val="24"/>
              <w:szCs w:val="24"/>
            </w:rPr>
            <w:fldChar w:fldCharType="begin"/>
          </w:r>
          <w:r>
            <w:rPr>
              <w:sz w:val="24"/>
              <w:szCs w:val="24"/>
            </w:rPr>
            <w:instrText xml:space="preserve"> PAGEREF _Toc27328 \h </w:instrText>
          </w:r>
          <w:r>
            <w:rPr>
              <w:sz w:val="24"/>
              <w:szCs w:val="24"/>
            </w:rPr>
            <w:fldChar w:fldCharType="separate"/>
          </w:r>
          <w:r>
            <w:rPr>
              <w:sz w:val="24"/>
              <w:szCs w:val="24"/>
            </w:rPr>
            <w:t>149</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_Toc20279 </w:instrText>
          </w:r>
          <w:r>
            <w:rPr>
              <w:sz w:val="24"/>
              <w:szCs w:val="24"/>
            </w:rPr>
            <w:fldChar w:fldCharType="separate"/>
          </w:r>
          <w:r>
            <w:rPr>
              <w:rFonts w:hint="eastAsia"/>
              <w:sz w:val="24"/>
              <w:szCs w:val="24"/>
              <w:lang w:val="en-US" w:eastAsia="zh-CN"/>
            </w:rPr>
            <w:t>9</w:t>
          </w:r>
          <w:r>
            <w:rPr>
              <w:rFonts w:hint="default"/>
              <w:sz w:val="24"/>
              <w:szCs w:val="24"/>
              <w:lang w:val="en-US" w:eastAsia="zh-CN"/>
            </w:rPr>
            <w:t>.3 环境影响评价结论</w:t>
          </w:r>
          <w:r>
            <w:rPr>
              <w:sz w:val="24"/>
              <w:szCs w:val="24"/>
            </w:rPr>
            <w:tab/>
          </w:r>
          <w:r>
            <w:rPr>
              <w:sz w:val="24"/>
              <w:szCs w:val="24"/>
            </w:rPr>
            <w:fldChar w:fldCharType="begin"/>
          </w:r>
          <w:r>
            <w:rPr>
              <w:sz w:val="24"/>
              <w:szCs w:val="24"/>
            </w:rPr>
            <w:instrText xml:space="preserve"> PAGEREF _Toc20279 \h </w:instrText>
          </w:r>
          <w:r>
            <w:rPr>
              <w:sz w:val="24"/>
              <w:szCs w:val="24"/>
            </w:rPr>
            <w:fldChar w:fldCharType="separate"/>
          </w:r>
          <w:r>
            <w:rPr>
              <w:sz w:val="24"/>
              <w:szCs w:val="24"/>
            </w:rPr>
            <w:t>150</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_Toc32561 </w:instrText>
          </w:r>
          <w:r>
            <w:rPr>
              <w:sz w:val="24"/>
              <w:szCs w:val="24"/>
            </w:rPr>
            <w:fldChar w:fldCharType="separate"/>
          </w:r>
          <w:r>
            <w:rPr>
              <w:rFonts w:hint="eastAsia"/>
              <w:sz w:val="24"/>
              <w:szCs w:val="24"/>
              <w:lang w:val="en-US" w:eastAsia="zh-CN"/>
            </w:rPr>
            <w:t xml:space="preserve">9.4 </w:t>
          </w:r>
          <w:r>
            <w:rPr>
              <w:rFonts w:hint="default"/>
              <w:sz w:val="24"/>
              <w:szCs w:val="24"/>
              <w:lang w:val="en-US" w:eastAsia="zh-CN"/>
            </w:rPr>
            <w:t>建设项目可行性分析</w:t>
          </w:r>
          <w:r>
            <w:rPr>
              <w:sz w:val="24"/>
              <w:szCs w:val="24"/>
            </w:rPr>
            <w:tab/>
          </w:r>
          <w:r>
            <w:rPr>
              <w:sz w:val="24"/>
              <w:szCs w:val="24"/>
            </w:rPr>
            <w:fldChar w:fldCharType="begin"/>
          </w:r>
          <w:r>
            <w:rPr>
              <w:sz w:val="24"/>
              <w:szCs w:val="24"/>
            </w:rPr>
            <w:instrText xml:space="preserve"> PAGEREF _Toc32561 \h </w:instrText>
          </w:r>
          <w:r>
            <w:rPr>
              <w:sz w:val="24"/>
              <w:szCs w:val="24"/>
            </w:rPr>
            <w:fldChar w:fldCharType="separate"/>
          </w:r>
          <w:r>
            <w:rPr>
              <w:sz w:val="24"/>
              <w:szCs w:val="24"/>
            </w:rPr>
            <w:t>152</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_Toc4244 </w:instrText>
          </w:r>
          <w:r>
            <w:rPr>
              <w:sz w:val="24"/>
              <w:szCs w:val="24"/>
            </w:rPr>
            <w:fldChar w:fldCharType="separate"/>
          </w:r>
          <w:r>
            <w:rPr>
              <w:rFonts w:hint="eastAsia"/>
              <w:sz w:val="24"/>
              <w:szCs w:val="24"/>
              <w:lang w:val="en-US" w:eastAsia="zh-CN"/>
            </w:rPr>
            <w:t>9.5</w:t>
          </w:r>
          <w:r>
            <w:rPr>
              <w:rFonts w:hint="default"/>
              <w:sz w:val="24"/>
              <w:szCs w:val="24"/>
              <w:lang w:val="en-US" w:eastAsia="zh-CN"/>
            </w:rPr>
            <w:t xml:space="preserve"> </w:t>
          </w:r>
          <w:r>
            <w:rPr>
              <w:rFonts w:hint="eastAsia"/>
              <w:sz w:val="24"/>
              <w:szCs w:val="24"/>
              <w:lang w:val="en-US" w:eastAsia="zh-CN"/>
            </w:rPr>
            <w:t>公众参与调查结论</w:t>
          </w:r>
          <w:r>
            <w:rPr>
              <w:sz w:val="24"/>
              <w:szCs w:val="24"/>
            </w:rPr>
            <w:tab/>
          </w:r>
          <w:r>
            <w:rPr>
              <w:sz w:val="24"/>
              <w:szCs w:val="24"/>
            </w:rPr>
            <w:fldChar w:fldCharType="begin"/>
          </w:r>
          <w:r>
            <w:rPr>
              <w:sz w:val="24"/>
              <w:szCs w:val="24"/>
            </w:rPr>
            <w:instrText xml:space="preserve"> PAGEREF _Toc4244 \h </w:instrText>
          </w:r>
          <w:r>
            <w:rPr>
              <w:sz w:val="24"/>
              <w:szCs w:val="24"/>
            </w:rPr>
            <w:fldChar w:fldCharType="separate"/>
          </w:r>
          <w:r>
            <w:rPr>
              <w:sz w:val="24"/>
              <w:szCs w:val="24"/>
            </w:rPr>
            <w:t>152</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_Toc3110 </w:instrText>
          </w:r>
          <w:r>
            <w:rPr>
              <w:sz w:val="24"/>
              <w:szCs w:val="24"/>
            </w:rPr>
            <w:fldChar w:fldCharType="separate"/>
          </w:r>
          <w:r>
            <w:rPr>
              <w:rFonts w:hint="eastAsia"/>
              <w:sz w:val="24"/>
              <w:szCs w:val="24"/>
              <w:lang w:val="en-US" w:eastAsia="zh-CN"/>
            </w:rPr>
            <w:t>9.6</w:t>
          </w:r>
          <w:r>
            <w:rPr>
              <w:rFonts w:hint="default"/>
              <w:sz w:val="24"/>
              <w:szCs w:val="24"/>
              <w:lang w:val="en-US" w:eastAsia="zh-CN"/>
            </w:rPr>
            <w:t xml:space="preserve"> </w:t>
          </w:r>
          <w:r>
            <w:rPr>
              <w:rFonts w:hint="eastAsia"/>
              <w:sz w:val="24"/>
              <w:szCs w:val="24"/>
              <w:lang w:val="en-US" w:eastAsia="zh-CN"/>
            </w:rPr>
            <w:t>综合结论</w:t>
          </w:r>
          <w:r>
            <w:rPr>
              <w:sz w:val="24"/>
              <w:szCs w:val="24"/>
            </w:rPr>
            <w:tab/>
          </w:r>
          <w:r>
            <w:rPr>
              <w:sz w:val="24"/>
              <w:szCs w:val="24"/>
            </w:rPr>
            <w:fldChar w:fldCharType="begin"/>
          </w:r>
          <w:r>
            <w:rPr>
              <w:sz w:val="24"/>
              <w:szCs w:val="24"/>
            </w:rPr>
            <w:instrText xml:space="preserve"> PAGEREF _Toc3110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21"/>
            <w:tabs>
              <w:tab w:val="right" w:leader="dot" w:pos="9355"/>
            </w:tabs>
            <w:rPr>
              <w:sz w:val="24"/>
              <w:szCs w:val="24"/>
            </w:rPr>
          </w:pPr>
          <w:r>
            <w:rPr>
              <w:sz w:val="24"/>
              <w:szCs w:val="24"/>
            </w:rPr>
            <w:fldChar w:fldCharType="begin"/>
          </w:r>
          <w:r>
            <w:rPr>
              <w:sz w:val="24"/>
              <w:szCs w:val="24"/>
            </w:rPr>
            <w:instrText xml:space="preserve"> HYPERLINK \l _Toc3882 </w:instrText>
          </w:r>
          <w:r>
            <w:rPr>
              <w:sz w:val="24"/>
              <w:szCs w:val="24"/>
            </w:rPr>
            <w:fldChar w:fldCharType="separate"/>
          </w:r>
          <w:r>
            <w:rPr>
              <w:rFonts w:hint="eastAsia"/>
              <w:sz w:val="24"/>
              <w:szCs w:val="24"/>
              <w:lang w:val="en-US" w:eastAsia="zh-CN"/>
            </w:rPr>
            <w:t>9.7</w:t>
          </w:r>
          <w:r>
            <w:rPr>
              <w:rFonts w:hint="default"/>
              <w:sz w:val="24"/>
              <w:szCs w:val="24"/>
              <w:lang w:val="en-US" w:eastAsia="zh-CN"/>
            </w:rPr>
            <w:t xml:space="preserve"> </w:t>
          </w:r>
          <w:r>
            <w:rPr>
              <w:rFonts w:hint="eastAsia"/>
              <w:sz w:val="24"/>
              <w:szCs w:val="24"/>
              <w:lang w:val="en-US" w:eastAsia="zh-CN"/>
            </w:rPr>
            <w:t>建议</w:t>
          </w:r>
          <w:r>
            <w:rPr>
              <w:sz w:val="24"/>
              <w:szCs w:val="24"/>
            </w:rPr>
            <w:tab/>
          </w:r>
          <w:r>
            <w:rPr>
              <w:sz w:val="24"/>
              <w:szCs w:val="24"/>
            </w:rPr>
            <w:fldChar w:fldCharType="begin"/>
          </w:r>
          <w:r>
            <w:rPr>
              <w:sz w:val="24"/>
              <w:szCs w:val="24"/>
            </w:rPr>
            <w:instrText xml:space="preserve"> PAGEREF _Toc3882 \h </w:instrText>
          </w:r>
          <w:r>
            <w:rPr>
              <w:sz w:val="24"/>
              <w:szCs w:val="24"/>
            </w:rPr>
            <w:fldChar w:fldCharType="separate"/>
          </w:r>
          <w:r>
            <w:rPr>
              <w:sz w:val="24"/>
              <w:szCs w:val="24"/>
            </w:rPr>
            <w:t>153</w:t>
          </w:r>
          <w:r>
            <w:rPr>
              <w:sz w:val="24"/>
              <w:szCs w:val="24"/>
            </w:rPr>
            <w:fldChar w:fldCharType="end"/>
          </w:r>
          <w:r>
            <w:rPr>
              <w:sz w:val="24"/>
              <w:szCs w:val="24"/>
            </w:rPr>
            <w:fldChar w:fldCharType="end"/>
          </w:r>
        </w:p>
        <w:p>
          <w:pPr>
            <w:rPr>
              <w:sz w:val="18"/>
              <w:szCs w:val="18"/>
            </w:rPr>
          </w:pPr>
          <w:r>
            <w:rPr>
              <w:sz w:val="24"/>
              <w:szCs w:val="24"/>
            </w:rPr>
            <w:fldChar w:fldCharType="end"/>
          </w:r>
        </w:p>
      </w:sdtContent>
    </w:sdt>
    <w:p>
      <w:pPr>
        <w:spacing w:beforeAutospacing="0" w:afterAutospacing="0" w:line="360" w:lineRule="auto"/>
        <w:ind w:left="0" w:leftChars="0" w:right="86" w:rightChars="41" w:firstLine="430" w:firstLineChars="181"/>
        <w:jc w:val="both"/>
        <w:rPr>
          <w:rFonts w:ascii="Times New Roman" w:hAnsi="Times New Roman" w:eastAsia="宋体" w:cs="Times New Roman"/>
          <w:spacing w:val="9"/>
          <w:sz w:val="22"/>
          <w:szCs w:val="22"/>
        </w:rPr>
      </w:pPr>
    </w:p>
    <w:p>
      <w:pPr>
        <w:spacing w:beforeAutospacing="0" w:afterAutospacing="0" w:line="360" w:lineRule="auto"/>
        <w:ind w:left="0" w:leftChars="0" w:right="86" w:rightChars="41" w:firstLine="466" w:firstLineChars="181"/>
        <w:jc w:val="both"/>
        <w:rPr>
          <w:rFonts w:ascii="Times New Roman" w:hAnsi="Times New Roman" w:eastAsia="宋体" w:cs="Times New Roman"/>
          <w:spacing w:val="9"/>
          <w:sz w:val="24"/>
          <w:szCs w:val="24"/>
        </w:rPr>
      </w:pPr>
      <w:bookmarkStart w:id="125" w:name="_GoBack"/>
      <w:bookmarkEnd w:id="125"/>
    </w:p>
    <w:p>
      <w:pPr>
        <w:spacing w:beforeAutospacing="0" w:afterAutospacing="0" w:line="360" w:lineRule="auto"/>
        <w:ind w:left="0" w:leftChars="0" w:right="86" w:rightChars="41" w:firstLine="466" w:firstLineChars="181"/>
        <w:jc w:val="both"/>
        <w:rPr>
          <w:rFonts w:ascii="Times New Roman" w:hAnsi="Times New Roman" w:eastAsia="宋体" w:cs="Times New Roman"/>
          <w:spacing w:val="9"/>
          <w:sz w:val="24"/>
          <w:szCs w:val="24"/>
        </w:rPr>
        <w:sectPr>
          <w:headerReference r:id="rId7" w:type="default"/>
          <w:footerReference r:id="rId8" w:type="default"/>
          <w:pgSz w:w="11906" w:h="16839"/>
          <w:pgMar w:top="1147" w:right="1133" w:bottom="1277" w:left="1418" w:header="878" w:footer="1001" w:gutter="0"/>
          <w:pgBorders w:offsetFrom="page">
            <w:top w:val="none" w:sz="0" w:space="0"/>
            <w:left w:val="none" w:sz="0" w:space="0"/>
            <w:bottom w:val="none" w:sz="0" w:space="0"/>
            <w:right w:val="none" w:sz="0" w:space="0"/>
          </w:pgBorders>
          <w:cols w:space="720" w:num="1"/>
        </w:sectPr>
      </w:pPr>
    </w:p>
    <w:p>
      <w:pPr>
        <w:pStyle w:val="2"/>
        <w:bidi w:val="0"/>
        <w:spacing w:after="0" w:afterLines="0" w:afterAutospacing="0"/>
        <w:jc w:val="center"/>
      </w:pPr>
      <w:bookmarkStart w:id="0" w:name="_Toc25696"/>
      <w:bookmarkStart w:id="1" w:name="_Toc12933"/>
      <w:r>
        <w:rPr>
          <w:rFonts w:hint="eastAsia"/>
          <w:lang w:val="en-US" w:eastAsia="zh-CN"/>
        </w:rPr>
        <w:t xml:space="preserve">第一章 </w:t>
      </w:r>
      <w:r>
        <w:t>概  述</w:t>
      </w:r>
      <w:bookmarkEnd w:id="0"/>
      <w:bookmarkEnd w:id="1"/>
    </w:p>
    <w:p>
      <w:pPr>
        <w:pStyle w:val="3"/>
        <w:bidi w:val="0"/>
        <w:spacing w:before="0" w:beforeLines="0" w:beforeAutospacing="0" w:after="0" w:afterLines="0" w:afterAutospacing="0"/>
      </w:pPr>
      <w:bookmarkStart w:id="2" w:name="_Toc25084"/>
      <w:bookmarkStart w:id="3" w:name="_Toc18757"/>
      <w:r>
        <w:t>1</w:t>
      </w:r>
      <w:r>
        <w:rPr>
          <w:rFonts w:hint="eastAsia"/>
          <w:lang w:val="en-US" w:eastAsia="zh-CN"/>
        </w:rPr>
        <w:t xml:space="preserve">.1 </w:t>
      </w:r>
      <w:r>
        <w:t>项目由来</w:t>
      </w:r>
      <w:bookmarkEnd w:id="2"/>
      <w:bookmarkEnd w:id="3"/>
    </w:p>
    <w:p>
      <w:pPr>
        <w:spacing w:before="3" w:line="360" w:lineRule="auto"/>
        <w:ind w:left="17" w:right="86" w:rightChars="0" w:firstLine="476"/>
        <w:jc w:val="both"/>
        <w:rPr>
          <w:rFonts w:hint="eastAsia" w:ascii="Times New Roman" w:hAnsi="Times New Roman" w:eastAsia="宋体" w:cs="Times New Roman"/>
          <w:color w:val="auto"/>
          <w:spacing w:val="9"/>
          <w:sz w:val="24"/>
          <w:szCs w:val="24"/>
          <w:lang w:eastAsia="zh-CN"/>
        </w:rPr>
      </w:pPr>
      <w:r>
        <w:rPr>
          <w:rFonts w:hint="eastAsia" w:ascii="Times New Roman" w:hAnsi="Times New Roman" w:eastAsia="宋体" w:cs="Times New Roman"/>
          <w:spacing w:val="9"/>
          <w:sz w:val="24"/>
          <w:szCs w:val="24"/>
          <w:lang w:eastAsia="zh-CN"/>
        </w:rPr>
        <w:t>疾病预防控制体系和医疗救治体系是公共卫生体系的重要组成部分。搞好“两个体系”建设，不仅关系到广大人民群众的切身利益，也关系到全面建设小康社会宏伟目标的实现。</w:t>
      </w:r>
      <w:r>
        <w:rPr>
          <w:rFonts w:hint="eastAsia" w:ascii="Times New Roman" w:hAnsi="Times New Roman" w:eastAsia="宋体" w:cs="Times New Roman"/>
          <w:color w:val="auto"/>
          <w:spacing w:val="9"/>
          <w:sz w:val="24"/>
          <w:szCs w:val="24"/>
          <w:lang w:eastAsia="zh-CN"/>
        </w:rPr>
        <w:t>现宁远县疾病预防控制中心坐落于</w:t>
      </w:r>
      <w:r>
        <w:rPr>
          <w:rFonts w:hint="eastAsia" w:ascii="Times New Roman" w:hAnsi="Times New Roman" w:eastAsia="宋体" w:cs="Times New Roman"/>
          <w:color w:val="auto"/>
          <w:spacing w:val="9"/>
          <w:sz w:val="24"/>
          <w:szCs w:val="24"/>
          <w:lang w:val="en-US" w:eastAsia="zh-CN"/>
        </w:rPr>
        <w:t>宁远县舜陵</w:t>
      </w:r>
      <w:r>
        <w:rPr>
          <w:rFonts w:hint="eastAsia" w:ascii="Times New Roman" w:hAnsi="Times New Roman" w:eastAsia="宋体" w:cs="Times New Roman"/>
          <w:color w:val="auto"/>
          <w:spacing w:val="9"/>
          <w:sz w:val="24"/>
          <w:szCs w:val="24"/>
          <w:lang w:eastAsia="zh-CN"/>
        </w:rPr>
        <w:t>镇</w:t>
      </w:r>
      <w:r>
        <w:rPr>
          <w:rFonts w:hint="eastAsia" w:ascii="Times New Roman" w:hAnsi="Times New Roman" w:eastAsia="宋体" w:cs="Times New Roman"/>
          <w:color w:val="auto"/>
          <w:spacing w:val="9"/>
          <w:sz w:val="24"/>
          <w:szCs w:val="24"/>
          <w:lang w:val="en-US" w:eastAsia="zh-CN"/>
        </w:rPr>
        <w:t>光明</w:t>
      </w:r>
      <w:r>
        <w:rPr>
          <w:rFonts w:hint="eastAsia" w:ascii="Times New Roman" w:hAnsi="Times New Roman" w:eastAsia="宋体" w:cs="Times New Roman"/>
          <w:color w:val="auto"/>
          <w:spacing w:val="9"/>
          <w:sz w:val="24"/>
          <w:szCs w:val="24"/>
          <w:lang w:eastAsia="zh-CN"/>
        </w:rPr>
        <w:t>路</w:t>
      </w:r>
      <w:r>
        <w:rPr>
          <w:rFonts w:hint="eastAsia" w:ascii="Times New Roman" w:hAnsi="Times New Roman" w:eastAsia="宋体" w:cs="Times New Roman"/>
          <w:color w:val="auto"/>
          <w:spacing w:val="9"/>
          <w:sz w:val="24"/>
          <w:szCs w:val="24"/>
          <w:lang w:val="en-US" w:eastAsia="zh-CN"/>
        </w:rPr>
        <w:t>9</w:t>
      </w:r>
      <w:r>
        <w:rPr>
          <w:rFonts w:hint="eastAsia" w:ascii="Times New Roman" w:hAnsi="Times New Roman" w:eastAsia="宋体" w:cs="Times New Roman"/>
          <w:color w:val="auto"/>
          <w:spacing w:val="9"/>
          <w:sz w:val="24"/>
          <w:szCs w:val="24"/>
          <w:lang w:eastAsia="zh-CN"/>
        </w:rPr>
        <w:t>号，目前中心现占地面积2653.35平方米，现有办公和实验室场所建筑面积合计3075.92平方米。现宁远县疾病预防中心坐落位置不利于疾病防控工作，场地空间严重受限，卫生应急物资储备不足，中心办公和居民生活场所布局不符合防控要求，实验设备不足，设备功能落后。为了进一步完善疾病预防控制中心基础设施建设，同时也为了广大人民的身心健康，急需新建宁远县疾病预防控制中心。</w:t>
      </w:r>
    </w:p>
    <w:p>
      <w:pPr>
        <w:spacing w:before="3" w:line="360" w:lineRule="auto"/>
        <w:ind w:left="17" w:right="86" w:rightChars="0" w:firstLine="476"/>
        <w:jc w:val="both"/>
        <w:rPr>
          <w:rFonts w:ascii="Times New Roman" w:hAnsi="Times New Roman" w:eastAsia="宋体" w:cs="Times New Roman"/>
          <w:spacing w:val="6"/>
          <w:sz w:val="24"/>
          <w:szCs w:val="24"/>
        </w:rPr>
      </w:pPr>
      <w:r>
        <w:rPr>
          <w:rFonts w:hint="eastAsia" w:ascii="Times New Roman" w:hAnsi="Times New Roman" w:eastAsia="宋体" w:cs="Times New Roman"/>
          <w:color w:val="auto"/>
          <w:spacing w:val="9"/>
          <w:sz w:val="24"/>
          <w:szCs w:val="24"/>
          <w:lang w:eastAsia="zh-CN"/>
        </w:rPr>
        <w:t>基于此， 2022 年 9 月 30 日《宁远县人民政府常务会议》</w:t>
      </w:r>
      <w:r>
        <w:rPr>
          <w:rFonts w:hint="eastAsia" w:ascii="Times New Roman" w:hAnsi="Times New Roman" w:eastAsia="宋体" w:cs="Times New Roman"/>
          <w:color w:val="auto"/>
          <w:spacing w:val="9"/>
          <w:sz w:val="24"/>
          <w:szCs w:val="24"/>
          <w:lang w:val="en-US" w:eastAsia="zh-CN"/>
        </w:rPr>
        <w:t>决定</w:t>
      </w:r>
      <w:r>
        <w:rPr>
          <w:rFonts w:hint="eastAsia" w:ascii="Times New Roman" w:hAnsi="Times New Roman" w:eastAsia="宋体" w:cs="Times New Roman"/>
          <w:color w:val="auto"/>
          <w:spacing w:val="9"/>
          <w:sz w:val="24"/>
          <w:szCs w:val="24"/>
          <w:lang w:eastAsia="zh-CN"/>
        </w:rPr>
        <w:t>，拟投资2164.83万元，将县疾控中心整体搬入</w:t>
      </w:r>
      <w:r>
        <w:rPr>
          <w:rFonts w:hint="eastAsia" w:ascii="Times New Roman" w:hAnsi="Times New Roman" w:eastAsia="宋体" w:cs="Times New Roman"/>
          <w:color w:val="auto"/>
          <w:spacing w:val="9"/>
          <w:sz w:val="24"/>
          <w:szCs w:val="24"/>
          <w:lang w:val="en-US" w:eastAsia="zh-CN"/>
        </w:rPr>
        <w:t>宁远县南部新城</w:t>
      </w:r>
      <w:r>
        <w:rPr>
          <w:rFonts w:hint="eastAsia" w:ascii="Times New Roman" w:hAnsi="Times New Roman" w:eastAsia="宋体" w:cs="Times New Roman"/>
          <w:color w:val="auto"/>
          <w:spacing w:val="9"/>
          <w:sz w:val="24"/>
          <w:szCs w:val="24"/>
          <w:lang w:eastAsia="zh-CN"/>
        </w:rPr>
        <w:t>在建妇女儿童医院的综合办公楼1#的1-4F，2# 2、3、4F，</w:t>
      </w:r>
      <w:r>
        <w:rPr>
          <w:rFonts w:hint="eastAsia" w:ascii="Times New Roman" w:hAnsi="Times New Roman" w:eastAsia="宋体" w:cs="Times New Roman"/>
          <w:color w:val="auto"/>
          <w:spacing w:val="9"/>
          <w:sz w:val="24"/>
          <w:szCs w:val="24"/>
          <w:lang w:val="en-US" w:eastAsia="zh-CN"/>
        </w:rPr>
        <w:t>实施</w:t>
      </w:r>
      <w:r>
        <w:rPr>
          <w:rFonts w:hint="eastAsia" w:ascii="Times New Roman" w:hAnsi="Times New Roman" w:eastAsia="宋体" w:cs="Times New Roman"/>
          <w:color w:val="auto"/>
          <w:spacing w:val="9"/>
          <w:sz w:val="24"/>
          <w:szCs w:val="24"/>
          <w:lang w:eastAsia="zh-CN"/>
        </w:rPr>
        <w:t xml:space="preserve">宁远县疾控中心公共卫生检验检测及突发公共卫生事件应急处置中心建设项目。项目总用地面积 </w:t>
      </w:r>
      <w:r>
        <w:rPr>
          <w:rFonts w:hint="eastAsia" w:ascii="Times New Roman" w:hAnsi="Times New Roman" w:eastAsia="宋体" w:cs="Times New Roman"/>
          <w:color w:val="auto"/>
          <w:spacing w:val="9"/>
          <w:sz w:val="24"/>
          <w:szCs w:val="24"/>
          <w:lang w:val="en-US" w:eastAsia="zh-CN"/>
        </w:rPr>
        <w:t>1640.25</w:t>
      </w:r>
      <w:r>
        <w:rPr>
          <w:rFonts w:hint="eastAsia" w:ascii="Times New Roman" w:hAnsi="Times New Roman" w:eastAsia="宋体" w:cs="Times New Roman"/>
          <w:color w:val="auto"/>
          <w:spacing w:val="9"/>
          <w:sz w:val="24"/>
          <w:szCs w:val="24"/>
          <w:lang w:eastAsia="zh-CN"/>
        </w:rPr>
        <w:t>m</w:t>
      </w:r>
      <w:r>
        <w:rPr>
          <w:rFonts w:hint="eastAsia" w:ascii="Times New Roman" w:hAnsi="Times New Roman" w:eastAsia="宋体" w:cs="Times New Roman"/>
          <w:color w:val="auto"/>
          <w:spacing w:val="9"/>
          <w:sz w:val="24"/>
          <w:szCs w:val="24"/>
          <w:vertAlign w:val="superscript"/>
          <w:lang w:eastAsia="zh-CN"/>
        </w:rPr>
        <w:t>2</w:t>
      </w:r>
      <w:r>
        <w:rPr>
          <w:rFonts w:hint="eastAsia" w:ascii="Times New Roman" w:hAnsi="Times New Roman" w:eastAsia="宋体" w:cs="Times New Roman"/>
          <w:color w:val="auto"/>
          <w:spacing w:val="9"/>
          <w:sz w:val="24"/>
          <w:szCs w:val="24"/>
          <w:lang w:eastAsia="zh-CN"/>
        </w:rPr>
        <w:t xml:space="preserve">，总建筑面积 </w:t>
      </w:r>
      <w:r>
        <w:rPr>
          <w:rFonts w:hint="eastAsia" w:ascii="Times New Roman" w:hAnsi="Times New Roman" w:eastAsia="宋体" w:cs="Times New Roman"/>
          <w:color w:val="auto"/>
          <w:spacing w:val="9"/>
          <w:sz w:val="24"/>
          <w:szCs w:val="24"/>
          <w:lang w:val="en-US" w:eastAsia="zh-CN"/>
        </w:rPr>
        <w:t>4622.7</w:t>
      </w:r>
      <w:r>
        <w:rPr>
          <w:rFonts w:hint="eastAsia" w:ascii="Times New Roman" w:hAnsi="Times New Roman" w:eastAsia="宋体" w:cs="Times New Roman"/>
          <w:color w:val="auto"/>
          <w:spacing w:val="9"/>
          <w:sz w:val="24"/>
          <w:szCs w:val="24"/>
          <w:lang w:eastAsia="zh-CN"/>
        </w:rPr>
        <w:t>m</w:t>
      </w:r>
      <w:r>
        <w:rPr>
          <w:rFonts w:hint="eastAsia" w:ascii="Times New Roman" w:hAnsi="Times New Roman" w:eastAsia="宋体" w:cs="Times New Roman"/>
          <w:color w:val="auto"/>
          <w:spacing w:val="9"/>
          <w:sz w:val="24"/>
          <w:szCs w:val="24"/>
          <w:vertAlign w:val="superscript"/>
          <w:lang w:eastAsia="zh-CN"/>
        </w:rPr>
        <w:t>2</w:t>
      </w:r>
      <w:r>
        <w:rPr>
          <w:rFonts w:hint="eastAsia" w:ascii="Times New Roman" w:hAnsi="Times New Roman" w:eastAsia="宋体" w:cs="Times New Roman"/>
          <w:color w:val="auto"/>
          <w:spacing w:val="9"/>
          <w:sz w:val="24"/>
          <w:szCs w:val="24"/>
          <w:lang w:eastAsia="zh-CN"/>
        </w:rPr>
        <w:t>，包括行政用房、业务用房、实验室（微生物实验室、理化试验室、</w:t>
      </w:r>
      <w:r>
        <w:rPr>
          <w:rFonts w:hint="eastAsia" w:ascii="Times New Roman" w:hAnsi="Times New Roman" w:eastAsia="宋体" w:cs="Times New Roman"/>
          <w:color w:val="auto"/>
          <w:spacing w:val="9"/>
          <w:sz w:val="24"/>
          <w:szCs w:val="24"/>
          <w:lang w:val="en-US" w:eastAsia="zh-CN"/>
        </w:rPr>
        <w:t>PCR实验室等</w:t>
      </w: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spacing w:val="9"/>
          <w:sz w:val="24"/>
          <w:szCs w:val="24"/>
          <w:lang w:eastAsia="zh-CN"/>
        </w:rPr>
        <w:t>配套建设给排水、电气、消防、道路、绿化等附属工程。</w:t>
      </w:r>
    </w:p>
    <w:p>
      <w:pPr>
        <w:spacing w:before="3" w:line="360" w:lineRule="auto"/>
        <w:ind w:left="10" w:right="86" w:rightChars="0" w:firstLine="487"/>
        <w:jc w:val="both"/>
        <w:rPr>
          <w:rFonts w:ascii="宋体" w:hAnsi="宋体" w:eastAsia="宋体" w:cs="宋体"/>
          <w:sz w:val="23"/>
          <w:szCs w:val="23"/>
        </w:rPr>
      </w:pPr>
      <w:r>
        <w:rPr>
          <w:rFonts w:hint="eastAsia" w:ascii="Times New Roman" w:hAnsi="Times New Roman" w:eastAsia="宋体" w:cs="Times New Roman"/>
          <w:spacing w:val="8"/>
          <w:sz w:val="24"/>
          <w:szCs w:val="24"/>
        </w:rPr>
        <w:t>根据《中华人民共和国环境影响评价法》、《建设项目环境保护管理条例》（国务院令第 682号）的相关规定，本项目应进行环境影响评价</w:t>
      </w:r>
      <w:r>
        <w:rPr>
          <w:rFonts w:ascii="Times New Roman" w:hAnsi="Times New Roman" w:eastAsia="宋体" w:cs="Times New Roman"/>
          <w:spacing w:val="8"/>
          <w:sz w:val="24"/>
          <w:szCs w:val="24"/>
        </w:rPr>
        <w:t>。</w:t>
      </w:r>
    </w:p>
    <w:p>
      <w:pPr>
        <w:pStyle w:val="3"/>
        <w:bidi w:val="0"/>
        <w:rPr>
          <w:rFonts w:hint="eastAsia"/>
        </w:rPr>
      </w:pPr>
      <w:bookmarkStart w:id="4" w:name="_Toc9853"/>
      <w:bookmarkStart w:id="5" w:name="_Toc29408"/>
      <w:r>
        <w:rPr>
          <w:rFonts w:hint="eastAsia"/>
          <w:lang w:val="en-US" w:eastAsia="zh-CN"/>
        </w:rPr>
        <w:t xml:space="preserve">1.2 </w:t>
      </w:r>
      <w:r>
        <w:rPr>
          <w:rFonts w:hint="eastAsia"/>
        </w:rPr>
        <w:t>项目特点</w:t>
      </w:r>
      <w:bookmarkEnd w:id="4"/>
      <w:bookmarkEnd w:id="5"/>
    </w:p>
    <w:p>
      <w:pPr>
        <w:spacing w:before="3" w:line="360" w:lineRule="auto"/>
        <w:ind w:left="17" w:right="86" w:rightChars="0" w:firstLine="476"/>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本项目为医疗服务设施建设项目，其对环境的影响主要为在建设过程及建成使用中自身产生的废水、废气、噪声、固体废物等排放对外部环境产生的不利影响，是一个环境污染源，因此本项目环境影响评价，主要评价对外环境的影响。工程建设的实验室包括物理实验室、化学实验室、</w:t>
      </w:r>
      <w:r>
        <w:rPr>
          <w:rFonts w:hint="eastAsia" w:ascii="Times New Roman" w:hAnsi="Times New Roman" w:eastAsia="宋体" w:cs="Times New Roman"/>
          <w:spacing w:val="4"/>
          <w:sz w:val="24"/>
          <w:szCs w:val="24"/>
          <w:lang w:val="en-US" w:eastAsia="zh-CN"/>
        </w:rPr>
        <w:t>微</w:t>
      </w:r>
      <w:r>
        <w:rPr>
          <w:rFonts w:hint="eastAsia" w:ascii="Times New Roman" w:hAnsi="Times New Roman" w:eastAsia="宋体" w:cs="Times New Roman"/>
          <w:spacing w:val="4"/>
          <w:sz w:val="24"/>
          <w:szCs w:val="24"/>
        </w:rPr>
        <w:t>生物实验室和</w:t>
      </w:r>
      <w:r>
        <w:rPr>
          <w:rFonts w:hint="eastAsia" w:ascii="Times New Roman" w:hAnsi="Times New Roman" w:eastAsia="宋体" w:cs="Times New Roman"/>
          <w:spacing w:val="4"/>
          <w:sz w:val="24"/>
          <w:szCs w:val="24"/>
          <w:lang w:val="en-US" w:eastAsia="zh-CN"/>
        </w:rPr>
        <w:t>PCR实验室</w:t>
      </w:r>
      <w:r>
        <w:rPr>
          <w:rFonts w:hint="eastAsia" w:ascii="Times New Roman" w:hAnsi="Times New Roman" w:eastAsia="宋体" w:cs="Times New Roman"/>
          <w:spacing w:val="4"/>
          <w:sz w:val="24"/>
          <w:szCs w:val="24"/>
        </w:rPr>
        <w:t>，本项目生物安全实验室为二级实验室，项目不收治病人，如投入使用涉及X光机等产生辐射的设备时，须另行编制环境影响评价报告。</w:t>
      </w:r>
    </w:p>
    <w:p>
      <w:pPr>
        <w:spacing w:before="3" w:line="360" w:lineRule="auto"/>
        <w:ind w:left="17" w:right="86" w:rightChars="0" w:firstLine="476"/>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疾病预防控制中心以“开展疾病预防控制，提高公共卫生能力，保障人民健康”为宗旨，主要承担职责任务有：一是开展疾病预防与控制工作，二是开展消毒与病媒生物控制工作，三是实施免疫规划工作，四是承担突发公共卫生事件预防控制任务，五是开展健康危害因素监测、评价和干预工作，六是承担食品安全风险监测与食源性疾病控制工作，七是开展公众健康和营养状况监测与评价工作，八是开展健康教育与健康促进工作，九是开展疫情及健康相关因素信息管理工作，十是开展实验室检验检测与评价工作；十一是开展科研和国际合作项目工作，十二是开展培训和技术指导工作，十三是提供其他社会公益性公共卫生服务。</w:t>
      </w:r>
    </w:p>
    <w:p>
      <w:pPr>
        <w:pStyle w:val="3"/>
        <w:bidi w:val="0"/>
        <w:rPr>
          <w:rFonts w:hint="eastAsia"/>
        </w:rPr>
      </w:pPr>
      <w:bookmarkStart w:id="6" w:name="_Toc8233"/>
      <w:bookmarkStart w:id="7" w:name="_Toc20009"/>
      <w:r>
        <w:rPr>
          <w:rFonts w:hint="eastAsia"/>
          <w:lang w:val="en-US" w:eastAsia="zh-CN"/>
        </w:rPr>
        <w:t xml:space="preserve">1.3 </w:t>
      </w:r>
      <w:r>
        <w:rPr>
          <w:rFonts w:hint="eastAsia"/>
        </w:rPr>
        <w:t>环境影响评价的工作过程</w:t>
      </w:r>
      <w:bookmarkEnd w:id="6"/>
      <w:bookmarkEnd w:id="7"/>
    </w:p>
    <w:p>
      <w:pPr>
        <w:spacing w:before="3" w:line="360" w:lineRule="auto"/>
        <w:ind w:left="17" w:right="86" w:rightChars="0" w:firstLine="476"/>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根据《中华人民共和国环境保护法》、《中华人民共和国环境影响评价法》、《建设项目环境保护管理条例》和《建设项目环境影响评价分类管理名录》(2021年版) 等文件的有关规定，本项目属于《建设项目环境影响评价分类管理名录》(2021年版) 中 “四十九、卫生 84-109、疾病预防控制中心 8431-新建项目”</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应编制环境影响报告书。为此，建设</w:t>
      </w:r>
      <w:r>
        <w:rPr>
          <w:rFonts w:hint="eastAsia" w:ascii="Times New Roman" w:hAnsi="Times New Roman" w:eastAsia="宋体" w:cs="Times New Roman"/>
          <w:spacing w:val="4"/>
          <w:sz w:val="24"/>
          <w:szCs w:val="24"/>
          <w:lang w:val="en-US" w:eastAsia="zh-CN"/>
        </w:rPr>
        <w:t>单位宁远县疾病预防控制中心委托我公司湖南博然环保科技有限公司承担宁远县疾控中心公共卫生检验检测及突发公共卫生事件应急处置中心建设项目的环</w:t>
      </w:r>
      <w:r>
        <w:rPr>
          <w:rFonts w:hint="eastAsia" w:ascii="Times New Roman" w:hAnsi="Times New Roman" w:eastAsia="宋体" w:cs="Times New Roman"/>
          <w:spacing w:val="4"/>
          <w:sz w:val="24"/>
          <w:szCs w:val="24"/>
        </w:rPr>
        <w:t>境影响评价工作。接受委托后，我公司立即组织技术人员收集并研究项目相关设计资料，对项目场地和周边环境进行现场勘察和调研，并进行环境质量现状监测工作。依据环境影响评价有关技术导则、规范，分析、预测和评价项目施工期及运营期对周边环境的影响， 提出相应的污染防治措施，在此基础上编制完成本环境影响报告书。</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环境影响评价工作一般分为三个阶段，即调查分析和工作方案制定阶段，分析论证和预测评价阶段，环境影响报告书编制阶段。</w:t>
      </w:r>
    </w:p>
    <w:p>
      <w:pPr>
        <w:spacing w:before="3" w:line="360" w:lineRule="auto"/>
        <w:ind w:left="17" w:right="86" w:rightChars="0" w:firstLine="476"/>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通过环境影响评价，了解项目建设前的环境现状，预测项目建设过程和建成后对大气环境、水环境、声环境的影响程度和范围，并提出防止污染和减缓项目建设对周围环境影响的可行措施，为建设项目的工程设计、施工和建成后的环境管理提供科学依据。本评价工作技术路线见图 1.3-1。</w:t>
      </w:r>
    </w:p>
    <w:p>
      <w:pPr>
        <w:spacing w:before="3" w:line="360" w:lineRule="auto"/>
        <w:ind w:left="17" w:right="86" w:rightChars="0" w:firstLine="476"/>
        <w:jc w:val="both"/>
      </w:pPr>
      <w:r>
        <w:drawing>
          <wp:inline distT="0" distB="0" distL="114300" distR="114300">
            <wp:extent cx="5372100" cy="6143625"/>
            <wp:effectExtent l="0" t="0" r="0" b="9525"/>
            <wp:docPr id="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true"/>
                    </pic:cNvPicPr>
                  </pic:nvPicPr>
                  <pic:blipFill>
                    <a:blip r:embed="rId23"/>
                    <a:stretch>
                      <a:fillRect/>
                    </a:stretch>
                  </pic:blipFill>
                  <pic:spPr>
                    <a:xfrm>
                      <a:off x="0" y="0"/>
                      <a:ext cx="5372100" cy="6143625"/>
                    </a:xfrm>
                    <a:prstGeom prst="rect">
                      <a:avLst/>
                    </a:prstGeom>
                    <a:noFill/>
                    <a:ln>
                      <a:noFill/>
                    </a:ln>
                  </pic:spPr>
                </pic:pic>
              </a:graphicData>
            </a:graphic>
          </wp:inline>
        </w:drawing>
      </w:r>
    </w:p>
    <w:p>
      <w:pPr>
        <w:keepNext w:val="0"/>
        <w:keepLines w:val="0"/>
        <w:widowControl/>
        <w:suppressLineNumbers w:val="0"/>
        <w:jc w:val="center"/>
      </w:pPr>
      <w:r>
        <w:rPr>
          <w:rFonts w:hint="eastAsia" w:ascii="宋体" w:hAnsi="宋体" w:eastAsia="宋体" w:cs="宋体"/>
          <w:b/>
          <w:bCs/>
          <w:snapToGrid w:val="0"/>
          <w:color w:val="000000"/>
          <w:kern w:val="0"/>
          <w:sz w:val="24"/>
          <w:szCs w:val="24"/>
          <w:lang w:val="en-US" w:eastAsia="zh-CN" w:bidi="ar"/>
        </w:rPr>
        <w:t xml:space="preserve">图 </w:t>
      </w:r>
      <w:r>
        <w:rPr>
          <w:rFonts w:hint="default" w:ascii="Times New Roman" w:hAnsi="Times New Roman" w:eastAsia="宋体" w:cs="Times New Roman"/>
          <w:b/>
          <w:bCs/>
          <w:snapToGrid w:val="0"/>
          <w:color w:val="000000"/>
          <w:kern w:val="0"/>
          <w:sz w:val="24"/>
          <w:szCs w:val="24"/>
          <w:lang w:val="en-US" w:eastAsia="zh-CN" w:bidi="ar"/>
        </w:rPr>
        <w:t xml:space="preserve">1.3-1 </w:t>
      </w:r>
      <w:r>
        <w:rPr>
          <w:rFonts w:hint="eastAsia" w:ascii="宋体" w:hAnsi="宋体" w:eastAsia="宋体" w:cs="宋体"/>
          <w:b/>
          <w:bCs/>
          <w:snapToGrid w:val="0"/>
          <w:color w:val="000000"/>
          <w:kern w:val="0"/>
          <w:sz w:val="24"/>
          <w:szCs w:val="24"/>
          <w:lang w:val="en-US" w:eastAsia="zh-CN" w:bidi="ar"/>
        </w:rPr>
        <w:t>环境影响评价工作程序图</w:t>
      </w:r>
    </w:p>
    <w:p>
      <w:pPr>
        <w:spacing w:before="3" w:line="360" w:lineRule="auto"/>
        <w:ind w:left="17" w:right="86" w:rightChars="0" w:firstLine="476"/>
        <w:jc w:val="both"/>
        <w:rPr>
          <w:rFonts w:hint="eastAsia" w:ascii="Times New Roman" w:hAnsi="Times New Roman" w:eastAsia="宋体" w:cs="Times New Roman"/>
          <w:spacing w:val="4"/>
          <w:sz w:val="24"/>
          <w:szCs w:val="24"/>
        </w:rPr>
      </w:pPr>
    </w:p>
    <w:p>
      <w:pPr>
        <w:pStyle w:val="3"/>
        <w:bidi w:val="0"/>
        <w:rPr>
          <w:rFonts w:hint="eastAsia"/>
        </w:rPr>
      </w:pPr>
      <w:bookmarkStart w:id="8" w:name="_Toc8205"/>
      <w:bookmarkStart w:id="9" w:name="_Toc3823"/>
      <w:r>
        <w:rPr>
          <w:rFonts w:hint="eastAsia"/>
        </w:rPr>
        <w:t>1.4 分析判定相关情况</w:t>
      </w:r>
      <w:bookmarkEnd w:id="8"/>
      <w:bookmarkEnd w:id="9"/>
    </w:p>
    <w:p>
      <w:pPr>
        <w:pStyle w:val="4"/>
        <w:bidi w:val="0"/>
        <w:rPr>
          <w:rFonts w:hint="eastAsia"/>
        </w:rPr>
      </w:pPr>
      <w:bookmarkStart w:id="10" w:name="_Toc21084"/>
      <w:r>
        <w:rPr>
          <w:rFonts w:hint="eastAsia"/>
        </w:rPr>
        <w:t>1.4.1 产业政策符合性</w:t>
      </w:r>
      <w:bookmarkEnd w:id="10"/>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本项目属于国家发展和改革委员会令第 29 号《产业结构调整指导目录（20</w:t>
      </w:r>
      <w:r>
        <w:rPr>
          <w:rFonts w:hint="eastAsia" w:ascii="Times New Roman" w:hAnsi="Times New Roman" w:eastAsia="宋体" w:cs="Times New Roman"/>
          <w:spacing w:val="4"/>
          <w:sz w:val="24"/>
          <w:szCs w:val="24"/>
          <w:lang w:val="en-US" w:eastAsia="zh-CN"/>
        </w:rPr>
        <w:t>24年</w:t>
      </w:r>
      <w:r>
        <w:rPr>
          <w:rFonts w:hint="eastAsia" w:ascii="Times New Roman" w:hAnsi="Times New Roman" w:eastAsia="宋体" w:cs="Times New Roman"/>
          <w:spacing w:val="4"/>
          <w:sz w:val="24"/>
          <w:szCs w:val="24"/>
        </w:rPr>
        <w:t xml:space="preserve">本）》中“鼓励类 </w:t>
      </w:r>
      <w:r>
        <w:rPr>
          <w:rFonts w:hint="eastAsia" w:ascii="Times New Roman" w:hAnsi="Times New Roman" w:eastAsia="宋体" w:cs="Times New Roman"/>
          <w:spacing w:val="4"/>
          <w:sz w:val="24"/>
          <w:szCs w:val="24"/>
          <w:lang w:val="en-US" w:eastAsia="zh-CN"/>
        </w:rPr>
        <w:t>三</w:t>
      </w:r>
      <w:r>
        <w:rPr>
          <w:rFonts w:hint="eastAsia" w:ascii="Times New Roman" w:hAnsi="Times New Roman" w:eastAsia="宋体" w:cs="Times New Roman"/>
          <w:spacing w:val="4"/>
          <w:sz w:val="24"/>
          <w:szCs w:val="24"/>
        </w:rPr>
        <w:t>十</w:t>
      </w:r>
      <w:r>
        <w:rPr>
          <w:rFonts w:hint="eastAsia" w:ascii="Times New Roman" w:hAnsi="Times New Roman" w:eastAsia="宋体" w:cs="Times New Roman"/>
          <w:spacing w:val="4"/>
          <w:sz w:val="24"/>
          <w:szCs w:val="24"/>
          <w:lang w:val="en-US" w:eastAsia="zh-CN"/>
        </w:rPr>
        <w:t>七</w:t>
      </w:r>
      <w:r>
        <w:rPr>
          <w:rFonts w:hint="eastAsia"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卫生健康</w:t>
      </w:r>
      <w:r>
        <w:rPr>
          <w:rFonts w:hint="eastAsia" w:ascii="Times New Roman" w:hAnsi="Times New Roman" w:eastAsia="宋体" w:cs="Times New Roman"/>
          <w:spacing w:val="4"/>
          <w:sz w:val="24"/>
          <w:szCs w:val="24"/>
        </w:rPr>
        <w:t xml:space="preserve"> </w:t>
      </w:r>
      <w:r>
        <w:rPr>
          <w:rFonts w:hint="eastAsia" w:ascii="Times New Roman" w:hAnsi="Times New Roman" w:eastAsia="宋体" w:cs="Times New Roman"/>
          <w:spacing w:val="4"/>
          <w:sz w:val="24"/>
          <w:szCs w:val="24"/>
          <w:lang w:val="en-US" w:eastAsia="zh-CN"/>
        </w:rPr>
        <w:t>1</w:t>
      </w:r>
      <w:r>
        <w:rPr>
          <w:rFonts w:hint="eastAsia" w:ascii="Times New Roman" w:hAnsi="Times New Roman" w:eastAsia="宋体" w:cs="Times New Roman"/>
          <w:spacing w:val="4"/>
          <w:sz w:val="24"/>
          <w:szCs w:val="24"/>
        </w:rPr>
        <w:t>、医疗服务设施建设：预防保健、卫生应急、卫生监督服务设施建设，医疗卫生服务设施建设，传染病、儿童、精神卫生专科医院和康复医院（中心）、护理院（中心）、安宁疗护中心、全科医疗设施与服务，医养结合设施与服务</w:t>
      </w:r>
      <w:r>
        <w:rPr>
          <w:rFonts w:hint="eastAsia" w:ascii="Times New Roman" w:hAnsi="Times New Roman" w:eastAsia="宋体" w:cs="Times New Roman"/>
          <w:spacing w:val="4"/>
          <w:sz w:val="24"/>
          <w:szCs w:val="24"/>
          <w:lang w:eastAsia="zh-CN"/>
        </w:rPr>
        <w:t>”。</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对照《市场准入负面清单(2022年版)》</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本项目属于医疗服务设施建设，项目不属于其禁止准入行业、负面清单的行业，不涉及市场准入相关禁止性规定、禁止措施，也不属于“(十七)卫生和社会工作90未获得许可或资质条件，不得设置医疗机构或从事特定医疗业务”中未取得许可或履行法定程序的项目，可依法平等进入，因此，项目符合《市场准入负面清单(2022年版)》的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因此项目符合国家产业政策及地方发展规划。</w:t>
      </w:r>
    </w:p>
    <w:p>
      <w:pPr>
        <w:pStyle w:val="4"/>
        <w:bidi w:val="0"/>
        <w:rPr>
          <w:rFonts w:hint="eastAsia"/>
        </w:rPr>
      </w:pPr>
      <w:bookmarkStart w:id="11" w:name="_Toc31592"/>
      <w:r>
        <w:rPr>
          <w:rFonts w:hint="eastAsia"/>
        </w:rPr>
        <w:t>1.4.2“三线一单”符合性</w:t>
      </w:r>
      <w:bookmarkEnd w:id="11"/>
    </w:p>
    <w:p>
      <w:pPr>
        <w:spacing w:before="3" w:line="360" w:lineRule="auto"/>
        <w:ind w:right="86" w:rightChars="0" w:firstLine="496" w:firstLineChars="200"/>
        <w:jc w:val="both"/>
        <w:outlineLvl w:val="3"/>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（1）生态保护红线</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础设施项目外，在生态保护红线范围内，严控各类开发建设活动，依法不予审批技改工业项目和矿产开发项目的环评文件。</w:t>
      </w:r>
    </w:p>
    <w:p>
      <w:pPr>
        <w:spacing w:before="3" w:line="360" w:lineRule="auto"/>
        <w:ind w:right="86" w:rightChars="0" w:firstLine="496" w:firstLineChars="200"/>
        <w:jc w:val="both"/>
        <w:rPr>
          <w:rFonts w:hint="eastAsia" w:ascii="Times New Roman" w:hAnsi="Times New Roman" w:eastAsia="宋体" w:cs="Times New Roman"/>
          <w:color w:val="0000FF"/>
          <w:spacing w:val="4"/>
          <w:sz w:val="24"/>
          <w:szCs w:val="24"/>
        </w:rPr>
      </w:pPr>
      <w:r>
        <w:rPr>
          <w:rFonts w:hint="eastAsia" w:ascii="Times New Roman" w:hAnsi="Times New Roman" w:eastAsia="宋体" w:cs="Times New Roman"/>
          <w:spacing w:val="4"/>
          <w:sz w:val="24"/>
          <w:szCs w:val="24"/>
        </w:rPr>
        <w:t>本项目建设于</w:t>
      </w:r>
      <w:r>
        <w:rPr>
          <w:rFonts w:hint="eastAsia" w:ascii="Times New Roman" w:hAnsi="Times New Roman" w:eastAsia="宋体" w:cs="Times New Roman"/>
          <w:color w:val="auto"/>
          <w:spacing w:val="4"/>
          <w:sz w:val="24"/>
          <w:szCs w:val="24"/>
        </w:rPr>
        <w:t>湖南省</w:t>
      </w:r>
      <w:r>
        <w:rPr>
          <w:rFonts w:hint="eastAsia" w:ascii="Times New Roman" w:hAnsi="Times New Roman" w:eastAsia="宋体" w:cs="Times New Roman"/>
          <w:color w:val="auto"/>
          <w:spacing w:val="4"/>
          <w:sz w:val="24"/>
          <w:szCs w:val="24"/>
          <w:lang w:eastAsia="zh-CN"/>
        </w:rPr>
        <w:t>永州市宁远县舜陵街道</w:t>
      </w:r>
      <w:r>
        <w:rPr>
          <w:rFonts w:hint="eastAsia" w:ascii="Times New Roman" w:hAnsi="Times New Roman" w:eastAsia="宋体" w:cs="Times New Roman"/>
          <w:color w:val="auto"/>
          <w:spacing w:val="4"/>
          <w:sz w:val="24"/>
          <w:szCs w:val="24"/>
        </w:rPr>
        <w:t>。根</w:t>
      </w:r>
      <w:r>
        <w:rPr>
          <w:rFonts w:hint="eastAsia" w:ascii="Times New Roman" w:hAnsi="Times New Roman" w:eastAsia="宋体" w:cs="Times New Roman"/>
          <w:spacing w:val="4"/>
          <w:sz w:val="24"/>
          <w:szCs w:val="24"/>
        </w:rPr>
        <w:t>据《</w:t>
      </w:r>
      <w:r>
        <w:rPr>
          <w:rFonts w:hint="eastAsia" w:ascii="Times New Roman" w:hAnsi="Times New Roman" w:eastAsia="宋体" w:cs="Times New Roman"/>
          <w:spacing w:val="4"/>
          <w:sz w:val="24"/>
          <w:szCs w:val="24"/>
          <w:lang w:val="en-US" w:eastAsia="zh-CN"/>
        </w:rPr>
        <w:t>湖南</w:t>
      </w:r>
      <w:r>
        <w:rPr>
          <w:rFonts w:hint="eastAsia" w:ascii="Times New Roman" w:hAnsi="Times New Roman" w:eastAsia="宋体" w:cs="Times New Roman"/>
          <w:spacing w:val="4"/>
          <w:sz w:val="24"/>
          <w:szCs w:val="24"/>
        </w:rPr>
        <w:t>省人民政府关于发布&lt;</w:t>
      </w:r>
      <w:r>
        <w:rPr>
          <w:rFonts w:hint="eastAsia" w:ascii="Times New Roman" w:hAnsi="Times New Roman" w:eastAsia="宋体" w:cs="Times New Roman"/>
          <w:spacing w:val="4"/>
          <w:sz w:val="24"/>
          <w:szCs w:val="24"/>
          <w:lang w:val="en-US" w:eastAsia="zh-CN"/>
        </w:rPr>
        <w:t>湖南</w:t>
      </w:r>
      <w:r>
        <w:rPr>
          <w:rFonts w:hint="eastAsia" w:ascii="Times New Roman" w:hAnsi="Times New Roman" w:eastAsia="宋体" w:cs="Times New Roman"/>
          <w:spacing w:val="4"/>
          <w:sz w:val="24"/>
          <w:szCs w:val="24"/>
        </w:rPr>
        <w:t>省生态保护红线&gt;的通知》及</w:t>
      </w:r>
      <w:r>
        <w:rPr>
          <w:rFonts w:hint="eastAsia" w:ascii="Times New Roman" w:hAnsi="Times New Roman" w:eastAsia="宋体" w:cs="Times New Roman"/>
          <w:spacing w:val="4"/>
          <w:sz w:val="24"/>
          <w:szCs w:val="24"/>
          <w:lang w:val="en-US" w:eastAsia="zh-CN"/>
        </w:rPr>
        <w:t>永州</w:t>
      </w:r>
      <w:r>
        <w:rPr>
          <w:rFonts w:hint="eastAsia" w:ascii="Times New Roman" w:hAnsi="Times New Roman" w:eastAsia="宋体" w:cs="Times New Roman"/>
          <w:spacing w:val="4"/>
          <w:sz w:val="24"/>
          <w:szCs w:val="24"/>
        </w:rPr>
        <w:t>市生态保护红线最终成果，并将工程四厂界中心线坐标与生态保护红线范围核对，本工程占地不在生态红线范围内，不穿越生态敏感区域，满足生态保护红线要求。</w:t>
      </w:r>
    </w:p>
    <w:p>
      <w:pPr>
        <w:spacing w:before="3" w:line="360" w:lineRule="auto"/>
        <w:ind w:right="86" w:rightChars="0" w:firstLine="496" w:firstLineChars="200"/>
        <w:jc w:val="both"/>
        <w:outlineLvl w:val="3"/>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（2）环境质量底线</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项目区域大气环境为二类区，根据《202</w:t>
      </w:r>
      <w:r>
        <w:rPr>
          <w:rFonts w:hint="eastAsia" w:ascii="Times New Roman" w:hAnsi="Times New Roman" w:eastAsia="宋体" w:cs="Times New Roman"/>
          <w:spacing w:val="4"/>
          <w:sz w:val="24"/>
          <w:szCs w:val="24"/>
          <w:lang w:val="en-US" w:eastAsia="zh-CN"/>
        </w:rPr>
        <w:t>3</w:t>
      </w:r>
      <w:r>
        <w:rPr>
          <w:rFonts w:hint="eastAsia" w:ascii="Times New Roman" w:hAnsi="Times New Roman" w:eastAsia="宋体" w:cs="Times New Roman"/>
          <w:spacing w:val="4"/>
          <w:sz w:val="24"/>
          <w:szCs w:val="24"/>
        </w:rPr>
        <w:t xml:space="preserve"> 年</w:t>
      </w:r>
      <w:r>
        <w:rPr>
          <w:rFonts w:hint="eastAsia" w:ascii="Times New Roman" w:hAnsi="Times New Roman" w:eastAsia="宋体" w:cs="Times New Roman"/>
          <w:spacing w:val="4"/>
          <w:sz w:val="24"/>
          <w:szCs w:val="24"/>
          <w:lang w:val="en-US" w:eastAsia="zh-CN"/>
        </w:rPr>
        <w:t>永州</w:t>
      </w:r>
      <w:r>
        <w:rPr>
          <w:rFonts w:hint="eastAsia" w:ascii="Times New Roman" w:hAnsi="Times New Roman" w:eastAsia="宋体" w:cs="Times New Roman"/>
          <w:spacing w:val="4"/>
          <w:sz w:val="24"/>
          <w:szCs w:val="24"/>
        </w:rPr>
        <w:t>市生态环境质量状况公报》，项目所在地</w:t>
      </w:r>
      <w:r>
        <w:rPr>
          <w:rFonts w:hint="eastAsia" w:ascii="Times New Roman" w:hAnsi="Times New Roman" w:eastAsia="宋体" w:cs="Times New Roman"/>
          <w:spacing w:val="4"/>
          <w:sz w:val="24"/>
          <w:szCs w:val="24"/>
          <w:lang w:val="en-US" w:eastAsia="zh-CN"/>
        </w:rPr>
        <w:t>宁远</w:t>
      </w:r>
      <w:r>
        <w:rPr>
          <w:rFonts w:hint="eastAsia" w:ascii="Times New Roman" w:hAnsi="Times New Roman" w:eastAsia="宋体" w:cs="Times New Roman"/>
          <w:spacing w:val="4"/>
          <w:sz w:val="24"/>
          <w:szCs w:val="24"/>
        </w:rPr>
        <w:t>县环境空气中的大气常规污染物中O</w:t>
      </w:r>
      <w:r>
        <w:rPr>
          <w:rFonts w:hint="eastAsia" w:ascii="Times New Roman" w:hAnsi="Times New Roman" w:eastAsia="宋体" w:cs="Times New Roman"/>
          <w:spacing w:val="4"/>
          <w:sz w:val="24"/>
          <w:szCs w:val="24"/>
          <w:vertAlign w:val="subscript"/>
        </w:rPr>
        <w:t>3</w:t>
      </w:r>
      <w:r>
        <w:rPr>
          <w:rFonts w:hint="eastAsia" w:ascii="Times New Roman" w:hAnsi="Times New Roman" w:eastAsia="宋体" w:cs="Times New Roman"/>
          <w:spacing w:val="4"/>
          <w:sz w:val="24"/>
          <w:szCs w:val="24"/>
        </w:rPr>
        <w:t>日最大 8 小时平均、PM</w:t>
      </w:r>
      <w:r>
        <w:rPr>
          <w:rFonts w:hint="eastAsia" w:ascii="Times New Roman" w:hAnsi="Times New Roman" w:eastAsia="宋体" w:cs="Times New Roman"/>
          <w:spacing w:val="4"/>
          <w:sz w:val="24"/>
          <w:szCs w:val="24"/>
          <w:vertAlign w:val="subscript"/>
        </w:rPr>
        <w:t>2.5</w:t>
      </w:r>
      <w:r>
        <w:rPr>
          <w:rFonts w:hint="eastAsia" w:ascii="Times New Roman" w:hAnsi="Times New Roman" w:eastAsia="宋体" w:cs="Times New Roman"/>
          <w:spacing w:val="4"/>
          <w:sz w:val="24"/>
          <w:szCs w:val="24"/>
        </w:rPr>
        <w:t>年均值、PM</w:t>
      </w:r>
      <w:r>
        <w:rPr>
          <w:rFonts w:hint="eastAsia" w:ascii="Times New Roman" w:hAnsi="Times New Roman" w:eastAsia="宋体" w:cs="Times New Roman"/>
          <w:spacing w:val="4"/>
          <w:sz w:val="24"/>
          <w:szCs w:val="24"/>
          <w:vertAlign w:val="subscript"/>
        </w:rPr>
        <w:t>10</w:t>
      </w:r>
      <w:r>
        <w:rPr>
          <w:rFonts w:hint="eastAsia" w:ascii="Times New Roman" w:hAnsi="Times New Roman" w:eastAsia="宋体" w:cs="Times New Roman"/>
          <w:spacing w:val="4"/>
          <w:sz w:val="24"/>
          <w:szCs w:val="24"/>
        </w:rPr>
        <w:t>的年均值、SO</w:t>
      </w:r>
      <w:r>
        <w:rPr>
          <w:rFonts w:hint="eastAsia" w:ascii="Times New Roman" w:hAnsi="Times New Roman" w:eastAsia="宋体" w:cs="Times New Roman"/>
          <w:spacing w:val="4"/>
          <w:sz w:val="24"/>
          <w:szCs w:val="24"/>
          <w:vertAlign w:val="subscript"/>
        </w:rPr>
        <w:t>2</w:t>
      </w:r>
      <w:r>
        <w:rPr>
          <w:rFonts w:hint="eastAsia" w:ascii="Times New Roman" w:hAnsi="Times New Roman" w:eastAsia="宋体" w:cs="Times New Roman"/>
          <w:spacing w:val="4"/>
          <w:sz w:val="24"/>
          <w:szCs w:val="24"/>
        </w:rPr>
        <w:t>和NO</w:t>
      </w:r>
      <w:r>
        <w:rPr>
          <w:rFonts w:hint="eastAsia" w:ascii="Times New Roman" w:hAnsi="Times New Roman" w:eastAsia="宋体" w:cs="Times New Roman"/>
          <w:spacing w:val="4"/>
          <w:sz w:val="24"/>
          <w:szCs w:val="24"/>
          <w:vertAlign w:val="subscript"/>
        </w:rPr>
        <w:t>2</w:t>
      </w:r>
      <w:r>
        <w:rPr>
          <w:rFonts w:hint="eastAsia" w:ascii="Times New Roman" w:hAnsi="Times New Roman" w:eastAsia="宋体" w:cs="Times New Roman"/>
          <w:spacing w:val="4"/>
          <w:sz w:val="24"/>
          <w:szCs w:val="24"/>
        </w:rPr>
        <w:t xml:space="preserve"> 年均值及CO 的24小时平均第95百分位数全部达到《环境空气质量标准》（GB3095-2012）及其修改单中二级标准值。项目生产运行阶段排放的污染物</w:t>
      </w:r>
      <w:r>
        <w:rPr>
          <w:rFonts w:hint="eastAsia" w:ascii="Times New Roman" w:hAnsi="Times New Roman" w:eastAsia="宋体" w:cs="Times New Roman"/>
          <w:spacing w:val="4"/>
          <w:sz w:val="24"/>
          <w:szCs w:val="24"/>
          <w:lang w:val="en-US" w:eastAsia="zh-CN"/>
        </w:rPr>
        <w:t>在有效处理后</w:t>
      </w:r>
      <w:r>
        <w:rPr>
          <w:rFonts w:hint="eastAsia" w:ascii="Times New Roman" w:hAnsi="Times New Roman" w:eastAsia="宋体" w:cs="Times New Roman"/>
          <w:spacing w:val="4"/>
          <w:sz w:val="24"/>
          <w:szCs w:val="24"/>
        </w:rPr>
        <w:t>对评价范围内各环境要素的影响可接受，不会突破项目所在地区的环境空气质量底线，不会对周边区域大气环境造成明显不利影响。</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水环境：项目区域地表水环境质量目标为《地表水环境质量标准》（GB3838-2002）Ⅲ类标准。</w:t>
      </w:r>
      <w:r>
        <w:rPr>
          <w:rFonts w:hint="eastAsia" w:ascii="Times New Roman" w:hAnsi="Times New Roman" w:eastAsia="宋体" w:cs="Times New Roman"/>
          <w:color w:val="auto"/>
          <w:spacing w:val="4"/>
          <w:sz w:val="24"/>
          <w:szCs w:val="24"/>
        </w:rPr>
        <w:t>项目</w:t>
      </w:r>
      <w:r>
        <w:rPr>
          <w:rFonts w:hint="eastAsia" w:ascii="Times New Roman" w:hAnsi="Times New Roman" w:eastAsia="宋体" w:cs="Times New Roman"/>
          <w:color w:val="auto"/>
          <w:spacing w:val="4"/>
          <w:sz w:val="24"/>
          <w:szCs w:val="24"/>
          <w:lang w:val="en-US" w:eastAsia="zh-CN"/>
        </w:rPr>
        <w:t>医疗</w:t>
      </w:r>
      <w:r>
        <w:rPr>
          <w:rFonts w:hint="eastAsia" w:ascii="Times New Roman" w:hAnsi="Times New Roman" w:eastAsia="宋体" w:cs="Times New Roman"/>
          <w:color w:val="auto"/>
          <w:spacing w:val="4"/>
          <w:sz w:val="24"/>
          <w:szCs w:val="24"/>
        </w:rPr>
        <w:t>废水经</w:t>
      </w:r>
      <w:r>
        <w:rPr>
          <w:rFonts w:hint="eastAsia" w:ascii="Times New Roman" w:hAnsi="Times New Roman" w:eastAsia="宋体" w:cs="Times New Roman"/>
          <w:color w:val="auto"/>
          <w:spacing w:val="4"/>
          <w:sz w:val="24"/>
          <w:szCs w:val="24"/>
          <w:lang w:val="en-US" w:eastAsia="zh-CN"/>
        </w:rPr>
        <w:t>预</w:t>
      </w:r>
      <w:r>
        <w:rPr>
          <w:rFonts w:hint="eastAsia" w:ascii="Times New Roman" w:hAnsi="Times New Roman" w:eastAsia="宋体" w:cs="Times New Roman"/>
          <w:color w:val="auto"/>
          <w:spacing w:val="4"/>
          <w:sz w:val="24"/>
          <w:szCs w:val="24"/>
        </w:rPr>
        <w:t>处理</w:t>
      </w:r>
      <w:r>
        <w:rPr>
          <w:rFonts w:hint="eastAsia" w:ascii="Times New Roman" w:hAnsi="Times New Roman" w:eastAsia="宋体" w:cs="Times New Roman"/>
          <w:color w:val="auto"/>
          <w:spacing w:val="4"/>
          <w:sz w:val="24"/>
          <w:szCs w:val="24"/>
          <w:lang w:val="en-US" w:eastAsia="zh-CN"/>
        </w:rPr>
        <w:t>达标</w:t>
      </w:r>
      <w:r>
        <w:rPr>
          <w:rFonts w:hint="eastAsia" w:ascii="Times New Roman" w:hAnsi="Times New Roman" w:eastAsia="宋体" w:cs="Times New Roman"/>
          <w:color w:val="auto"/>
          <w:spacing w:val="4"/>
          <w:sz w:val="24"/>
          <w:szCs w:val="24"/>
        </w:rPr>
        <w:t>后</w:t>
      </w:r>
      <w:r>
        <w:rPr>
          <w:rFonts w:hint="eastAsia" w:ascii="Times New Roman" w:hAnsi="Times New Roman" w:eastAsia="宋体" w:cs="Times New Roman"/>
          <w:color w:val="auto"/>
          <w:spacing w:val="4"/>
          <w:sz w:val="24"/>
          <w:szCs w:val="24"/>
          <w:lang w:val="en-US" w:eastAsia="zh-CN"/>
        </w:rPr>
        <w:t>和</w:t>
      </w:r>
      <w:r>
        <w:rPr>
          <w:rFonts w:hint="eastAsia" w:ascii="Times New Roman" w:hAnsi="Times New Roman" w:eastAsia="宋体" w:cs="Times New Roman"/>
          <w:color w:val="auto"/>
          <w:spacing w:val="4"/>
          <w:sz w:val="24"/>
          <w:szCs w:val="24"/>
        </w:rPr>
        <w:t>职工生活污水排入</w:t>
      </w:r>
      <w:r>
        <w:rPr>
          <w:rFonts w:hint="eastAsia" w:ascii="Times New Roman" w:hAnsi="Times New Roman" w:eastAsia="宋体" w:cs="Times New Roman"/>
          <w:color w:val="auto"/>
          <w:spacing w:val="4"/>
          <w:sz w:val="24"/>
          <w:szCs w:val="24"/>
          <w:lang w:val="en-US" w:eastAsia="zh-CN"/>
        </w:rPr>
        <w:t>市政污水管道，进入宁远县第二污水处理厂深度处理达标后排入泠江</w:t>
      </w:r>
      <w:r>
        <w:rPr>
          <w:rFonts w:hint="eastAsia" w:ascii="Times New Roman" w:hAnsi="Times New Roman" w:eastAsia="宋体" w:cs="Times New Roman"/>
          <w:spacing w:val="4"/>
          <w:sz w:val="24"/>
          <w:szCs w:val="24"/>
        </w:rPr>
        <w:t>。项目厂区按照要求进行了分区防渗，不会对区域水环境产生较大影响。</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声环境：项目所在区域声环境执行《声环境质量标准》（GB3096-2008）2 类标准</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项目生产运行阶段采取选用低噪声设备、基础减震、厂房隔声等措施，根据预测结果，不会改变</w:t>
      </w:r>
      <w:r>
        <w:rPr>
          <w:rFonts w:hint="eastAsia" w:ascii="Times New Roman" w:hAnsi="Times New Roman" w:eastAsia="宋体" w:cs="Times New Roman"/>
          <w:spacing w:val="4"/>
          <w:sz w:val="24"/>
          <w:szCs w:val="24"/>
          <w:lang w:val="en-US" w:eastAsia="zh-CN"/>
        </w:rPr>
        <w:t>区域</w:t>
      </w:r>
      <w:r>
        <w:rPr>
          <w:rFonts w:hint="eastAsia" w:ascii="Times New Roman" w:hAnsi="Times New Roman" w:eastAsia="宋体" w:cs="Times New Roman"/>
          <w:spacing w:val="4"/>
          <w:sz w:val="24"/>
          <w:szCs w:val="24"/>
        </w:rPr>
        <w:t>现有功能区划。</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综上，在采取相应的污染防治措施后，本项目各类污染物达标排放，不会对周边环境造成不良影响，即不会改变区域环境功能区质量要求，因此本项目选址与现有环境质量是相容的，符合环境质量底线的要求。</w:t>
      </w:r>
    </w:p>
    <w:p>
      <w:pPr>
        <w:spacing w:before="3" w:line="360" w:lineRule="auto"/>
        <w:ind w:right="86" w:rightChars="0" w:firstLine="496" w:firstLineChars="200"/>
        <w:jc w:val="both"/>
        <w:outlineLvl w:val="3"/>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（3）资源利用上线</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项目采用市政供水，市政供电。营运过程尽可能做到合理利用和节约能耗，最大限度地减少物耗、能耗，不会突破区域资源利用上限。</w:t>
      </w:r>
    </w:p>
    <w:p>
      <w:pPr>
        <w:numPr>
          <w:ilvl w:val="0"/>
          <w:numId w:val="0"/>
        </w:numPr>
        <w:autoSpaceDE w:val="0"/>
        <w:autoSpaceDN w:val="0"/>
        <w:adjustRightInd w:val="0"/>
        <w:snapToGrid w:val="0"/>
        <w:spacing w:line="500" w:lineRule="exact"/>
        <w:ind w:firstLine="480" w:firstLineChars="200"/>
        <w:outlineLvl w:val="3"/>
        <w:rPr>
          <w:rFonts w:hint="eastAsia" w:ascii="Times New Roman" w:hAnsi="Times New Roman" w:eastAsia="宋体" w:cs="Times New Roman"/>
          <w:b w:val="0"/>
          <w:bCs w:val="0"/>
          <w:color w:val="auto"/>
          <w:kern w:val="0"/>
          <w:sz w:val="24"/>
          <w:highlight w:val="none"/>
          <w:u w:val="none"/>
          <w:lang w:val="en-US" w:eastAsia="zh-CN"/>
        </w:rPr>
      </w:pPr>
      <w:r>
        <w:rPr>
          <w:rFonts w:hint="eastAsia" w:ascii="Times New Roman" w:hAnsi="Times New Roman" w:eastAsia="宋体" w:cs="Times New Roman"/>
          <w:b w:val="0"/>
          <w:bCs w:val="0"/>
          <w:color w:val="auto"/>
          <w:kern w:val="0"/>
          <w:sz w:val="24"/>
          <w:highlight w:val="none"/>
          <w:u w:val="none"/>
          <w:lang w:val="en-US" w:eastAsia="zh-CN"/>
        </w:rPr>
        <w:t>（4）生态环境准入清单</w:t>
      </w:r>
    </w:p>
    <w:p>
      <w:pPr>
        <w:numPr>
          <w:ilvl w:val="0"/>
          <w:numId w:val="0"/>
        </w:numPr>
        <w:autoSpaceDE w:val="0"/>
        <w:autoSpaceDN w:val="0"/>
        <w:adjustRightInd w:val="0"/>
        <w:snapToGrid w:val="0"/>
        <w:spacing w:line="500" w:lineRule="exact"/>
        <w:ind w:firstLine="480" w:firstLineChars="200"/>
        <w:jc w:val="both"/>
        <w:rPr>
          <w:rFonts w:hint="default" w:ascii="Times New Roman" w:hAnsi="Times New Roman" w:eastAsia="宋体" w:cs="Times New Roman"/>
          <w:b w:val="0"/>
          <w:bCs w:val="0"/>
          <w:color w:val="auto"/>
          <w:kern w:val="0"/>
          <w:sz w:val="24"/>
          <w:highlight w:val="none"/>
          <w:u w:val="none"/>
          <w:lang w:val="en-US" w:eastAsia="zh-CN"/>
        </w:rPr>
      </w:pPr>
      <w:r>
        <w:rPr>
          <w:rFonts w:hint="eastAsia" w:ascii="Times New Roman" w:hAnsi="Times New Roman" w:eastAsia="宋体" w:cs="Times New Roman"/>
          <w:b w:val="0"/>
          <w:bCs w:val="0"/>
          <w:color w:val="auto"/>
          <w:kern w:val="0"/>
          <w:sz w:val="24"/>
          <w:highlight w:val="none"/>
          <w:u w:val="none"/>
          <w:lang w:val="en-US" w:eastAsia="zh-CN"/>
        </w:rPr>
        <w:t>环境准入负面清单是基于生态保护红线、环境质量底线和资源利用上线，以清单方式列出的禁止、限制等差别化环境准入条件和要求。根据《永州市人民政府关于实施“三线一单”生态环境分区管控的意见》（永政发〔2020〕11号），本项目所在的环境管控单元属于重点管控单元，环境管控单元编码为 ZH43112620001。项目与其的相符性分析见下表。</w:t>
      </w:r>
    </w:p>
    <w:p>
      <w:pPr>
        <w:widowControl/>
        <w:adjustRightInd w:val="0"/>
        <w:snapToGrid w:val="0"/>
        <w:ind w:firstLine="421" w:firstLineChars="200"/>
        <w:jc w:val="center"/>
        <w:rPr>
          <w:rFonts w:ascii="Times New Roman" w:hAnsi="Times New Roman" w:eastAsia="宋体"/>
          <w:b/>
          <w:bCs/>
          <w:color w:val="auto"/>
          <w:kern w:val="0"/>
          <w:szCs w:val="18"/>
          <w:highlight w:val="none"/>
          <w:u w:val="none"/>
        </w:rPr>
      </w:pPr>
      <w:r>
        <w:rPr>
          <w:rFonts w:ascii="Times New Roman" w:hAnsi="Times New Roman" w:eastAsia="宋体"/>
          <w:b/>
          <w:bCs/>
          <w:color w:val="auto"/>
          <w:kern w:val="0"/>
          <w:szCs w:val="18"/>
          <w:highlight w:val="none"/>
          <w:u w:val="none"/>
        </w:rPr>
        <w:t>表</w:t>
      </w:r>
      <w:r>
        <w:rPr>
          <w:rFonts w:hint="eastAsia" w:ascii="Times New Roman" w:hAnsi="Times New Roman" w:eastAsia="宋体"/>
          <w:b/>
          <w:bCs/>
          <w:color w:val="auto"/>
          <w:kern w:val="0"/>
          <w:szCs w:val="18"/>
          <w:highlight w:val="none"/>
          <w:u w:val="none"/>
          <w:lang w:val="en-US" w:eastAsia="zh-CN"/>
        </w:rPr>
        <w:t>1-1</w:t>
      </w:r>
      <w:r>
        <w:rPr>
          <w:rFonts w:ascii="Times New Roman" w:hAnsi="Times New Roman" w:eastAsia="宋体"/>
          <w:b/>
          <w:bCs/>
          <w:color w:val="auto"/>
          <w:kern w:val="0"/>
          <w:szCs w:val="18"/>
          <w:highlight w:val="none"/>
          <w:u w:val="none"/>
        </w:rPr>
        <w:t xml:space="preserve">  </w:t>
      </w:r>
      <w:r>
        <w:rPr>
          <w:rFonts w:hint="eastAsia" w:ascii="Times New Roman" w:hAnsi="Times New Roman" w:eastAsia="宋体"/>
          <w:b/>
          <w:bCs/>
          <w:color w:val="auto"/>
          <w:kern w:val="0"/>
          <w:szCs w:val="18"/>
          <w:highlight w:val="none"/>
          <w:u w:val="none"/>
        </w:rPr>
        <w:t>永政发〔2020〕11号</w:t>
      </w:r>
      <w:r>
        <w:rPr>
          <w:rFonts w:ascii="Times New Roman" w:hAnsi="Times New Roman" w:eastAsia="宋体"/>
          <w:b/>
          <w:bCs/>
          <w:color w:val="auto"/>
          <w:kern w:val="0"/>
          <w:szCs w:val="18"/>
          <w:highlight w:val="none"/>
          <w:u w:val="none"/>
        </w:rPr>
        <w:t>相符性分析</w:t>
      </w:r>
    </w:p>
    <w:tbl>
      <w:tblPr>
        <w:tblStyle w:val="25"/>
        <w:tblW w:w="50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
        <w:gridCol w:w="1099"/>
        <w:gridCol w:w="98"/>
        <w:gridCol w:w="1197"/>
        <w:gridCol w:w="119"/>
        <w:gridCol w:w="850"/>
        <w:gridCol w:w="1393"/>
        <w:gridCol w:w="1020"/>
        <w:gridCol w:w="1271"/>
        <w:gridCol w:w="824"/>
        <w:gridCol w:w="2073"/>
        <w:gridCol w:w="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54" w:hRule="atLeast"/>
          <w:jc w:val="center"/>
        </w:trPr>
        <w:tc>
          <w:tcPr>
            <w:tcW w:w="558" w:type="pct"/>
            <w:gridSpan w:val="2"/>
            <w:tcBorders>
              <w:tl2br w:val="nil"/>
              <w:tr2bl w:val="nil"/>
            </w:tcBorders>
            <w:noWrap w:val="0"/>
            <w:vAlign w:val="center"/>
          </w:tcPr>
          <w:p>
            <w:pPr>
              <w:pStyle w:val="64"/>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环境管控单元编码</w:t>
            </w:r>
          </w:p>
        </w:tc>
        <w:tc>
          <w:tcPr>
            <w:tcW w:w="708" w:type="pct"/>
            <w:gridSpan w:val="3"/>
            <w:tcBorders>
              <w:tl2br w:val="nil"/>
              <w:tr2bl w:val="nil"/>
            </w:tcBorders>
            <w:noWrap w:val="0"/>
            <w:vAlign w:val="center"/>
          </w:tcPr>
          <w:p>
            <w:pPr>
              <w:pStyle w:val="64"/>
              <w:rPr>
                <w:rFonts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单元名称</w:t>
            </w:r>
          </w:p>
        </w:tc>
        <w:tc>
          <w:tcPr>
            <w:tcW w:w="425" w:type="pct"/>
            <w:tcBorders>
              <w:tl2br w:val="nil"/>
              <w:tr2bl w:val="nil"/>
            </w:tcBorders>
            <w:noWrap w:val="0"/>
            <w:vAlign w:val="center"/>
          </w:tcPr>
          <w:p>
            <w:pPr>
              <w:pStyle w:val="64"/>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单元分类</w:t>
            </w:r>
          </w:p>
        </w:tc>
        <w:tc>
          <w:tcPr>
            <w:tcW w:w="698" w:type="pct"/>
            <w:tcBorders>
              <w:tl2br w:val="nil"/>
              <w:tr2bl w:val="nil"/>
            </w:tcBorders>
            <w:noWrap w:val="0"/>
            <w:vAlign w:val="center"/>
          </w:tcPr>
          <w:p>
            <w:pPr>
              <w:pStyle w:val="64"/>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涉及乡镇（街道）</w:t>
            </w:r>
          </w:p>
        </w:tc>
        <w:tc>
          <w:tcPr>
            <w:tcW w:w="511" w:type="pct"/>
            <w:tcBorders>
              <w:tl2br w:val="nil"/>
              <w:tr2bl w:val="nil"/>
            </w:tcBorders>
            <w:noWrap w:val="0"/>
            <w:vAlign w:val="center"/>
          </w:tcPr>
          <w:p>
            <w:pPr>
              <w:pStyle w:val="64"/>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主体功能定位</w:t>
            </w:r>
          </w:p>
        </w:tc>
        <w:tc>
          <w:tcPr>
            <w:tcW w:w="636" w:type="pct"/>
            <w:tcBorders>
              <w:tl2br w:val="nil"/>
              <w:tr2bl w:val="nil"/>
            </w:tcBorders>
            <w:noWrap w:val="0"/>
            <w:vAlign w:val="center"/>
          </w:tcPr>
          <w:p>
            <w:pPr>
              <w:pStyle w:val="64"/>
              <w:rPr>
                <w:rFonts w:hint="eastAsia" w:ascii="Times New Roman" w:hAnsi="Times New Roman" w:eastAsia="宋体" w:cs="Times New Roman"/>
                <w:color w:val="000000"/>
                <w:sz w:val="21"/>
                <w:szCs w:val="21"/>
                <w:u w:val="none"/>
              </w:rPr>
            </w:pPr>
            <w:r>
              <w:rPr>
                <w:rFonts w:hint="eastAsia" w:ascii="Times New Roman" w:hAnsi="Times New Roman" w:eastAsia="宋体" w:cs="Times New Roman"/>
                <w:color w:val="000000"/>
                <w:sz w:val="21"/>
                <w:szCs w:val="21"/>
                <w:u w:val="none"/>
              </w:rPr>
              <w:t>经济产业布局</w:t>
            </w:r>
          </w:p>
        </w:tc>
        <w:tc>
          <w:tcPr>
            <w:tcW w:w="1451" w:type="pct"/>
            <w:gridSpan w:val="2"/>
            <w:tcBorders>
              <w:tl2br w:val="nil"/>
              <w:tr2bl w:val="nil"/>
            </w:tcBorders>
            <w:noWrap w:val="0"/>
            <w:vAlign w:val="center"/>
          </w:tcPr>
          <w:p>
            <w:pPr>
              <w:pStyle w:val="64"/>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rPr>
              <w:t>主要环境问题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2044" w:hRule="atLeast"/>
          <w:jc w:val="center"/>
        </w:trPr>
        <w:tc>
          <w:tcPr>
            <w:tcW w:w="558" w:type="pct"/>
            <w:gridSpan w:val="2"/>
            <w:tcBorders>
              <w:tl2br w:val="nil"/>
              <w:tr2bl w:val="nil"/>
            </w:tcBorders>
            <w:noWrap w:val="0"/>
            <w:vAlign w:val="center"/>
          </w:tcPr>
          <w:p>
            <w:pPr>
              <w:pStyle w:val="64"/>
              <w:rPr>
                <w:rFonts w:hint="eastAsia" w:ascii="Times New Roman" w:hAnsi="Times New Roman" w:eastAsia="宋体" w:cs="Times New Roman"/>
                <w:b w:val="0"/>
                <w:bCs/>
                <w:color w:val="000000"/>
                <w:sz w:val="21"/>
                <w:szCs w:val="21"/>
                <w:u w:val="none"/>
              </w:rPr>
            </w:pPr>
            <w:r>
              <w:rPr>
                <w:rFonts w:hint="eastAsia" w:ascii="Times New Roman" w:hAnsi="Times New Roman" w:eastAsia="宋体" w:cs="Times New Roman"/>
                <w:b w:val="0"/>
                <w:bCs/>
                <w:color w:val="000000"/>
                <w:sz w:val="21"/>
                <w:szCs w:val="21"/>
                <w:u w:val="none"/>
              </w:rPr>
              <w:t>ZH43112620001</w:t>
            </w:r>
          </w:p>
        </w:tc>
        <w:tc>
          <w:tcPr>
            <w:tcW w:w="708" w:type="pct"/>
            <w:gridSpan w:val="3"/>
            <w:tcBorders>
              <w:tl2br w:val="nil"/>
              <w:tr2bl w:val="nil"/>
            </w:tcBorders>
            <w:noWrap w:val="0"/>
            <w:vAlign w:val="center"/>
          </w:tcPr>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东溪街道\舜</w:t>
            </w:r>
          </w:p>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陵街道\桐山</w:t>
            </w:r>
          </w:p>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街道\文庙街</w:t>
            </w:r>
          </w:p>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道</w:t>
            </w:r>
          </w:p>
        </w:tc>
        <w:tc>
          <w:tcPr>
            <w:tcW w:w="425" w:type="pct"/>
            <w:tcBorders>
              <w:tl2br w:val="nil"/>
              <w:tr2bl w:val="nil"/>
            </w:tcBorders>
            <w:noWrap w:val="0"/>
            <w:vAlign w:val="center"/>
          </w:tcPr>
          <w:p>
            <w:pPr>
              <w:pStyle w:val="64"/>
              <w:rPr>
                <w:rFonts w:hint="default" w:ascii="Times New Roman" w:hAnsi="Times New Roman" w:eastAsia="宋体" w:cs="Times New Roman"/>
                <w:b w:val="0"/>
                <w:bCs/>
                <w:color w:val="000000"/>
                <w:sz w:val="21"/>
                <w:szCs w:val="21"/>
                <w:u w:val="none"/>
                <w:lang w:val="en-US" w:eastAsia="zh-CN"/>
              </w:rPr>
            </w:pPr>
            <w:r>
              <w:rPr>
                <w:rFonts w:hint="eastAsia" w:cs="Times New Roman"/>
                <w:b w:val="0"/>
                <w:bCs/>
                <w:color w:val="000000"/>
                <w:sz w:val="21"/>
                <w:szCs w:val="21"/>
                <w:u w:val="none"/>
                <w:lang w:val="en-US" w:eastAsia="zh-CN"/>
              </w:rPr>
              <w:t>重点</w:t>
            </w:r>
            <w:r>
              <w:rPr>
                <w:rFonts w:hint="eastAsia" w:ascii="Times New Roman" w:hAnsi="Times New Roman" w:eastAsia="宋体" w:cs="Times New Roman"/>
                <w:b w:val="0"/>
                <w:bCs/>
                <w:color w:val="000000"/>
                <w:sz w:val="21"/>
                <w:szCs w:val="21"/>
                <w:u w:val="none"/>
                <w:lang w:val="en-US" w:eastAsia="zh-CN"/>
              </w:rPr>
              <w:t>管控单元</w:t>
            </w:r>
          </w:p>
        </w:tc>
        <w:tc>
          <w:tcPr>
            <w:tcW w:w="698" w:type="pct"/>
            <w:tcBorders>
              <w:tl2br w:val="nil"/>
              <w:tr2bl w:val="nil"/>
            </w:tcBorders>
            <w:noWrap w:val="0"/>
            <w:vAlign w:val="center"/>
          </w:tcPr>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东溪街道\舜</w:t>
            </w:r>
          </w:p>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陵街道\桐山</w:t>
            </w:r>
          </w:p>
          <w:p>
            <w:pPr>
              <w:pStyle w:val="64"/>
              <w:jc w:val="both"/>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街道\文庙街</w:t>
            </w:r>
          </w:p>
          <w:p>
            <w:pPr>
              <w:pStyle w:val="64"/>
              <w:rPr>
                <w:rFonts w:hint="eastAsia"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color w:val="000000"/>
                <w:sz w:val="21"/>
                <w:szCs w:val="21"/>
                <w:u w:val="none"/>
                <w:lang w:val="en-US" w:eastAsia="zh-CN"/>
              </w:rPr>
              <w:t>道</w:t>
            </w:r>
          </w:p>
        </w:tc>
        <w:tc>
          <w:tcPr>
            <w:tcW w:w="511" w:type="pct"/>
            <w:tcBorders>
              <w:tl2br w:val="nil"/>
              <w:tr2bl w:val="nil"/>
            </w:tcBorders>
            <w:noWrap w:val="0"/>
            <w:vAlign w:val="center"/>
          </w:tcPr>
          <w:p>
            <w:pPr>
              <w:pStyle w:val="64"/>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000000"/>
                <w:sz w:val="21"/>
                <w:szCs w:val="21"/>
                <w:u w:val="none"/>
                <w:lang w:val="en-US" w:eastAsia="zh-CN"/>
              </w:rPr>
              <w:t>国家重</w:t>
            </w:r>
          </w:p>
          <w:p>
            <w:pPr>
              <w:pStyle w:val="64"/>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000000"/>
                <w:sz w:val="21"/>
                <w:szCs w:val="21"/>
                <w:u w:val="none"/>
                <w:lang w:val="en-US" w:eastAsia="zh-CN"/>
              </w:rPr>
              <w:t>点生态</w:t>
            </w:r>
          </w:p>
          <w:p>
            <w:pPr>
              <w:pStyle w:val="64"/>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000000"/>
                <w:sz w:val="21"/>
                <w:szCs w:val="21"/>
                <w:u w:val="none"/>
                <w:lang w:val="en-US" w:eastAsia="zh-CN"/>
              </w:rPr>
              <w:t>功能区</w:t>
            </w:r>
          </w:p>
        </w:tc>
        <w:tc>
          <w:tcPr>
            <w:tcW w:w="636" w:type="pct"/>
            <w:tcBorders>
              <w:tl2br w:val="nil"/>
              <w:tr2bl w:val="nil"/>
            </w:tcBorders>
            <w:noWrap w:val="0"/>
            <w:vAlign w:val="center"/>
          </w:tcPr>
          <w:p>
            <w:pPr>
              <w:pStyle w:val="64"/>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000000"/>
                <w:sz w:val="21"/>
                <w:szCs w:val="21"/>
                <w:u w:val="none"/>
                <w:lang w:val="en-US" w:eastAsia="zh-CN"/>
              </w:rPr>
              <w:t>第三产业、农业、农副产品加工、</w:t>
            </w:r>
          </w:p>
          <w:p>
            <w:pPr>
              <w:pStyle w:val="64"/>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000000"/>
                <w:sz w:val="21"/>
                <w:szCs w:val="21"/>
                <w:u w:val="none"/>
                <w:lang w:val="en-US" w:eastAsia="zh-CN"/>
              </w:rPr>
              <w:t xml:space="preserve">低污染劳动密集型小微企业等。 </w:t>
            </w:r>
          </w:p>
        </w:tc>
        <w:tc>
          <w:tcPr>
            <w:tcW w:w="1451" w:type="pct"/>
            <w:gridSpan w:val="2"/>
            <w:tcBorders>
              <w:tl2br w:val="nil"/>
              <w:tr2bl w:val="nil"/>
            </w:tcBorders>
            <w:noWrap w:val="0"/>
            <w:vAlign w:val="center"/>
          </w:tcPr>
          <w:p>
            <w:pPr>
              <w:pStyle w:val="64"/>
              <w:jc w:val="center"/>
              <w:rPr>
                <w:rFonts w:hint="default" w:ascii="Times New Roman" w:hAnsi="Times New Roman" w:eastAsia="宋体" w:cs="Times New Roman"/>
                <w:b w:val="0"/>
                <w:bCs/>
                <w:color w:val="000000"/>
                <w:sz w:val="21"/>
                <w:szCs w:val="21"/>
                <w:u w:val="none"/>
                <w:lang w:val="en-US" w:eastAsia="zh-CN"/>
              </w:rPr>
            </w:pPr>
            <w:r>
              <w:rPr>
                <w:rFonts w:hint="eastAsia" w:cs="Times New Roman"/>
                <w:b w:val="0"/>
                <w:bCs/>
                <w:color w:val="000000"/>
                <w:sz w:val="21"/>
                <w:szCs w:val="21"/>
                <w:u w:val="none"/>
                <w:lang w:val="en-US" w:eastAsia="zh-CN"/>
              </w:rPr>
              <w:t>无明显环境问题。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599" w:type="pct"/>
            <w:gridSpan w:val="2"/>
            <w:tcBorders>
              <w:tl2br w:val="nil"/>
              <w:tr2bl w:val="nil"/>
            </w:tcBorders>
            <w:noWrap w:val="0"/>
            <w:vAlign w:val="center"/>
          </w:tcPr>
          <w:p>
            <w:pPr>
              <w:jc w:val="center"/>
              <w:rPr>
                <w:rFonts w:hint="eastAsia"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属性/区域</w:t>
            </w:r>
          </w:p>
        </w:tc>
        <w:tc>
          <w:tcPr>
            <w:tcW w:w="599" w:type="pct"/>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管控类别</w:t>
            </w:r>
          </w:p>
        </w:tc>
        <w:tc>
          <w:tcPr>
            <w:tcW w:w="2744" w:type="pct"/>
            <w:gridSpan w:val="6"/>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管控要求</w:t>
            </w:r>
          </w:p>
        </w:tc>
        <w:tc>
          <w:tcPr>
            <w:tcW w:w="1047" w:type="pct"/>
            <w:gridSpan w:val="2"/>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599" w:type="pct"/>
            <w:gridSpan w:val="2"/>
            <w:vMerge w:val="restar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东溪街道\舜陵街道\桐山街道\文庙街道</w:t>
            </w:r>
          </w:p>
        </w:tc>
        <w:tc>
          <w:tcPr>
            <w:tcW w:w="599" w:type="pct"/>
            <w:tcBorders>
              <w:tl2br w:val="nil"/>
              <w:tr2bl w:val="nil"/>
            </w:tcBorders>
            <w:noWrap w:val="0"/>
            <w:vAlign w:val="center"/>
          </w:tcPr>
          <w:p>
            <w:pPr>
              <w:widowControl/>
              <w:adjustRightInd w:val="0"/>
              <w:snapToGrid w:val="0"/>
              <w:jc w:val="center"/>
              <w:rPr>
                <w:rFonts w:ascii="Times New Roman" w:hAnsi="Times New Roman" w:eastAsia="宋体"/>
                <w:color w:val="auto"/>
                <w:szCs w:val="21"/>
                <w:highlight w:val="none"/>
                <w:u w:val="none"/>
              </w:rPr>
            </w:pPr>
            <w:r>
              <w:rPr>
                <w:kern w:val="0"/>
                <w:szCs w:val="21"/>
                <w:u w:val="none"/>
              </w:rPr>
              <w:t>空间布局约束</w:t>
            </w:r>
          </w:p>
        </w:tc>
        <w:tc>
          <w:tcPr>
            <w:tcW w:w="2744" w:type="pct"/>
            <w:gridSpan w:val="6"/>
            <w:tcBorders>
              <w:tl2br w:val="nil"/>
              <w:tr2bl w:val="nil"/>
            </w:tcBorders>
            <w:noWrap w:val="0"/>
            <w:vAlign w:val="center"/>
          </w:tcPr>
          <w:p>
            <w:pPr>
              <w:adjustRightInd w:val="0"/>
              <w:jc w:val="both"/>
              <w:rPr>
                <w:rFonts w:hint="eastAsia" w:ascii="Times New Roman" w:hAnsi="Times New Roman" w:eastAsia="宋体"/>
                <w:color w:val="auto"/>
                <w:highlight w:val="none"/>
                <w:u w:val="none"/>
              </w:rPr>
            </w:pPr>
            <w:r>
              <w:rPr>
                <w:rFonts w:hint="eastAsia" w:ascii="Times New Roman" w:hAnsi="Times New Roman" w:eastAsia="宋体"/>
                <w:color w:val="auto"/>
                <w:highlight w:val="none"/>
                <w:u w:val="none"/>
              </w:rPr>
              <w:t>（1.1）产业准入应符合“宁远县产业准入负面清单”的规定。</w:t>
            </w:r>
          </w:p>
          <w:p>
            <w:pPr>
              <w:adjustRightInd w:val="0"/>
              <w:jc w:val="both"/>
              <w:rPr>
                <w:rFonts w:hint="eastAsia" w:ascii="Times New Roman" w:hAnsi="Times New Roman" w:eastAsia="宋体"/>
                <w:color w:val="auto"/>
                <w:highlight w:val="none"/>
                <w:u w:val="none"/>
              </w:rPr>
            </w:pPr>
            <w:r>
              <w:rPr>
                <w:rFonts w:hint="eastAsia" w:ascii="Times New Roman" w:hAnsi="Times New Roman" w:eastAsia="宋体"/>
                <w:color w:val="auto"/>
                <w:highlight w:val="none"/>
                <w:u w:val="none"/>
              </w:rPr>
              <w:t>（1.2）宁远高新技术产业开发区调区扩区原则上不应超出省级主管部门确定的拓展空间；对园区外的现有企业加强环境监管，确保污染物达标排放。</w:t>
            </w:r>
          </w:p>
          <w:p>
            <w:pPr>
              <w:adjustRightInd w:val="0"/>
              <w:jc w:val="both"/>
              <w:rPr>
                <w:rFonts w:ascii="Times New Roman" w:hAnsi="Times New Roman" w:eastAsia="宋体"/>
                <w:color w:val="auto"/>
                <w:highlight w:val="none"/>
                <w:u w:val="none"/>
              </w:rPr>
            </w:pPr>
            <w:r>
              <w:rPr>
                <w:rFonts w:hint="eastAsia" w:ascii="Times New Roman" w:hAnsi="Times New Roman" w:eastAsia="宋体"/>
                <w:color w:val="auto"/>
                <w:highlight w:val="none"/>
                <w:u w:val="none"/>
              </w:rPr>
              <w:t>（1.3）畜禽养殖企业布局应符合《宁远县畜禽养殖布局规划》。禁止养殖区内严禁新建、改建、扩建各类畜禽养殖场。不得在县城上风向 1000 米范围内新建、扩建畜禽养殖场，规模化畜禽养殖场场界周围应有合理的卫生防护距离。</w:t>
            </w:r>
          </w:p>
        </w:tc>
        <w:tc>
          <w:tcPr>
            <w:tcW w:w="1047" w:type="pct"/>
            <w:gridSpan w:val="2"/>
            <w:tcBorders>
              <w:tl2br w:val="nil"/>
              <w:tr2bl w:val="nil"/>
            </w:tcBorders>
            <w:noWrap w:val="0"/>
            <w:vAlign w:val="center"/>
          </w:tcPr>
          <w:p>
            <w:pPr>
              <w:jc w:val="center"/>
              <w:rPr>
                <w:rFonts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符合。本项目为</w:t>
            </w:r>
            <w:r>
              <w:rPr>
                <w:rFonts w:hint="eastAsia" w:ascii="Times New Roman" w:hAnsi="Times New Roman" w:eastAsia="宋体"/>
                <w:color w:val="auto"/>
                <w:szCs w:val="21"/>
                <w:highlight w:val="none"/>
                <w:u w:val="none"/>
                <w:lang w:val="en-US" w:eastAsia="zh-CN"/>
              </w:rPr>
              <w:t>疾病预防控制中心建设项目，</w:t>
            </w:r>
            <w:r>
              <w:rPr>
                <w:rFonts w:hint="eastAsia" w:ascii="Times New Roman" w:hAnsi="Times New Roman" w:eastAsia="宋体"/>
                <w:color w:val="auto"/>
                <w:highlight w:val="none"/>
                <w:u w:val="none"/>
              </w:rPr>
              <w:t>符合“宁远县产业准入负面清单”的规定</w:t>
            </w:r>
            <w:r>
              <w:rPr>
                <w:rFonts w:hint="eastAsia" w:ascii="Times New Roman" w:hAnsi="Times New Roman" w:eastAsia="宋体"/>
                <w:color w:val="auto"/>
                <w:szCs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599" w:type="pct"/>
            <w:gridSpan w:val="2"/>
            <w:vMerge w:val="continue"/>
            <w:tcBorders>
              <w:tl2br w:val="nil"/>
              <w:tr2bl w:val="nil"/>
            </w:tcBorders>
            <w:noWrap w:val="0"/>
            <w:vAlign w:val="center"/>
          </w:tcPr>
          <w:p>
            <w:pPr>
              <w:jc w:val="center"/>
              <w:rPr>
                <w:rFonts w:ascii="Times New Roman" w:hAnsi="Times New Roman" w:eastAsia="宋体"/>
                <w:color w:val="auto"/>
                <w:kern w:val="0"/>
                <w:szCs w:val="21"/>
                <w:highlight w:val="none"/>
                <w:u w:val="none"/>
              </w:rPr>
            </w:pPr>
          </w:p>
        </w:tc>
        <w:tc>
          <w:tcPr>
            <w:tcW w:w="599" w:type="pct"/>
            <w:tcBorders>
              <w:tl2br w:val="nil"/>
              <w:tr2bl w:val="nil"/>
            </w:tcBorders>
            <w:noWrap w:val="0"/>
            <w:vAlign w:val="center"/>
          </w:tcPr>
          <w:p>
            <w:pPr>
              <w:widowControl/>
              <w:adjustRightInd w:val="0"/>
              <w:snapToGrid w:val="0"/>
              <w:jc w:val="center"/>
              <w:rPr>
                <w:rFonts w:ascii="Times New Roman" w:hAnsi="Times New Roman" w:eastAsia="宋体"/>
                <w:color w:val="auto"/>
                <w:szCs w:val="21"/>
                <w:highlight w:val="none"/>
                <w:u w:val="none"/>
              </w:rPr>
            </w:pPr>
            <w:r>
              <w:rPr>
                <w:kern w:val="0"/>
                <w:szCs w:val="21"/>
                <w:u w:val="none"/>
              </w:rPr>
              <w:t>污染物排放管控</w:t>
            </w:r>
          </w:p>
        </w:tc>
        <w:tc>
          <w:tcPr>
            <w:tcW w:w="2744" w:type="pct"/>
            <w:gridSpan w:val="6"/>
            <w:tcBorders>
              <w:tl2br w:val="nil"/>
              <w:tr2bl w:val="nil"/>
            </w:tcBorders>
            <w:noWrap w:val="0"/>
            <w:vAlign w:val="center"/>
          </w:tcPr>
          <w:p>
            <w:pPr>
              <w:adjustRightInd w:val="0"/>
              <w:jc w:val="both"/>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（2.1）完善县城区污水管网建设，强化城中村、老旧城区和城乡结合部污水截流、收集，加快实施现有合流制排水系统雨污分流改造，难以改造的应采取截流、调蓄和治理等措施处理。</w:t>
            </w:r>
          </w:p>
          <w:p>
            <w:pPr>
              <w:adjustRightInd w:val="0"/>
              <w:jc w:val="both"/>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（2.2）严格限制含有毒有害污染物和重金属的工业废水进入城镇污水处理厂，城镇污水处理厂保证出水水质符合国家和地方规定的排放标准，不得排放不达标污水。</w:t>
            </w:r>
          </w:p>
          <w:p>
            <w:pPr>
              <w:adjustRightInd w:val="0"/>
              <w:jc w:val="both"/>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（2.3）推进餐饮油烟达标排放，城区餐饮企业安装高效油烟净化设施。</w:t>
            </w:r>
          </w:p>
          <w:p>
            <w:pPr>
              <w:adjustRightInd w:val="0"/>
              <w:jc w:val="both"/>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（2.4）强化施工建筑扬尘及道路扬尘污染控制，建筑施工按照“六不开工”和“七个 100%”控制要求。</w:t>
            </w:r>
          </w:p>
          <w:p>
            <w:pPr>
              <w:adjustRightInd w:val="0"/>
              <w:jc w:val="both"/>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（2.5）加快绿色矿山生态建设，推广露天开采湿式抑尘技术和矿石加工封闭作业方式，加强矿山地表破坏区域复绿治理。</w:t>
            </w:r>
          </w:p>
          <w:p>
            <w:pPr>
              <w:adjustRightInd w:val="0"/>
              <w:jc w:val="both"/>
              <w:rPr>
                <w:rFonts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（2.6）桐山街道：焚烧处理厂应加强监督管理，避免产生环境污染永州东部生活垃圾焚烧发电厂应当严格落实环评及其批复规定的各项污染防治和环境风险防范措施，加强污染源监测和信息公开。</w:t>
            </w:r>
          </w:p>
        </w:tc>
        <w:tc>
          <w:tcPr>
            <w:tcW w:w="1047" w:type="pct"/>
            <w:gridSpan w:val="2"/>
            <w:tcBorders>
              <w:tl2br w:val="nil"/>
              <w:tr2bl w:val="nil"/>
            </w:tcBorders>
            <w:noWrap w:val="0"/>
            <w:vAlign w:val="center"/>
          </w:tcPr>
          <w:p>
            <w:pPr>
              <w:jc w:val="center"/>
              <w:rPr>
                <w:rFonts w:hint="default"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rPr>
              <w:t>符合</w:t>
            </w:r>
            <w:r>
              <w:rPr>
                <w:rFonts w:hint="eastAsia" w:ascii="Times New Roman" w:hAnsi="Times New Roman" w:eastAsia="宋体"/>
                <w:color w:val="auto"/>
                <w:szCs w:val="21"/>
                <w:highlight w:val="none"/>
                <w:u w:val="none"/>
                <w:lang w:eastAsia="zh-CN"/>
              </w:rPr>
              <w:t>。</w:t>
            </w:r>
            <w:r>
              <w:rPr>
                <w:rFonts w:ascii="Times New Roman" w:hAnsi="Times New Roman" w:eastAsia="宋体"/>
                <w:color w:val="auto"/>
                <w:szCs w:val="21"/>
                <w:highlight w:val="none"/>
                <w:u w:val="none"/>
              </w:rPr>
              <w:t>本项目</w:t>
            </w:r>
            <w:r>
              <w:rPr>
                <w:rFonts w:hint="eastAsia" w:ascii="Times New Roman" w:hAnsi="Times New Roman" w:eastAsia="宋体"/>
                <w:color w:val="auto"/>
                <w:szCs w:val="21"/>
                <w:highlight w:val="none"/>
                <w:u w:val="none"/>
                <w:lang w:val="en-US" w:eastAsia="zh-CN"/>
              </w:rPr>
              <w:t>废水为医疗废水，经预处理达标后排入市政污水管网，经城镇污水处理厂处理达标后排入泠江。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599" w:type="pct"/>
            <w:gridSpan w:val="2"/>
            <w:vMerge w:val="continue"/>
            <w:tcBorders>
              <w:tl2br w:val="nil"/>
              <w:tr2bl w:val="nil"/>
            </w:tcBorders>
            <w:noWrap w:val="0"/>
            <w:vAlign w:val="center"/>
          </w:tcPr>
          <w:p>
            <w:pPr>
              <w:jc w:val="center"/>
              <w:rPr>
                <w:rFonts w:ascii="Times New Roman" w:hAnsi="Times New Roman" w:eastAsia="宋体"/>
                <w:color w:val="auto"/>
                <w:kern w:val="0"/>
                <w:szCs w:val="21"/>
                <w:highlight w:val="none"/>
                <w:u w:val="none"/>
              </w:rPr>
            </w:pPr>
          </w:p>
        </w:tc>
        <w:tc>
          <w:tcPr>
            <w:tcW w:w="599" w:type="pct"/>
            <w:tcBorders>
              <w:tl2br w:val="nil"/>
              <w:tr2bl w:val="nil"/>
            </w:tcBorders>
            <w:noWrap w:val="0"/>
            <w:vAlign w:val="center"/>
          </w:tcPr>
          <w:p>
            <w:pPr>
              <w:widowControl/>
              <w:adjustRightInd w:val="0"/>
              <w:snapToGrid w:val="0"/>
              <w:jc w:val="center"/>
              <w:rPr>
                <w:rFonts w:ascii="Times New Roman" w:hAnsi="Times New Roman" w:eastAsia="宋体"/>
                <w:color w:val="auto"/>
                <w:szCs w:val="21"/>
                <w:highlight w:val="none"/>
                <w:u w:val="none"/>
              </w:rPr>
            </w:pPr>
            <w:r>
              <w:rPr>
                <w:kern w:val="0"/>
                <w:szCs w:val="21"/>
                <w:u w:val="none"/>
              </w:rPr>
              <w:t>环境风险防控</w:t>
            </w:r>
          </w:p>
        </w:tc>
        <w:tc>
          <w:tcPr>
            <w:tcW w:w="2744" w:type="pct"/>
            <w:gridSpan w:val="6"/>
            <w:tcBorders>
              <w:tl2br w:val="nil"/>
              <w:tr2bl w:val="nil"/>
            </w:tcBorders>
            <w:noWrap w:val="0"/>
            <w:vAlign w:val="center"/>
          </w:tcPr>
          <w:p>
            <w:pPr>
              <w:adjustRightInd w:val="0"/>
              <w:jc w:val="both"/>
              <w:rPr>
                <w:rFonts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（3.1）严格保护饮用水水质安全，建立乡镇饮用水源突发环境事件应急预案，确保饮用水源安全。</w:t>
            </w:r>
          </w:p>
        </w:tc>
        <w:tc>
          <w:tcPr>
            <w:tcW w:w="1047" w:type="pct"/>
            <w:gridSpan w:val="2"/>
            <w:tcBorders>
              <w:tl2br w:val="nil"/>
              <w:tr2bl w:val="nil"/>
            </w:tcBorders>
            <w:noWrap w:val="0"/>
            <w:vAlign w:val="center"/>
          </w:tcPr>
          <w:p>
            <w:pPr>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符合</w:t>
            </w:r>
            <w:r>
              <w:rPr>
                <w:rFonts w:hint="eastAsia" w:ascii="Times New Roman" w:hAnsi="Times New Roman" w:eastAsia="宋体"/>
                <w:color w:val="auto"/>
                <w:szCs w:val="21"/>
                <w:highlight w:val="none"/>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599" w:type="pct"/>
            <w:gridSpan w:val="2"/>
            <w:vMerge w:val="continue"/>
            <w:tcBorders>
              <w:tl2br w:val="nil"/>
              <w:tr2bl w:val="nil"/>
            </w:tcBorders>
            <w:noWrap w:val="0"/>
            <w:vAlign w:val="center"/>
          </w:tcPr>
          <w:p>
            <w:pPr>
              <w:jc w:val="center"/>
              <w:rPr>
                <w:rFonts w:ascii="Times New Roman" w:hAnsi="Times New Roman" w:eastAsia="宋体"/>
                <w:color w:val="auto"/>
                <w:kern w:val="0"/>
                <w:szCs w:val="21"/>
                <w:highlight w:val="none"/>
                <w:u w:val="none"/>
              </w:rPr>
            </w:pPr>
          </w:p>
        </w:tc>
        <w:tc>
          <w:tcPr>
            <w:tcW w:w="599" w:type="pct"/>
            <w:tcBorders>
              <w:tl2br w:val="nil"/>
              <w:tr2bl w:val="nil"/>
            </w:tcBorders>
            <w:noWrap w:val="0"/>
            <w:vAlign w:val="center"/>
          </w:tcPr>
          <w:p>
            <w:pPr>
              <w:widowControl/>
              <w:adjustRightInd w:val="0"/>
              <w:snapToGrid w:val="0"/>
              <w:jc w:val="center"/>
              <w:rPr>
                <w:rFonts w:ascii="Times New Roman" w:hAnsi="Times New Roman" w:eastAsia="宋体"/>
                <w:color w:val="auto"/>
                <w:szCs w:val="21"/>
                <w:highlight w:val="none"/>
                <w:u w:val="none"/>
              </w:rPr>
            </w:pPr>
            <w:r>
              <w:rPr>
                <w:kern w:val="0"/>
                <w:szCs w:val="21"/>
                <w:u w:val="none"/>
              </w:rPr>
              <w:t>资源开发效率要求</w:t>
            </w:r>
          </w:p>
        </w:tc>
        <w:tc>
          <w:tcPr>
            <w:tcW w:w="2744" w:type="pct"/>
            <w:gridSpan w:val="6"/>
            <w:tcBorders>
              <w:tl2br w:val="nil"/>
              <w:tr2bl w:val="nil"/>
            </w:tcBorders>
            <w:noWrap w:val="0"/>
            <w:vAlign w:val="center"/>
          </w:tcPr>
          <w:p>
            <w:pPr>
              <w:adjustRightInd w:val="0"/>
              <w:rPr>
                <w:rFonts w:hint="eastAsia"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（4.1）能源：</w:t>
            </w:r>
          </w:p>
          <w:p>
            <w:pPr>
              <w:adjustRightInd w:val="0"/>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东溪街道、桐山街道、文庙街道：高污染燃料禁燃区严格执行《宁远县人民政府关于划定高污染燃料禁燃区的通告》（宁政函[2017]66 号），禁止新建、扩建燃用高污染燃料的锅炉、炉窑、炉灶等燃烧设施（集中供电、电厂锅炉除外）；10 蒸吨/小时以上的燃煤锅炉，要在规定期限内实施烟气污染治理设施提标改造或实现清洁能源替代，确保污染物达标排放</w:t>
            </w:r>
            <w:r>
              <w:rPr>
                <w:rFonts w:hint="eastAsia" w:ascii="Times New Roman" w:hAnsi="Times New Roman" w:eastAsia="宋体"/>
                <w:color w:val="auto"/>
                <w:szCs w:val="21"/>
                <w:highlight w:val="none"/>
                <w:u w:val="none"/>
                <w:lang w:eastAsia="zh-CN"/>
              </w:rPr>
              <w:t>。</w:t>
            </w:r>
          </w:p>
        </w:tc>
        <w:tc>
          <w:tcPr>
            <w:tcW w:w="1047" w:type="pct"/>
            <w:gridSpan w:val="2"/>
            <w:tcBorders>
              <w:tl2br w:val="nil"/>
              <w:tr2bl w:val="nil"/>
            </w:tcBorders>
            <w:noWrap w:val="0"/>
            <w:vAlign w:val="center"/>
          </w:tcPr>
          <w:p>
            <w:pPr>
              <w:jc w:val="center"/>
              <w:rPr>
                <w:rFonts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符合。项目不新建、扩建燃用高污染燃料的锅炉、炉窑、炉灶等燃烧设施。</w:t>
            </w:r>
          </w:p>
        </w:tc>
      </w:tr>
    </w:tbl>
    <w:p>
      <w:pPr>
        <w:autoSpaceDE w:val="0"/>
        <w:autoSpaceDN w:val="0"/>
        <w:adjustRightInd w:val="0"/>
        <w:snapToGrid w:val="0"/>
        <w:spacing w:before="0" w:beforeLines="50" w:beforeAutospacing="0" w:line="360" w:lineRule="auto"/>
        <w:ind w:firstLine="480" w:firstLineChars="200"/>
        <w:rPr>
          <w:rFonts w:hint="eastAsia" w:ascii="Times New Roman" w:hAnsi="Times New Roman" w:eastAsia="宋体" w:cs="Times New Roman"/>
          <w:color w:val="auto"/>
          <w:kern w:val="0"/>
          <w:sz w:val="24"/>
          <w:highlight w:val="none"/>
          <w:u w:val="none"/>
        </w:rPr>
      </w:pPr>
      <w:r>
        <w:rPr>
          <w:rFonts w:hint="eastAsia" w:ascii="Times New Roman" w:hAnsi="Times New Roman" w:eastAsia="宋体" w:cs="Times New Roman"/>
          <w:color w:val="auto"/>
          <w:kern w:val="0"/>
          <w:sz w:val="24"/>
          <w:highlight w:val="none"/>
          <w:u w:val="none"/>
        </w:rPr>
        <w:t>综上所述，本项目符合</w:t>
      </w:r>
      <w:r>
        <w:rPr>
          <w:rFonts w:hint="eastAsia" w:ascii="Times New Roman" w:hAnsi="Times New Roman" w:eastAsia="宋体" w:cs="Times New Roman"/>
          <w:b w:val="0"/>
          <w:bCs w:val="0"/>
          <w:color w:val="auto"/>
          <w:kern w:val="0"/>
          <w:sz w:val="24"/>
          <w:highlight w:val="none"/>
          <w:u w:val="none"/>
          <w:lang w:val="en-US" w:eastAsia="zh-CN"/>
        </w:rPr>
        <w:t>《永州市人民政府关于实施“三线一单”生态环境分区管控的意见》（永政发〔2020〕11号）</w:t>
      </w:r>
      <w:r>
        <w:rPr>
          <w:rFonts w:hint="eastAsia" w:ascii="Times New Roman" w:hAnsi="Times New Roman" w:eastAsia="宋体" w:cs="Times New Roman"/>
          <w:color w:val="auto"/>
          <w:kern w:val="0"/>
          <w:sz w:val="24"/>
          <w:highlight w:val="none"/>
          <w:u w:val="none"/>
        </w:rPr>
        <w:t>的相关要求。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val="en-US" w:eastAsia="zh-CN"/>
        </w:rPr>
        <w:t>永州</w:t>
      </w:r>
      <w:r>
        <w:rPr>
          <w:rFonts w:hint="eastAsia" w:ascii="Times New Roman" w:hAnsi="Times New Roman" w:eastAsia="宋体" w:cs="Times New Roman"/>
          <w:spacing w:val="4"/>
          <w:sz w:val="24"/>
          <w:szCs w:val="24"/>
          <w:lang w:eastAsia="zh-CN"/>
        </w:rPr>
        <w:t>市环境管控单元图见图 1.4-1。</w:t>
      </w:r>
    </w:p>
    <w:p>
      <w:pPr>
        <w:spacing w:before="3" w:line="360" w:lineRule="auto"/>
        <w:ind w:right="86" w:rightChars="0"/>
        <w:jc w:val="both"/>
        <w:rPr>
          <w:rFonts w:hint="eastAsia" w:ascii="Times New Roman" w:hAnsi="Times New Roman" w:eastAsia="宋体" w:cs="Times New Roman"/>
          <w:spacing w:val="4"/>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1563370</wp:posOffset>
                </wp:positionH>
                <wp:positionV relativeFrom="paragraph">
                  <wp:posOffset>1857375</wp:posOffset>
                </wp:positionV>
                <wp:extent cx="1218565" cy="361315"/>
                <wp:effectExtent l="12700" t="12700" r="102235" b="349885"/>
                <wp:wrapNone/>
                <wp:docPr id="75" name="矩形标注 75"/>
                <wp:cNvGraphicFramePr/>
                <a:graphic xmlns:a="http://schemas.openxmlformats.org/drawingml/2006/main">
                  <a:graphicData uri="http://schemas.microsoft.com/office/word/2010/wordprocessingShape">
                    <wps:wsp>
                      <wps:cNvSpPr/>
                      <wps:spPr>
                        <a:xfrm>
                          <a:off x="2556510" y="2537460"/>
                          <a:ext cx="1218565" cy="361315"/>
                        </a:xfrm>
                        <a:prstGeom prst="wedgeRectCallout">
                          <a:avLst>
                            <a:gd name="adj1" fmla="val 56618"/>
                            <a:gd name="adj2" fmla="val 14015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lang w:val="en-US" w:eastAsia="zh-CN"/>
                              </w:rPr>
                            </w:pPr>
                            <w:r>
                              <w:rPr>
                                <w:rFonts w:hint="eastAsia" w:eastAsia="宋体"/>
                                <w:color w:val="FF0000"/>
                                <w:lang w:val="en-US" w:eastAsia="zh-CN"/>
                              </w:rPr>
                              <w:t>项目所在地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23.1pt;margin-top:146.25pt;height:28.45pt;width:95.95pt;z-index:251661312;v-text-anchor:middle;mso-width-relative:page;mso-height-relative:page;" filled="f" stroked="t" coordsize="21600,21600" o:gfxdata="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CJmfvfZAAAACwEAAA8AAAAAAAAAAQAgAAAAOAAAAGRycy9kb3du&#10;cmV2LnhtbFBLAQIUABQAAAAIAIdO4kBunIRukwIAAPIEAAAOAAAAAAAAAAEAIAAAAD4BAABkcnMv&#10;ZTJvRG9jLnhtbFBLBQYAAAAABgAGAFkBAABDBgAAAAA=&#10;" adj="23029,41074">
                <v:fill on="f" focussize="0,0"/>
                <v:stroke weight="2pt" color="#FF0000 [2404]" joinstyle="round"/>
                <v:imagedata o:title=""/>
                <o:lock v:ext="edit" aspectratio="f"/>
                <v:textbox>
                  <w:txbxContent>
                    <w:p>
                      <w:pPr>
                        <w:jc w:val="center"/>
                        <w:rPr>
                          <w:rFonts w:hint="default" w:eastAsia="宋体"/>
                          <w:color w:val="FF0000"/>
                          <w:lang w:val="en-US" w:eastAsia="zh-CN"/>
                        </w:rPr>
                      </w:pPr>
                      <w:r>
                        <w:rPr>
                          <w:rFonts w:hint="eastAsia" w:eastAsia="宋体"/>
                          <w:color w:val="FF0000"/>
                          <w:lang w:val="en-US" w:eastAsia="zh-CN"/>
                        </w:rPr>
                        <w:t>项目所在地</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2839085</wp:posOffset>
                </wp:positionH>
                <wp:positionV relativeFrom="paragraph">
                  <wp:posOffset>2523490</wp:posOffset>
                </wp:positionV>
                <wp:extent cx="75565" cy="76200"/>
                <wp:effectExtent l="12700" t="12700" r="26035" b="25400"/>
                <wp:wrapNone/>
                <wp:docPr id="76" name="五角星 76"/>
                <wp:cNvGraphicFramePr/>
                <a:graphic xmlns:a="http://schemas.openxmlformats.org/drawingml/2006/main">
                  <a:graphicData uri="http://schemas.microsoft.com/office/word/2010/wordprocessingShape">
                    <wps:wsp>
                      <wps:cNvSpPr/>
                      <wps:spPr>
                        <a:xfrm>
                          <a:off x="3575685" y="2937510"/>
                          <a:ext cx="75565" cy="762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223.55pt;margin-top:198.7pt;height:6pt;width:5.95pt;z-index:251662336;v-text-anchor:middle;mso-width-relative:page;mso-height-relative:page;" fillcolor="#FF0000" filled="t" stroked="t" coordsize="75565,76200" o:gfxdata="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&#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GXzlg/cAAAACwEAAA8AAAAAAAAAAQAgAAAAOAAAAGRy&#10;cy9kb3ducmV2LnhtbFBLAQIUABQAAAAIAIdO4kDxKuE0XQIAAK0EAAAOAAAAAAAAAAEAIAAAAEEB&#10;AABkcnMvZTJvRG9jLnhtbFBLBQYAAAAABgAGAFkBAAAQBgAAAAA=&#10;" path="m0,29105l28863,29105,37782,0,46701,29105,75564,29105,52213,47093,61133,76199,37782,58211,14431,76199,23351,47093xe">
                <v:path o:connectlocs="37782,0;0,29105;14431,76199;61133,76199;75564,29105" o:connectangles="247,164,82,82,0"/>
                <v:fill on="t" focussize="0,0"/>
                <v:stroke weight="2pt" color="#FF0000 [2404]" joinstyle="round"/>
                <v:imagedata o:title=""/>
                <o:lock v:ext="edit" aspectratio="f"/>
              </v:shape>
            </w:pict>
          </mc:Fallback>
        </mc:AlternateContent>
      </w:r>
      <w:r>
        <w:drawing>
          <wp:inline distT="0" distB="0" distL="114300" distR="114300">
            <wp:extent cx="6178550" cy="4365625"/>
            <wp:effectExtent l="0" t="0" r="12700" b="15875"/>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24"/>
                    <a:stretch>
                      <a:fillRect/>
                    </a:stretch>
                  </pic:blipFill>
                  <pic:spPr>
                    <a:xfrm>
                      <a:off x="0" y="0"/>
                      <a:ext cx="6178550" cy="4365625"/>
                    </a:xfrm>
                    <a:prstGeom prst="rect">
                      <a:avLst/>
                    </a:prstGeom>
                    <a:noFill/>
                    <a:ln>
                      <a:noFill/>
                    </a:ln>
                  </pic:spPr>
                </pic:pic>
              </a:graphicData>
            </a:graphic>
          </wp:inline>
        </w:drawing>
      </w:r>
    </w:p>
    <w:p>
      <w:pPr>
        <w:keepNext w:val="0"/>
        <w:keepLines w:val="0"/>
        <w:widowControl/>
        <w:suppressLineNumbers w:val="0"/>
        <w:jc w:val="center"/>
      </w:pPr>
      <w:r>
        <w:rPr>
          <w:rFonts w:hint="eastAsia" w:ascii="宋体" w:hAnsi="宋体" w:eastAsia="宋体" w:cs="宋体"/>
          <w:b/>
          <w:bCs/>
          <w:snapToGrid w:val="0"/>
          <w:color w:val="000000"/>
          <w:kern w:val="0"/>
          <w:sz w:val="24"/>
          <w:szCs w:val="24"/>
          <w:lang w:val="en-US" w:eastAsia="zh-CN" w:bidi="ar"/>
        </w:rPr>
        <w:t>图</w:t>
      </w:r>
      <w:r>
        <w:rPr>
          <w:rFonts w:hint="default" w:ascii="Times New Roman" w:hAnsi="Times New Roman" w:eastAsia="宋体" w:cs="Times New Roman"/>
          <w:b/>
          <w:bCs/>
          <w:snapToGrid w:val="0"/>
          <w:color w:val="000000"/>
          <w:kern w:val="0"/>
          <w:sz w:val="24"/>
          <w:szCs w:val="24"/>
          <w:lang w:val="en-US" w:eastAsia="zh-CN" w:bidi="ar"/>
        </w:rPr>
        <w:t xml:space="preserve">1.4-1 </w:t>
      </w:r>
      <w:r>
        <w:rPr>
          <w:rFonts w:hint="eastAsia" w:ascii="宋体" w:hAnsi="宋体" w:eastAsia="宋体" w:cs="宋体"/>
          <w:b/>
          <w:bCs/>
          <w:snapToGrid w:val="0"/>
          <w:color w:val="000000"/>
          <w:kern w:val="0"/>
          <w:sz w:val="24"/>
          <w:szCs w:val="24"/>
          <w:lang w:val="en-US" w:eastAsia="zh-CN" w:bidi="ar"/>
        </w:rPr>
        <w:t>永州市环境管控单元图</w:t>
      </w:r>
    </w:p>
    <w:p>
      <w:pPr>
        <w:pStyle w:val="30"/>
        <w:rPr>
          <w:rFonts w:hint="eastAsia" w:ascii="Times New Roman" w:hAnsi="Times New Roman" w:eastAsia="宋体" w:cs="Times New Roman"/>
          <w:spacing w:val="4"/>
          <w:sz w:val="24"/>
          <w:szCs w:val="24"/>
          <w:lang w:eastAsia="zh-CN"/>
        </w:rPr>
      </w:pPr>
    </w:p>
    <w:p>
      <w:pPr>
        <w:keepNext w:val="0"/>
        <w:keepLines w:val="0"/>
        <w:widowControl/>
        <w:suppressLineNumbers w:val="0"/>
        <w:jc w:val="left"/>
        <w:outlineLvl w:val="2"/>
        <w:rPr>
          <w:b/>
          <w:bCs/>
        </w:rPr>
      </w:pPr>
      <w:bookmarkStart w:id="12" w:name="_Toc32391"/>
      <w:r>
        <w:rPr>
          <w:rStyle w:val="46"/>
          <w:rFonts w:hint="default"/>
          <w:lang w:val="en-US" w:eastAsia="zh-CN"/>
        </w:rPr>
        <w:t xml:space="preserve">1.4.3 </w:t>
      </w:r>
      <w:r>
        <w:rPr>
          <w:rStyle w:val="46"/>
          <w:rFonts w:hint="eastAsia"/>
          <w:lang w:val="en-US" w:eastAsia="zh-CN"/>
        </w:rPr>
        <w:t>规划相符性</w:t>
      </w:r>
      <w:bookmarkEnd w:id="12"/>
      <w:r>
        <w:rPr>
          <w:rFonts w:hint="eastAsia" w:ascii="宋体" w:hAnsi="宋体" w:eastAsia="宋体" w:cs="宋体"/>
          <w:b/>
          <w:bCs/>
          <w:snapToGrid w:val="0"/>
          <w:color w:val="000000"/>
          <w:kern w:val="0"/>
          <w:sz w:val="24"/>
          <w:szCs w:val="24"/>
          <w:lang w:val="en-US" w:eastAsia="zh-CN" w:bidi="ar"/>
        </w:rPr>
        <w:t xml:space="preserve"> </w:t>
      </w:r>
    </w:p>
    <w:p>
      <w:pPr>
        <w:rPr>
          <w:rFonts w:hint="eastAsia"/>
          <w:lang w:eastAsia="zh-CN"/>
        </w:rPr>
      </w:pPr>
    </w:p>
    <w:p>
      <w:pPr>
        <w:spacing w:before="3" w:line="360" w:lineRule="auto"/>
        <w:ind w:right="86" w:rightChars="0" w:firstLine="496" w:firstLineChars="200"/>
        <w:jc w:val="both"/>
        <w:outlineLvl w:val="3"/>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1</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关于印发公共卫生防控救治能力建设方案的通知（发改社会[2020]735号）</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根据该通知可知疾病预防控制体系现代化建设的建设目标为：全面改善疾控机构设施设备条件，实现每省至少有一个达到生物安全三级（P3）水平的实验室，每个地级市至少有一个达到生物安全二级（P2）水平的实验室，具备传染病病原体、健康危害因素和国家卫生标准实施所需的检验检测能力。建设内容：一是县级疾控中心重点提升疫情发现和现场处置能力，加强基础设施建设，完善设备配置，满足现场检验检测、流行病学调查、应急处置等需要。二是地市级疾控中心重点提升实验室检验检测能力，加强实验室仪器设备升级和生物安全防护能力建设。鼓励有条件的地市整合市县两级检验检测资源，配置移动生物安全二级（BSL-2）实验室，统筹满足区域内快速检测需要。三是国家、省级疾控中心重点提升传染病检测“一锤定音”能力和突发传染病防控快速响应能力，推进中国疾控中心菌毒种库和相关实验室升级改造，支持省级疾控中心菌毒种库、生物安全三级（P3）实验室等建设，加强和完善国家突发急性传染病防控队伍装备配置。</w:t>
      </w:r>
    </w:p>
    <w:p>
      <w:pPr>
        <w:spacing w:before="3" w:line="360" w:lineRule="auto"/>
        <w:ind w:right="86" w:rightChars="0" w:firstLine="496" w:firstLineChars="200"/>
        <w:jc w:val="both"/>
        <w:rPr>
          <w:rFonts w:hint="eastAsia" w:ascii="Times New Roman" w:hAnsi="Times New Roman" w:eastAsia="宋体" w:cs="Times New Roman"/>
          <w:color w:val="0000FF"/>
          <w:spacing w:val="4"/>
          <w:sz w:val="24"/>
          <w:szCs w:val="24"/>
        </w:rPr>
      </w:pPr>
      <w:r>
        <w:rPr>
          <w:rFonts w:hint="eastAsia" w:ascii="Times New Roman" w:hAnsi="Times New Roman" w:eastAsia="宋体" w:cs="Times New Roman"/>
          <w:spacing w:val="4"/>
          <w:sz w:val="24"/>
          <w:szCs w:val="24"/>
        </w:rPr>
        <w:t>本项目的</w:t>
      </w:r>
      <w:r>
        <w:rPr>
          <w:rFonts w:hint="eastAsia" w:ascii="Times New Roman" w:hAnsi="Times New Roman" w:eastAsia="宋体" w:cs="Times New Roman"/>
          <w:color w:val="auto"/>
          <w:spacing w:val="4"/>
          <w:sz w:val="24"/>
          <w:szCs w:val="24"/>
        </w:rPr>
        <w:t>主要内容为：本项目总占地面积</w:t>
      </w:r>
      <w:r>
        <w:rPr>
          <w:rFonts w:hint="eastAsia" w:ascii="Times New Roman" w:hAnsi="Times New Roman" w:eastAsia="宋体" w:cs="Times New Roman"/>
          <w:color w:val="auto"/>
          <w:spacing w:val="4"/>
          <w:sz w:val="24"/>
          <w:szCs w:val="24"/>
          <w:lang w:val="en-US" w:eastAsia="zh-CN"/>
        </w:rPr>
        <w:t>1640.25</w:t>
      </w:r>
      <w:r>
        <w:rPr>
          <w:rFonts w:hint="eastAsia" w:ascii="Times New Roman" w:hAnsi="Times New Roman" w:eastAsia="宋体" w:cs="Times New Roman"/>
          <w:color w:val="auto"/>
          <w:spacing w:val="4"/>
          <w:sz w:val="24"/>
          <w:szCs w:val="24"/>
        </w:rPr>
        <w:t>m</w:t>
      </w:r>
      <w:r>
        <w:rPr>
          <w:rFonts w:hint="eastAsia" w:ascii="Times New Roman" w:hAnsi="Times New Roman" w:eastAsia="宋体" w:cs="Times New Roman"/>
          <w:color w:val="auto"/>
          <w:spacing w:val="4"/>
          <w:sz w:val="24"/>
          <w:szCs w:val="24"/>
          <w:vertAlign w:val="superscript"/>
        </w:rPr>
        <w:t>2</w:t>
      </w:r>
      <w:r>
        <w:rPr>
          <w:rFonts w:hint="eastAsia" w:ascii="Times New Roman" w:hAnsi="Times New Roman" w:eastAsia="宋体" w:cs="Times New Roman"/>
          <w:color w:val="auto"/>
          <w:spacing w:val="4"/>
          <w:sz w:val="24"/>
          <w:szCs w:val="24"/>
        </w:rPr>
        <w:t>，总建筑面积约</w:t>
      </w:r>
      <w:r>
        <w:rPr>
          <w:rFonts w:hint="eastAsia" w:ascii="Times New Roman" w:hAnsi="Times New Roman" w:eastAsia="宋体" w:cs="Times New Roman"/>
          <w:color w:val="auto"/>
          <w:spacing w:val="4"/>
          <w:sz w:val="24"/>
          <w:szCs w:val="24"/>
          <w:lang w:val="en-US" w:eastAsia="zh-CN"/>
        </w:rPr>
        <w:t>4622.7</w:t>
      </w:r>
      <w:r>
        <w:rPr>
          <w:rFonts w:hint="eastAsia" w:ascii="Times New Roman" w:hAnsi="Times New Roman" w:eastAsia="宋体" w:cs="Times New Roman"/>
          <w:color w:val="auto"/>
          <w:spacing w:val="4"/>
          <w:sz w:val="24"/>
          <w:szCs w:val="24"/>
        </w:rPr>
        <w:t>m</w:t>
      </w:r>
      <w:r>
        <w:rPr>
          <w:rFonts w:hint="eastAsia" w:ascii="Times New Roman" w:hAnsi="Times New Roman" w:eastAsia="宋体" w:cs="Times New Roman"/>
          <w:color w:val="auto"/>
          <w:spacing w:val="4"/>
          <w:sz w:val="24"/>
          <w:szCs w:val="24"/>
          <w:vertAlign w:val="superscript"/>
        </w:rPr>
        <w:t>2</w:t>
      </w:r>
      <w:r>
        <w:rPr>
          <w:rFonts w:hint="eastAsia" w:ascii="Times New Roman" w:hAnsi="Times New Roman" w:eastAsia="宋体" w:cs="Times New Roman"/>
          <w:color w:val="auto"/>
          <w:spacing w:val="4"/>
          <w:sz w:val="24"/>
          <w:szCs w:val="24"/>
        </w:rPr>
        <w:t xml:space="preserve">。包括1 栋疾控综合大楼，共 </w:t>
      </w:r>
      <w:r>
        <w:rPr>
          <w:rFonts w:hint="eastAsia" w:ascii="Times New Roman" w:hAnsi="Times New Roman" w:eastAsia="宋体" w:cs="Times New Roman"/>
          <w:color w:val="auto"/>
          <w:spacing w:val="4"/>
          <w:sz w:val="24"/>
          <w:szCs w:val="24"/>
          <w:lang w:val="en-US" w:eastAsia="zh-CN"/>
        </w:rPr>
        <w:t>4</w:t>
      </w:r>
      <w:r>
        <w:rPr>
          <w:rFonts w:hint="eastAsia" w:ascii="Times New Roman" w:hAnsi="Times New Roman" w:eastAsia="宋体" w:cs="Times New Roman"/>
          <w:color w:val="auto"/>
          <w:spacing w:val="4"/>
          <w:sz w:val="24"/>
          <w:szCs w:val="24"/>
        </w:rPr>
        <w:t xml:space="preserve"> 层（包括</w:t>
      </w:r>
      <w:r>
        <w:rPr>
          <w:rFonts w:hint="eastAsia" w:ascii="Times New Roman" w:hAnsi="Times New Roman" w:eastAsia="宋体" w:cs="Times New Roman"/>
          <w:color w:val="auto"/>
          <w:spacing w:val="4"/>
          <w:sz w:val="24"/>
          <w:szCs w:val="24"/>
          <w:lang w:val="en-US" w:eastAsia="zh-CN"/>
        </w:rPr>
        <w:t>门诊</w:t>
      </w:r>
      <w:r>
        <w:rPr>
          <w:rFonts w:hint="eastAsia" w:ascii="Times New Roman" w:hAnsi="Times New Roman" w:eastAsia="宋体" w:cs="Times New Roman"/>
          <w:color w:val="auto"/>
          <w:spacing w:val="4"/>
          <w:sz w:val="24"/>
          <w:szCs w:val="24"/>
          <w:lang w:eastAsia="zh-CN"/>
        </w:rPr>
        <w:t>、</w:t>
      </w:r>
      <w:r>
        <w:rPr>
          <w:rFonts w:hint="eastAsia" w:ascii="Times New Roman" w:hAnsi="Times New Roman" w:eastAsia="宋体" w:cs="Times New Roman"/>
          <w:color w:val="auto"/>
          <w:spacing w:val="4"/>
          <w:sz w:val="24"/>
          <w:szCs w:val="24"/>
          <w:lang w:val="en-US" w:eastAsia="zh-CN"/>
        </w:rPr>
        <w:t>检验室</w:t>
      </w:r>
      <w:r>
        <w:rPr>
          <w:rFonts w:hint="eastAsia" w:ascii="Times New Roman" w:hAnsi="Times New Roman" w:eastAsia="宋体" w:cs="Times New Roman"/>
          <w:color w:val="auto"/>
          <w:spacing w:val="4"/>
          <w:sz w:val="24"/>
          <w:szCs w:val="24"/>
        </w:rPr>
        <w:t>等）；1 栋</w:t>
      </w:r>
      <w:r>
        <w:rPr>
          <w:rFonts w:hint="eastAsia" w:ascii="Times New Roman" w:hAnsi="Times New Roman" w:eastAsia="宋体" w:cs="Times New Roman"/>
          <w:color w:val="auto"/>
          <w:spacing w:val="4"/>
          <w:sz w:val="24"/>
          <w:szCs w:val="24"/>
          <w:lang w:val="en-US" w:eastAsia="zh-CN"/>
        </w:rPr>
        <w:t>办公行政楼</w:t>
      </w:r>
      <w:r>
        <w:rPr>
          <w:rFonts w:hint="eastAsia" w:ascii="Times New Roman" w:hAnsi="Times New Roman" w:eastAsia="宋体" w:cs="Times New Roman"/>
          <w:color w:val="auto"/>
          <w:spacing w:val="4"/>
          <w:sz w:val="24"/>
          <w:szCs w:val="24"/>
        </w:rPr>
        <w:t>，共</w:t>
      </w:r>
      <w:r>
        <w:rPr>
          <w:rFonts w:hint="eastAsia" w:ascii="Times New Roman" w:hAnsi="Times New Roman" w:eastAsia="宋体" w:cs="Times New Roman"/>
          <w:color w:val="auto"/>
          <w:spacing w:val="4"/>
          <w:sz w:val="24"/>
          <w:szCs w:val="24"/>
          <w:lang w:val="en-US" w:eastAsia="zh-CN"/>
        </w:rPr>
        <w:t>3</w:t>
      </w:r>
      <w:r>
        <w:rPr>
          <w:rFonts w:hint="eastAsia" w:ascii="Times New Roman" w:hAnsi="Times New Roman" w:eastAsia="宋体" w:cs="Times New Roman"/>
          <w:color w:val="auto"/>
          <w:spacing w:val="4"/>
          <w:sz w:val="24"/>
          <w:szCs w:val="24"/>
        </w:rPr>
        <w:t>层（包括</w:t>
      </w:r>
      <w:r>
        <w:rPr>
          <w:rFonts w:hint="eastAsia" w:ascii="Times New Roman" w:hAnsi="Times New Roman" w:eastAsia="宋体" w:cs="Times New Roman"/>
          <w:color w:val="auto"/>
          <w:spacing w:val="4"/>
          <w:sz w:val="24"/>
          <w:szCs w:val="24"/>
          <w:lang w:val="en-US" w:eastAsia="zh-CN"/>
        </w:rPr>
        <w:t>财务室、办公室</w:t>
      </w:r>
      <w:r>
        <w:rPr>
          <w:rFonts w:hint="eastAsia" w:ascii="Times New Roman" w:hAnsi="Times New Roman" w:eastAsia="宋体" w:cs="Times New Roman"/>
          <w:color w:val="auto"/>
          <w:spacing w:val="4"/>
          <w:sz w:val="24"/>
          <w:szCs w:val="24"/>
        </w:rPr>
        <w:t>等）；相关实验设备购置与安装及相关配套设施建设等，项目不涉及 P3、P4 生物安全实验室。</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color w:val="auto"/>
          <w:spacing w:val="4"/>
          <w:sz w:val="24"/>
          <w:szCs w:val="24"/>
        </w:rPr>
        <w:t>本项目职责包括法定传染病、地方病、寄生虫病、慢性非传染性疾病、职业病、学生常见病的预防和控制；重大疫情</w:t>
      </w:r>
      <w:r>
        <w:rPr>
          <w:rFonts w:hint="eastAsia" w:ascii="Times New Roman" w:hAnsi="Times New Roman" w:eastAsia="宋体" w:cs="Times New Roman"/>
          <w:spacing w:val="4"/>
          <w:sz w:val="24"/>
          <w:szCs w:val="24"/>
        </w:rPr>
        <w:t>、中毒事故等突发公共卫生事件的现场流行病学和卫生学调查、采样检验、技术指导与处置；预防用生物制品的使用、管理与指导；实施儿童计划免疫；企业职业病健康体检，并协助进行职业病的诊断和治疗；艾滋病、性病防治；健康教育及疾病预防控制知识的普及宣传；疾病预防控制有关公共卫生信息的收集、整理、报告与分析；农村集中供水的水质检验与监测。</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因此，本项目与《关于印发公共卫生防控救治能力建设方案的通知（发改社会[2020]735 号）》相符合。</w:t>
      </w:r>
    </w:p>
    <w:p>
      <w:pPr>
        <w:spacing w:before="3" w:line="360" w:lineRule="auto"/>
        <w:ind w:right="86" w:rightChars="0" w:firstLine="496" w:firstLineChars="200"/>
        <w:jc w:val="both"/>
        <w:outlineLvl w:val="3"/>
        <w:rPr>
          <w:rFonts w:hint="default"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2、</w:t>
      </w:r>
      <w:r>
        <w:rPr>
          <w:rFonts w:hint="eastAsia" w:ascii="Times New Roman" w:hAnsi="Times New Roman" w:eastAsia="宋体" w:cs="Times New Roman"/>
          <w:spacing w:val="4"/>
          <w:sz w:val="24"/>
          <w:szCs w:val="24"/>
        </w:rPr>
        <w:t>《中华人民共和国国民经济和社会发展第十四个五年规划和 2035 年远景目标纲要》</w:t>
      </w:r>
      <w:r>
        <w:rPr>
          <w:rFonts w:hint="eastAsia" w:ascii="Times New Roman" w:hAnsi="Times New Roman" w:eastAsia="宋体" w:cs="Times New Roman"/>
          <w:spacing w:val="4"/>
          <w:sz w:val="24"/>
          <w:szCs w:val="24"/>
          <w:lang w:val="en-US" w:eastAsia="zh-CN"/>
        </w:rPr>
        <w:t>的符合性分析</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根据《中华人民共和国国民经济和社会发展第十四个五年规划和 2035 年远景目标纲要》第四十四章全面推进健康中国建设可知：把保障人民健康放在优先发展的战略位置，坚持预防为主的方针，深入实施健康中国行动，完善国民健康促进政策，织牢国家公共卫生防护网，为人民提供全方位全生命期健康服务。第一节 构建强大公共卫生体系-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pPr>
        <w:spacing w:before="3" w:line="360" w:lineRule="auto"/>
        <w:ind w:right="86" w:rightChars="0" w:firstLine="496" w:firstLineChars="200"/>
        <w:jc w:val="both"/>
        <w:rPr>
          <w:rFonts w:hint="eastAsia" w:ascii="Times New Roman" w:hAnsi="Times New Roman" w:eastAsia="宋体" w:cs="Times New Roman"/>
          <w:spacing w:val="4"/>
          <w:sz w:val="24"/>
          <w:szCs w:val="24"/>
        </w:rPr>
      </w:pPr>
      <w:r>
        <w:rPr>
          <w:rFonts w:hint="eastAsia" w:ascii="Times New Roman" w:hAnsi="Times New Roman" w:eastAsia="宋体" w:cs="Times New Roman"/>
          <w:spacing w:val="4"/>
          <w:sz w:val="24"/>
          <w:szCs w:val="24"/>
        </w:rPr>
        <w:t>综上所述</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本项目符合</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rPr>
        <w:t>中华人民共和国国民经济和社会发展第十四个五年规划和2035 年远景目标纲要》相关要求。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3、《健康中国 </w:t>
      </w:r>
      <w:r>
        <w:rPr>
          <w:rFonts w:hint="default" w:ascii="Times New Roman" w:hAnsi="Times New Roman" w:eastAsia="宋体" w:cs="Times New Roman"/>
          <w:spacing w:val="4"/>
          <w:sz w:val="24"/>
          <w:szCs w:val="24"/>
          <w:lang w:val="en-US" w:eastAsia="zh-CN"/>
        </w:rPr>
        <w:t xml:space="preserve">2030 </w:t>
      </w:r>
      <w:r>
        <w:rPr>
          <w:rFonts w:hint="eastAsia" w:ascii="Times New Roman" w:hAnsi="Times New Roman" w:eastAsia="宋体" w:cs="Times New Roman"/>
          <w:spacing w:val="4"/>
          <w:sz w:val="24"/>
          <w:szCs w:val="24"/>
          <w:lang w:val="en-US" w:eastAsia="zh-CN"/>
        </w:rPr>
        <w:t>规划纲要》</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根据《健康中国 2030 规划纲要》，党中央、国务院高度重视卫生与健康事业发展，提出推进健康中国建设，将卫生与健康事业发展摆在了经济社会发展全局的重要位置。《健康中国 2030 规划纲要》指出：推进健康中国建设，是全面建成小康社会、基本实现社会主义现代化的重要基础，是全面提升中华民族健康素质、实现人民健康与经济社会协调发展的国家战略，是积极参与全球健康治理、履行 2030 年可持续发展议程国际承诺的重大举措。</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“共建共享、全民健康”，是建设健康中国的战略主题。核心是以人民健康为中心，坚持以基层为重点，以改革创新为动力，预防为主，中西医并重，把健康融入所有政策，人民共建共享的卫生与健康工作方针。 </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本项目为疾病预防控制中心建设，可以完善宁远县疾病预防控制中心，符合《健康中国 </w:t>
      </w:r>
      <w:r>
        <w:rPr>
          <w:rFonts w:hint="default" w:ascii="Times New Roman" w:hAnsi="Times New Roman" w:eastAsia="宋体" w:cs="Times New Roman"/>
          <w:spacing w:val="4"/>
          <w:sz w:val="24"/>
          <w:szCs w:val="24"/>
          <w:lang w:val="en-US" w:eastAsia="zh-CN"/>
        </w:rPr>
        <w:t xml:space="preserve">2030 </w:t>
      </w:r>
      <w:r>
        <w:rPr>
          <w:rFonts w:hint="eastAsia" w:ascii="Times New Roman" w:hAnsi="Times New Roman" w:eastAsia="宋体" w:cs="Times New Roman"/>
          <w:spacing w:val="4"/>
          <w:sz w:val="24"/>
          <w:szCs w:val="24"/>
          <w:lang w:val="en-US" w:eastAsia="zh-CN"/>
        </w:rPr>
        <w:t>规划纲要》相关要求。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4、《关于疾病预防控制体系建设的若干规定》（卫生部第 </w:t>
      </w:r>
      <w:r>
        <w:rPr>
          <w:rFonts w:hint="default" w:ascii="Times New Roman" w:hAnsi="Times New Roman" w:eastAsia="宋体" w:cs="Times New Roman"/>
          <w:spacing w:val="4"/>
          <w:sz w:val="24"/>
          <w:szCs w:val="24"/>
          <w:lang w:val="en-US" w:eastAsia="zh-CN"/>
        </w:rPr>
        <w:t xml:space="preserve">40 </w:t>
      </w:r>
      <w:r>
        <w:rPr>
          <w:rFonts w:hint="eastAsia" w:ascii="Times New Roman" w:hAnsi="Times New Roman" w:eastAsia="宋体" w:cs="Times New Roman"/>
          <w:spacing w:val="4"/>
          <w:sz w:val="24"/>
          <w:szCs w:val="24"/>
          <w:lang w:val="en-US" w:eastAsia="zh-CN"/>
        </w:rPr>
        <w:t xml:space="preserve">号令） </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根据《关于疾病预防控制体系建设的若干规定》（卫生部第 </w:t>
      </w:r>
      <w:r>
        <w:rPr>
          <w:rFonts w:hint="default" w:ascii="Times New Roman" w:hAnsi="Times New Roman" w:eastAsia="宋体" w:cs="Times New Roman"/>
          <w:spacing w:val="4"/>
          <w:sz w:val="24"/>
          <w:szCs w:val="24"/>
          <w:lang w:val="en-US" w:eastAsia="zh-CN"/>
        </w:rPr>
        <w:t xml:space="preserve">40 </w:t>
      </w:r>
      <w:r>
        <w:rPr>
          <w:rFonts w:hint="eastAsia" w:ascii="Times New Roman" w:hAnsi="Times New Roman" w:eastAsia="宋体" w:cs="Times New Roman"/>
          <w:spacing w:val="4"/>
          <w:sz w:val="24"/>
          <w:szCs w:val="24"/>
          <w:lang w:val="en-US" w:eastAsia="zh-CN"/>
        </w:rPr>
        <w:t xml:space="preserve">号令），加强疾病预防控制机构建设，完善疾病预防控制机构体系，提高对危害人民健康的重大疾病的预防控制和对暴发疫情、中毒及生物化学恐怖等突发公共卫生事件的处理和反应能力，是提高卫生服务质量与效率、保护人民健康、维护社会稳定、促进经济发展的重要举措。要重点加强省级疾病预防控制中心的建设，使其成为辖区内疾病预防控制业务技术管理指导中心、专业技能培训中心和疾病信息管理中心，具备对重大疾病综合防治能力；突发公共卫生事件的快速反应和综合处理能力以及疾病预防控制工作规划 指导能力开展慢性非传染性疾病、伤害综合防治与干预研究；建立与国际接轨的、符合国家实验室认可要求的检验检测中心，重点加强应急检验、艾滋病、脊髓灰质炎和毒物检测等实验室建设，具有鼠疫、霍乱、炭疽等法定传染病和新发传染病病原检测分离能力；传染病菌毒种安全管理能力；食品安全风险评估能力。加强预防医学应用研究和人才培养，建立和造就一批能够适应疾病预防控制工作需要的重点学科和学科带头人。 </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 xml:space="preserve">项目建设符合《关于疾病预防控制体系建设的若干规定》（卫生部第 </w:t>
      </w:r>
      <w:r>
        <w:rPr>
          <w:rFonts w:hint="default" w:ascii="Times New Roman" w:hAnsi="Times New Roman" w:eastAsia="宋体" w:cs="Times New Roman"/>
          <w:spacing w:val="4"/>
          <w:sz w:val="24"/>
          <w:szCs w:val="24"/>
          <w:lang w:val="en-US" w:eastAsia="zh-CN"/>
        </w:rPr>
        <w:t xml:space="preserve">40 </w:t>
      </w:r>
      <w:r>
        <w:rPr>
          <w:rFonts w:hint="eastAsia" w:ascii="Times New Roman" w:hAnsi="Times New Roman" w:eastAsia="宋体" w:cs="Times New Roman"/>
          <w:spacing w:val="4"/>
          <w:sz w:val="24"/>
          <w:szCs w:val="24"/>
          <w:lang w:val="en-US" w:eastAsia="zh-CN"/>
        </w:rPr>
        <w:t>号令）相关要求。</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5、《湖南省公共卫生防控救治能力重点建设行动方案（2020-2023 年）》</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根据《湖南省公共卫生防控救治能力重点建设行动方案（2020-2023 年）》要求：着力提升监测分析、预防控制、公共管理、应急处置水平，建成整体协同、功能完善、反应快速、高效专业的省市县乡一体化疾病预防控制网络。</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一）建设国内一流的区域性疾控中心。一是完善设施。加快省疾控中心择址新建项目建设进度，尽快建成公共卫生业务大楼、毒理实验楼、理化实验楼、生物实验楼以及独立的生物安全三级实验室等基础设施；规划建设二噁英等职业病检测和放射性检测实验室、菌毒种库、卫生应急指挥中心、卫生应急和公共卫生医师培训基地、预防医学科研中心、健康教育科普基地等。二是提升能力。按照国家标准配齐核酸测序仪、细菌鉴定飞行质谱仪、全自动移液工作站、气相色谱-高分辨质谱联用仪、液相色谱-高分辨质谱联用仪等检验检测设备，配置移动病原生物和化学中毒检测实验室，创建国家区域性公共卫生实验室和重大疫情确证实验室。到 2023 年，形成传染病检测“一锤定音”的检测能力，满足全省实验室质控、复核及各类实验室检测需求。具备 400 种传染病病原快速诊断侦测、900 种化学品应急检测技术，检测项目达到 2000 个以上。三是拓展职能。依托省疾控中心建设湖南省公共卫生研究院和公共卫生医师培训基地，与省内医学院校公共卫生学院建立协作机制，共同承担全省公共卫生领域政策研究、基础性研究、应用技术研究、原始创新研究和公共卫生人才培养等任务。采用省市共建模式，以长沙市公共卫生救治中心（长沙市第一人民医院北院）为基础，建设湖南省公共卫生救治中心，承担全省艾滋病、寄生虫病、呼吸道疾病、传染病及不明原因疾病等患者的集中收治、隔离救治、诊断治疗及指导援助。配套扩建省血液中心，提升重大疫情时期血浆采集与制备、临床用血供应等保障能力。</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（二）实施市县疾控能力提升工程。一是提升市级疾控中心检验检测和综合服务能力。推进 14 个市级疾控中心标准化建设，补齐业务用房 3 万平方米的建设缺口，配齐全自动微生物快速分子诊断系统等检验检测设备，配备应急、消毒、疫苗、特种车辆等物资和设备，重点加强负压生物安全二级实验室建设，具备传染病病原体、健康危害因素和实施国家卫生标准所需的检验检测能力，增强市级疾控中心综合服务能力。科学配置移动生物安全二级实验室，满足快速检测需要。二是提升县级疾控中心疫情发现和现场处置能力。推进县级疾控中心标准化建设，补齐县级疾控中心业务用房 12 万平方米的建设缺口，配齐检验检测、特种车辆等设施设备，重点加强现场检验检测、流行病学调查、应急处置等方面的设施设备建设，能够承担病毒核酸、传染病病原体、健康危害因素和化学毒物检验检测，尽早发现传染病疫情并作初步处置。统筹疾病控制中心、医院、第三方检验检测机构力量，提升全省检验检测能力。</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（三）提升基层公共卫生和监测预警能力。按照基层医疗卫生机构“六位一体”职能，依托服务半径大、服务人口多的 75 个乡镇中心卫生院，统筹建设一批县域医疗卫生副中心；依托社区卫生服务中心建设一批社区医院。继续推进乡镇中心卫生院、社区卫生服务中心和行政村卫生室标准化建设。为基层医疗卫生机构补齐公卫巡诊车、彩超、数字化 X 光机、全自动生化仪等设备，建设具备隔离条件的发热门诊和隔离观察室，改善基础设施条件和提升医疗设备水平。完善基层哨点体系，推进口岸、机场、火车站、长途客运站、学校等场所监测哨点建设。着力加强传染病防治、预防接种、康复、健康教育等方面的能力建设，提高基层公共卫生服务和传染病预检、分诊、预警能力。</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四）健全疾病预防控制机制。统筹推进防控救治基础设施建设与医疗卫生事业体制改革，进一步强化公共卫生法治保障，完善公共卫生事件应急组织指挥体系和应急预案，创新突发重大公共卫生事件风险研判、评估、决策、防控协同机制，健全应急物资保障机制、重大疾病医疗保险和救助制度以及中医药协同参与机制，建立“健康湖南”行动、爱国卫生运动工作常态化机制。</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本项目属于宁远县疾病预防控制中心，主要承担永州市宁远县辖区内的疾病预防控制，符合《湖南省公共卫生防控救治能力重点建设行动方案（2020-2023 年）》要求。</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6、与《湖南省主体功能区规划》的符合性分析</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根据《湖南省主体功能区规划》湘政发[2012]39 号。永州市宁远县属于国家级重点生态功能区。功能定位为：保障我省生态安全的重要区域，建设绿色湖南的重要载体，实现可持续发展的重要生态功能区，人与自然和谐相处的示范区。维系长江流域和珠江流域水体安全，减少河流泥沙，维护生物多样性的重要区域。</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default" w:eastAsia="宋体"/>
          <w:lang w:val="en-US" w:eastAsia="zh-CN"/>
        </w:rPr>
      </w:pPr>
      <w:r>
        <w:rPr>
          <w:rFonts w:hint="eastAsia" w:ascii="Times New Roman" w:hAnsi="Times New Roman" w:eastAsia="宋体" w:cs="Times New Roman"/>
          <w:spacing w:val="4"/>
          <w:sz w:val="24"/>
          <w:szCs w:val="24"/>
          <w:lang w:val="en-US" w:eastAsia="zh-CN"/>
        </w:rPr>
        <w:t>本项目属于健康产业的疾控中心，建设地点位于城镇区域，服务于人民群众健康安全，不会破坏周边生态安全。符合《湖南省主体功能区规划》发展任务要求。</w:t>
      </w:r>
    </w:p>
    <w:p>
      <w:pPr>
        <w:pStyle w:val="4"/>
        <w:bidi w:val="0"/>
        <w:rPr>
          <w:rFonts w:hint="eastAsia"/>
        </w:rPr>
      </w:pPr>
      <w:bookmarkStart w:id="13" w:name="_Toc32724"/>
      <w:r>
        <w:rPr>
          <w:rFonts w:hint="eastAsia"/>
        </w:rPr>
        <w:t>1.4.</w:t>
      </w:r>
      <w:r>
        <w:rPr>
          <w:rFonts w:hint="eastAsia"/>
          <w:lang w:val="en-US" w:eastAsia="zh-CN"/>
        </w:rPr>
        <w:t>4</w:t>
      </w:r>
      <w:r>
        <w:rPr>
          <w:rFonts w:hint="eastAsia"/>
        </w:rPr>
        <w:t>. 与相关</w:t>
      </w:r>
      <w:r>
        <w:rPr>
          <w:rFonts w:hint="eastAsia"/>
          <w:lang w:val="en-US" w:eastAsia="zh-CN"/>
        </w:rPr>
        <w:t>规范</w:t>
      </w:r>
      <w:r>
        <w:rPr>
          <w:rFonts w:hint="eastAsia"/>
        </w:rPr>
        <w:t>政策符合性分析</w:t>
      </w:r>
      <w:bookmarkEnd w:id="13"/>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val="en-US" w:eastAsia="zh-CN"/>
        </w:rPr>
        <w:t>1、与《疾病预防控制中心建设标准》（建标127-2009）符合性分析</w:t>
      </w:r>
    </w:p>
    <w:p>
      <w:pPr>
        <w:pStyle w:val="7"/>
        <w:spacing w:line="360" w:lineRule="auto"/>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根据《疾病预防控制中心建设标准》（建标127-2009），符和性分析详见表1-2。</w:t>
      </w:r>
    </w:p>
    <w:p>
      <w:pPr>
        <w:pStyle w:val="8"/>
        <w:spacing w:before="120" w:beforeLines="50"/>
        <w:rPr>
          <w:rFonts w:ascii="Times New Roman" w:hAnsi="Times New Roman" w:eastAsia="宋体"/>
          <w:b/>
          <w:bCs/>
          <w:color w:val="auto"/>
          <w:sz w:val="21"/>
          <w:highlight w:val="none"/>
          <w:u w:val="none"/>
        </w:rPr>
      </w:pPr>
      <w:r>
        <w:rPr>
          <w:rFonts w:ascii="Times New Roman" w:hAnsi="Times New Roman" w:eastAsia="宋体"/>
          <w:b/>
          <w:bCs/>
          <w:color w:val="auto"/>
          <w:sz w:val="21"/>
          <w:highlight w:val="none"/>
          <w:u w:val="none"/>
        </w:rPr>
        <w:t>表</w:t>
      </w:r>
      <w:r>
        <w:rPr>
          <w:rFonts w:hint="eastAsia" w:ascii="Times New Roman" w:hAnsi="Times New Roman" w:eastAsia="宋体"/>
          <w:b/>
          <w:bCs/>
          <w:color w:val="auto"/>
          <w:sz w:val="21"/>
          <w:highlight w:val="none"/>
          <w:u w:val="none"/>
        </w:rPr>
        <w:t>1-</w:t>
      </w:r>
      <w:r>
        <w:rPr>
          <w:rFonts w:hint="eastAsia" w:ascii="Times New Roman" w:hAnsi="Times New Roman" w:eastAsia="宋体"/>
          <w:b/>
          <w:bCs/>
          <w:color w:val="auto"/>
          <w:sz w:val="21"/>
          <w:highlight w:val="none"/>
          <w:u w:val="none"/>
          <w:lang w:val="en-US" w:eastAsia="zh-CN"/>
        </w:rPr>
        <w:t>2</w:t>
      </w:r>
      <w:r>
        <w:rPr>
          <w:rFonts w:hint="eastAsia" w:ascii="Times New Roman" w:hAnsi="Times New Roman" w:eastAsia="宋体"/>
          <w:b/>
          <w:bCs/>
          <w:color w:val="auto"/>
          <w:sz w:val="21"/>
          <w:highlight w:val="none"/>
          <w:u w:val="none"/>
        </w:rPr>
        <w:t xml:space="preserve">  与《疾病预防控制中心建设标准》（建标 127-2009）符合性分析</w:t>
      </w:r>
    </w:p>
    <w:tbl>
      <w:tblPr>
        <w:tblStyle w:val="25"/>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707"/>
        <w:gridCol w:w="3032"/>
        <w:gridCol w:w="1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b/>
                <w:bCs/>
                <w:color w:val="auto"/>
                <w:szCs w:val="21"/>
                <w:highlight w:val="none"/>
                <w:u w:val="none"/>
                <w:lang w:eastAsia="zh-CN"/>
              </w:rPr>
            </w:pPr>
            <w:r>
              <w:rPr>
                <w:rFonts w:hint="eastAsia" w:ascii="Times New Roman" w:hAnsi="Times New Roman" w:eastAsia="宋体"/>
                <w:b/>
                <w:bCs/>
                <w:color w:val="auto"/>
                <w:szCs w:val="21"/>
                <w:highlight w:val="none"/>
                <w:u w:val="none"/>
                <w:lang w:val="en-US" w:eastAsia="zh-CN"/>
              </w:rPr>
              <w:t>序号</w:t>
            </w:r>
          </w:p>
        </w:tc>
        <w:tc>
          <w:tcPr>
            <w:tcW w:w="2361" w:type="pct"/>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（建标 127-2009）要求</w:t>
            </w:r>
          </w:p>
        </w:tc>
        <w:tc>
          <w:tcPr>
            <w:tcW w:w="1521" w:type="pct"/>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本项目情况</w:t>
            </w:r>
          </w:p>
        </w:tc>
        <w:tc>
          <w:tcPr>
            <w:tcW w:w="518" w:type="pct"/>
            <w:tcBorders>
              <w:tl2br w:val="nil"/>
              <w:tr2bl w:val="nil"/>
            </w:tcBorders>
            <w:noWrap w:val="0"/>
            <w:vAlign w:val="center"/>
          </w:tcPr>
          <w:p>
            <w:pPr>
              <w:jc w:val="center"/>
              <w:rPr>
                <w:rFonts w:ascii="Times New Roman" w:hAnsi="Times New Roman" w:eastAsia="宋体"/>
                <w:b/>
                <w:bCs/>
                <w:color w:val="auto"/>
                <w:szCs w:val="21"/>
                <w:highlight w:val="none"/>
                <w:u w:val="none"/>
              </w:rPr>
            </w:pPr>
            <w:r>
              <w:rPr>
                <w:rFonts w:hint="eastAsia" w:ascii="Times New Roman" w:hAnsi="Times New Roman" w:eastAsia="宋体"/>
                <w:b/>
                <w:bCs/>
                <w:color w:val="auto"/>
                <w:szCs w:val="21"/>
                <w:highlight w:val="none"/>
                <w:u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pPr>
              <w:jc w:val="center"/>
              <w:rPr>
                <w:rFonts w:hint="default"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1</w:t>
            </w:r>
          </w:p>
        </w:tc>
        <w:tc>
          <w:tcPr>
            <w:tcW w:w="2361" w:type="pct"/>
            <w:tcBorders>
              <w:tl2br w:val="nil"/>
              <w:tr2bl w:val="nil"/>
            </w:tcBorders>
            <w:noWrap w:val="0"/>
            <w:vAlign w:val="center"/>
          </w:tcPr>
          <w:p>
            <w:pPr>
              <w:widowControl/>
              <w:adjustRightInd w:val="0"/>
              <w:snapToGri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具备较好的工程地质条件和水文地质条件</w:t>
            </w:r>
            <w:r>
              <w:rPr>
                <w:rFonts w:hint="eastAsia" w:ascii="Times New Roman" w:hAnsi="Times New Roman" w:eastAsia="宋体"/>
                <w:color w:val="auto"/>
                <w:szCs w:val="21"/>
                <w:highlight w:val="none"/>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highlight w:val="none"/>
                <w:u w:val="none"/>
                <w:lang w:eastAsia="zh-CN"/>
              </w:rPr>
            </w:pPr>
            <w:r>
              <w:rPr>
                <w:rFonts w:hint="eastAsia" w:ascii="Times New Roman" w:hAnsi="Times New Roman" w:eastAsia="宋体"/>
                <w:color w:val="auto"/>
                <w:highlight w:val="none"/>
                <w:u w:val="none"/>
              </w:rPr>
              <w:t>项目建设位于城区，工程地质条件和水文地质条件较好</w:t>
            </w:r>
            <w:r>
              <w:rPr>
                <w:rFonts w:hint="eastAsia" w:ascii="Times New Roman" w:hAnsi="Times New Roman" w:eastAsia="宋体"/>
                <w:color w:val="auto"/>
                <w:highlight w:val="none"/>
                <w:u w:val="none"/>
                <w:lang w:eastAsia="zh-CN"/>
              </w:rPr>
              <w:t>。</w:t>
            </w:r>
          </w:p>
        </w:tc>
        <w:tc>
          <w:tcPr>
            <w:tcW w:w="518" w:type="pct"/>
            <w:tcBorders>
              <w:tl2br w:val="nil"/>
              <w:tr2bl w:val="nil"/>
            </w:tcBorders>
            <w:noWrap w:val="0"/>
            <w:vAlign w:val="center"/>
          </w:tcPr>
          <w:p>
            <w:pPr>
              <w:jc w:val="center"/>
              <w:rPr>
                <w:rFonts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2</w:t>
            </w:r>
          </w:p>
        </w:tc>
        <w:tc>
          <w:tcPr>
            <w:tcW w:w="2361" w:type="pct"/>
            <w:tcBorders>
              <w:tl2br w:val="nil"/>
              <w:tr2bl w:val="nil"/>
            </w:tcBorders>
            <w:noWrap w:val="0"/>
            <w:vAlign w:val="center"/>
          </w:tcPr>
          <w:p>
            <w:pPr>
              <w:widowControl/>
              <w:adjustRightInd w:val="0"/>
              <w:snapToGri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周边宜有便利的水、电、路等公用基础设施</w:t>
            </w:r>
            <w:r>
              <w:rPr>
                <w:rFonts w:hint="eastAsia" w:ascii="Times New Roman" w:hAnsi="Times New Roman" w:eastAsia="宋体"/>
                <w:color w:val="auto"/>
                <w:szCs w:val="21"/>
                <w:highlight w:val="none"/>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项目所在区域区域自来水、供电、供气、通讯等基础设施配套完善</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3</w:t>
            </w:r>
          </w:p>
        </w:tc>
        <w:tc>
          <w:tcPr>
            <w:tcW w:w="2361" w:type="pct"/>
            <w:tcBorders>
              <w:tl2br w:val="nil"/>
              <w:tr2bl w:val="nil"/>
            </w:tcBorders>
            <w:noWrap w:val="0"/>
            <w:vAlign w:val="center"/>
          </w:tcPr>
          <w:p>
            <w:pPr>
              <w:widowControl/>
              <w:adjustRightInd w:val="0"/>
              <w:snapToGri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地形规整，交通方便</w:t>
            </w:r>
            <w:r>
              <w:rPr>
                <w:rFonts w:hint="eastAsia" w:ascii="Times New Roman" w:hAnsi="Times New Roman" w:eastAsia="宋体"/>
                <w:color w:val="auto"/>
                <w:szCs w:val="21"/>
                <w:highlight w:val="none"/>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项目所在区域地形规整，靠近市政干道，交通方便</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4</w:t>
            </w:r>
          </w:p>
        </w:tc>
        <w:tc>
          <w:tcPr>
            <w:tcW w:w="2361" w:type="pct"/>
            <w:tcBorders>
              <w:tl2br w:val="nil"/>
              <w:tr2bl w:val="nil"/>
            </w:tcBorders>
            <w:noWrap w:val="0"/>
            <w:vAlign w:val="center"/>
          </w:tcPr>
          <w:p>
            <w:pPr>
              <w:widowControl/>
              <w:adjustRightInd w:val="0"/>
              <w:snapToGrid w:val="0"/>
              <w:jc w:val="center"/>
              <w:rPr>
                <w:rFonts w:hint="eastAsia" w:eastAsia="宋体"/>
                <w:kern w:val="0"/>
                <w:szCs w:val="21"/>
                <w:u w:val="none"/>
                <w:lang w:eastAsia="zh-CN"/>
              </w:rPr>
            </w:pPr>
            <w:r>
              <w:rPr>
                <w:rFonts w:hint="eastAsia"/>
                <w:kern w:val="0"/>
                <w:szCs w:val="21"/>
                <w:u w:val="none"/>
              </w:rPr>
              <w:t>避让饮用水源保护区</w:t>
            </w:r>
            <w:r>
              <w:rPr>
                <w:rFonts w:hint="eastAsia" w:eastAsia="宋体"/>
                <w:kern w:val="0"/>
                <w:szCs w:val="21"/>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项目不在饮用水源保护区范围内</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5</w:t>
            </w:r>
          </w:p>
        </w:tc>
        <w:tc>
          <w:tcPr>
            <w:tcW w:w="2361" w:type="pct"/>
            <w:tcBorders>
              <w:tl2br w:val="nil"/>
              <w:tr2bl w:val="nil"/>
            </w:tcBorders>
            <w:noWrap w:val="0"/>
            <w:vAlign w:val="center"/>
          </w:tcPr>
          <w:p>
            <w:pPr>
              <w:widowControl/>
              <w:adjustRightInd w:val="0"/>
              <w:snapToGrid w:val="0"/>
              <w:jc w:val="center"/>
              <w:rPr>
                <w:rFonts w:hint="eastAsia" w:eastAsia="宋体"/>
                <w:kern w:val="0"/>
                <w:szCs w:val="21"/>
                <w:u w:val="none"/>
                <w:lang w:eastAsia="zh-CN"/>
              </w:rPr>
            </w:pPr>
            <w:r>
              <w:rPr>
                <w:rFonts w:hint="eastAsia"/>
                <w:kern w:val="0"/>
                <w:szCs w:val="21"/>
                <w:u w:val="none"/>
              </w:rPr>
              <w:t>避开化学、生物、噪声、振动、强电磁场等污染源及易燃易爆场所</w:t>
            </w:r>
            <w:r>
              <w:rPr>
                <w:rFonts w:hint="eastAsia" w:eastAsia="宋体"/>
                <w:kern w:val="0"/>
                <w:szCs w:val="21"/>
                <w:u w:val="none"/>
                <w:lang w:eastAsia="zh-CN"/>
              </w:rPr>
              <w:t>。</w:t>
            </w:r>
          </w:p>
        </w:tc>
        <w:tc>
          <w:tcPr>
            <w:tcW w:w="1521" w:type="pct"/>
            <w:tcBorders>
              <w:tl2br w:val="nil"/>
              <w:tr2bl w:val="nil"/>
            </w:tcBorders>
            <w:noWrap w:val="0"/>
            <w:vAlign w:val="center"/>
          </w:tcPr>
          <w:p>
            <w:pPr>
              <w:adjustRightInd w:val="0"/>
              <w:jc w:val="center"/>
              <w:rPr>
                <w:rFonts w:ascii="Times New Roman" w:hAnsi="Times New Roman" w:eastAsia="宋体"/>
                <w:color w:val="auto"/>
                <w:szCs w:val="21"/>
                <w:highlight w:val="none"/>
                <w:u w:val="none"/>
              </w:rPr>
            </w:pPr>
            <w:r>
              <w:rPr>
                <w:rFonts w:hint="eastAsia" w:ascii="Times New Roman" w:hAnsi="Times New Roman" w:eastAsia="宋体"/>
                <w:color w:val="auto"/>
                <w:szCs w:val="21"/>
                <w:highlight w:val="none"/>
                <w:u w:val="none"/>
              </w:rPr>
              <w:t>项目周围主要为居住、教育、行政办公用地，附近无化学、生物、噪声、振动、强电磁场等污染源及易燃易爆场所。</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6</w:t>
            </w:r>
          </w:p>
        </w:tc>
        <w:tc>
          <w:tcPr>
            <w:tcW w:w="2361" w:type="pct"/>
            <w:tcBorders>
              <w:tl2br w:val="nil"/>
              <w:tr2bl w:val="nil"/>
            </w:tcBorders>
            <w:noWrap w:val="0"/>
            <w:vAlign w:val="center"/>
          </w:tcPr>
          <w:p>
            <w:pPr>
              <w:widowControl/>
              <w:adjustRightInd w:val="0"/>
              <w:snapToGrid w:val="0"/>
              <w:jc w:val="center"/>
              <w:rPr>
                <w:kern w:val="0"/>
                <w:szCs w:val="21"/>
                <w:u w:val="none"/>
              </w:rPr>
            </w:pPr>
            <w:r>
              <w:rPr>
                <w:rFonts w:hint="eastAsia"/>
                <w:kern w:val="0"/>
                <w:szCs w:val="21"/>
                <w:u w:val="none"/>
              </w:rPr>
              <w:t>实验用房的空调系统应具有独立、灵活、节能的特点。有洁净、恒温恒湿、负压等特殊空气</w:t>
            </w:r>
            <w:r>
              <w:rPr>
                <w:rFonts w:hint="eastAsia" w:eastAsia="宋体"/>
                <w:kern w:val="0"/>
                <w:szCs w:val="21"/>
                <w:u w:val="none"/>
                <w:lang w:eastAsia="zh-CN"/>
              </w:rPr>
              <w:t>。</w:t>
            </w:r>
            <w:r>
              <w:rPr>
                <w:rFonts w:hint="eastAsia"/>
                <w:kern w:val="0"/>
                <w:szCs w:val="21"/>
                <w:u w:val="none"/>
              </w:rPr>
              <w:t>条件要求的实验用房，空气调节系统宜分别独立设置；若采取合并系统，应按功能、类别进行归类组合形成不同的系统单元，各系统单元独立设置。不同功能类别的实验用房，不得采用公共新风、回风和排风系统。</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项目采用独立空调，具有独立、灵活、节能的特点。不同功能类别的实验用房，采用不同的新风、回风和排风系统</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7</w:t>
            </w:r>
          </w:p>
        </w:tc>
        <w:tc>
          <w:tcPr>
            <w:tcW w:w="2361" w:type="pct"/>
            <w:tcBorders>
              <w:tl2br w:val="nil"/>
              <w:tr2bl w:val="nil"/>
            </w:tcBorders>
            <w:noWrap w:val="0"/>
            <w:vAlign w:val="center"/>
          </w:tcPr>
          <w:p>
            <w:pPr>
              <w:widowControl/>
              <w:adjustRightInd w:val="0"/>
              <w:snapToGrid w:val="0"/>
              <w:jc w:val="center"/>
              <w:rPr>
                <w:kern w:val="0"/>
                <w:szCs w:val="21"/>
                <w:u w:val="none"/>
              </w:rPr>
            </w:pPr>
            <w:r>
              <w:rPr>
                <w:rFonts w:hint="eastAsia"/>
                <w:kern w:val="0"/>
                <w:szCs w:val="21"/>
                <w:u w:val="none"/>
              </w:rPr>
              <w:t>设置实验用房建筑的电梯，按用途可分为客梯和货梯两类；按专业清洁要求可分为清洁梯和污物梯两类。</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设置清洁梯和污物梯两类</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8</w:t>
            </w:r>
          </w:p>
        </w:tc>
        <w:tc>
          <w:tcPr>
            <w:tcW w:w="2361" w:type="pct"/>
            <w:tcBorders>
              <w:tl2br w:val="nil"/>
              <w:tr2bl w:val="nil"/>
            </w:tcBorders>
            <w:noWrap w:val="0"/>
            <w:vAlign w:val="center"/>
          </w:tcPr>
          <w:p>
            <w:pPr>
              <w:widowControl/>
              <w:adjustRightInd w:val="0"/>
              <w:snapToGrid w:val="0"/>
              <w:jc w:val="center"/>
              <w:rPr>
                <w:rFonts w:hint="eastAsia" w:eastAsia="宋体"/>
                <w:kern w:val="0"/>
                <w:szCs w:val="21"/>
                <w:u w:val="none"/>
                <w:lang w:eastAsia="zh-CN"/>
              </w:rPr>
            </w:pPr>
            <w:r>
              <w:rPr>
                <w:rFonts w:hint="eastAsia"/>
                <w:kern w:val="0"/>
                <w:szCs w:val="21"/>
                <w:u w:val="none"/>
              </w:rPr>
              <w:t>疾病预防控制中心用房在楼宇中的垂直布局，应根据各类用房散发废气的毒性、刺激性及异嗅的强弱程度，以及工程管网量，并考虑合理的人流、物流组织和工作流程来确定。实验、业务、保障及行政等各类功能用房集中在一个楼宇时，宜将实验用房置于楼宇最上部，明确功能分区，保证实验用房呈独立区域，并处理好交通关系，建立完善的管理机制，避免不同类别的人流、物流相混杂。其余用房的垂直布局宜按照业务、行政及保障用房依次向下布置</w:t>
            </w:r>
            <w:r>
              <w:rPr>
                <w:rFonts w:hint="eastAsia" w:eastAsia="宋体"/>
                <w:kern w:val="0"/>
                <w:szCs w:val="21"/>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项目微生物实验室、理化实验室、Pcr实验室单独设置在检验检测楼，明确了功能分区，保证实验用房呈独立区域</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pPr>
              <w:jc w:val="center"/>
              <w:rPr>
                <w:rFonts w:hint="eastAsia" w:ascii="Times New Roman" w:hAnsi="Times New Roman" w:eastAsia="宋体"/>
                <w:color w:val="auto"/>
                <w:kern w:val="0"/>
                <w:szCs w:val="21"/>
                <w:highlight w:val="none"/>
                <w:u w:val="none"/>
                <w:lang w:val="en-US" w:eastAsia="zh-CN"/>
              </w:rPr>
            </w:pPr>
            <w:r>
              <w:rPr>
                <w:rFonts w:hint="eastAsia" w:ascii="Times New Roman" w:hAnsi="Times New Roman" w:eastAsia="宋体"/>
                <w:color w:val="auto"/>
                <w:kern w:val="0"/>
                <w:szCs w:val="21"/>
                <w:highlight w:val="none"/>
                <w:u w:val="none"/>
                <w:lang w:val="en-US" w:eastAsia="zh-CN"/>
              </w:rPr>
              <w:t>9</w:t>
            </w:r>
          </w:p>
        </w:tc>
        <w:tc>
          <w:tcPr>
            <w:tcW w:w="2361" w:type="pct"/>
            <w:tcBorders>
              <w:tl2br w:val="nil"/>
              <w:tr2bl w:val="nil"/>
            </w:tcBorders>
            <w:noWrap w:val="0"/>
            <w:vAlign w:val="center"/>
          </w:tcPr>
          <w:p>
            <w:pPr>
              <w:widowControl/>
              <w:adjustRightInd w:val="0"/>
              <w:snapToGrid w:val="0"/>
              <w:jc w:val="center"/>
              <w:rPr>
                <w:rFonts w:hint="eastAsia" w:eastAsia="宋体"/>
                <w:kern w:val="0"/>
                <w:szCs w:val="21"/>
                <w:u w:val="none"/>
                <w:lang w:val="en-US" w:eastAsia="zh-CN"/>
              </w:rPr>
            </w:pPr>
            <w:r>
              <w:rPr>
                <w:rFonts w:hint="eastAsia"/>
                <w:kern w:val="0"/>
                <w:szCs w:val="21"/>
                <w:u w:val="none"/>
              </w:rPr>
              <w:t>排水方式。实验废水排水系统，按所排除的污水性质、成分和被污染的程度并结合室外排水系统的情况，可设置分流排水或合流排水系统</w:t>
            </w:r>
            <w:r>
              <w:rPr>
                <w:rFonts w:hint="eastAsia" w:eastAsia="宋体"/>
                <w:kern w:val="0"/>
                <w:szCs w:val="21"/>
                <w:u w:val="none"/>
                <w:lang w:eastAsia="zh-CN"/>
              </w:rPr>
              <w:t>。</w:t>
            </w:r>
          </w:p>
        </w:tc>
        <w:tc>
          <w:tcPr>
            <w:tcW w:w="152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rPr>
              <w:t>项目设置分流排水系统</w:t>
            </w:r>
            <w:r>
              <w:rPr>
                <w:rFonts w:hint="eastAsia" w:ascii="Times New Roman" w:hAnsi="Times New Roman" w:eastAsia="宋体"/>
                <w:color w:val="auto"/>
                <w:szCs w:val="21"/>
                <w:highlight w:val="none"/>
                <w:u w:val="none"/>
                <w:lang w:eastAsia="zh-CN"/>
              </w:rPr>
              <w:t>。</w:t>
            </w:r>
          </w:p>
        </w:tc>
        <w:tc>
          <w:tcPr>
            <w:tcW w:w="518" w:type="pct"/>
            <w:tcBorders>
              <w:tl2br w:val="nil"/>
              <w:tr2bl w:val="nil"/>
            </w:tcBorders>
            <w:noWrap w:val="0"/>
            <w:vAlign w:val="center"/>
          </w:tcPr>
          <w:p>
            <w:pPr>
              <w:jc w:val="center"/>
              <w:rPr>
                <w:rFonts w:hint="eastAsia" w:ascii="Times New Roman" w:hAnsi="Times New Roman" w:eastAsia="宋体"/>
                <w:color w:val="auto"/>
                <w:szCs w:val="21"/>
                <w:highlight w:val="none"/>
                <w:u w:val="none"/>
              </w:rPr>
            </w:pPr>
            <w:r>
              <w:rPr>
                <w:rFonts w:ascii="Times New Roman" w:hAnsi="Times New Roman" w:eastAsia="宋体"/>
                <w:color w:val="auto"/>
                <w:szCs w:val="21"/>
                <w:highlight w:val="none"/>
                <w:u w:val="none"/>
              </w:rPr>
              <w:t>符合</w:t>
            </w:r>
          </w:p>
        </w:tc>
      </w:tr>
    </w:tbl>
    <w:p>
      <w:pPr>
        <w:rPr>
          <w:rFonts w:hint="default"/>
          <w:lang w:val="en-US" w:eastAsia="zh-CN"/>
        </w:rPr>
      </w:pPr>
    </w:p>
    <w:p>
      <w:pPr>
        <w:spacing w:before="3" w:line="360" w:lineRule="auto"/>
        <w:ind w:right="86" w:rightChars="0" w:firstLine="496" w:firstLineChars="200"/>
        <w:jc w:val="both"/>
        <w:outlineLvl w:val="2"/>
        <w:rPr>
          <w:rFonts w:hint="eastAsia" w:ascii="Times New Roman" w:hAnsi="Times New Roman" w:eastAsia="宋体" w:cs="Times New Roman"/>
          <w:b w:val="0"/>
          <w:bCs w:val="0"/>
          <w:spacing w:val="4"/>
          <w:sz w:val="24"/>
          <w:szCs w:val="24"/>
          <w:lang w:val="en-US" w:eastAsia="zh-CN"/>
        </w:rPr>
      </w:pPr>
      <w:bookmarkStart w:id="14" w:name="_Toc2980"/>
      <w:r>
        <w:rPr>
          <w:rFonts w:hint="eastAsia" w:ascii="Times New Roman" w:hAnsi="Times New Roman" w:eastAsia="宋体" w:cs="Times New Roman"/>
          <w:b w:val="0"/>
          <w:bCs w:val="0"/>
          <w:spacing w:val="4"/>
          <w:sz w:val="24"/>
          <w:szCs w:val="24"/>
          <w:lang w:val="en-US" w:eastAsia="zh-CN"/>
        </w:rPr>
        <w:t>2、与《疾病预防控制中心建筑技术规范》（GB50881-2013）符合性分析</w:t>
      </w:r>
    </w:p>
    <w:p>
      <w:pPr>
        <w:spacing w:before="3" w:line="360" w:lineRule="auto"/>
        <w:ind w:right="86" w:rightChars="0" w:firstLine="496" w:firstLineChars="200"/>
        <w:jc w:val="both"/>
        <w:outlineLvl w:val="2"/>
        <w:rPr>
          <w:rFonts w:hint="default" w:ascii="Times New Roman" w:hAnsi="Times New Roman" w:eastAsia="宋体" w:cs="Times New Roman"/>
          <w:b w:val="0"/>
          <w:bCs w:val="0"/>
          <w:spacing w:val="4"/>
          <w:sz w:val="24"/>
          <w:szCs w:val="24"/>
          <w:lang w:val="en-US" w:eastAsia="zh-CN"/>
        </w:rPr>
      </w:pPr>
      <w:r>
        <w:rPr>
          <w:rFonts w:hint="eastAsia" w:ascii="Times New Roman" w:hAnsi="Times New Roman" w:eastAsia="宋体" w:cs="Times New Roman"/>
          <w:b w:val="0"/>
          <w:bCs w:val="0"/>
          <w:spacing w:val="4"/>
          <w:sz w:val="24"/>
          <w:szCs w:val="24"/>
          <w:lang w:val="en-US" w:eastAsia="zh-CN"/>
        </w:rPr>
        <w:t>对照《疾病预防控制中心建筑技术规范》（GB50881-2013）中的相关内容，本项目符合《疾病预防控制中心建筑技术规范》（GB50881-2013）的选址相关内容，相符性分析详见表 1-3。</w:t>
      </w:r>
    </w:p>
    <w:p>
      <w:pPr>
        <w:pStyle w:val="8"/>
        <w:spacing w:before="120" w:beforeLines="50"/>
        <w:rPr>
          <w:rFonts w:ascii="Times New Roman" w:hAnsi="Times New Roman" w:eastAsia="宋体"/>
          <w:b/>
          <w:bCs/>
          <w:color w:val="auto"/>
          <w:sz w:val="21"/>
          <w:highlight w:val="none"/>
          <w:u w:val="none"/>
        </w:rPr>
      </w:pPr>
      <w:r>
        <w:rPr>
          <w:rFonts w:ascii="Times New Roman" w:hAnsi="Times New Roman" w:eastAsia="宋体"/>
          <w:b/>
          <w:bCs/>
          <w:color w:val="auto"/>
          <w:sz w:val="21"/>
          <w:highlight w:val="none"/>
          <w:u w:val="none"/>
        </w:rPr>
        <w:t>表</w:t>
      </w:r>
      <w:r>
        <w:rPr>
          <w:rFonts w:hint="eastAsia" w:ascii="Times New Roman" w:hAnsi="Times New Roman" w:eastAsia="宋体"/>
          <w:b/>
          <w:bCs/>
          <w:color w:val="auto"/>
          <w:sz w:val="21"/>
          <w:highlight w:val="none"/>
          <w:u w:val="none"/>
        </w:rPr>
        <w:t>1-</w:t>
      </w:r>
      <w:r>
        <w:rPr>
          <w:rFonts w:hint="eastAsia" w:ascii="Times New Roman" w:hAnsi="Times New Roman" w:eastAsia="宋体"/>
          <w:b/>
          <w:bCs/>
          <w:color w:val="auto"/>
          <w:sz w:val="21"/>
          <w:highlight w:val="none"/>
          <w:u w:val="none"/>
          <w:lang w:val="en-US" w:eastAsia="zh-CN"/>
        </w:rPr>
        <w:t>3</w:t>
      </w:r>
      <w:r>
        <w:rPr>
          <w:rFonts w:hint="eastAsia" w:ascii="Times New Roman" w:hAnsi="Times New Roman" w:eastAsia="宋体"/>
          <w:b/>
          <w:bCs/>
          <w:color w:val="auto"/>
          <w:sz w:val="21"/>
          <w:highlight w:val="none"/>
          <w:u w:val="none"/>
        </w:rPr>
        <w:t xml:space="preserve">  与《疾病预防控制中心建筑技术规范》（GB50881-2013）符合性分析</w:t>
      </w:r>
    </w:p>
    <w:tbl>
      <w:tblPr>
        <w:tblStyle w:val="25"/>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4725"/>
        <w:gridCol w:w="4095"/>
        <w:gridCol w:w="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tcBorders>
              <w:tl2br w:val="nil"/>
              <w:tr2bl w:val="nil"/>
            </w:tcBorders>
            <w:noWrap w:val="0"/>
            <w:vAlign w:val="center"/>
          </w:tcPr>
          <w:p>
            <w:pPr>
              <w:jc w:val="center"/>
              <w:rPr>
                <w:rFonts w:hint="eastAsia" w:ascii="Times New Roman" w:hAnsi="Times New Roman" w:eastAsia="宋体" w:cs="Times New Roman"/>
                <w:b/>
                <w:bCs/>
                <w:color w:val="auto"/>
                <w:sz w:val="21"/>
                <w:szCs w:val="21"/>
                <w:highlight w:val="none"/>
                <w:u w:val="none"/>
                <w:lang w:eastAsia="zh-CN"/>
              </w:rPr>
            </w:pPr>
            <w:r>
              <w:rPr>
                <w:rFonts w:hint="eastAsia" w:ascii="Times New Roman" w:hAnsi="Times New Roman" w:eastAsia="宋体" w:cs="Times New Roman"/>
                <w:b/>
                <w:bCs/>
                <w:color w:val="auto"/>
                <w:sz w:val="21"/>
                <w:szCs w:val="21"/>
                <w:highlight w:val="none"/>
                <w:u w:val="none"/>
                <w:lang w:val="en-US" w:eastAsia="zh-CN"/>
              </w:rPr>
              <w:t>序号</w:t>
            </w:r>
          </w:p>
        </w:tc>
        <w:tc>
          <w:tcPr>
            <w:tcW w:w="2371" w:type="pct"/>
            <w:tcBorders>
              <w:tl2br w:val="nil"/>
              <w:tr2bl w:val="nil"/>
            </w:tcBorders>
            <w:noWrap w:val="0"/>
            <w:vAlign w:val="center"/>
          </w:tcPr>
          <w:p>
            <w:pPr>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（GB50881-2013）要求</w:t>
            </w:r>
          </w:p>
        </w:tc>
        <w:tc>
          <w:tcPr>
            <w:tcW w:w="2055" w:type="pct"/>
            <w:tcBorders>
              <w:tl2br w:val="nil"/>
              <w:tr2bl w:val="nil"/>
            </w:tcBorders>
            <w:noWrap w:val="0"/>
            <w:vAlign w:val="center"/>
          </w:tcPr>
          <w:p>
            <w:pPr>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本项目情况</w:t>
            </w:r>
          </w:p>
        </w:tc>
        <w:tc>
          <w:tcPr>
            <w:tcW w:w="294" w:type="pct"/>
            <w:tcBorders>
              <w:tl2br w:val="nil"/>
              <w:tr2bl w:val="nil"/>
            </w:tcBorders>
            <w:noWrap w:val="0"/>
            <w:vAlign w:val="center"/>
          </w:tcPr>
          <w:p>
            <w:pPr>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选址</w:t>
            </w: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疾控中心的选址，应符合所在城市的总体规划和布局要求。</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项目符合所在城市的总体规划和布局要求</w:t>
            </w:r>
            <w:r>
              <w:rPr>
                <w:rFonts w:hint="default"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应具备较好的工程地质条件和水文地质条件。</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项目建设位于城区，工程地质条件和水文地质条件较好</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周边宜有便利的水、电、路等公用基础设施。</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snapToGrid w:val="0"/>
                <w:color w:val="auto"/>
                <w:kern w:val="0"/>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项目所在区域区域自来水、供电、供气、通讯等基础设施配套完善</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eastAsia="zh-CN"/>
              </w:rPr>
              <w:t>地形宜规整，交通方便</w:t>
            </w:r>
            <w:r>
              <w:rPr>
                <w:rFonts w:hint="eastAsia" w:ascii="Times New Roman" w:hAnsi="Times New Roman" w:eastAsia="宋体" w:cs="Times New Roman"/>
                <w:b w:val="0"/>
                <w:bCs w:val="0"/>
                <w:color w:val="auto"/>
                <w:sz w:val="21"/>
                <w:szCs w:val="21"/>
                <w:highlight w:val="none"/>
                <w:u w:val="none"/>
                <w:lang w:val="en-US" w:eastAsia="zh-CN"/>
              </w:rPr>
              <w:t>。</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snapToGrid w:val="0"/>
                <w:color w:val="auto"/>
                <w:kern w:val="0"/>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项目所在区域地形规整，靠近市政干道，交通方便</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rPr>
              <w:t>避让饮用水源保护区</w:t>
            </w:r>
            <w:r>
              <w:rPr>
                <w:rFonts w:hint="eastAsia" w:ascii="Times New Roman" w:hAnsi="Times New Roman" w:eastAsia="宋体" w:cs="Times New Roman"/>
                <w:b w:val="0"/>
                <w:bCs w:val="0"/>
                <w:kern w:val="0"/>
                <w:sz w:val="21"/>
                <w:szCs w:val="21"/>
                <w:u w:val="none"/>
                <w:lang w:eastAsia="zh-CN"/>
              </w:rPr>
              <w:t>。</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项目不在饮用水源保护区范围内</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rPr>
              <w:t>避开化学、生物、噪声、振动、强电磁场等污染源及易燃易爆场所</w:t>
            </w:r>
            <w:r>
              <w:rPr>
                <w:rFonts w:hint="eastAsia" w:ascii="Times New Roman" w:hAnsi="Times New Roman" w:eastAsia="宋体" w:cs="Times New Roman"/>
                <w:b w:val="0"/>
                <w:bCs w:val="0"/>
                <w:kern w:val="0"/>
                <w:sz w:val="21"/>
                <w:szCs w:val="21"/>
                <w:u w:val="none"/>
                <w:lang w:eastAsia="zh-CN"/>
              </w:rPr>
              <w:t>。</w:t>
            </w:r>
          </w:p>
        </w:tc>
        <w:tc>
          <w:tcPr>
            <w:tcW w:w="2055" w:type="pct"/>
            <w:tcBorders>
              <w:tl2br w:val="nil"/>
              <w:tr2bl w:val="nil"/>
            </w:tcBorders>
            <w:noWrap w:val="0"/>
            <w:vAlign w:val="center"/>
          </w:tcPr>
          <w:p>
            <w:pPr>
              <w:adjustRightInd w:val="0"/>
              <w:jc w:val="center"/>
              <w:rPr>
                <w:rFonts w:ascii="Times New Roman" w:hAnsi="Times New Roman" w:eastAsia="宋体" w:cs="Times New Roman"/>
                <w:b w:val="0"/>
                <w:bCs w:val="0"/>
                <w:color w:val="auto"/>
                <w:sz w:val="21"/>
                <w:szCs w:val="21"/>
                <w:highlight w:val="none"/>
                <w:u w:val="none"/>
              </w:rPr>
            </w:pPr>
            <w:r>
              <w:rPr>
                <w:rFonts w:hint="eastAsia" w:ascii="Times New Roman" w:hAnsi="Times New Roman" w:eastAsia="宋体" w:cs="Times New Roman"/>
                <w:b w:val="0"/>
                <w:bCs w:val="0"/>
                <w:color w:val="auto"/>
                <w:sz w:val="21"/>
                <w:szCs w:val="21"/>
                <w:highlight w:val="none"/>
                <w:u w:val="none"/>
              </w:rPr>
              <w:t>项目周围主要为居住、教育、行政办公用地，附近无化学、生物、噪声、振动、强电磁场等污染源及易燃易爆场所。</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rPr>
              <w:t>应避开地震断裂带、滑坡、泥石流、洪水、山洪等自然灾害地段。对建筑抗震不利地段，应提出避开要求或采取有效措施；严禁在抗震危险地段建造疾控中心的各类建筑</w:t>
            </w:r>
            <w:r>
              <w:rPr>
                <w:rFonts w:hint="eastAsia" w:ascii="Times New Roman" w:hAnsi="Times New Roman" w:eastAsia="宋体" w:cs="Times New Roman"/>
                <w:b w:val="0"/>
                <w:bCs w:val="0"/>
                <w:kern w:val="0"/>
                <w:sz w:val="21"/>
                <w:szCs w:val="21"/>
                <w:u w:val="none"/>
                <w:lang w:eastAsia="zh-CN"/>
              </w:rPr>
              <w:t>。</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本项目不在地震断裂带、滑坡、泥石流、洪水、山洪等自然灾害地段。不处于建筑抗震不利地段</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总平面</w:t>
            </w: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rPr>
              <w:t>总平面布局应符合下列规定：应充分利用地形地貌；功能分区应合理，科学布置各类建筑物，交通便捷，管理方便；实验用房在基地内宜相对独立设置；应合理组织人流、物流，避免交叉污染；对生活和实验废弃物的处理，应符合有关环境保护法令、法规的规定；在满足基本功能需要的同时，宜预留发展或改扩建用地</w:t>
            </w:r>
            <w:r>
              <w:rPr>
                <w:rFonts w:hint="eastAsia" w:ascii="Times New Roman" w:hAnsi="Times New Roman" w:eastAsia="宋体" w:cs="Times New Roman"/>
                <w:b w:val="0"/>
                <w:bCs w:val="0"/>
                <w:kern w:val="0"/>
                <w:sz w:val="21"/>
                <w:szCs w:val="21"/>
                <w:u w:val="none"/>
                <w:lang w:eastAsia="zh-CN"/>
              </w:rPr>
              <w:t>。</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项目总平面布局充分利用地形地貌；功能分区合理，科学布置各类建筑物，交通便捷，管理方便；实验用房在基地内相对独立设置；合理组织人流、物流，避免交叉污染；对生活和实验废弃物的处理，符合有关环境保护法令、法规的规定。</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rPr>
              <w:t>基地内不应建设职工住宅；值班用房、职工集体宿舍、专家公寓、培训用房等在基地内建设时，应处于基地内当地最小风频下风向区，当它们与实验区用地毗邻时，应与实验区分隔，并设置独立出入口</w:t>
            </w:r>
            <w:r>
              <w:rPr>
                <w:rFonts w:hint="eastAsia" w:ascii="Times New Roman" w:hAnsi="Times New Roman" w:eastAsia="宋体" w:cs="Times New Roman"/>
                <w:b w:val="0"/>
                <w:bCs w:val="0"/>
                <w:kern w:val="0"/>
                <w:sz w:val="21"/>
                <w:szCs w:val="21"/>
                <w:u w:val="none"/>
                <w:lang w:eastAsia="zh-CN"/>
              </w:rPr>
              <w:t>。</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基地不建设职工住宅；不设置职工集体宿舍、专家公寓、培训用房等。</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单独建设的实验用房（包括动物房）、污水处理站和垃圾处理站宜处在基地内全年最小风频的上风向区域。</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单独建设的实验用房、污水处理站和垃圾处理站处在基地内全年最小风频的上风向区域。</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val="en-US" w:eastAsia="zh-CN"/>
              </w:rPr>
            </w:pPr>
            <w:r>
              <w:rPr>
                <w:rFonts w:hint="eastAsia" w:ascii="Times New Roman" w:hAnsi="Times New Roman" w:eastAsia="宋体" w:cs="Times New Roman"/>
                <w:b w:val="0"/>
                <w:bCs w:val="0"/>
                <w:kern w:val="0"/>
                <w:sz w:val="21"/>
                <w:szCs w:val="21"/>
                <w:u w:val="none"/>
                <w:lang w:eastAsia="zh-CN"/>
              </w:rPr>
              <w:t>用地内应设置足够数量的机动车、非机动车的停车场或停车库。传染病疫情现场采样和处置车辆应有相对独立的车辆消毒、处理、存放场地。</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用地内设置足够数量的机动车、非机动车停车场或停车库。传染病疫情现场采样和处置车辆有相对独立的车辆消毒、处理、存放场地。</w:t>
            </w:r>
          </w:p>
        </w:tc>
        <w:tc>
          <w:tcPr>
            <w:tcW w:w="294" w:type="pct"/>
            <w:tcBorders>
              <w:tl2br w:val="nil"/>
              <w:tr2bl w:val="nil"/>
            </w:tcBorders>
            <w:noWrap w:val="0"/>
            <w:vAlign w:val="center"/>
          </w:tcPr>
          <w:p>
            <w:pPr>
              <w:jc w:val="center"/>
              <w:rPr>
                <w:rFonts w:hint="eastAsia"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疾控中心用地的出入口不宜少于两处，人员出入口不宜兼作废弃物的出口。</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疾控中心用地的出入口共两处，人员出入口不作为废弃物的出口</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疾控中心对外出入口处应设置安全保卫用房。</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疾控中心对外出入口处设置了安全保卫用房</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疾控中心基地的无障碍设计应符合现行国家标准《无障碍设计规范》GB 50763 的有关规定。</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疾控中心基地的无障碍设计符合现行国家标准《无障碍设计规范》GB 50763 的有关规定</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restart"/>
            <w:tcBorders>
              <w:tl2br w:val="nil"/>
              <w:tr2bl w:val="nil"/>
            </w:tcBorders>
            <w:noWrap w:val="0"/>
            <w:vAlign w:val="center"/>
          </w:tcPr>
          <w:p>
            <w:pPr>
              <w:pStyle w:val="30"/>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排水</w:t>
            </w: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疾控中心排水系统应采用污废水与雨水分流制排水。</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疾控中心排水系统采用污废水与雨水分流制排水</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实验区废水宜与生活区排水系统分开设置，并应满足环境影响评价报告的要求。</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实验区废水与生活区排水系统分开设置，满足环境影响评价报告的要求</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b w:val="0"/>
                <w:bCs w:val="0"/>
                <w:kern w:val="0"/>
                <w:sz w:val="21"/>
                <w:szCs w:val="21"/>
                <w:u w:val="none"/>
                <w:lang w:eastAsia="zh-CN"/>
              </w:rPr>
            </w:pPr>
            <w:r>
              <w:rPr>
                <w:rFonts w:hint="eastAsia" w:ascii="Times New Roman" w:hAnsi="Times New Roman" w:eastAsia="宋体" w:cs="Times New Roman"/>
                <w:b w:val="0"/>
                <w:bCs w:val="0"/>
                <w:kern w:val="0"/>
                <w:sz w:val="21"/>
                <w:szCs w:val="21"/>
                <w:u w:val="none"/>
                <w:lang w:eastAsia="zh-CN"/>
              </w:rPr>
              <w:t>下列实验排水应单独设置排水系统：含有病原微生物的实验废水应通过专门的管道收集； 含放射性元素超过排放标准的废水应单独收集处理；应将长寿命和短寿命的核素污水分流；污水流向，应从清洁区至污染区；经常使用有机溶剂的实验室废水应设专用管道收集，并经过无害化处理后再排入室外污水管道；含有酸、碱、氰、铬等无机污染物的实验废水应设置独立的排水管道收集；混合后更为有害的实验废水应分别设管道收集；动物实验用房的污水应设专用管道收集；三级以上生物安全实验用房的废水应设专用管道收集，进行消毒灭菌处理后再排入室外污水管道。</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rPr>
              <w:t>下列实验排水单独设置排水系统：含有病原微生物的实验废水通过专门的管道收集；污水流向，从清洁区至污染区；经常使用有机溶剂的实验室废水应设专用管道收集，并经过无害化处理后再排入室外污水管道；含有酸、碱、氰、铬等无机污染物的实验废水设置独立的排水管道收集；混合后更为有害的实验废水分别设管道收集；生物安全实验用房的废水设专用管道收集，进行消毒灭菌处理后再排入室外污水管道</w:t>
            </w:r>
            <w:r>
              <w:rPr>
                <w:rFonts w:hint="eastAsia"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实验废水处理应满足环境影响评价报告的要求，经处理后的实验废水排水管道上设置取样口，还应满足下列要求：实验废水处理流程应根据废水性质、排放条件等因素确定；含有放射性核素废水的处理应符合现行国家标准的相关规定，并应根据核素的半衰期长短，分为长寿命和短寿命两种放射性核素废水分别进行处理。低放射性短寿命污水可收集在衰减池中处理。</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实验废水处理满足环境影响评价报告的要求，经处理后的实验废水排水管道上设置取样口，还满足下列要求：实验废水处理流程根据废水性质、排放条件等因素确定；项目不涉及含有放射性核素废水的处理</w:t>
            </w:r>
            <w:r>
              <w:rPr>
                <w:rFonts w:hint="default" w:ascii="Times New Roman" w:hAnsi="Times New Roman" w:eastAsia="宋体" w:cs="Times New Roman"/>
                <w:b w:val="0"/>
                <w:bCs w:val="0"/>
                <w:color w:val="auto"/>
                <w:sz w:val="21"/>
                <w:szCs w:val="21"/>
                <w:highlight w:val="none"/>
                <w:u w:val="none"/>
                <w:lang w:eastAsia="zh-CN"/>
              </w:rPr>
              <w:t>。</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pStyle w:val="30"/>
              <w:rPr>
                <w:rFonts w:hint="eastAsia" w:ascii="Times New Roman" w:hAnsi="Times New Roman" w:eastAsia="宋体" w:cs="Times New Roman"/>
                <w:b w:val="0"/>
                <w:bCs w:val="0"/>
                <w:sz w:val="21"/>
                <w:szCs w:val="21"/>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含致病微生物的污水应进行消毒灭菌处理。</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含致病微生物的污水进行消毒灭菌处理。</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水温超过40℃的锅炉、加热器、高压灭菌器等设备排水应经降温处理后排放。</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水温超过 40℃的锅炉、加热器、高压灭菌器等设备排水经降温处理后排放。</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排水管道应根据排水水质选择适宜材料。</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排水管道根据排水水质选择适宜材料。</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实验室专用排水管的通气管与卫生间通气管应分开设置。</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实验室专用排水管的通气管与卫生间通气管分开设置。</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排水地漏的通水能力应满足地面排水的要求并符合下列规定：空气洁净等级高于 6级的洁净实验室内不应设地漏，6 级及以下的洁净实验室内不宜设地漏； 有洁净要求和生物安全要求的实验室及昆虫饲养室宜设可开启式密闭地漏；高压灭菌宜设排水设施。</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排水地漏的通水能力满足地面排水的要求并符合下列规定：空气洁净等级高于6 级的洁净实验室内不设地漏，6 级及以下的洁净实验室内不设地漏； 有洁净要求和生物安全要求的实验室及昆虫饲养室设可开启式密闭地漏；高压灭菌设排水设施。</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9" w:type="pct"/>
            <w:vMerge w:val="continue"/>
            <w:tcBorders>
              <w:tl2br w:val="nil"/>
              <w:tr2bl w:val="nil"/>
            </w:tcBorders>
            <w:noWrap w:val="0"/>
            <w:vAlign w:val="center"/>
          </w:tcPr>
          <w:p>
            <w:pPr>
              <w:jc w:val="center"/>
              <w:rPr>
                <w:rFonts w:hint="eastAsia" w:ascii="Times New Roman" w:hAnsi="Times New Roman" w:eastAsia="宋体" w:cs="Times New Roman"/>
                <w:b w:val="0"/>
                <w:bCs w:val="0"/>
                <w:color w:val="auto"/>
                <w:kern w:val="0"/>
                <w:sz w:val="21"/>
                <w:szCs w:val="21"/>
                <w:highlight w:val="none"/>
                <w:u w:val="none"/>
                <w:lang w:val="en-US" w:eastAsia="zh-CN"/>
              </w:rPr>
            </w:pPr>
          </w:p>
        </w:tc>
        <w:tc>
          <w:tcPr>
            <w:tcW w:w="2371"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用水器具存水弯及地漏的水封不得小于50mm，且不得大于 100mm。</w:t>
            </w:r>
          </w:p>
        </w:tc>
        <w:tc>
          <w:tcPr>
            <w:tcW w:w="2055" w:type="pct"/>
            <w:tcBorders>
              <w:tl2br w:val="nil"/>
              <w:tr2bl w:val="nil"/>
            </w:tcBorders>
            <w:noWrap w:val="0"/>
            <w:vAlign w:val="center"/>
          </w:tcPr>
          <w:p>
            <w:pPr>
              <w:adjustRightInd w:val="0"/>
              <w:jc w:val="center"/>
              <w:rPr>
                <w:rFonts w:hint="eastAsia" w:ascii="Times New Roman" w:hAnsi="Times New Roman" w:eastAsia="宋体" w:cs="Times New Roman"/>
                <w:b w:val="0"/>
                <w:bCs w:val="0"/>
                <w:color w:val="auto"/>
                <w:sz w:val="21"/>
                <w:szCs w:val="21"/>
                <w:highlight w:val="none"/>
                <w:u w:val="none"/>
                <w:lang w:eastAsia="zh-CN"/>
              </w:rPr>
            </w:pPr>
            <w:r>
              <w:rPr>
                <w:rFonts w:hint="eastAsia" w:ascii="Times New Roman" w:hAnsi="Times New Roman" w:eastAsia="宋体" w:cs="Times New Roman"/>
                <w:b w:val="0"/>
                <w:bCs w:val="0"/>
                <w:color w:val="auto"/>
                <w:sz w:val="21"/>
                <w:szCs w:val="21"/>
                <w:highlight w:val="none"/>
                <w:u w:val="none"/>
                <w:lang w:eastAsia="zh-CN"/>
              </w:rPr>
              <w:t>用水器具存水弯及地漏的水封为65-85，不小于 50mm，且不大于100mm。</w:t>
            </w:r>
          </w:p>
        </w:tc>
        <w:tc>
          <w:tcPr>
            <w:tcW w:w="294" w:type="pct"/>
            <w:tcBorders>
              <w:tl2br w:val="nil"/>
              <w:tr2bl w:val="nil"/>
            </w:tcBorders>
            <w:noWrap w:val="0"/>
            <w:vAlign w:val="center"/>
          </w:tcPr>
          <w:p>
            <w:pPr>
              <w:jc w:val="center"/>
              <w:rPr>
                <w:rFonts w:ascii="Times New Roman" w:hAnsi="Times New Roman" w:eastAsia="宋体" w:cs="Times New Roman"/>
                <w:b w:val="0"/>
                <w:bCs w:val="0"/>
                <w:color w:val="auto"/>
                <w:sz w:val="21"/>
                <w:szCs w:val="21"/>
                <w:highlight w:val="none"/>
                <w:u w:val="none"/>
              </w:rPr>
            </w:pPr>
            <w:r>
              <w:rPr>
                <w:rFonts w:ascii="Times New Roman" w:hAnsi="Times New Roman" w:eastAsia="宋体" w:cs="Times New Roman"/>
                <w:b w:val="0"/>
                <w:bCs w:val="0"/>
                <w:color w:val="auto"/>
                <w:sz w:val="21"/>
                <w:szCs w:val="21"/>
                <w:highlight w:val="none"/>
                <w:u w:val="none"/>
              </w:rPr>
              <w:t>符合</w:t>
            </w:r>
          </w:p>
        </w:tc>
      </w:tr>
    </w:tbl>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3、与生物安全相关规范的符合性分析</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根据《生物安全实验室建筑技术规范》（GB50346-2011）有关规定，根据实验室所处理的生物危害程度和采取的防护措施，生物安全实验室分为四级。微生物生物安全实验室可以采用 BSL-1、BSL-2、BSL-3、BSL-4 表示相应级别的实验室。生物安全实验室应按表 1-4 进行分级。</w:t>
      </w:r>
    </w:p>
    <w:p>
      <w:pPr>
        <w:pStyle w:val="8"/>
        <w:spacing w:before="120" w:beforeLines="50"/>
        <w:jc w:val="center"/>
        <w:rPr>
          <w:rFonts w:ascii="Times New Roman" w:hAnsi="Times New Roman" w:eastAsia="宋体"/>
          <w:b/>
          <w:bCs/>
          <w:color w:val="auto"/>
          <w:sz w:val="21"/>
          <w:highlight w:val="none"/>
          <w:u w:val="none"/>
        </w:rPr>
      </w:pPr>
      <w:r>
        <w:rPr>
          <w:rFonts w:ascii="Times New Roman" w:hAnsi="Times New Roman" w:eastAsia="宋体"/>
          <w:b/>
          <w:bCs/>
          <w:color w:val="auto"/>
          <w:sz w:val="21"/>
          <w:highlight w:val="none"/>
          <w:u w:val="none"/>
        </w:rPr>
        <w:t>表</w:t>
      </w:r>
      <w:r>
        <w:rPr>
          <w:rFonts w:hint="eastAsia" w:ascii="Times New Roman" w:hAnsi="Times New Roman" w:eastAsia="宋体"/>
          <w:b/>
          <w:bCs/>
          <w:color w:val="auto"/>
          <w:sz w:val="21"/>
          <w:highlight w:val="none"/>
          <w:u w:val="none"/>
        </w:rPr>
        <w:t>1-</w:t>
      </w:r>
      <w:r>
        <w:rPr>
          <w:rFonts w:hint="eastAsia" w:ascii="Times New Roman" w:hAnsi="Times New Roman" w:eastAsia="宋体"/>
          <w:b/>
          <w:bCs/>
          <w:color w:val="auto"/>
          <w:sz w:val="21"/>
          <w:highlight w:val="none"/>
          <w:u w:val="none"/>
          <w:lang w:val="en-US" w:eastAsia="zh-CN"/>
        </w:rPr>
        <w:t xml:space="preserve">4 </w:t>
      </w:r>
      <w:r>
        <w:rPr>
          <w:rFonts w:hint="eastAsia" w:ascii="Times New Roman" w:hAnsi="Times New Roman" w:eastAsia="宋体"/>
          <w:b/>
          <w:bCs/>
          <w:color w:val="auto"/>
          <w:sz w:val="21"/>
          <w:highlight w:val="none"/>
          <w:u w:val="none"/>
        </w:rPr>
        <w:t xml:space="preserve"> 生物安全实验室的分级</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862"/>
        <w:gridCol w:w="5364"/>
        <w:gridCol w:w="1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分级</w:t>
            </w:r>
          </w:p>
        </w:tc>
        <w:tc>
          <w:tcPr>
            <w:tcW w:w="934"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生物危害程度</w:t>
            </w:r>
          </w:p>
        </w:tc>
        <w:tc>
          <w:tcPr>
            <w:tcW w:w="269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操作对象</w:t>
            </w:r>
          </w:p>
        </w:tc>
        <w:tc>
          <w:tcPr>
            <w:tcW w:w="730"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一级</w:t>
            </w:r>
          </w:p>
          <w:p>
            <w:pPr>
              <w:adjustRightInd w:val="0"/>
              <w:jc w:val="center"/>
              <w:rPr>
                <w:rFonts w:hint="default"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(BSL-1)</w:t>
            </w:r>
          </w:p>
        </w:tc>
        <w:tc>
          <w:tcPr>
            <w:tcW w:w="934"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低个体危害、低群体危害</w:t>
            </w:r>
          </w:p>
        </w:tc>
        <w:tc>
          <w:tcPr>
            <w:tcW w:w="269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对人体、动植物或环境危害较低，不具有对健康成人、动植物致病的致病因子</w:t>
            </w:r>
          </w:p>
        </w:tc>
        <w:tc>
          <w:tcPr>
            <w:tcW w:w="730" w:type="pct"/>
            <w:vMerge w:val="restar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eastAsia="zh-CN"/>
              </w:rPr>
              <w:t>本项目涉及二级生物安全实验室</w:t>
            </w:r>
          </w:p>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eastAsia="zh-CN"/>
              </w:rPr>
              <w:t>（BSL-2）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二级</w:t>
            </w:r>
          </w:p>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(BSL-2)</w:t>
            </w:r>
          </w:p>
        </w:tc>
        <w:tc>
          <w:tcPr>
            <w:tcW w:w="934"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中等个体危害，有限群体危害</w:t>
            </w:r>
          </w:p>
        </w:tc>
        <w:tc>
          <w:tcPr>
            <w:tcW w:w="269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对人体、动植物或环境具有中等危害或具有潜在危险的致病因子，对健康成人、动物和环境不会造成严重危害。有有效的预防和治疗措施</w:t>
            </w:r>
          </w:p>
        </w:tc>
        <w:tc>
          <w:tcPr>
            <w:tcW w:w="730"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三级</w:t>
            </w:r>
          </w:p>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(BSL-3)</w:t>
            </w:r>
          </w:p>
        </w:tc>
        <w:tc>
          <w:tcPr>
            <w:tcW w:w="934"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高个体危害，低</w:t>
            </w:r>
          </w:p>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 xml:space="preserve">   群体危害</w:t>
            </w:r>
          </w:p>
        </w:tc>
        <w:tc>
          <w:tcPr>
            <w:tcW w:w="269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对人体、动植物或环境具有高度危险性，主要通过气溶胶使人传染上严重的甚至是致命疾病，或对动植物和环境具有高度危害的致病因子。通常有预防治疗措施</w:t>
            </w:r>
          </w:p>
        </w:tc>
        <w:tc>
          <w:tcPr>
            <w:tcW w:w="730"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四级</w:t>
            </w:r>
          </w:p>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(BSL-3)</w:t>
            </w:r>
          </w:p>
        </w:tc>
        <w:tc>
          <w:tcPr>
            <w:tcW w:w="934"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高个体危害，高</w:t>
            </w:r>
          </w:p>
          <w:p>
            <w:pPr>
              <w:adjustRightInd w:val="0"/>
              <w:jc w:val="center"/>
              <w:rPr>
                <w:rFonts w:hint="default"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 xml:space="preserve">   群体危害</w:t>
            </w:r>
          </w:p>
        </w:tc>
        <w:tc>
          <w:tcPr>
            <w:tcW w:w="269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r>
              <w:rPr>
                <w:rFonts w:hint="eastAsia" w:ascii="Times New Roman" w:hAnsi="Times New Roman" w:eastAsia="宋体"/>
                <w:color w:val="auto"/>
                <w:szCs w:val="21"/>
                <w:highlight w:val="none"/>
                <w:u w:val="none"/>
                <w:lang w:val="en-US" w:eastAsia="zh-CN"/>
              </w:rPr>
              <w:t>对人体、动植物或环境具有高度危险性，通过气溶胶途径传播或传播途径不明，或未知的、危险的致病因子。没有预防治疗措施</w:t>
            </w:r>
          </w:p>
        </w:tc>
        <w:tc>
          <w:tcPr>
            <w:tcW w:w="730"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eastAsia="zh-CN"/>
              </w:rPr>
            </w:pPr>
          </w:p>
        </w:tc>
      </w:tr>
    </w:tbl>
    <w:p>
      <w:pPr>
        <w:spacing w:before="3" w:line="360" w:lineRule="auto"/>
        <w:ind w:right="86" w:rightChars="0" w:firstLine="496" w:firstLineChars="200"/>
        <w:jc w:val="both"/>
        <w:rPr>
          <w:rFonts w:hint="default" w:ascii="Times New Roman" w:hAnsi="Times New Roman" w:eastAsia="宋体" w:cs="Times New Roman"/>
          <w:spacing w:val="4"/>
          <w:sz w:val="24"/>
          <w:szCs w:val="24"/>
          <w:lang w:val="en-US" w:eastAsia="zh-CN"/>
        </w:rPr>
      </w:pPr>
      <w:r>
        <w:rPr>
          <w:rFonts w:hint="default" w:ascii="Times New Roman" w:hAnsi="Times New Roman" w:eastAsia="宋体" w:cs="Times New Roman"/>
          <w:spacing w:val="4"/>
          <w:sz w:val="24"/>
          <w:szCs w:val="24"/>
          <w:lang w:val="en-US" w:eastAsia="zh-CN"/>
        </w:rPr>
        <w:t>根据《生物安全实验室建筑技术规范》（GB50346-2011）有关规定，二级实验室的设立单位须按《实验室生物安全通用要求》（GB19489-2008)、《疾病预防控制中心建筑技术规范》（GB50881-2013）和卫生部《微生物和生物医学实验室安全通用准则》（WS233-2002）要求，进行实验室的设计和建造，配置必要的生物安全防护设备。</w:t>
      </w:r>
    </w:p>
    <w:p>
      <w:pPr>
        <w:spacing w:before="3" w:line="360" w:lineRule="auto"/>
        <w:ind w:right="86" w:rightChars="0" w:firstLine="496" w:firstLineChars="200"/>
        <w:jc w:val="both"/>
        <w:rPr>
          <w:rFonts w:hint="eastAsia"/>
          <w:lang w:val="en-US" w:eastAsia="zh-CN"/>
        </w:rPr>
      </w:pPr>
      <w:r>
        <w:rPr>
          <w:rFonts w:hint="default" w:ascii="Times New Roman" w:hAnsi="Times New Roman" w:eastAsia="宋体" w:cs="Times New Roman"/>
          <w:spacing w:val="4"/>
          <w:sz w:val="24"/>
          <w:szCs w:val="24"/>
          <w:lang w:val="en-US" w:eastAsia="zh-CN"/>
        </w:rPr>
        <w:t>本项目与生物安全相关规范的符合性分析见表</w:t>
      </w:r>
      <w:r>
        <w:rPr>
          <w:rFonts w:hint="eastAsia" w:ascii="Times New Roman" w:hAnsi="Times New Roman" w:eastAsia="宋体" w:cs="Times New Roman"/>
          <w:spacing w:val="4"/>
          <w:sz w:val="24"/>
          <w:szCs w:val="24"/>
          <w:lang w:val="en-US" w:eastAsia="zh-CN"/>
        </w:rPr>
        <w:t>1-5</w:t>
      </w:r>
      <w:r>
        <w:rPr>
          <w:rFonts w:hint="eastAsia"/>
          <w:lang w:val="en-US" w:eastAsia="zh-CN"/>
        </w:rPr>
        <w:t>。</w:t>
      </w:r>
    </w:p>
    <w:p>
      <w:pPr>
        <w:pStyle w:val="8"/>
        <w:spacing w:before="120" w:beforeLines="50"/>
        <w:jc w:val="center"/>
        <w:rPr>
          <w:rFonts w:ascii="Times New Roman" w:hAnsi="Times New Roman" w:eastAsia="宋体"/>
          <w:b/>
          <w:bCs/>
          <w:color w:val="auto"/>
          <w:sz w:val="21"/>
          <w:highlight w:val="none"/>
          <w:u w:val="none"/>
        </w:rPr>
      </w:pPr>
      <w:r>
        <w:rPr>
          <w:rFonts w:ascii="Times New Roman" w:hAnsi="Times New Roman" w:eastAsia="宋体"/>
          <w:b/>
          <w:bCs/>
          <w:color w:val="auto"/>
          <w:sz w:val="21"/>
          <w:highlight w:val="none"/>
          <w:u w:val="none"/>
        </w:rPr>
        <w:t>表</w:t>
      </w:r>
      <w:r>
        <w:rPr>
          <w:rFonts w:hint="eastAsia" w:ascii="Times New Roman" w:hAnsi="Times New Roman" w:eastAsia="宋体"/>
          <w:b/>
          <w:bCs/>
          <w:color w:val="auto"/>
          <w:sz w:val="21"/>
          <w:highlight w:val="none"/>
          <w:u w:val="none"/>
        </w:rPr>
        <w:t>1-</w:t>
      </w:r>
      <w:r>
        <w:rPr>
          <w:rFonts w:hint="eastAsia" w:ascii="Times New Roman" w:hAnsi="Times New Roman" w:eastAsia="宋体"/>
          <w:b/>
          <w:bCs/>
          <w:color w:val="auto"/>
          <w:sz w:val="21"/>
          <w:highlight w:val="none"/>
          <w:u w:val="none"/>
          <w:lang w:val="en-US" w:eastAsia="zh-CN"/>
        </w:rPr>
        <w:t>5  本项目与生物安全相关规范的符合性分析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4845"/>
        <w:gridCol w:w="2581"/>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相关标准及规则</w:t>
            </w: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default" w:ascii="Times New Roman" w:hAnsi="Times New Roman" w:eastAsia="宋体"/>
                <w:color w:val="auto"/>
                <w:szCs w:val="21"/>
                <w:highlight w:val="none"/>
                <w:u w:val="none"/>
                <w:lang w:val="en-US" w:eastAsia="zh-CN"/>
              </w:rPr>
              <w:t xml:space="preserve">P2 </w:t>
            </w:r>
            <w:r>
              <w:rPr>
                <w:rFonts w:hint="eastAsia" w:ascii="Times New Roman" w:hAnsi="Times New Roman" w:eastAsia="宋体"/>
                <w:color w:val="auto"/>
                <w:szCs w:val="21"/>
                <w:highlight w:val="none"/>
                <w:u w:val="none"/>
                <w:lang w:val="en-US" w:eastAsia="zh-CN"/>
              </w:rPr>
              <w:t>级生物实验室施工要求</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项目建设情况</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restar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 xml:space="preserve">《生物安全实验室建筑技术规范》 </w:t>
            </w:r>
          </w:p>
          <w:p>
            <w:pPr>
              <w:adjustRightInd w:val="0"/>
              <w:jc w:val="center"/>
              <w:rPr>
                <w:rFonts w:hint="eastAsia" w:ascii="Times New Roman" w:hAnsi="Times New Roman" w:eastAsia="宋体"/>
                <w:color w:val="auto"/>
                <w:szCs w:val="21"/>
                <w:highlight w:val="none"/>
                <w:u w:val="none"/>
                <w:lang w:val="en-US" w:eastAsia="zh-CN"/>
              </w:rPr>
            </w:pPr>
            <w:r>
              <w:rPr>
                <w:rFonts w:hint="default" w:ascii="Times New Roman" w:hAnsi="Times New Roman" w:eastAsia="宋体"/>
                <w:color w:val="auto"/>
                <w:szCs w:val="21"/>
                <w:highlight w:val="none"/>
                <w:u w:val="none"/>
                <w:lang w:val="en-US" w:eastAsia="zh-CN"/>
              </w:rPr>
              <w:t>(GB-50346-2011)</w:t>
            </w:r>
          </w:p>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可共用建筑物，与建筑物其他部分可相通，但应设可自动关闭的带锁的门。</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自动关闭的带锁的门。</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生物安全实验室应在入口处设置更衣室或更衣柜。</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设置有更衣室、更衣柜。</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二级生物安全实验室应在实验室或实验室所在建筑物内配备高压灭菌或其他消毒灭菌器。</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设置有高压灭菌装置。</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default"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二级、三级、四级生物安全实验室的入口， 应明确标示出生物防护级别、操作的致病性生物因子、实验室负责人姓名、 紧急联络方式等，并应标示出国际通用生物危险符号。</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在生物安全实验室的入口标示出生物防护级别、操作的致病性生物因子、实验室负责人姓名、紧急联络方式等， 并标示出国际通用生物危险符号。</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restar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 xml:space="preserve">《实验室生物安全通用要求》 </w:t>
            </w:r>
          </w:p>
          <w:p>
            <w:pPr>
              <w:adjustRightInd w:val="0"/>
              <w:jc w:val="center"/>
              <w:rPr>
                <w:rFonts w:hint="eastAsia" w:ascii="Times New Roman" w:hAnsi="Times New Roman" w:eastAsia="宋体"/>
                <w:color w:val="auto"/>
                <w:szCs w:val="21"/>
                <w:highlight w:val="none"/>
                <w:u w:val="none"/>
                <w:lang w:val="en-US" w:eastAsia="zh-CN"/>
              </w:rPr>
            </w:pPr>
            <w:r>
              <w:rPr>
                <w:rFonts w:hint="default" w:ascii="Times New Roman" w:hAnsi="Times New Roman" w:eastAsia="宋体"/>
                <w:color w:val="auto"/>
                <w:szCs w:val="21"/>
                <w:highlight w:val="none"/>
                <w:u w:val="none"/>
                <w:lang w:val="en-US" w:eastAsia="zh-CN"/>
              </w:rPr>
              <w:t>(GB19489-2008)</w:t>
            </w:r>
          </w:p>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每个实验室应设洗手池，宜设置在靠近出口处。</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每个实验室设洗手池，设置在靠近出口处。</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应易于清洁。地面应防滑、无缝隙，不得铺设地毯。</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防渗硬化处理，无铺设地毯。</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实验室中的家具应牢固。为易于清洁， 各种家具和设备之间应保持生物废弃物容器的台（架）。</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实验室中的家具牢固。为易于清洁，各种家具和设备之间应保持生物废弃物容器的台（架）。</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实验室如有可开启的窗户，应设置纱窗。</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实验室设置纱窗。</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restar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《微生物和生物医学实验室安全通用准则》</w:t>
            </w:r>
          </w:p>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（WS233-2002)</w:t>
            </w:r>
          </w:p>
          <w:p>
            <w:pPr>
              <w:adjustRightInd w:val="0"/>
              <w:jc w:val="center"/>
              <w:rPr>
                <w:rFonts w:hint="eastAsia" w:ascii="Times New Roman" w:hAnsi="Times New Roman" w:eastAsia="宋体"/>
                <w:color w:val="auto"/>
                <w:szCs w:val="21"/>
                <w:highlight w:val="none"/>
                <w:u w:val="none"/>
                <w:lang w:val="en-US" w:eastAsia="zh-CN"/>
              </w:rPr>
            </w:pPr>
          </w:p>
          <w:p>
            <w:pPr>
              <w:adjustRightInd w:val="0"/>
              <w:jc w:val="center"/>
              <w:rPr>
                <w:rFonts w:hint="eastAsia" w:ascii="Times New Roman" w:hAnsi="Times New Roman" w:eastAsia="宋体"/>
                <w:color w:val="auto"/>
                <w:szCs w:val="21"/>
                <w:highlight w:val="none"/>
                <w:u w:val="none"/>
                <w:lang w:val="en-US" w:eastAsia="zh-CN"/>
              </w:rPr>
            </w:pPr>
          </w:p>
          <w:p>
            <w:pPr>
              <w:adjustRightInd w:val="0"/>
              <w:jc w:val="center"/>
              <w:rPr>
                <w:rFonts w:hint="eastAsia" w:ascii="Times New Roman" w:hAnsi="Times New Roman" w:eastAsia="宋体"/>
                <w:color w:val="auto"/>
                <w:szCs w:val="21"/>
                <w:highlight w:val="none"/>
                <w:u w:val="none"/>
                <w:lang w:val="en-US" w:eastAsia="zh-CN"/>
              </w:rPr>
            </w:pPr>
          </w:p>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涉及可能产生致病微生物气溶胶或出现派出的操作均在二级生物安全柜或者其他物理抑制设备中进行，并使用个人防护设备。</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涉及微生物检验、培养等生物实验室均设置二级生物安全柜。</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default" w:ascii="Times New Roman" w:hAnsi="Times New Roman" w:eastAsia="宋体"/>
                <w:color w:val="auto"/>
                <w:szCs w:val="21"/>
                <w:highlight w:val="none"/>
                <w:u w:val="none"/>
                <w:lang w:val="en-US" w:eastAsia="zh-CN"/>
              </w:rPr>
              <w:t xml:space="preserve">BSL-2 </w:t>
            </w:r>
            <w:r>
              <w:rPr>
                <w:rFonts w:hint="eastAsia" w:ascii="Times New Roman" w:hAnsi="Times New Roman" w:eastAsia="宋体"/>
                <w:color w:val="auto"/>
                <w:szCs w:val="21"/>
                <w:highlight w:val="none"/>
                <w:u w:val="none"/>
                <w:lang w:val="en-US" w:eastAsia="zh-CN"/>
              </w:rPr>
              <w:t>生物安全实验室可设外窗进行自然通风，且外窗应设置防虫纱窗措施。</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设置空调系统、机械通风，设置纱窗。</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实验室门应设置观察窗，并设置门锁。 当实验室有压力要求时，实验室门宜开向相对压力要求较高的房间侧。</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实验室主入口的门能自动关闭，并设置门锁。</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生物安全实验室的设计应充分考虑生物安全柜、高压灭菌器、污水处理设备等设备的尺寸要求，必要时应留有足够的搬运孔洞，以及设置局部隔离、防振、 排热、排湿设施。</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生物安全实验室的设计充分考虑生物安全柜、 高压灭菌器的尺寸要求，设置局部隔离、防振、排热、排湿设施。</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排风必须与送风连锁，采用上送下排方式。</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排风与送风连锁，采用上送下排方式。</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7" w:type="pct"/>
            <w:vMerge w:val="continue"/>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p>
        </w:tc>
        <w:tc>
          <w:tcPr>
            <w:tcW w:w="2431"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生物安全实验室防护区的给水管道应采取设置倒流防止器或其他有限的防止回流的污染的装置，并且这些装置应设置在辅助工作区；二级生物安全实验室应设洗手装置，并宜设置在靠近实验室的出口处，还应设紧急冲眼装置；室内给水管材宜采用不锈钢、铜管或无毒塑料管等。</w:t>
            </w:r>
          </w:p>
        </w:tc>
        <w:tc>
          <w:tcPr>
            <w:tcW w:w="129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生物安全实验室防护区的给水管道设置倒流防止器；二级生物实验室设置洗手装置和紧急冲眼装置；室内给水管材采用不锈钢管。</w:t>
            </w:r>
          </w:p>
        </w:tc>
        <w:tc>
          <w:tcPr>
            <w:tcW w:w="425" w:type="pct"/>
            <w:tcBorders>
              <w:tl2br w:val="nil"/>
              <w:tr2bl w:val="nil"/>
            </w:tcBorders>
            <w:noWrap w:val="0"/>
            <w:vAlign w:val="center"/>
          </w:tcPr>
          <w:p>
            <w:pPr>
              <w:adjustRightInd w:val="0"/>
              <w:jc w:val="center"/>
              <w:rPr>
                <w:rFonts w:hint="eastAsia" w:ascii="Times New Roman" w:hAnsi="Times New Roman" w:eastAsia="宋体"/>
                <w:color w:val="auto"/>
                <w:szCs w:val="21"/>
                <w:highlight w:val="none"/>
                <w:u w:val="none"/>
                <w:lang w:val="en-US" w:eastAsia="zh-CN"/>
              </w:rPr>
            </w:pPr>
            <w:r>
              <w:rPr>
                <w:rFonts w:hint="eastAsia" w:ascii="Times New Roman" w:hAnsi="Times New Roman" w:eastAsia="宋体"/>
                <w:color w:val="auto"/>
                <w:szCs w:val="21"/>
                <w:highlight w:val="none"/>
                <w:u w:val="none"/>
                <w:lang w:val="en-US" w:eastAsia="zh-CN"/>
              </w:rPr>
              <w:t>符合</w:t>
            </w:r>
          </w:p>
        </w:tc>
      </w:tr>
    </w:tbl>
    <w:p>
      <w:pPr>
        <w:pStyle w:val="4"/>
        <w:bidi w:val="0"/>
        <w:rPr>
          <w:rFonts w:hint="eastAsia"/>
          <w:lang w:eastAsia="zh-CN"/>
        </w:rPr>
      </w:pPr>
      <w:r>
        <w:rPr>
          <w:rFonts w:hint="eastAsia"/>
          <w:lang w:eastAsia="zh-CN"/>
        </w:rPr>
        <w:t>1.4.5 选址可行性分析</w:t>
      </w:r>
      <w:bookmarkEnd w:id="14"/>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①选址合理性</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本项目选址位于宁远县</w:t>
      </w:r>
      <w:r>
        <w:rPr>
          <w:rFonts w:hint="eastAsia" w:ascii="Times New Roman" w:hAnsi="Times New Roman" w:eastAsia="宋体" w:cs="Times New Roman"/>
          <w:spacing w:val="4"/>
          <w:sz w:val="24"/>
          <w:szCs w:val="24"/>
          <w:lang w:val="en-US" w:eastAsia="zh-CN"/>
        </w:rPr>
        <w:t>舜陵街道蔡家村原妇女儿童医院</w:t>
      </w:r>
      <w:r>
        <w:rPr>
          <w:rFonts w:hint="eastAsia" w:ascii="Times New Roman" w:hAnsi="Times New Roman" w:eastAsia="宋体" w:cs="Times New Roman"/>
          <w:spacing w:val="4"/>
          <w:sz w:val="24"/>
          <w:szCs w:val="24"/>
          <w:lang w:eastAsia="zh-CN"/>
        </w:rPr>
        <w:t>。项目区内地形规整、交通方便，紧邻已建成的城市主干道</w:t>
      </w:r>
      <w:r>
        <w:rPr>
          <w:rFonts w:hint="eastAsia" w:ascii="Times New Roman" w:hAnsi="Times New Roman" w:eastAsia="宋体" w:cs="Times New Roman"/>
          <w:spacing w:val="4"/>
          <w:sz w:val="24"/>
          <w:szCs w:val="24"/>
          <w:lang w:val="en-US" w:eastAsia="zh-CN"/>
        </w:rPr>
        <w:t>九嶷大道</w:t>
      </w:r>
      <w:r>
        <w:rPr>
          <w:rFonts w:hint="eastAsia"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lang w:val="en-US" w:eastAsia="zh-CN"/>
        </w:rPr>
        <w:t>紧邻宁远县中医医院</w:t>
      </w:r>
      <w:r>
        <w:rPr>
          <w:rFonts w:hint="eastAsia" w:ascii="Times New Roman" w:hAnsi="Times New Roman" w:eastAsia="宋体" w:cs="Times New Roman"/>
          <w:spacing w:val="4"/>
          <w:sz w:val="24"/>
          <w:szCs w:val="24"/>
          <w:lang w:eastAsia="zh-CN"/>
        </w:rPr>
        <w:t>，可便捷联系宁远县各级医院，周边有便利的水、电、路等公用基础设施。同时具备较好的工程地质条件和水文地质条件，避开化学、生物、噪声、震动、强电磁场等污染源及易燃易爆场所。符合《疾病预防控制中心建设标准》（建标 127-2009）第五章第十八条疾病预防控制中心的选址要求。根据《疾病预防控制中心建筑技术规范》（GB50881-2013）、《疾病预防控制中心建设标准》（建标 127-2009）可知，项目选址符合要求。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综上所述，项目选址可行。</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②项目周边外环境关系</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本项目位于宁远县</w:t>
      </w:r>
      <w:r>
        <w:rPr>
          <w:rFonts w:hint="eastAsia" w:ascii="Times New Roman" w:hAnsi="Times New Roman" w:eastAsia="宋体" w:cs="Times New Roman"/>
          <w:spacing w:val="4"/>
          <w:sz w:val="24"/>
          <w:szCs w:val="24"/>
          <w:lang w:val="en-US" w:eastAsia="zh-CN"/>
        </w:rPr>
        <w:t>舜陵街道蔡家村原妇女儿童医院</w:t>
      </w:r>
      <w:r>
        <w:rPr>
          <w:rFonts w:hint="eastAsia" w:ascii="Times New Roman" w:hAnsi="Times New Roman" w:eastAsia="宋体" w:cs="Times New Roman"/>
          <w:spacing w:val="4"/>
          <w:sz w:val="24"/>
          <w:szCs w:val="24"/>
          <w:lang w:eastAsia="zh-CN"/>
        </w:rPr>
        <w:t>，属于城市建成区，不涉及特殊环境敏感目标，不涉及自然保护区、饮用水源地保护区等特殊环境敏感目标，选址周围主要为居民区与事业单位，无工业污染，项目与周围环境相容。</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③外环境对本项目的影响</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本项目属于疾病预防控制中心项目，需考虑外界环境对项目建设的影响，主要从大气、噪声两个方面分析。</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大气环境质量：项目周边以居民区和事业单位为主，无生产性企业，无生产性废气排放，因此，项目周边现有居民区和事业单位对项目区域环境空气质量影响较小。</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声环境质量：项目周边以居住和办公为主，主要噪声污染源为社会生活噪声和交通噪声，噪声具有瞬时性和不稳定性的特征。在本项目做好隔声措施，可有效避免周围社会噪声及车辆交通噪声对住院病人造成不良影响。项目周边现有居民区及道路对项目区域内声环境质量影响较小。</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因此，本项目外界污染源较少，且通过周围建筑物的阻隔作用，采取相应的污染治理措施，受外环境影响较小，因此，本项目与外环境相容。</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④本项目选址对外环境的影响分析</w:t>
      </w:r>
    </w:p>
    <w:p>
      <w:pPr>
        <w:keepNext w:val="0"/>
        <w:keepLines w:val="0"/>
        <w:pageBreakBefore w:val="0"/>
        <w:widowControl w:val="0"/>
        <w:kinsoku w:val="0"/>
        <w:wordWrap/>
        <w:overflowPunct/>
        <w:topLinePunct w:val="0"/>
        <w:autoSpaceDE w:val="0"/>
        <w:autoSpaceDN w:val="0"/>
        <w:bidi w:val="0"/>
        <w:adjustRightInd w:val="0"/>
        <w:snapToGrid w:val="0"/>
        <w:spacing w:before="3" w:line="360" w:lineRule="auto"/>
        <w:ind w:right="85" w:rightChars="0" w:firstLine="496" w:firstLineChars="200"/>
        <w:jc w:val="both"/>
        <w:textAlignment w:val="baseline"/>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val="en-US" w:eastAsia="zh-CN"/>
        </w:rPr>
        <w:t>本项目运营过程中实验废水经自建的污水处理站处理达到《医疗机构水污染物排放标准》（</w:t>
      </w:r>
      <w:r>
        <w:rPr>
          <w:rFonts w:hint="default" w:ascii="Times New Roman" w:hAnsi="Times New Roman" w:eastAsia="宋体" w:cs="Times New Roman"/>
          <w:spacing w:val="4"/>
          <w:sz w:val="24"/>
          <w:szCs w:val="24"/>
          <w:lang w:val="en-US" w:eastAsia="zh-CN"/>
        </w:rPr>
        <w:t>GB18466-2005</w:t>
      </w:r>
      <w:r>
        <w:rPr>
          <w:rFonts w:hint="eastAsia" w:ascii="Times New Roman" w:hAnsi="Times New Roman" w:eastAsia="宋体" w:cs="Times New Roman"/>
          <w:spacing w:val="4"/>
          <w:sz w:val="24"/>
          <w:szCs w:val="24"/>
          <w:lang w:val="en-US" w:eastAsia="zh-CN"/>
        </w:rPr>
        <w:t xml:space="preserve">）表 </w:t>
      </w:r>
      <w:r>
        <w:rPr>
          <w:rFonts w:hint="default" w:ascii="Times New Roman" w:hAnsi="Times New Roman" w:eastAsia="宋体" w:cs="Times New Roman"/>
          <w:spacing w:val="4"/>
          <w:sz w:val="24"/>
          <w:szCs w:val="24"/>
          <w:lang w:val="en-US" w:eastAsia="zh-CN"/>
        </w:rPr>
        <w:t xml:space="preserve">2 </w:t>
      </w:r>
      <w:r>
        <w:rPr>
          <w:rFonts w:hint="eastAsia" w:ascii="Times New Roman" w:hAnsi="Times New Roman" w:eastAsia="宋体" w:cs="Times New Roman"/>
          <w:spacing w:val="4"/>
          <w:sz w:val="24"/>
          <w:szCs w:val="24"/>
          <w:lang w:val="en-US" w:eastAsia="zh-CN"/>
        </w:rPr>
        <w:t>预处理标准后经市政污水管网进入宁远县污水处理厂处理，经污水处理厂处理达到《城镇污水处理厂污染物排放标准》（</w:t>
      </w:r>
      <w:r>
        <w:rPr>
          <w:rFonts w:hint="default" w:ascii="Times New Roman" w:hAnsi="Times New Roman" w:eastAsia="宋体" w:cs="Times New Roman"/>
          <w:spacing w:val="4"/>
          <w:sz w:val="24"/>
          <w:szCs w:val="24"/>
          <w:lang w:val="en-US" w:eastAsia="zh-CN"/>
        </w:rPr>
        <w:t>GB18918-2002</w:t>
      </w:r>
      <w:r>
        <w:rPr>
          <w:rFonts w:hint="eastAsia" w:ascii="Times New Roman" w:hAnsi="Times New Roman" w:eastAsia="宋体" w:cs="Times New Roman"/>
          <w:spacing w:val="4"/>
          <w:sz w:val="24"/>
          <w:szCs w:val="24"/>
          <w:lang w:val="en-US" w:eastAsia="zh-CN"/>
        </w:rPr>
        <w:t xml:space="preserve">）一级 </w:t>
      </w:r>
      <w:r>
        <w:rPr>
          <w:rFonts w:hint="default" w:ascii="Times New Roman" w:hAnsi="Times New Roman" w:eastAsia="宋体" w:cs="Times New Roman"/>
          <w:spacing w:val="4"/>
          <w:sz w:val="24"/>
          <w:szCs w:val="24"/>
          <w:lang w:val="en-US" w:eastAsia="zh-CN"/>
        </w:rPr>
        <w:t xml:space="preserve">A </w:t>
      </w:r>
      <w:r>
        <w:rPr>
          <w:rFonts w:hint="eastAsia" w:ascii="Times New Roman" w:hAnsi="Times New Roman" w:eastAsia="宋体" w:cs="Times New Roman"/>
          <w:spacing w:val="4"/>
          <w:sz w:val="24"/>
          <w:szCs w:val="24"/>
          <w:lang w:val="en-US" w:eastAsia="zh-CN"/>
        </w:rPr>
        <w:t>标准后最终进入泠江；医疗废物在医疗废物暂存间</w:t>
      </w:r>
      <w:r>
        <w:rPr>
          <w:rFonts w:hint="eastAsia" w:ascii="Times New Roman" w:hAnsi="Times New Roman" w:eastAsia="宋体" w:cs="Times New Roman"/>
          <w:color w:val="auto"/>
          <w:spacing w:val="4"/>
          <w:sz w:val="24"/>
          <w:szCs w:val="24"/>
          <w:lang w:val="en-US" w:eastAsia="zh-CN"/>
        </w:rPr>
        <w:t>暂存后定期交永州市特许医疗废物集中处理有限公司经专用通道外运处置；生活垃圾由环</w:t>
      </w:r>
      <w:r>
        <w:rPr>
          <w:rFonts w:hint="eastAsia" w:ascii="Times New Roman" w:hAnsi="Times New Roman" w:eastAsia="宋体" w:cs="Times New Roman"/>
          <w:spacing w:val="4"/>
          <w:sz w:val="24"/>
          <w:szCs w:val="24"/>
          <w:lang w:val="en-US" w:eastAsia="zh-CN"/>
        </w:rPr>
        <w:t xml:space="preserve">卫部门统一清运处置，对周边环境不会产生明显影响。 </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val="en-US" w:eastAsia="zh-CN"/>
        </w:rPr>
        <w:t>综上所述，本项目选址与外环境相容，无明显的环境制约因素，选址合理可行。</w:t>
      </w:r>
    </w:p>
    <w:p>
      <w:pPr>
        <w:pStyle w:val="4"/>
        <w:bidi w:val="0"/>
        <w:rPr>
          <w:rFonts w:hint="eastAsia"/>
          <w:lang w:eastAsia="zh-CN"/>
        </w:rPr>
      </w:pPr>
      <w:r>
        <w:rPr>
          <w:rFonts w:hint="eastAsia"/>
          <w:lang w:eastAsia="zh-CN"/>
        </w:rPr>
        <w:t>1.4.</w:t>
      </w:r>
      <w:r>
        <w:rPr>
          <w:rFonts w:hint="eastAsia"/>
          <w:lang w:val="en-US" w:eastAsia="zh-CN"/>
        </w:rPr>
        <w:t>6</w:t>
      </w:r>
      <w:r>
        <w:rPr>
          <w:rFonts w:hint="eastAsia"/>
          <w:lang w:eastAsia="zh-CN"/>
        </w:rPr>
        <w:t xml:space="preserve"> 平面布局合理性分析</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（1）总平面布置</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项目综合</w:t>
      </w:r>
      <w:r>
        <w:rPr>
          <w:rFonts w:hint="eastAsia" w:ascii="Times New Roman" w:hAnsi="Times New Roman" w:eastAsia="宋体" w:cs="Times New Roman"/>
          <w:color w:val="auto"/>
          <w:spacing w:val="4"/>
          <w:sz w:val="24"/>
          <w:szCs w:val="24"/>
          <w:lang w:val="en-US" w:eastAsia="zh-CN"/>
        </w:rPr>
        <w:t>大楼位于厂区北侧，临近道路；项目污水处理站位于检验室南侧；办公行政楼位于厂区南侧；项目主要出入口位于厂区北侧，临路布置；上班时间综合大楼可作为厂区人行出入口；厂区内设停车位、绿化。本项目平面布置图，见附图 2。</w:t>
      </w:r>
    </w:p>
    <w:p>
      <w:pPr>
        <w:spacing w:before="3" w:line="360" w:lineRule="auto"/>
        <w:ind w:right="86" w:rightChars="0" w:firstLine="420" w:firstLineChars="200"/>
        <w:jc w:val="both"/>
        <w:rPr>
          <w:rFonts w:hint="eastAsia" w:ascii="Times New Roman" w:hAnsi="Times New Roman" w:eastAsia="宋体" w:cs="Times New Roman"/>
          <w:spacing w:val="4"/>
          <w:sz w:val="24"/>
          <w:szCs w:val="24"/>
          <w:lang w:val="en-US" w:eastAsia="zh-CN"/>
        </w:rPr>
      </w:pPr>
      <w:r>
        <w:rPr>
          <w:rFonts w:hint="eastAsia"/>
          <w:lang w:val="en-US" w:eastAsia="zh-CN"/>
        </w:rPr>
        <w:t>（</w:t>
      </w:r>
      <w:r>
        <w:rPr>
          <w:rFonts w:hint="eastAsia" w:ascii="Times New Roman" w:hAnsi="Times New Roman" w:eastAsia="宋体" w:cs="Times New Roman"/>
          <w:spacing w:val="4"/>
          <w:sz w:val="24"/>
          <w:szCs w:val="24"/>
          <w:lang w:val="en-US" w:eastAsia="zh-CN"/>
        </w:rPr>
        <w:t>2）总平面布置合理性</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结合总平面布置进行分析：项目单独建设了实验用房、污水处理站和危废暂存间；用地内设置了足够数量的机动车、非机动车的停车场或停车库。传染病疫情现场采样和处置车辆有相对独立的车辆消毒、处理、存放场地；疾控中心用地的出入口有二处，人员出入口与废弃物的出口应分开；疾控中心对外出入口处应设置值班室；疾控中心基地的无障碍设计符合现行国家标准《无障碍设计规范》（GB50763-2012）的有关规定。平面布局采用绿化与其他区分隔，这样在满足使用功能的同时又可以降低噪音的污染，同时便于管理。厂区设有主出入口，交通流线明确简捷，场区均有消防通道环绕整个场地，满足消防要求。</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本项目厂界距</w:t>
      </w:r>
      <w:r>
        <w:rPr>
          <w:rFonts w:hint="eastAsia" w:ascii="Times New Roman" w:hAnsi="Times New Roman" w:eastAsia="宋体" w:cs="Times New Roman"/>
          <w:color w:val="auto"/>
          <w:spacing w:val="4"/>
          <w:sz w:val="24"/>
          <w:szCs w:val="24"/>
          <w:lang w:val="en-US" w:eastAsia="zh-CN"/>
        </w:rPr>
        <w:t>离最近敏感点为东侧宁远县中医医院，为减少污水处理站、医疗废物暂存间对敏感点的影响，本项目项目污水处理设施为密闭式、医疗废物暂存间设置在厂区西侧，通过对污水处理站和</w:t>
      </w:r>
      <w:r>
        <w:rPr>
          <w:rFonts w:hint="eastAsia" w:ascii="Times New Roman" w:hAnsi="Times New Roman" w:eastAsia="宋体" w:cs="Times New Roman"/>
          <w:spacing w:val="4"/>
          <w:sz w:val="24"/>
          <w:szCs w:val="24"/>
          <w:lang w:val="en-US" w:eastAsia="zh-CN"/>
        </w:rPr>
        <w:t>医疗废物暂存间加强四周绿化等措施，对环境和周边敏感点影响较小。</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综上所述，项目总平面布局分区合理，各种流线组织清晰，人车路线清楚， 避免了交叉感染，建筑布局紧凑，交通便捷，建筑物内各功能区功能齐全、联系便捷，总平面布局合理。</w:t>
      </w:r>
    </w:p>
    <w:p>
      <w:pPr>
        <w:pStyle w:val="4"/>
        <w:bidi w:val="0"/>
        <w:rPr>
          <w:rFonts w:hint="default"/>
          <w:lang w:val="en-US" w:eastAsia="zh-CN"/>
        </w:rPr>
      </w:pPr>
      <w:r>
        <w:rPr>
          <w:rFonts w:hint="eastAsia"/>
          <w:lang w:val="en-US" w:eastAsia="zh-CN"/>
        </w:rPr>
        <w:t>1.4.7</w:t>
      </w:r>
      <w:r>
        <w:rPr>
          <w:rFonts w:hint="default"/>
          <w:lang w:val="en-US" w:eastAsia="zh-CN"/>
        </w:rPr>
        <w:t xml:space="preserve"> 环境制约因素</w:t>
      </w:r>
    </w:p>
    <w:p>
      <w:pPr>
        <w:spacing w:before="3" w:line="360" w:lineRule="auto"/>
        <w:ind w:right="86" w:rightChars="0" w:firstLine="496" w:firstLineChars="200"/>
        <w:jc w:val="both"/>
        <w:rPr>
          <w:rFonts w:hint="default" w:ascii="Times New Roman" w:hAnsi="Times New Roman" w:eastAsia="宋体" w:cs="Times New Roman"/>
          <w:spacing w:val="4"/>
          <w:sz w:val="24"/>
          <w:szCs w:val="24"/>
          <w:lang w:val="en-US" w:eastAsia="zh-CN"/>
        </w:rPr>
      </w:pPr>
      <w:r>
        <w:rPr>
          <w:rFonts w:hint="default" w:ascii="Times New Roman" w:hAnsi="Times New Roman" w:eastAsia="宋体" w:cs="Times New Roman"/>
          <w:spacing w:val="4"/>
          <w:sz w:val="24"/>
          <w:szCs w:val="24"/>
          <w:lang w:val="en-US" w:eastAsia="zh-CN"/>
        </w:rPr>
        <w:t>根据各相关判定情况，本项目符合国家产业政策；平面布局、项目选址均符合规划，用地符合规划。</w:t>
      </w:r>
    </w:p>
    <w:p>
      <w:pPr>
        <w:spacing w:before="3" w:line="360" w:lineRule="auto"/>
        <w:ind w:right="86" w:rightChars="0" w:firstLine="496" w:firstLineChars="200"/>
        <w:jc w:val="both"/>
        <w:rPr>
          <w:rFonts w:hint="default" w:ascii="Times New Roman" w:hAnsi="Times New Roman" w:eastAsia="宋体" w:cs="Times New Roman"/>
          <w:spacing w:val="4"/>
          <w:sz w:val="24"/>
          <w:szCs w:val="24"/>
          <w:lang w:val="en-US" w:eastAsia="zh-CN"/>
        </w:rPr>
      </w:pPr>
      <w:r>
        <w:rPr>
          <w:rFonts w:hint="default" w:ascii="Times New Roman" w:hAnsi="Times New Roman" w:eastAsia="宋体" w:cs="Times New Roman"/>
          <w:spacing w:val="4"/>
          <w:sz w:val="24"/>
          <w:szCs w:val="24"/>
          <w:lang w:val="en-US" w:eastAsia="zh-CN"/>
        </w:rPr>
        <w:t>本项目属于卫生项目，不存在明显制约因素及主要环境问题。</w:t>
      </w:r>
    </w:p>
    <w:p>
      <w:pPr>
        <w:pStyle w:val="3"/>
        <w:bidi w:val="0"/>
        <w:rPr>
          <w:rFonts w:hint="eastAsia"/>
          <w:lang w:eastAsia="zh-CN"/>
        </w:rPr>
      </w:pPr>
      <w:bookmarkStart w:id="15" w:name="_Toc999"/>
      <w:bookmarkStart w:id="16" w:name="_Toc30404"/>
      <w:r>
        <w:rPr>
          <w:rFonts w:hint="eastAsia"/>
          <w:lang w:val="en-US" w:eastAsia="zh-CN"/>
        </w:rPr>
        <w:t>1.</w:t>
      </w:r>
      <w:r>
        <w:rPr>
          <w:rFonts w:hint="eastAsia"/>
          <w:lang w:eastAsia="zh-CN"/>
        </w:rPr>
        <w:t>5 关注的主要环境问题及环境影响</w:t>
      </w:r>
      <w:bookmarkEnd w:id="15"/>
      <w:bookmarkEnd w:id="16"/>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本项目主要污染源出现在运营期，主要关注以下环境问题：</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（1）建设项目是否满足国家产业政策及相关规定；</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（2）项目营运期废水、废气治理措施及其对周边环境的影响；</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（3）项目固体废物处理措施；</w:t>
      </w:r>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（4）项目建设运营期间产生的环境影响及主要污染物是否能够达标排放，采取的污染防治措施是否合理可行；外环境对本项目的影响是否可控。</w:t>
      </w:r>
    </w:p>
    <w:p>
      <w:pPr>
        <w:pStyle w:val="3"/>
        <w:bidi w:val="0"/>
        <w:rPr>
          <w:rFonts w:hint="eastAsia"/>
          <w:lang w:eastAsia="zh-CN"/>
        </w:rPr>
      </w:pPr>
      <w:bookmarkStart w:id="17" w:name="_Toc12691"/>
      <w:bookmarkStart w:id="18" w:name="_Toc4455"/>
      <w:r>
        <w:rPr>
          <w:rFonts w:hint="eastAsia"/>
          <w:lang w:eastAsia="zh-CN"/>
        </w:rPr>
        <w:t>1.6 环境影响评价的主要结论</w:t>
      </w:r>
      <w:bookmarkEnd w:id="17"/>
      <w:bookmarkEnd w:id="18"/>
    </w:p>
    <w:p>
      <w:pPr>
        <w:spacing w:before="3" w:line="360" w:lineRule="auto"/>
        <w:ind w:right="86" w:rightChars="0" w:firstLine="496" w:firstLineChars="200"/>
        <w:jc w:val="both"/>
        <w:rPr>
          <w:rFonts w:hint="eastAsia" w:ascii="Times New Roman" w:hAnsi="Times New Roman" w:eastAsia="宋体" w:cs="Times New Roman"/>
          <w:spacing w:val="4"/>
          <w:sz w:val="24"/>
          <w:szCs w:val="24"/>
          <w:lang w:eastAsia="zh-CN"/>
        </w:rPr>
      </w:pPr>
      <w:r>
        <w:rPr>
          <w:rFonts w:hint="eastAsia" w:ascii="Times New Roman" w:hAnsi="Times New Roman" w:eastAsia="宋体" w:cs="Times New Roman"/>
          <w:spacing w:val="4"/>
          <w:sz w:val="24"/>
          <w:szCs w:val="24"/>
          <w:lang w:eastAsia="zh-CN"/>
        </w:rPr>
        <w:t>本次评价的主要结论为：本项目符合国家产业政策及地方发展规划，选址合理，环保治理措施技术可行，经济合理，长期正常运行可达标排放，降低了各类污染物的排放，在企业落实环境管理的前提下，各类环保设施稳定运行，工程的实施不会对周围环境产生明显影响。为此，本评价从环保角度认为项目的建设可行。</w:t>
      </w:r>
    </w:p>
    <w:p>
      <w:pPr>
        <w:spacing w:before="322" w:line="227" w:lineRule="auto"/>
        <w:ind w:left="3672"/>
        <w:outlineLvl w:val="9"/>
        <w:rPr>
          <w:rFonts w:ascii="黑体" w:hAnsi="黑体" w:eastAsia="黑体" w:cs="黑体"/>
          <w:spacing w:val="7"/>
          <w:sz w:val="35"/>
          <w:szCs w:val="35"/>
        </w:rPr>
        <w:sectPr>
          <w:headerReference r:id="rId9" w:type="default"/>
          <w:footerReference r:id="rId10" w:type="default"/>
          <w:pgSz w:w="11906" w:h="16839"/>
          <w:pgMar w:top="1440" w:right="1080" w:bottom="1440" w:left="1080" w:header="878" w:footer="996" w:gutter="0"/>
          <w:pgBorders w:offsetFrom="page">
            <w:top w:val="none" w:sz="0" w:space="0"/>
            <w:left w:val="none" w:sz="0" w:space="0"/>
            <w:bottom w:val="none" w:sz="0" w:space="0"/>
            <w:right w:val="none" w:sz="0" w:space="0"/>
          </w:pgBorders>
          <w:pgNumType w:fmt="decimal" w:start="1"/>
          <w:cols w:space="720" w:num="1"/>
        </w:sectPr>
      </w:pPr>
    </w:p>
    <w:p>
      <w:pPr>
        <w:pStyle w:val="2"/>
        <w:bidi w:val="0"/>
        <w:spacing w:after="0" w:afterLines="0" w:afterAutospacing="0"/>
        <w:jc w:val="center"/>
        <w:rPr>
          <w:rFonts w:ascii="Arial"/>
          <w:sz w:val="21"/>
        </w:rPr>
      </w:pPr>
      <w:bookmarkStart w:id="19" w:name="_Toc5450"/>
      <w:bookmarkStart w:id="20" w:name="_Toc11142"/>
      <w:r>
        <w:t>第</w:t>
      </w:r>
      <w:r>
        <w:rPr>
          <w:rFonts w:hint="eastAsia"/>
          <w:lang w:val="en-US" w:eastAsia="zh-CN"/>
        </w:rPr>
        <w:t>二</w:t>
      </w:r>
      <w:r>
        <w:t>章 总则</w:t>
      </w:r>
      <w:bookmarkEnd w:id="19"/>
      <w:bookmarkEnd w:id="20"/>
    </w:p>
    <w:p>
      <w:pPr>
        <w:pStyle w:val="3"/>
        <w:bidi w:val="0"/>
      </w:pPr>
      <w:bookmarkStart w:id="21" w:name="_Toc31411"/>
      <w:bookmarkStart w:id="22" w:name="_Toc2599"/>
      <w:r>
        <w:rPr>
          <w:rFonts w:hint="eastAsia"/>
          <w:lang w:val="en-US" w:eastAsia="zh-CN"/>
        </w:rPr>
        <w:t>2</w:t>
      </w:r>
      <w:r>
        <w:t>.1 编制依据</w:t>
      </w:r>
      <w:bookmarkEnd w:id="21"/>
      <w:bookmarkEnd w:id="22"/>
    </w:p>
    <w:p>
      <w:pPr>
        <w:spacing w:before="227" w:line="360" w:lineRule="auto"/>
        <w:ind w:left="9" w:right="176" w:firstLine="480"/>
        <w:rPr>
          <w:rFonts w:ascii="Times New Roman" w:hAnsi="Times New Roman" w:eastAsia="宋体" w:cs="Times New Roman"/>
          <w:spacing w:val="11"/>
          <w:sz w:val="24"/>
          <w:szCs w:val="24"/>
        </w:rPr>
      </w:pPr>
      <w:r>
        <w:rPr>
          <w:rFonts w:ascii="宋体" w:hAnsi="宋体" w:eastAsia="宋体" w:cs="宋体"/>
          <w:spacing w:val="18"/>
          <w:sz w:val="24"/>
          <w:szCs w:val="24"/>
        </w:rPr>
        <w:t>根据</w:t>
      </w:r>
      <w:r>
        <w:rPr>
          <w:rFonts w:ascii="宋体" w:hAnsi="宋体" w:eastAsia="宋体" w:cs="宋体"/>
          <w:spacing w:val="17"/>
          <w:sz w:val="24"/>
          <w:szCs w:val="24"/>
        </w:rPr>
        <w:t>国</w:t>
      </w:r>
      <w:r>
        <w:rPr>
          <w:rFonts w:ascii="宋体" w:hAnsi="宋体" w:eastAsia="宋体" w:cs="宋体"/>
          <w:spacing w:val="9"/>
          <w:sz w:val="24"/>
          <w:szCs w:val="24"/>
        </w:rPr>
        <w:t>家和地方有关环境保护法律、法规以及有关技术规范和工程技术资料、项目</w:t>
      </w:r>
      <w:r>
        <w:rPr>
          <w:rFonts w:ascii="宋体" w:hAnsi="宋体" w:eastAsia="宋体" w:cs="宋体"/>
          <w:sz w:val="24"/>
          <w:szCs w:val="24"/>
        </w:rPr>
        <w:t xml:space="preserve"> </w:t>
      </w:r>
      <w:r>
        <w:rPr>
          <w:rFonts w:ascii="宋体" w:hAnsi="宋体" w:eastAsia="宋体" w:cs="宋体"/>
          <w:spacing w:val="16"/>
          <w:sz w:val="24"/>
          <w:szCs w:val="24"/>
        </w:rPr>
        <w:t>相</w:t>
      </w:r>
      <w:r>
        <w:rPr>
          <w:rFonts w:ascii="宋体" w:hAnsi="宋体" w:eastAsia="宋体" w:cs="宋体"/>
          <w:spacing w:val="9"/>
          <w:sz w:val="24"/>
          <w:szCs w:val="24"/>
        </w:rPr>
        <w:t>关文件，编制本项目环境影响</w:t>
      </w:r>
      <w:r>
        <w:rPr>
          <w:rFonts w:ascii="Times New Roman" w:hAnsi="Times New Roman" w:eastAsia="宋体" w:cs="Times New Roman"/>
          <w:spacing w:val="11"/>
          <w:sz w:val="24"/>
          <w:szCs w:val="24"/>
        </w:rPr>
        <w:t>报告书。主要编制依据如下：</w:t>
      </w:r>
    </w:p>
    <w:p>
      <w:pPr>
        <w:pStyle w:val="4"/>
        <w:bidi w:val="0"/>
      </w:pPr>
      <w:bookmarkStart w:id="23" w:name="_Toc30257"/>
      <w:r>
        <w:rPr>
          <w:rFonts w:hint="eastAsia"/>
          <w:lang w:val="en-US" w:eastAsia="zh-CN"/>
        </w:rPr>
        <w:t>2</w:t>
      </w:r>
      <w:r>
        <w:t>.1.1 国家法律、法规和政策</w:t>
      </w:r>
      <w:bookmarkEnd w:id="23"/>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《中华人民共和国环境保护法》(2014年修正，2015年1月1日起实施)；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2</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《中华人民共和国环境影响评价法》(2018年12月29日修订)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3</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《中华人民共和国水污染防治法</w:t>
      </w:r>
      <w:r>
        <w:rPr>
          <w:rFonts w:hint="default" w:ascii="Times New Roman" w:hAnsi="Times New Roman" w:eastAsia="宋体" w:cs="Times New Roman"/>
          <w:spacing w:val="11"/>
          <w:sz w:val="24"/>
          <w:szCs w:val="24"/>
        </w:rPr>
        <w:t>》</w:t>
      </w:r>
      <w:r>
        <w:rPr>
          <w:rFonts w:ascii="Times New Roman" w:hAnsi="Times New Roman" w:eastAsia="宋体" w:cs="Times New Roman"/>
          <w:spacing w:val="11"/>
          <w:sz w:val="24"/>
          <w:szCs w:val="24"/>
        </w:rPr>
        <w:t>(2017年6月修订</w:t>
      </w:r>
      <w:r>
        <w:rPr>
          <w:rFonts w:hint="default"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2018年1月</w:t>
      </w:r>
      <w:r>
        <w:rPr>
          <w:rFonts w:hint="eastAsia" w:ascii="Times New Roman" w:hAnsi="Times New Roman" w:eastAsia="宋体" w:cs="Times New Roman"/>
          <w:spacing w:val="11"/>
          <w:sz w:val="24"/>
          <w:szCs w:val="24"/>
          <w:lang w:val="en-US" w:eastAsia="zh-CN"/>
        </w:rPr>
        <w:t>1</w:t>
      </w:r>
      <w:r>
        <w:rPr>
          <w:rFonts w:ascii="Times New Roman" w:hAnsi="Times New Roman" w:eastAsia="宋体" w:cs="Times New Roman"/>
          <w:spacing w:val="11"/>
          <w:sz w:val="24"/>
          <w:szCs w:val="24"/>
        </w:rPr>
        <w:t>日实施)</w:t>
      </w:r>
      <w:r>
        <w:rPr>
          <w:rFonts w:hint="eastAsia" w:ascii="Times New Roman" w:hAnsi="Times New Roman" w:eastAsia="宋体" w:cs="Times New Roman"/>
          <w:spacing w:val="1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4</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《中华人民共和国大气污染防治法》(2018年10月26日修订)；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5</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《中华人民共和国固体废物污染环境防治法》 (2020年修订，2020年9月1日起施行)；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6</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《中华人民共和国环境噪声污染防治法》(20</w:t>
      </w:r>
      <w:r>
        <w:rPr>
          <w:rFonts w:hint="eastAsia" w:ascii="Times New Roman" w:hAnsi="Times New Roman" w:eastAsia="宋体" w:cs="Times New Roman"/>
          <w:spacing w:val="11"/>
          <w:sz w:val="24"/>
          <w:szCs w:val="24"/>
          <w:lang w:val="en-US" w:eastAsia="zh-CN"/>
        </w:rPr>
        <w:t>22</w:t>
      </w:r>
      <w:r>
        <w:rPr>
          <w:rFonts w:ascii="Times New Roman" w:hAnsi="Times New Roman" w:eastAsia="宋体" w:cs="Times New Roman"/>
          <w:spacing w:val="11"/>
          <w:sz w:val="24"/>
          <w:szCs w:val="24"/>
        </w:rPr>
        <w:t>年</w:t>
      </w:r>
      <w:r>
        <w:rPr>
          <w:rFonts w:hint="eastAsia" w:ascii="Times New Roman" w:hAnsi="Times New Roman" w:eastAsia="宋体" w:cs="Times New Roman"/>
          <w:spacing w:val="11"/>
          <w:sz w:val="24"/>
          <w:szCs w:val="24"/>
          <w:lang w:val="en-US" w:eastAsia="zh-CN"/>
        </w:rPr>
        <w:t>6</w:t>
      </w:r>
      <w:r>
        <w:rPr>
          <w:rFonts w:ascii="Times New Roman" w:hAnsi="Times New Roman" w:eastAsia="宋体" w:cs="Times New Roman"/>
          <w:spacing w:val="11"/>
          <w:sz w:val="24"/>
          <w:szCs w:val="24"/>
        </w:rPr>
        <w:t>月</w:t>
      </w:r>
      <w:r>
        <w:rPr>
          <w:rFonts w:hint="eastAsia" w:ascii="Times New Roman" w:hAnsi="Times New Roman" w:eastAsia="宋体" w:cs="Times New Roman"/>
          <w:spacing w:val="11"/>
          <w:sz w:val="24"/>
          <w:szCs w:val="24"/>
          <w:lang w:val="en-US" w:eastAsia="zh-CN"/>
        </w:rPr>
        <w:t>5</w:t>
      </w:r>
      <w:r>
        <w:rPr>
          <w:rFonts w:ascii="Times New Roman" w:hAnsi="Times New Roman" w:eastAsia="宋体" w:cs="Times New Roman"/>
          <w:spacing w:val="11"/>
          <w:sz w:val="24"/>
          <w:szCs w:val="24"/>
        </w:rPr>
        <w:t>日修订)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7</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《中华人民共和国水土保持法》(2010年修订，2011年3月1日起实施)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8</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《中华人民共和国水法》</w:t>
      </w:r>
      <w:r>
        <w:rPr>
          <w:rFonts w:hint="eastAsia" w:ascii="Times New Roman" w:hAnsi="Times New Roman" w:eastAsia="宋体" w:cs="Times New Roman"/>
          <w:spacing w:val="11"/>
          <w:sz w:val="24"/>
          <w:szCs w:val="24"/>
        </w:rPr>
        <w:t>（2016年修正，2016年9月1日起施行</w:t>
      </w:r>
      <w:r>
        <w:rPr>
          <w:rFonts w:ascii="Times New Roman" w:hAnsi="Times New Roman" w:eastAsia="宋体" w:cs="Times New Roman"/>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9</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《中华人民共和国土地管理法》  (2019年8月26日修正)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10</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《中华人民共和国清洁生产促进法》(2012年7月1日起实施)；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11</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《中华人民共和国环境保护税法》(2018年1月1日起实施)；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12</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《中华人民共和国土壤污染防治法》(2019年1月1日起实施)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13</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《建设项目环境保护管理条例》(国务院令第682号，2017年10月1日)</w:t>
      </w:r>
      <w:r>
        <w:rPr>
          <w:rFonts w:hint="eastAsia" w:ascii="Times New Roman" w:hAnsi="Times New Roman" w:eastAsia="宋体" w:cs="Times New Roman"/>
          <w:spacing w:val="1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14</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《建设项目环境影响评价分类管理名录》(2021年版)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15</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《全国生态环境保护纲要》(国务院国发〔2000〕38号文，2000年11月 26日)；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outlineLvl w:val="3"/>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16</w:t>
      </w:r>
      <w:r>
        <w:rPr>
          <w:rFonts w:hint="eastAsia" w:ascii="Times New Roman" w:hAnsi="Times New Roman" w:eastAsia="宋体" w:cs="Times New Roman"/>
          <w:spacing w:val="11"/>
          <w:sz w:val="24"/>
          <w:szCs w:val="24"/>
          <w:lang w:eastAsia="zh-CN"/>
        </w:rPr>
        <w:t>）《国家</w:t>
      </w:r>
      <w:r>
        <w:rPr>
          <w:rFonts w:ascii="Times New Roman" w:hAnsi="Times New Roman" w:eastAsia="宋体" w:cs="Times New Roman"/>
          <w:spacing w:val="11"/>
          <w:sz w:val="24"/>
          <w:szCs w:val="24"/>
        </w:rPr>
        <w:t>突发公共事件总体应急预案》 (2006年)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17</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《国务院关于加强环境保护重点工作的意见》(国发〔2011〕35号)；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18</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《关于进一步加强环境影响评价管理防范环境风险的通知》(环发〔2012〕77号)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19</w:t>
      </w:r>
      <w:r>
        <w:rPr>
          <w:rFonts w:hint="eastAsia" w:ascii="Times New Roman" w:hAnsi="Times New Roman" w:eastAsia="宋体" w:cs="Times New Roman"/>
          <w:spacing w:val="11"/>
          <w:sz w:val="24"/>
          <w:szCs w:val="24"/>
          <w:lang w:eastAsia="zh-CN"/>
        </w:rPr>
        <w:t>）</w:t>
      </w:r>
      <w:r>
        <w:rPr>
          <w:rFonts w:ascii="Times New Roman" w:hAnsi="Times New Roman" w:eastAsia="宋体" w:cs="Times New Roman"/>
          <w:spacing w:val="11"/>
          <w:sz w:val="24"/>
          <w:szCs w:val="24"/>
        </w:rPr>
        <w:t>《突发环境事件应急管理办法》 (环境保护部令第34号) ；</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176" w:firstLine="524" w:firstLineChars="200"/>
        <w:jc w:val="both"/>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20</w:t>
      </w: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《中华人民共和国国民经济和社会发展第十四个五年规划和 2035 年远景目标纲要》（2021 年3月11日通过）</w:t>
      </w:r>
      <w:r>
        <w:rPr>
          <w:rFonts w:hint="eastAsia" w:ascii="Times New Roman" w:hAnsi="Times New Roman" w:eastAsia="宋体" w:cs="Times New Roman"/>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21</w:t>
      </w: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《健康中国 2030 规划纲要》（2016年10月25日实施）</w:t>
      </w:r>
      <w:r>
        <w:rPr>
          <w:rFonts w:hint="eastAsia" w:ascii="Times New Roman" w:hAnsi="Times New Roman" w:eastAsia="宋体" w:cs="Times New Roman"/>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22</w:t>
      </w: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rPr>
        <w:t xml:space="preserve"> 《中华人民共和国传染病防治法》，中华人民共和国主席令第五号，2013年 6 月 29 日修正；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23</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《中华人民共和国生物安全法》（2020 年 10 月 17 日）</w:t>
      </w:r>
      <w:r>
        <w:rPr>
          <w:rFonts w:hint="eastAsia" w:ascii="Times New Roman" w:hAnsi="Times New Roman" w:eastAsia="宋体" w:cs="Times New Roman"/>
          <w:spacing w:val="1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24</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《医疗卫生机构医疗废物管理办法》（卫生部令第 36 号，2003 年10月15 日实施）</w:t>
      </w:r>
      <w:r>
        <w:rPr>
          <w:rFonts w:hint="eastAsia" w:ascii="Times New Roman" w:hAnsi="Times New Roman" w:eastAsia="宋体" w:cs="Times New Roman"/>
          <w:spacing w:val="1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25</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《病原微生物实验室生物安全环境管理办法》（国家环境保护总局令第 32 号，2006 年 5 月 1 日施行）</w:t>
      </w:r>
      <w:r>
        <w:rPr>
          <w:rFonts w:hint="eastAsia" w:ascii="Times New Roman" w:hAnsi="Times New Roman" w:eastAsia="宋体" w:cs="Times New Roman"/>
          <w:spacing w:val="1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26</w:t>
      </w:r>
      <w:r>
        <w:rPr>
          <w:rFonts w:hint="eastAsia" w:ascii="Times New Roman" w:hAnsi="Times New Roman" w:eastAsia="宋体" w:cs="Times New Roman"/>
          <w:spacing w:val="11"/>
          <w:sz w:val="24"/>
          <w:szCs w:val="24"/>
        </w:rPr>
        <w:t>）《环境影响评价公众参与办法》（生态环境部令第4号，2019年1月1日起施行）；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27</w:t>
      </w: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rPr>
        <w:t>《排污许可证管理</w:t>
      </w:r>
      <w:r>
        <w:rPr>
          <w:rFonts w:hint="eastAsia" w:ascii="Times New Roman" w:hAnsi="Times New Roman" w:eastAsia="宋体" w:cs="Times New Roman"/>
          <w:spacing w:val="11"/>
          <w:sz w:val="24"/>
          <w:szCs w:val="24"/>
          <w:lang w:val="en-US" w:eastAsia="zh-CN"/>
        </w:rPr>
        <w:t>办法</w:t>
      </w:r>
      <w:r>
        <w:rPr>
          <w:rFonts w:hint="eastAsia" w:ascii="Times New Roman" w:hAnsi="Times New Roman" w:eastAsia="宋体" w:cs="Times New Roman"/>
          <w:spacing w:val="11"/>
          <w:sz w:val="24"/>
          <w:szCs w:val="24"/>
        </w:rPr>
        <w:t>》（生态环境部令第32号</w:t>
      </w: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rPr>
        <w:t>2024年4月1日）；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28</w:t>
      </w:r>
      <w:r>
        <w:rPr>
          <w:rFonts w:hint="eastAsia" w:ascii="Times New Roman" w:hAnsi="Times New Roman" w:eastAsia="宋体" w:cs="Times New Roman"/>
          <w:spacing w:val="11"/>
          <w:sz w:val="24"/>
          <w:szCs w:val="24"/>
        </w:rPr>
        <w:t>）《产业结构调整指导目录》（20</w:t>
      </w:r>
      <w:r>
        <w:rPr>
          <w:rFonts w:hint="eastAsia" w:ascii="Times New Roman" w:hAnsi="Times New Roman" w:eastAsia="宋体" w:cs="Times New Roman"/>
          <w:spacing w:val="11"/>
          <w:sz w:val="24"/>
          <w:szCs w:val="24"/>
          <w:lang w:val="en-US" w:eastAsia="zh-CN"/>
        </w:rPr>
        <w:t>24</w:t>
      </w:r>
      <w:r>
        <w:rPr>
          <w:rFonts w:hint="eastAsia" w:ascii="Times New Roman" w:hAnsi="Times New Roman" w:eastAsia="宋体" w:cs="Times New Roman"/>
          <w:spacing w:val="11"/>
          <w:sz w:val="24"/>
          <w:szCs w:val="24"/>
        </w:rPr>
        <w:t>年本）；</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29</w:t>
      </w:r>
      <w:r>
        <w:rPr>
          <w:rFonts w:hint="eastAsia" w:ascii="Times New Roman" w:hAnsi="Times New Roman" w:eastAsia="宋体" w:cs="Times New Roman"/>
          <w:spacing w:val="11"/>
          <w:sz w:val="24"/>
          <w:szCs w:val="24"/>
        </w:rPr>
        <w:t>）《国家危险废物名录》（2021年版）；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30</w:t>
      </w:r>
      <w:r>
        <w:rPr>
          <w:rFonts w:hint="eastAsia" w:ascii="Times New Roman" w:hAnsi="Times New Roman" w:eastAsia="宋体" w:cs="Times New Roman"/>
          <w:spacing w:val="11"/>
          <w:sz w:val="24"/>
          <w:szCs w:val="24"/>
        </w:rPr>
        <w:t>）《危险化学品安全管理条例》（2013年修正，2013年12月7日起施行）</w:t>
      </w:r>
      <w:r>
        <w:rPr>
          <w:rFonts w:hint="eastAsia" w:ascii="Times New Roman" w:hAnsi="Times New Roman" w:eastAsia="宋体" w:cs="Times New Roman"/>
          <w:spacing w:val="1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31</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《关于印发建设项目环境影响评价信息公开机制方案的通知》（环发[2015]162号，2015年12月10日）；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32</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《环境保护部关于印发&lt;建设项目主要污染物排放总量指标审核及管理暂行办法&gt;的通知》（环发[2014]197号，2014年12月30日）；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eastAsia="zh-CN"/>
        </w:rPr>
        <w:t>（</w:t>
      </w:r>
      <w:r>
        <w:rPr>
          <w:rFonts w:hint="eastAsia" w:ascii="Times New Roman" w:hAnsi="Times New Roman" w:eastAsia="宋体" w:cs="Times New Roman"/>
          <w:spacing w:val="11"/>
          <w:sz w:val="24"/>
          <w:szCs w:val="24"/>
          <w:lang w:val="en-US" w:eastAsia="zh-CN"/>
        </w:rPr>
        <w:t>33）《医疗废物管理条例》（国务院令第 380 号，2011 年 1 月 8 日修订）；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default"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（34</w:t>
      </w:r>
      <w:r>
        <w:rPr>
          <w:rFonts w:hint="default" w:ascii="Times New Roman" w:hAnsi="Times New Roman" w:eastAsia="宋体" w:cs="Times New Roman"/>
          <w:spacing w:val="11"/>
          <w:sz w:val="24"/>
          <w:szCs w:val="24"/>
          <w:lang w:val="en-US" w:eastAsia="zh-CN"/>
        </w:rPr>
        <w:t>）《病原微生物实验室生物安全管理条例》</w:t>
      </w: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国务院令第 424 号，2018 年 3 月 19 日第二次修订</w:t>
      </w: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default"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（35</w:t>
      </w:r>
      <w:r>
        <w:rPr>
          <w:rFonts w:hint="default" w:ascii="Times New Roman" w:hAnsi="Times New Roman" w:eastAsia="宋体" w:cs="Times New Roman"/>
          <w:spacing w:val="11"/>
          <w:sz w:val="24"/>
          <w:szCs w:val="24"/>
          <w:lang w:val="en-US" w:eastAsia="zh-CN"/>
        </w:rPr>
        <w:t>）《危险废物转移管理办法》（2021 年 11 月 30 日生态环境部、公安部、交通运输部令第 23 号公布</w:t>
      </w: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自2022年1月1日起施行）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9" w:right="176" w:firstLine="480"/>
        <w:jc w:val="both"/>
        <w:textAlignment w:val="baseline"/>
        <w:rPr>
          <w:rFonts w:hint="default"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（36）</w:t>
      </w:r>
      <w:r>
        <w:rPr>
          <w:rFonts w:hint="default" w:ascii="Times New Roman" w:hAnsi="Times New Roman" w:eastAsia="宋体" w:cs="Times New Roman"/>
          <w:spacing w:val="11"/>
          <w:sz w:val="24"/>
          <w:szCs w:val="24"/>
          <w:lang w:val="en-US" w:eastAsia="zh-CN"/>
        </w:rPr>
        <w:t>《医疗废物专用包装袋、容器和警示标志标准》（HJ421-2008）；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jc w:val="left"/>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（37</w:t>
      </w:r>
      <w:r>
        <w:rPr>
          <w:rFonts w:hint="default" w:ascii="Times New Roman" w:hAnsi="Times New Roman" w:eastAsia="宋体" w:cs="Times New Roman"/>
          <w:spacing w:val="11"/>
          <w:sz w:val="24"/>
          <w:szCs w:val="24"/>
          <w:lang w:val="en-US" w:eastAsia="zh-CN"/>
        </w:rPr>
        <w:t>）《医疗卫生机构医疗废物管理办法》（中华人民共和国卫生部令，第36号令）</w:t>
      </w:r>
      <w:r>
        <w:rPr>
          <w:rFonts w:hint="eastAsia" w:ascii="Times New Roman" w:hAnsi="Times New Roman" w:eastAsia="宋体" w:cs="Times New Roman"/>
          <w:spacing w:val="11"/>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jc w:val="left"/>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（38）《关于疾病预防控制体系建设的若干规定》（中华人民共和国卫生部令第 40 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jc w:val="left"/>
        <w:textAlignment w:val="baseline"/>
        <w:rPr>
          <w:rFonts w:hint="default"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（39）《省、地、县级疾病预防控制中心实验室建设指导意见》（卫办疾控发[2004]108 号）</w:t>
      </w:r>
      <w:r>
        <w:rPr>
          <w:rFonts w:hint="default" w:ascii="Times New Roman" w:hAnsi="Times New Roman" w:eastAsia="宋体" w:cs="Times New Roman"/>
          <w:spacing w:val="11"/>
          <w:sz w:val="24"/>
          <w:szCs w:val="24"/>
          <w:lang w:val="en-US" w:eastAsia="zh-CN"/>
        </w:rPr>
        <w:t>。</w:t>
      </w:r>
    </w:p>
    <w:p>
      <w:pPr>
        <w:pStyle w:val="4"/>
        <w:bidi w:val="0"/>
        <w:rPr>
          <w:rFonts w:hint="eastAsia"/>
          <w:lang w:eastAsia="zh-CN"/>
        </w:rPr>
      </w:pPr>
      <w:bookmarkStart w:id="24" w:name="_Toc11682"/>
      <w:r>
        <w:rPr>
          <w:rFonts w:hint="eastAsia"/>
          <w:lang w:eastAsia="zh-CN"/>
        </w:rPr>
        <w:t>2.1.</w:t>
      </w:r>
      <w:r>
        <w:rPr>
          <w:rFonts w:hint="eastAsia"/>
          <w:lang w:val="en-US" w:eastAsia="zh-CN"/>
        </w:rPr>
        <w:t xml:space="preserve">2 </w:t>
      </w:r>
      <w:r>
        <w:rPr>
          <w:rFonts w:hint="eastAsia"/>
          <w:lang w:eastAsia="zh-CN"/>
        </w:rPr>
        <w:t xml:space="preserve"> 地方行政规章、规范性文件</w:t>
      </w:r>
      <w:bookmarkEnd w:id="24"/>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《湖南省环境保护条例》，2019年9月28日修订；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 xml:space="preserve"> 《湖南省大气污染防治条例》，2017年6月1日施行；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jc w:val="both"/>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3</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 xml:space="preserve"> 《关于印发&lt;湖南省“十四五”生态环境保护规划&gt;的通知》，湘政办发[2021]61号，2021年9月30日；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4</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《关于公布湖南省县级以上地表水集中式饮用水水源保护区划定方案的通知》，湘政函[2016]176号，2016年12月30日；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5</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《湖南省主要水系地表水环境功能区划》（DB43/023-2005），2005年7月 1日；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6</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《湖南省实施&lt;中华人民共和国固体废物污染环境防治法&gt;办法》，2020年 7月30日修正；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7</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 xml:space="preserve"> 《湖南省主体功能区规划》，湖南省人民政府，2012年12月27日；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8</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《湖南省地方标准用水定额》（DB43/T388-2020）；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9</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《湖南省人民政府办公厅关于印发&lt;贯彻落实&lt;大气污染防治行动计划〉实施细则&gt;的通知》，湘政办发[2013]77 号，2013年12月23日；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10</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《湖南省人民政府关于印发&lt;湖南省贯彻落实〈水污染防治行动计划〉实施方案（2016-2020年）&gt;的通知》，湘政发[2015]53号，2015年12月31日；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11</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《湖南省人民政府关于印发&lt;湖南省土壤污染防治工作方案&gt;的通知》，湘政发[2017]4号，2017年</w:t>
      </w:r>
      <w:r>
        <w:rPr>
          <w:rFonts w:hint="eastAsia"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eastAsia="zh-CN"/>
        </w:rPr>
        <w:t xml:space="preserve"> 月23日；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12</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《永州市人民政府关于实施</w:t>
      </w:r>
      <w:r>
        <w:rPr>
          <w:rFonts w:hint="default" w:ascii="Times New Roman" w:hAnsi="Times New Roman" w:eastAsia="宋体" w:cs="Times New Roman"/>
          <w:spacing w:val="11"/>
          <w:sz w:val="24"/>
          <w:szCs w:val="24"/>
          <w:lang w:val="en-US" w:eastAsia="zh-CN"/>
        </w:rPr>
        <w:t>“</w:t>
      </w:r>
      <w:r>
        <w:rPr>
          <w:rFonts w:hint="eastAsia" w:ascii="Times New Roman" w:hAnsi="Times New Roman" w:eastAsia="宋体" w:cs="Times New Roman"/>
          <w:spacing w:val="11"/>
          <w:sz w:val="24"/>
          <w:szCs w:val="24"/>
          <w:lang w:val="en-US" w:eastAsia="zh-CN"/>
        </w:rPr>
        <w:t>三线一单</w:t>
      </w:r>
      <w:r>
        <w:rPr>
          <w:rFonts w:hint="default" w:ascii="Times New Roman" w:hAnsi="Times New Roman" w:eastAsia="宋体" w:cs="Times New Roman"/>
          <w:spacing w:val="11"/>
          <w:sz w:val="24"/>
          <w:szCs w:val="24"/>
          <w:lang w:val="en-US" w:eastAsia="zh-CN"/>
        </w:rPr>
        <w:t>”</w:t>
      </w:r>
      <w:r>
        <w:rPr>
          <w:rFonts w:hint="eastAsia" w:ascii="Times New Roman" w:hAnsi="Times New Roman" w:eastAsia="宋体" w:cs="Times New Roman"/>
          <w:spacing w:val="11"/>
          <w:sz w:val="24"/>
          <w:szCs w:val="24"/>
          <w:lang w:val="en-US" w:eastAsia="zh-CN"/>
        </w:rPr>
        <w:t>生态环境分区管控的意见》（永政发</w:t>
      </w:r>
      <w:r>
        <w:rPr>
          <w:rFonts w:hint="default" w:ascii="Times New Roman" w:hAnsi="Times New Roman" w:eastAsia="宋体" w:cs="Times New Roman"/>
          <w:spacing w:val="11"/>
          <w:sz w:val="24"/>
          <w:szCs w:val="24"/>
          <w:lang w:val="en-US" w:eastAsia="zh-CN"/>
        </w:rPr>
        <w:t>[2020]</w:t>
      </w:r>
      <w:r>
        <w:rPr>
          <w:rFonts w:hint="eastAsia" w:ascii="Times New Roman" w:hAnsi="Times New Roman" w:eastAsia="宋体" w:cs="Times New Roman"/>
          <w:spacing w:val="11"/>
          <w:sz w:val="24"/>
          <w:szCs w:val="24"/>
          <w:lang w:val="en-US" w:eastAsia="zh-CN"/>
        </w:rPr>
        <w:t>11号）；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（13）《</w:t>
      </w:r>
      <w:r>
        <w:rPr>
          <w:rFonts w:ascii="宋体" w:hAnsi="宋体" w:eastAsia="宋体" w:cs="宋体"/>
          <w:sz w:val="24"/>
          <w:szCs w:val="24"/>
        </w:rPr>
        <w:t>健康永州“十四五”建设规划</w:t>
      </w:r>
      <w:r>
        <w:rPr>
          <w:rFonts w:hint="eastAsia" w:ascii="Times New Roman" w:hAnsi="Times New Roman" w:eastAsia="宋体" w:cs="Times New Roman"/>
          <w:spacing w:val="11"/>
          <w:sz w:val="24"/>
          <w:szCs w:val="24"/>
          <w:lang w:val="en-US" w:eastAsia="zh-CN"/>
        </w:rPr>
        <w:t>》，永政办发[2021]25号，</w:t>
      </w:r>
      <w:r>
        <w:rPr>
          <w:rFonts w:hint="eastAsia" w:ascii="Times New Roman" w:hAnsi="Times New Roman" w:eastAsia="宋体" w:cs="Times New Roman"/>
          <w:spacing w:val="11"/>
          <w:sz w:val="24"/>
          <w:szCs w:val="24"/>
          <w:lang w:eastAsia="zh-CN"/>
        </w:rPr>
        <w:t>20</w:t>
      </w:r>
      <w:r>
        <w:rPr>
          <w:rFonts w:hint="eastAsia" w:ascii="Times New Roman" w:hAnsi="Times New Roman" w:eastAsia="宋体" w:cs="Times New Roman"/>
          <w:spacing w:val="11"/>
          <w:sz w:val="24"/>
          <w:szCs w:val="24"/>
          <w:lang w:val="en-US" w:eastAsia="zh-CN"/>
        </w:rPr>
        <w:t>21</w:t>
      </w:r>
      <w:r>
        <w:rPr>
          <w:rFonts w:hint="eastAsia" w:ascii="Times New Roman" w:hAnsi="Times New Roman" w:eastAsia="宋体" w:cs="Times New Roman"/>
          <w:spacing w:val="11"/>
          <w:sz w:val="24"/>
          <w:szCs w:val="24"/>
          <w:lang w:eastAsia="zh-CN"/>
        </w:rPr>
        <w:t>年12月</w:t>
      </w:r>
      <w:r>
        <w:rPr>
          <w:rFonts w:hint="eastAsia" w:ascii="Times New Roman" w:hAnsi="Times New Roman" w:eastAsia="宋体" w:cs="Times New Roman"/>
          <w:spacing w:val="11"/>
          <w:sz w:val="24"/>
          <w:szCs w:val="24"/>
          <w:lang w:val="en-US" w:eastAsia="zh-CN"/>
        </w:rPr>
        <w:t>23</w:t>
      </w:r>
      <w:r>
        <w:rPr>
          <w:rFonts w:hint="eastAsia" w:ascii="Times New Roman" w:hAnsi="Times New Roman" w:eastAsia="宋体" w:cs="Times New Roman"/>
          <w:spacing w:val="11"/>
          <w:sz w:val="24"/>
          <w:szCs w:val="24"/>
          <w:lang w:eastAsia="zh-CN"/>
        </w:rPr>
        <w:t>日。</w:t>
      </w:r>
    </w:p>
    <w:p>
      <w:pPr>
        <w:pStyle w:val="4"/>
        <w:bidi w:val="0"/>
        <w:rPr>
          <w:rFonts w:hint="eastAsia"/>
          <w:lang w:eastAsia="zh-CN"/>
        </w:rPr>
      </w:pPr>
      <w:bookmarkStart w:id="25" w:name="_Toc16977"/>
      <w:r>
        <w:rPr>
          <w:rFonts w:hint="eastAsia"/>
          <w:lang w:eastAsia="zh-CN"/>
        </w:rPr>
        <w:t>2.1.4 环评技术导则与规范</w:t>
      </w:r>
      <w:bookmarkEnd w:id="25"/>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《环境影响评价技术导则 总纲》（HJ2.1-2016）；</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2</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《环境影响评价技术导则 大气环境》（HJ2.2-2018）；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3</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《环境影响评价技术导则 地表水环境》（HJ2.3-2018）；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4</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《环境影响评价技术导则 地下水环境》（HJ610-2016）；</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5</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《环境影响评价技术导则 声环境》（HJ2.4-2021）；</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6</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《环境影响评价技术导则 生态影响》（</w:t>
      </w:r>
      <w:r>
        <w:rPr>
          <w:rFonts w:hint="default" w:ascii="Times New Roman" w:hAnsi="Times New Roman" w:eastAsia="宋体" w:cs="Times New Roman"/>
          <w:spacing w:val="11"/>
          <w:sz w:val="24"/>
          <w:szCs w:val="24"/>
          <w:lang w:val="en-US" w:eastAsia="zh-CN"/>
        </w:rPr>
        <w:t>HJ19-2022</w:t>
      </w:r>
      <w:r>
        <w:rPr>
          <w:rFonts w:hint="eastAsia" w:ascii="Times New Roman" w:hAnsi="Times New Roman" w:eastAsia="宋体" w:cs="Times New Roman"/>
          <w:spacing w:val="11"/>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7</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《环境影响评价技术导则 土壤环境（试行）》（</w:t>
      </w:r>
      <w:r>
        <w:rPr>
          <w:rFonts w:hint="default" w:ascii="Times New Roman" w:hAnsi="Times New Roman" w:eastAsia="宋体" w:cs="Times New Roman"/>
          <w:spacing w:val="11"/>
          <w:sz w:val="24"/>
          <w:szCs w:val="24"/>
          <w:lang w:val="en-US" w:eastAsia="zh-CN"/>
        </w:rPr>
        <w:t>HJ964-2018</w:t>
      </w:r>
      <w:r>
        <w:rPr>
          <w:rFonts w:hint="eastAsia" w:ascii="Times New Roman" w:hAnsi="Times New Roman" w:eastAsia="宋体" w:cs="Times New Roman"/>
          <w:spacing w:val="11"/>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8</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《建设项目环境风险评价技术导则》（</w:t>
      </w:r>
      <w:r>
        <w:rPr>
          <w:rFonts w:hint="default" w:ascii="Times New Roman" w:hAnsi="Times New Roman" w:eastAsia="宋体" w:cs="Times New Roman"/>
          <w:spacing w:val="11"/>
          <w:sz w:val="24"/>
          <w:szCs w:val="24"/>
          <w:lang w:val="en-US" w:eastAsia="zh-CN"/>
        </w:rPr>
        <w:t>HJ169-2018</w:t>
      </w:r>
      <w:r>
        <w:rPr>
          <w:rFonts w:hint="eastAsia" w:ascii="Times New Roman" w:hAnsi="Times New Roman" w:eastAsia="宋体" w:cs="Times New Roman"/>
          <w:spacing w:val="11"/>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9</w:t>
      </w:r>
      <w:r>
        <w:rPr>
          <w:rFonts w:hint="eastAsia" w:ascii="Times New Roman" w:hAnsi="Times New Roman" w:eastAsia="宋体" w:cs="Times New Roman"/>
          <w:spacing w:val="11"/>
          <w:sz w:val="24"/>
          <w:szCs w:val="24"/>
        </w:rPr>
        <w:t>）《疾病预防控制中心建设标准》（建标[2009]257 号）</w:t>
      </w:r>
      <w:r>
        <w:rPr>
          <w:rFonts w:hint="eastAsia" w:ascii="Times New Roman" w:hAnsi="Times New Roman" w:eastAsia="宋体" w:cs="Times New Roman"/>
          <w:spacing w:val="11"/>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val="en-US" w:eastAsia="zh-CN"/>
        </w:rPr>
        <w:t xml:space="preserve">（10）《疾病预防控制中心建筑技术规范》（GB50881-2013）；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val="en-US" w:eastAsia="zh-CN"/>
        </w:rPr>
        <w:t>1）《危险废物鉴别技术规范》</w:t>
      </w:r>
      <w:r>
        <w:rPr>
          <w:rFonts w:hint="default" w:ascii="Times New Roman" w:hAnsi="Times New Roman" w:eastAsia="宋体" w:cs="Times New Roman"/>
          <w:spacing w:val="11"/>
          <w:sz w:val="24"/>
          <w:szCs w:val="24"/>
          <w:lang w:val="en-US" w:eastAsia="zh-CN"/>
        </w:rPr>
        <w:t>(HJ/T298-2019)</w:t>
      </w:r>
      <w:r>
        <w:rPr>
          <w:rFonts w:hint="eastAsia" w:ascii="Times New Roman" w:hAnsi="Times New Roman" w:eastAsia="宋体" w:cs="Times New Roman"/>
          <w:spacing w:val="11"/>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val="en-US" w:eastAsia="zh-CN"/>
        </w:rPr>
        <w:t>2）《危险废物收集 贮存 运输技术规范》（</w:t>
      </w:r>
      <w:r>
        <w:rPr>
          <w:rFonts w:hint="default" w:ascii="Times New Roman" w:hAnsi="Times New Roman" w:eastAsia="宋体" w:cs="Times New Roman"/>
          <w:spacing w:val="11"/>
          <w:sz w:val="24"/>
          <w:szCs w:val="24"/>
          <w:lang w:val="en-US" w:eastAsia="zh-CN"/>
        </w:rPr>
        <w:t>HJ2025-2012</w:t>
      </w:r>
      <w:r>
        <w:rPr>
          <w:rFonts w:hint="eastAsia" w:ascii="Times New Roman" w:hAnsi="Times New Roman" w:eastAsia="宋体" w:cs="Times New Roman"/>
          <w:spacing w:val="11"/>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val="en-US" w:eastAsia="zh-CN"/>
        </w:rPr>
        <w:t>3）《危险化学品重大危险源辨识》（</w:t>
      </w:r>
      <w:r>
        <w:rPr>
          <w:rFonts w:hint="default" w:ascii="Times New Roman" w:hAnsi="Times New Roman" w:eastAsia="宋体" w:cs="Times New Roman"/>
          <w:spacing w:val="11"/>
          <w:sz w:val="24"/>
          <w:szCs w:val="24"/>
          <w:lang w:val="en-US" w:eastAsia="zh-CN"/>
        </w:rPr>
        <w:t>GB18218-2018</w:t>
      </w:r>
      <w:r>
        <w:rPr>
          <w:rFonts w:hint="eastAsia" w:ascii="Times New Roman" w:hAnsi="Times New Roman" w:eastAsia="宋体" w:cs="Times New Roman"/>
          <w:spacing w:val="11"/>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jc w:val="both"/>
        <w:textAlignment w:val="baseline"/>
        <w:rPr>
          <w:rFonts w:hint="eastAsia" w:ascii="Times New Roman" w:hAnsi="Times New Roman" w:eastAsia="宋体" w:cs="Times New Roman"/>
          <w:spacing w:val="11"/>
          <w:sz w:val="24"/>
          <w:szCs w:val="24"/>
          <w:lang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14</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 建 设 项 目 竣 工 环 境 保 护 验 收 技 术 规 范 生 态 影 响 类 》(HJ/T394-2007)；</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15</w:t>
      </w:r>
      <w:r>
        <w:rPr>
          <w:rFonts w:hint="eastAsia"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eastAsia="zh-CN"/>
        </w:rPr>
        <w:t>《排污许可证申请与核发技术</w:t>
      </w:r>
      <w:r>
        <w:rPr>
          <w:rFonts w:hint="eastAsia" w:ascii="Times New Roman" w:hAnsi="Times New Roman" w:eastAsia="宋体" w:cs="Times New Roman"/>
          <w:spacing w:val="11"/>
          <w:sz w:val="24"/>
          <w:szCs w:val="24"/>
          <w:lang w:val="en-US" w:eastAsia="zh-CN"/>
        </w:rPr>
        <w:t>规范 总则》（HJ942—2018）；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（16）《排污单位自行监测技术指南 总则》（HJ819-2017）。</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（17）《医院污水处理工程技术规范》（HJ2029-2013）；</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（18）《医院污水处理技术指南》（环发[2003]197 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（19）《生物安全实验室建筑技术规范》（GB50346-2011）；</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（20）《实验室生物安全通用要求》（GB19489-2008）；</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（21）《病原微生物实验室生物安全通用准则》（WS233-2017）；</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（22）《固体废物处理处置工程技术导则》（HJ2035-2013）；</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（23）《大气污染治理工程技术导则》（HJ2000-2010）；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（24）《水污染治理工程技术导则》（HJ2015-2012）。</w:t>
      </w:r>
    </w:p>
    <w:p>
      <w:pPr>
        <w:pStyle w:val="4"/>
        <w:bidi w:val="0"/>
        <w:rPr>
          <w:rFonts w:hint="eastAsia"/>
          <w:lang w:val="en-US" w:eastAsia="zh-CN"/>
        </w:rPr>
      </w:pPr>
      <w:bookmarkStart w:id="26" w:name="_Toc2608"/>
      <w:r>
        <w:rPr>
          <w:rFonts w:hint="default"/>
          <w:lang w:val="en-US" w:eastAsia="zh-CN"/>
        </w:rPr>
        <w:t xml:space="preserve">2.1.4 </w:t>
      </w:r>
      <w:r>
        <w:rPr>
          <w:rFonts w:hint="eastAsia"/>
          <w:lang w:val="en-US" w:eastAsia="zh-CN"/>
        </w:rPr>
        <w:t>相关文件及技术资料</w:t>
      </w:r>
      <w:bookmarkEnd w:id="26"/>
      <w:r>
        <w:rPr>
          <w:rFonts w:hint="eastAsia"/>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w:t>
      </w:r>
      <w:r>
        <w:rPr>
          <w:rFonts w:hint="default" w:ascii="Times New Roman" w:hAnsi="Times New Roman" w:eastAsia="宋体" w:cs="Times New Roman"/>
          <w:spacing w:val="11"/>
          <w:sz w:val="24"/>
          <w:szCs w:val="24"/>
          <w:lang w:val="en-US" w:eastAsia="zh-CN"/>
        </w:rPr>
        <w:t>1</w:t>
      </w:r>
      <w:r>
        <w:rPr>
          <w:rFonts w:hint="eastAsia" w:ascii="Times New Roman" w:hAnsi="Times New Roman" w:eastAsia="宋体" w:cs="Times New Roman"/>
          <w:spacing w:val="11"/>
          <w:sz w:val="24"/>
          <w:szCs w:val="24"/>
          <w:lang w:val="en-US" w:eastAsia="zh-CN"/>
        </w:rPr>
        <w:t xml:space="preserve">）环评委托书；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spacing w:val="11"/>
          <w:sz w:val="24"/>
          <w:szCs w:val="24"/>
          <w:lang w:val="en-US" w:eastAsia="zh-CN"/>
        </w:rPr>
      </w:pPr>
      <w:r>
        <w:rPr>
          <w:rFonts w:hint="eastAsia" w:ascii="Times New Roman" w:hAnsi="Times New Roman" w:eastAsia="宋体" w:cs="Times New Roman"/>
          <w:spacing w:val="11"/>
          <w:sz w:val="24"/>
          <w:szCs w:val="24"/>
          <w:lang w:val="en-US" w:eastAsia="zh-CN"/>
        </w:rPr>
        <w:t xml:space="preserve">（2）本项目检测报告；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spacing w:val="11"/>
          <w:sz w:val="24"/>
          <w:szCs w:val="24"/>
          <w:lang w:val="en-US" w:eastAsia="zh-CN"/>
        </w:rPr>
        <w:t>（3）建设单位提</w:t>
      </w:r>
      <w:r>
        <w:rPr>
          <w:rFonts w:hint="eastAsia" w:ascii="Times New Roman" w:hAnsi="Times New Roman" w:eastAsia="宋体" w:cs="Times New Roman"/>
          <w:b w:val="0"/>
          <w:bCs w:val="0"/>
          <w:spacing w:val="11"/>
          <w:sz w:val="24"/>
          <w:szCs w:val="24"/>
          <w:lang w:val="en-US" w:eastAsia="zh-CN"/>
        </w:rPr>
        <w:t xml:space="preserve">供的其他技术资料。 </w:t>
      </w:r>
    </w:p>
    <w:p>
      <w:pPr>
        <w:pStyle w:val="3"/>
        <w:bidi w:val="0"/>
        <w:rPr>
          <w:rFonts w:hint="eastAsia"/>
          <w:lang w:val="en-US" w:eastAsia="zh-CN"/>
        </w:rPr>
      </w:pPr>
      <w:bookmarkStart w:id="27" w:name="_Toc17484"/>
      <w:bookmarkStart w:id="28" w:name="_Toc15358"/>
      <w:r>
        <w:rPr>
          <w:rFonts w:hint="eastAsia"/>
          <w:lang w:val="en-US" w:eastAsia="zh-CN"/>
        </w:rPr>
        <w:t>2.2 评价目的和原则</w:t>
      </w:r>
      <w:bookmarkEnd w:id="27"/>
      <w:bookmarkEnd w:id="28"/>
    </w:p>
    <w:p>
      <w:pPr>
        <w:pStyle w:val="4"/>
        <w:bidi w:val="0"/>
        <w:rPr>
          <w:rFonts w:hint="eastAsia"/>
          <w:lang w:val="en-US" w:eastAsia="zh-CN"/>
        </w:rPr>
      </w:pPr>
      <w:bookmarkStart w:id="29" w:name="_Toc30920"/>
      <w:r>
        <w:rPr>
          <w:rFonts w:hint="eastAsia"/>
          <w:lang w:val="en-US" w:eastAsia="zh-CN"/>
        </w:rPr>
        <w:t>2.2.1评价目的</w:t>
      </w:r>
      <w:bookmarkEnd w:id="29"/>
    </w:p>
    <w:p>
      <w:pPr>
        <w:spacing w:before="227" w:afterAutospacing="0" w:line="360" w:lineRule="auto"/>
        <w:ind w:left="9" w:right="176" w:firstLine="480"/>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国家和地方的法律法规、政策及相关规划，分析项目建设是否符合国家的产业政策和区域发展规划要求；生产工艺水平是否符合清洁生产和环境保护政策的要求；对本项目建成后可能造成的环境影响范围和程度进行预测评价；分析本项目排放的各类污染物是否达标排放、是否满足总量控制的要求；提出技术可靠、针对性和可操作性强的污染防治措施及生态环境减缓、恢复、补偿措施；最终从环境保护角度论证本次工程实施的可行性，为工程设计和环境管理提供科学依据。</w:t>
      </w:r>
    </w:p>
    <w:p>
      <w:pPr>
        <w:pStyle w:val="4"/>
        <w:bidi w:val="0"/>
        <w:rPr>
          <w:rFonts w:hint="eastAsia"/>
          <w:lang w:val="en-US" w:eastAsia="zh-CN"/>
        </w:rPr>
      </w:pPr>
      <w:bookmarkStart w:id="30" w:name="_Toc16505"/>
      <w:r>
        <w:rPr>
          <w:rFonts w:hint="default"/>
          <w:lang w:val="en-US" w:eastAsia="zh-CN"/>
        </w:rPr>
        <w:t xml:space="preserve">2.2.2 </w:t>
      </w:r>
      <w:r>
        <w:rPr>
          <w:rFonts w:hint="eastAsia"/>
          <w:lang w:val="en-US" w:eastAsia="zh-CN"/>
        </w:rPr>
        <w:t>评价原则</w:t>
      </w:r>
      <w:bookmarkEnd w:id="30"/>
      <w:r>
        <w:rPr>
          <w:rFonts w:hint="eastAsia"/>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 xml:space="preserve">突出环境影响评价的源头预防作用，坚持保护和改善环境质量。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w:t>
      </w:r>
      <w:r>
        <w:rPr>
          <w:rFonts w:hint="default" w:ascii="Times New Roman" w:hAnsi="Times New Roman" w:eastAsia="宋体" w:cs="Times New Roman"/>
          <w:b w:val="0"/>
          <w:bCs w:val="0"/>
          <w:spacing w:val="11"/>
          <w:sz w:val="24"/>
          <w:szCs w:val="24"/>
          <w:lang w:val="en-US" w:eastAsia="zh-CN"/>
        </w:rPr>
        <w:t>1</w:t>
      </w:r>
      <w:r>
        <w:rPr>
          <w:rFonts w:hint="eastAsia" w:ascii="Times New Roman" w:hAnsi="Times New Roman" w:eastAsia="宋体" w:cs="Times New Roman"/>
          <w:b w:val="0"/>
          <w:bCs w:val="0"/>
          <w:spacing w:val="11"/>
          <w:sz w:val="24"/>
          <w:szCs w:val="24"/>
          <w:lang w:val="en-US" w:eastAsia="zh-CN"/>
        </w:rPr>
        <w:t xml:space="preserve">）依法评价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 xml:space="preserve">贯彻执行我国环境保护相关法律法规、标准、政策和规划等，优化项目建设， 服务环境管理。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w:t>
      </w:r>
      <w:r>
        <w:rPr>
          <w:rFonts w:hint="default" w:ascii="Times New Roman" w:hAnsi="Times New Roman" w:eastAsia="宋体" w:cs="Times New Roman"/>
          <w:b w:val="0"/>
          <w:bCs w:val="0"/>
          <w:spacing w:val="11"/>
          <w:sz w:val="24"/>
          <w:szCs w:val="24"/>
          <w:lang w:val="en-US" w:eastAsia="zh-CN"/>
        </w:rPr>
        <w:t>2</w:t>
      </w:r>
      <w:r>
        <w:rPr>
          <w:rFonts w:hint="eastAsia" w:ascii="Times New Roman" w:hAnsi="Times New Roman" w:eastAsia="宋体" w:cs="Times New Roman"/>
          <w:b w:val="0"/>
          <w:bCs w:val="0"/>
          <w:spacing w:val="11"/>
          <w:sz w:val="24"/>
          <w:szCs w:val="24"/>
          <w:lang w:val="en-US" w:eastAsia="zh-CN"/>
        </w:rPr>
        <w:t xml:space="preserve">）科学评价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规范环境影响评价方法，科学分析项目建设对环境质量的影响。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w:t>
      </w:r>
      <w:r>
        <w:rPr>
          <w:rFonts w:hint="default" w:ascii="Times New Roman" w:hAnsi="Times New Roman" w:eastAsia="宋体" w:cs="Times New Roman"/>
          <w:b w:val="0"/>
          <w:bCs w:val="0"/>
          <w:spacing w:val="11"/>
          <w:sz w:val="24"/>
          <w:szCs w:val="24"/>
          <w:lang w:val="en-US" w:eastAsia="zh-CN"/>
        </w:rPr>
        <w:t>3</w:t>
      </w:r>
      <w:r>
        <w:rPr>
          <w:rFonts w:hint="eastAsia" w:ascii="Times New Roman" w:hAnsi="Times New Roman" w:eastAsia="宋体" w:cs="Times New Roman"/>
          <w:b w:val="0"/>
          <w:bCs w:val="0"/>
          <w:spacing w:val="11"/>
          <w:sz w:val="24"/>
          <w:szCs w:val="24"/>
          <w:lang w:val="en-US" w:eastAsia="zh-CN"/>
        </w:rPr>
        <w:t xml:space="preserve">）突出重点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 w:right="176"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根据建设项目的工程内容及其特点，明确与环境要素间的作用效应关系，对建设项目主要影响予以重点分析和评价。</w:t>
      </w:r>
    </w:p>
    <w:p>
      <w:pPr>
        <w:pStyle w:val="3"/>
        <w:bidi w:val="0"/>
      </w:pPr>
      <w:bookmarkStart w:id="31" w:name="_Toc14230"/>
      <w:bookmarkStart w:id="32" w:name="_Toc20776"/>
      <w:r>
        <w:rPr>
          <w:rFonts w:hint="eastAsia"/>
          <w:lang w:val="en-US" w:eastAsia="zh-CN"/>
        </w:rPr>
        <w:t xml:space="preserve">2.3 </w:t>
      </w:r>
      <w:r>
        <w:t>环境影响因素识别及评价因子筛选</w:t>
      </w:r>
      <w:bookmarkEnd w:id="31"/>
      <w:bookmarkEnd w:id="32"/>
    </w:p>
    <w:p>
      <w:pPr>
        <w:pStyle w:val="4"/>
        <w:bidi w:val="0"/>
        <w:rPr>
          <w:rFonts w:hint="eastAsia"/>
          <w:lang w:val="en-US" w:eastAsia="zh-CN"/>
        </w:rPr>
      </w:pPr>
      <w:bookmarkStart w:id="33" w:name="_Toc520"/>
      <w:r>
        <w:rPr>
          <w:rFonts w:hint="eastAsia"/>
          <w:lang w:val="en-US" w:eastAsia="zh-CN"/>
        </w:rPr>
        <w:t>2.3.1 环境影响因素识别</w:t>
      </w:r>
      <w:bookmarkEnd w:id="33"/>
    </w:p>
    <w:p>
      <w:pPr>
        <w:keepNext w:val="0"/>
        <w:keepLines w:val="0"/>
        <w:pageBreakBefore w:val="0"/>
        <w:widowControl/>
        <w:kinsoku w:val="0"/>
        <w:wordWrap/>
        <w:overflowPunct/>
        <w:topLinePunct w:val="0"/>
        <w:autoSpaceDE w:val="0"/>
        <w:autoSpaceDN w:val="0"/>
        <w:bidi w:val="0"/>
        <w:adjustRightInd w:val="0"/>
        <w:snapToGrid w:val="0"/>
        <w:spacing w:beforeAutospacing="0" w:line="360" w:lineRule="auto"/>
        <w:ind w:left="0" w:right="0" w:firstLine="482"/>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2.3.1.1 环境影响识别方法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环境影响因素的识别方法采用相关矩阵法。根据项目工程行为的环境影响方式、排污特点和项目周边的环境特征，按建设期、 运营期环境影响因素进行识别。</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2.3.1.2 项目实施可能产生的环境影响因素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textAlignment w:val="baseline"/>
        <w:outlineLvl w:val="4"/>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（1） 施工期环境影响因素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施工期可能带来的主要环境影响如下。</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施工生态环境的影响：本项</w:t>
      </w:r>
      <w:r>
        <w:rPr>
          <w:rFonts w:hint="eastAsia" w:ascii="Times New Roman" w:hAnsi="Times New Roman" w:eastAsia="宋体" w:cs="Times New Roman"/>
          <w:b w:val="0"/>
          <w:bCs w:val="0"/>
          <w:color w:val="auto"/>
          <w:spacing w:val="0"/>
          <w:sz w:val="24"/>
          <w:szCs w:val="24"/>
          <w:lang w:val="en-US" w:eastAsia="zh-CN"/>
        </w:rPr>
        <w:t>目位于宁远县舜陵街道蔡家村原妇女儿童医院，用地性质为医疗卫生用地。地块周围不涉及特殊</w:t>
      </w:r>
      <w:r>
        <w:rPr>
          <w:rFonts w:hint="eastAsia" w:ascii="Times New Roman" w:hAnsi="Times New Roman" w:eastAsia="宋体" w:cs="Times New Roman"/>
          <w:b w:val="0"/>
          <w:bCs w:val="0"/>
          <w:spacing w:val="0"/>
          <w:sz w:val="24"/>
          <w:szCs w:val="24"/>
          <w:lang w:val="en-US" w:eastAsia="zh-CN"/>
        </w:rPr>
        <w:t>和重要生态敏感区，属于一般区域，地块占地面积不大，项目建设对生态环境影响较小。</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施工期大气环境影响：主要是施工扬尘、施工机械燃油尾气对大气环境的影响，以及施工材料、设备运输产生的交通扬尘和汽车尾气对运输公路沿线居民点环境空气质量的影响。</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施工期声环境影响：施工场地噪声主要来源于材料切割、混凝土浇筑、设备安装等施工工序的噪声，施工材料、设备运输产生的交通噪声对公路沿线居民点声环境的影响。</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施工期水环境影响：少量施工废水和施工人员生活污水如处置不当，可能影响周边水环境质量。</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outlineLvl w:val="4"/>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（2） 营运期境影响因素</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项目运营期将产生医疗污水、污水处理站臭气、实验室含有病原微生物的废气和各种有机化学试剂挥发废气、一般固体废物、医疗废物和噪声等污染，对周围环境产生一定影响。</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2.3.1.3 环境影响识别结果</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根据项目的污染物产排特点和项目周边的环境特征，建设期、运营期环境影响因素识别矩阵见表 2.3-1。</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pPr>
      <w:r>
        <w:rPr>
          <w:rFonts w:hint="eastAsia" w:ascii="Times New Roman" w:hAnsi="Times New Roman" w:eastAsia="宋体" w:cs="Times New Roman"/>
          <w:b/>
          <w:bCs/>
          <w:spacing w:val="0"/>
          <w:sz w:val="21"/>
          <w:szCs w:val="21"/>
          <w:lang w:val="en-US" w:eastAsia="zh-CN"/>
        </w:rPr>
        <w:t>表2.3-1    本项目各阶段环境影响识别矩阵</w:t>
      </w:r>
    </w:p>
    <w:tbl>
      <w:tblPr>
        <w:tblStyle w:val="34"/>
        <w:tblW w:w="4991"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018"/>
        <w:gridCol w:w="1828"/>
        <w:gridCol w:w="909"/>
        <w:gridCol w:w="909"/>
        <w:gridCol w:w="909"/>
        <w:gridCol w:w="909"/>
        <w:gridCol w:w="909"/>
        <w:gridCol w:w="814"/>
        <w:gridCol w:w="768"/>
        <w:gridCol w:w="75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34" w:hRule="atLeast"/>
        </w:trPr>
        <w:tc>
          <w:tcPr>
            <w:tcW w:w="1462" w:type="pct"/>
            <w:gridSpan w:val="2"/>
            <w:vMerge w:val="restart"/>
            <w:tcBorders>
              <w:tl2br w:val="nil"/>
              <w:tr2bl w:val="nil"/>
            </w:tcBorders>
            <w:vAlign w:val="top"/>
            <mc:AlternateContent>
              <mc:Choice Requires="wpsCustomData">
                <wpsCustomData:diagonals>
                  <wpsCustomData:diagonal from="10000" to="30000">
                    <wpsCustomData:border w:val="single" w:color="000000" w:sz="12" w:space="0"/>
                  </wpsCustomData:diagonal>
                </wpsCustomData:diagonals>
              </mc:Choice>
            </mc:AlternateContent>
          </w:tcPr>
          <w:p>
            <w:pPr>
              <w:snapToGrid w:val="0"/>
              <w:spacing w:before="161" w:line="240" w:lineRule="auto"/>
              <w:ind w:left="118"/>
              <w:rPr>
                <w:rFonts w:ascii="Times New Roman" w:hAnsi="Times New Roman" w:eastAsia="宋体" w:cs="Times New Roman"/>
                <w:b/>
                <w:bCs/>
                <w:spacing w:val="9"/>
                <w:sz w:val="21"/>
                <w:szCs w:val="21"/>
              </w:rPr>
            </w:pPr>
          </w:p>
          <w:p>
            <w:pPr>
              <w:snapToGrid w:val="0"/>
              <w:spacing w:before="161" w:line="240" w:lineRule="auto"/>
              <w:ind w:left="118"/>
              <mc:AlternateContent>
                <mc:Choice Requires="wpsCustomData">
                  <wpsCustomData:diagonalParaType/>
                </mc:Choice>
              </mc:AlternateContent>
              <w:rPr>
                <w:rFonts w:ascii="Times New Roman" w:hAnsi="Times New Roman" w:eastAsia="宋体" w:cs="Times New Roman"/>
                <w:b/>
                <w:bCs/>
                <w:sz w:val="21"/>
                <w:szCs w:val="21"/>
              </w:rPr>
            </w:pPr>
            <w:r>
              <w:rPr>
                <w:rFonts w:ascii="Times New Roman" w:hAnsi="Times New Roman" w:eastAsia="宋体" w:cs="Times New Roman"/>
                <w:b/>
                <w:bCs/>
                <w:spacing w:val="9"/>
                <w:sz w:val="21"/>
                <w:szCs w:val="21"/>
              </w:rPr>
              <w:t>工</w:t>
            </w:r>
            <w:r>
              <w:rPr>
                <w:rFonts w:ascii="Times New Roman" w:hAnsi="Times New Roman" w:eastAsia="宋体" w:cs="Times New Roman"/>
                <w:b/>
                <w:bCs/>
                <w:spacing w:val="6"/>
                <w:sz w:val="21"/>
                <w:szCs w:val="21"/>
              </w:rPr>
              <w:t>程行为</w:t>
            </w:r>
          </w:p>
          <w:p>
            <w:pPr>
              <w:spacing w:before="61" w:line="228" w:lineRule="auto"/>
              <w:ind w:left="2141"/>
              <w:rPr>
                <w:rFonts w:ascii="Times New Roman" w:hAnsi="Times New Roman" w:eastAsia="宋体" w:cs="Times New Roman"/>
                <w:b/>
                <w:bCs/>
                <w:sz w:val="21"/>
                <w:szCs w:val="21"/>
              </w:rPr>
            </w:pPr>
            <w:r>
              <w:rPr>
                <w:rFonts w:ascii="Times New Roman" w:hAnsi="Times New Roman" w:eastAsia="宋体" w:cs="Times New Roman"/>
                <w:b/>
                <w:bCs/>
                <w:spacing w:val="8"/>
                <w:sz w:val="21"/>
                <w:szCs w:val="21"/>
              </w:rPr>
              <w:t>环</w:t>
            </w:r>
            <w:r>
              <w:rPr>
                <w:rFonts w:ascii="Times New Roman" w:hAnsi="Times New Roman" w:eastAsia="宋体" w:cs="Times New Roman"/>
                <w:b/>
                <w:bCs/>
                <w:spacing w:val="7"/>
                <w:sz w:val="21"/>
                <w:szCs w:val="21"/>
              </w:rPr>
              <w:t>境要素</w:t>
            </w:r>
          </w:p>
          <w:p>
            <w:pPr>
              <w:spacing w:before="161" w:line="228" w:lineRule="auto"/>
              <w:ind w:left="118"/>
              <w:rPr>
                <w:rFonts w:ascii="Times New Roman" w:hAnsi="Times New Roman" w:eastAsia="宋体" w:cs="Times New Roman"/>
                <w:b/>
                <w:bCs/>
                <w:sz w:val="21"/>
                <w:szCs w:val="21"/>
              </w:rPr>
            </w:pPr>
          </w:p>
        </w:tc>
        <w:tc>
          <w:tcPr>
            <w:tcW w:w="467" w:type="pct"/>
            <w:vMerge w:val="restart"/>
            <w:tcBorders>
              <w:tl2br w:val="nil"/>
              <w:tr2bl w:val="nil"/>
            </w:tcBorders>
            <w:vAlign w:val="center"/>
          </w:tcPr>
          <w:p>
            <w:pPr>
              <w:spacing w:before="199" w:line="271" w:lineRule="exact"/>
              <w:jc w:val="both"/>
              <w:rPr>
                <w:rFonts w:ascii="Times New Roman" w:hAnsi="Times New Roman" w:eastAsia="宋体" w:cs="Times New Roman"/>
                <w:b/>
                <w:bCs/>
                <w:spacing w:val="4"/>
                <w:position w:val="4"/>
                <w:sz w:val="21"/>
                <w:szCs w:val="21"/>
              </w:rPr>
            </w:pPr>
            <w:r>
              <w:rPr>
                <w:rFonts w:ascii="Times New Roman" w:hAnsi="Times New Roman" w:eastAsia="宋体" w:cs="Times New Roman"/>
                <w:b/>
                <w:bCs/>
                <w:spacing w:val="4"/>
                <w:position w:val="4"/>
                <w:sz w:val="21"/>
                <w:szCs w:val="21"/>
              </w:rPr>
              <w:t>大气环境</w:t>
            </w:r>
          </w:p>
        </w:tc>
        <w:tc>
          <w:tcPr>
            <w:tcW w:w="467" w:type="pct"/>
            <w:vMerge w:val="restart"/>
            <w:tcBorders>
              <w:tl2br w:val="nil"/>
              <w:tr2bl w:val="nil"/>
            </w:tcBorders>
            <w:vAlign w:val="center"/>
          </w:tcPr>
          <w:p>
            <w:pPr>
              <w:spacing w:before="199" w:line="271" w:lineRule="exact"/>
              <w:jc w:val="center"/>
              <w:rPr>
                <w:rFonts w:ascii="Times New Roman" w:hAnsi="Times New Roman" w:eastAsia="宋体" w:cs="Times New Roman"/>
                <w:b/>
                <w:bCs/>
                <w:spacing w:val="4"/>
                <w:position w:val="4"/>
                <w:sz w:val="21"/>
                <w:szCs w:val="21"/>
              </w:rPr>
            </w:pPr>
            <w:r>
              <w:rPr>
                <w:rFonts w:ascii="Times New Roman" w:hAnsi="Times New Roman" w:eastAsia="宋体" w:cs="Times New Roman"/>
                <w:b/>
                <w:bCs/>
                <w:spacing w:val="4"/>
                <w:position w:val="4"/>
                <w:sz w:val="21"/>
                <w:szCs w:val="21"/>
              </w:rPr>
              <w:t>地表水</w:t>
            </w:r>
          </w:p>
        </w:tc>
        <w:tc>
          <w:tcPr>
            <w:tcW w:w="467" w:type="pct"/>
            <w:vMerge w:val="restart"/>
            <w:tcBorders>
              <w:tl2br w:val="nil"/>
              <w:tr2bl w:val="nil"/>
            </w:tcBorders>
            <w:vAlign w:val="center"/>
          </w:tcPr>
          <w:p>
            <w:pPr>
              <w:spacing w:before="199" w:line="271" w:lineRule="exact"/>
              <w:jc w:val="center"/>
              <w:rPr>
                <w:rFonts w:ascii="Times New Roman" w:hAnsi="Times New Roman" w:eastAsia="宋体" w:cs="Times New Roman"/>
                <w:b/>
                <w:bCs/>
                <w:spacing w:val="4"/>
                <w:position w:val="4"/>
                <w:sz w:val="21"/>
                <w:szCs w:val="21"/>
              </w:rPr>
            </w:pPr>
            <w:r>
              <w:rPr>
                <w:rFonts w:ascii="Times New Roman" w:hAnsi="Times New Roman" w:eastAsia="宋体" w:cs="Times New Roman"/>
                <w:b/>
                <w:bCs/>
                <w:spacing w:val="4"/>
                <w:position w:val="4"/>
                <w:sz w:val="21"/>
                <w:szCs w:val="21"/>
              </w:rPr>
              <w:t>地下水</w:t>
            </w:r>
          </w:p>
        </w:tc>
        <w:tc>
          <w:tcPr>
            <w:tcW w:w="467" w:type="pct"/>
            <w:vMerge w:val="restart"/>
            <w:tcBorders>
              <w:tl2br w:val="nil"/>
              <w:tr2bl w:val="nil"/>
            </w:tcBorders>
            <w:vAlign w:val="center"/>
          </w:tcPr>
          <w:p>
            <w:pPr>
              <w:spacing w:before="199" w:line="271" w:lineRule="exact"/>
              <w:jc w:val="center"/>
              <w:rPr>
                <w:rFonts w:ascii="Times New Roman" w:hAnsi="Times New Roman" w:eastAsia="宋体" w:cs="Times New Roman"/>
                <w:b/>
                <w:bCs/>
                <w:spacing w:val="4"/>
                <w:position w:val="4"/>
                <w:sz w:val="21"/>
                <w:szCs w:val="21"/>
              </w:rPr>
            </w:pPr>
            <w:r>
              <w:rPr>
                <w:rFonts w:ascii="Times New Roman" w:hAnsi="Times New Roman" w:eastAsia="宋体" w:cs="Times New Roman"/>
                <w:b/>
                <w:bCs/>
                <w:spacing w:val="4"/>
                <w:position w:val="4"/>
                <w:sz w:val="21"/>
                <w:szCs w:val="21"/>
              </w:rPr>
              <w:t>声环境</w:t>
            </w:r>
          </w:p>
        </w:tc>
        <w:tc>
          <w:tcPr>
            <w:tcW w:w="467" w:type="pct"/>
            <w:vMerge w:val="restart"/>
            <w:tcBorders>
              <w:tl2br w:val="nil"/>
              <w:tr2bl w:val="nil"/>
            </w:tcBorders>
            <w:vAlign w:val="center"/>
          </w:tcPr>
          <w:p>
            <w:pPr>
              <w:spacing w:before="199" w:line="271" w:lineRule="exact"/>
              <w:jc w:val="center"/>
              <w:rPr>
                <w:rFonts w:ascii="Times New Roman" w:hAnsi="Times New Roman" w:eastAsia="宋体" w:cs="Times New Roman"/>
                <w:b/>
                <w:bCs/>
                <w:spacing w:val="4"/>
                <w:position w:val="4"/>
                <w:sz w:val="21"/>
                <w:szCs w:val="21"/>
              </w:rPr>
            </w:pPr>
            <w:r>
              <w:rPr>
                <w:rFonts w:ascii="Times New Roman" w:hAnsi="Times New Roman" w:eastAsia="宋体" w:cs="Times New Roman"/>
                <w:b/>
                <w:bCs/>
                <w:spacing w:val="4"/>
                <w:position w:val="4"/>
                <w:sz w:val="21"/>
                <w:szCs w:val="21"/>
              </w:rPr>
              <w:t>土壤</w:t>
            </w:r>
          </w:p>
        </w:tc>
        <w:tc>
          <w:tcPr>
            <w:tcW w:w="1199" w:type="pct"/>
            <w:gridSpan w:val="3"/>
            <w:tcBorders>
              <w:tl2br w:val="nil"/>
              <w:tr2bl w:val="nil"/>
            </w:tcBorders>
            <w:vAlign w:val="center"/>
          </w:tcPr>
          <w:p>
            <w:pPr>
              <w:spacing w:before="57" w:line="228" w:lineRule="auto"/>
              <w:ind w:left="669" w:leftChars="0" w:hanging="669" w:hangingChars="298"/>
              <w:jc w:val="center"/>
              <w:rPr>
                <w:rFonts w:ascii="Times New Roman" w:hAnsi="Times New Roman" w:eastAsia="宋体" w:cs="Times New Roman"/>
                <w:b/>
                <w:bCs/>
                <w:sz w:val="21"/>
                <w:szCs w:val="21"/>
              </w:rPr>
            </w:pPr>
            <w:r>
              <w:rPr>
                <w:rFonts w:ascii="Times New Roman" w:hAnsi="Times New Roman" w:eastAsia="宋体" w:cs="Times New Roman"/>
                <w:b/>
                <w:bCs/>
                <w:spacing w:val="7"/>
                <w:sz w:val="21"/>
                <w:szCs w:val="21"/>
              </w:rPr>
              <w:t>生态环</w:t>
            </w:r>
            <w:r>
              <w:rPr>
                <w:rFonts w:ascii="Times New Roman" w:hAnsi="Times New Roman" w:eastAsia="宋体" w:cs="Times New Roman"/>
                <w:b/>
                <w:bCs/>
                <w:spacing w:val="6"/>
                <w:sz w:val="21"/>
                <w:szCs w:val="21"/>
              </w:rPr>
              <w:t>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54" w:hRule="atLeast"/>
        </w:trPr>
        <w:tc>
          <w:tcPr>
            <w:tcW w:w="1462" w:type="pct"/>
            <w:gridSpan w:val="2"/>
            <w:vMerge w:val="continue"/>
            <w:tcBorders>
              <w:tl2br w:val="nil"/>
              <w:tr2bl w:val="nil"/>
            </w:tcBorders>
            <w:vAlign w:val="top"/>
          </w:tcPr>
          <w:p>
            <w:pPr>
              <w:rPr>
                <w:rFonts w:ascii="Times New Roman" w:hAnsi="Times New Roman" w:eastAsia="宋体" w:cs="Times New Roman"/>
                <w:b/>
                <w:bCs/>
                <w:sz w:val="21"/>
                <w:szCs w:val="21"/>
              </w:rPr>
            </w:pPr>
          </w:p>
        </w:tc>
        <w:tc>
          <w:tcPr>
            <w:tcW w:w="467"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467"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467"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467"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467" w:type="pct"/>
            <w:vMerge w:val="continue"/>
            <w:tcBorders>
              <w:tl2br w:val="nil"/>
              <w:tr2bl w:val="nil"/>
            </w:tcBorders>
            <w:vAlign w:val="center"/>
          </w:tcPr>
          <w:p>
            <w:pPr>
              <w:jc w:val="center"/>
              <w:rPr>
                <w:rFonts w:ascii="Times New Roman" w:hAnsi="Times New Roman" w:eastAsia="宋体" w:cs="Times New Roman"/>
                <w:b/>
                <w:bCs/>
                <w:sz w:val="21"/>
                <w:szCs w:val="21"/>
              </w:rPr>
            </w:pPr>
          </w:p>
        </w:tc>
        <w:tc>
          <w:tcPr>
            <w:tcW w:w="418" w:type="pct"/>
            <w:tcBorders>
              <w:tl2br w:val="nil"/>
              <w:tr2bl w:val="nil"/>
            </w:tcBorders>
            <w:vAlign w:val="center"/>
          </w:tcPr>
          <w:p>
            <w:pPr>
              <w:spacing w:before="34" w:line="271" w:lineRule="exact"/>
              <w:jc w:val="center"/>
              <w:rPr>
                <w:rFonts w:ascii="Times New Roman" w:hAnsi="Times New Roman" w:eastAsia="宋体" w:cs="Times New Roman"/>
                <w:b/>
                <w:bCs/>
                <w:sz w:val="21"/>
                <w:szCs w:val="21"/>
              </w:rPr>
            </w:pPr>
            <w:r>
              <w:rPr>
                <w:rFonts w:ascii="Times New Roman" w:hAnsi="Times New Roman" w:eastAsia="宋体" w:cs="Times New Roman"/>
                <w:b/>
                <w:bCs/>
                <w:spacing w:val="4"/>
                <w:position w:val="4"/>
                <w:sz w:val="21"/>
                <w:szCs w:val="21"/>
              </w:rPr>
              <w:t>土地</w:t>
            </w:r>
          </w:p>
          <w:p>
            <w:pPr>
              <w:spacing w:line="229"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利用</w:t>
            </w:r>
          </w:p>
        </w:tc>
        <w:tc>
          <w:tcPr>
            <w:tcW w:w="394" w:type="pct"/>
            <w:tcBorders>
              <w:tl2br w:val="nil"/>
              <w:tr2bl w:val="nil"/>
            </w:tcBorders>
            <w:vAlign w:val="center"/>
          </w:tcPr>
          <w:p>
            <w:pPr>
              <w:spacing w:beforeAutospacing="0" w:line="228"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植被</w:t>
            </w:r>
          </w:p>
        </w:tc>
        <w:tc>
          <w:tcPr>
            <w:tcW w:w="387" w:type="pct"/>
            <w:tcBorders>
              <w:tl2br w:val="nil"/>
              <w:tr2bl w:val="nil"/>
            </w:tcBorders>
            <w:vAlign w:val="center"/>
          </w:tcPr>
          <w:p>
            <w:pPr>
              <w:spacing w:before="34" w:line="271" w:lineRule="exact"/>
              <w:ind w:left="140"/>
              <w:jc w:val="center"/>
              <w:rPr>
                <w:rFonts w:ascii="Times New Roman" w:hAnsi="Times New Roman" w:eastAsia="宋体" w:cs="Times New Roman"/>
                <w:b/>
                <w:bCs/>
                <w:sz w:val="21"/>
                <w:szCs w:val="21"/>
              </w:rPr>
            </w:pPr>
            <w:r>
              <w:rPr>
                <w:rFonts w:ascii="Times New Roman" w:hAnsi="Times New Roman" w:eastAsia="宋体" w:cs="Times New Roman"/>
                <w:b/>
                <w:bCs/>
                <w:spacing w:val="4"/>
                <w:position w:val="4"/>
                <w:sz w:val="21"/>
                <w:szCs w:val="21"/>
              </w:rPr>
              <w:t>水</w:t>
            </w:r>
            <w:r>
              <w:rPr>
                <w:rFonts w:ascii="Times New Roman" w:hAnsi="Times New Roman" w:eastAsia="宋体" w:cs="Times New Roman"/>
                <w:b/>
                <w:bCs/>
                <w:spacing w:val="3"/>
                <w:position w:val="4"/>
                <w:sz w:val="21"/>
                <w:szCs w:val="21"/>
              </w:rPr>
              <w:t>土</w:t>
            </w:r>
            <w:r>
              <w:rPr>
                <w:rFonts w:ascii="Times New Roman" w:hAnsi="Times New Roman" w:eastAsia="宋体" w:cs="Times New Roman"/>
                <w:b/>
                <w:bCs/>
                <w:spacing w:val="4"/>
                <w:sz w:val="21"/>
                <w:szCs w:val="21"/>
              </w:rPr>
              <w:t>流失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1" w:hRule="atLeast"/>
        </w:trPr>
        <w:tc>
          <w:tcPr>
            <w:tcW w:w="523" w:type="pct"/>
            <w:vMerge w:val="restart"/>
            <w:tcBorders>
              <w:tl2br w:val="nil"/>
              <w:tr2bl w:val="nil"/>
            </w:tcBorders>
            <w:vAlign w:val="center"/>
          </w:tcPr>
          <w:p>
            <w:pPr>
              <w:spacing w:before="38" w:line="225" w:lineRule="auto"/>
              <w:jc w:val="center"/>
              <w:rPr>
                <w:rFonts w:hint="default" w:ascii="Times New Roman" w:hAnsi="Times New Roman" w:eastAsia="宋体" w:cs="Times New Roman"/>
                <w:spacing w:val="10"/>
                <w:sz w:val="21"/>
                <w:szCs w:val="21"/>
                <w:lang w:val="en-US" w:eastAsia="zh-CN"/>
              </w:rPr>
            </w:pPr>
            <w:r>
              <w:rPr>
                <w:rFonts w:hint="eastAsia" w:ascii="Times New Roman" w:hAnsi="Times New Roman" w:eastAsia="宋体" w:cs="Times New Roman"/>
                <w:spacing w:val="10"/>
                <w:sz w:val="21"/>
                <w:szCs w:val="21"/>
                <w:lang w:val="en-US" w:eastAsia="zh-CN"/>
              </w:rPr>
              <w:t>建设期</w:t>
            </w:r>
          </w:p>
        </w:tc>
        <w:tc>
          <w:tcPr>
            <w:tcW w:w="939" w:type="pct"/>
            <w:tcBorders>
              <w:tl2br w:val="nil"/>
              <w:tr2bl w:val="nil"/>
            </w:tcBorders>
            <w:vAlign w:val="top"/>
          </w:tcPr>
          <w:p>
            <w:pPr>
              <w:spacing w:before="38" w:line="225" w:lineRule="auto"/>
              <w:jc w:val="center"/>
              <w:rPr>
                <w:rFonts w:ascii="Times New Roman" w:hAnsi="Times New Roman" w:eastAsia="宋体" w:cs="Times New Roman"/>
                <w:spacing w:val="10"/>
                <w:sz w:val="21"/>
                <w:szCs w:val="21"/>
              </w:rPr>
            </w:pPr>
            <w:r>
              <w:rPr>
                <w:rFonts w:hint="eastAsia" w:ascii="Times New Roman" w:hAnsi="Times New Roman" w:eastAsia="宋体" w:cs="Times New Roman"/>
                <w:spacing w:val="10"/>
                <w:sz w:val="21"/>
                <w:szCs w:val="21"/>
                <w:lang w:val="en-US" w:eastAsia="zh-CN"/>
              </w:rPr>
              <w:t>房屋装修、</w:t>
            </w:r>
            <w:r>
              <w:rPr>
                <w:rFonts w:ascii="Times New Roman" w:hAnsi="Times New Roman" w:eastAsia="宋体" w:cs="Times New Roman"/>
                <w:spacing w:val="10"/>
                <w:sz w:val="21"/>
                <w:szCs w:val="21"/>
              </w:rPr>
              <w:t>设备安装调试</w:t>
            </w:r>
          </w:p>
        </w:tc>
        <w:tc>
          <w:tcPr>
            <w:tcW w:w="467" w:type="pct"/>
            <w:tcBorders>
              <w:tl2br w:val="nil"/>
              <w:tr2bl w:val="nil"/>
            </w:tcBorders>
            <w:vAlign w:val="center"/>
          </w:tcPr>
          <w:p>
            <w:pPr>
              <w:spacing w:before="72" w:line="195" w:lineRule="auto"/>
              <w:ind w:left="237"/>
              <w:jc w:val="left"/>
              <w:rPr>
                <w:rFonts w:ascii="Times New Roman" w:hAnsi="Times New Roman" w:eastAsia="宋体" w:cs="Times New Roman"/>
                <w:sz w:val="21"/>
                <w:szCs w:val="21"/>
              </w:rPr>
            </w:pPr>
            <w:r>
              <w:rPr>
                <w:rFonts w:ascii="Times New Roman" w:hAnsi="Times New Roman" w:eastAsia="宋体" w:cs="Times New Roman"/>
                <w:spacing w:val="-13"/>
                <w:sz w:val="21"/>
                <w:szCs w:val="21"/>
              </w:rPr>
              <w:t>-</w:t>
            </w:r>
            <w:r>
              <w:rPr>
                <w:rFonts w:ascii="Times New Roman" w:hAnsi="Times New Roman" w:eastAsia="宋体" w:cs="Times New Roman"/>
                <w:spacing w:val="-11"/>
                <w:sz w:val="21"/>
                <w:szCs w:val="21"/>
              </w:rPr>
              <w:t xml:space="preserve"> 1S</w:t>
            </w:r>
          </w:p>
        </w:tc>
        <w:tc>
          <w:tcPr>
            <w:tcW w:w="467" w:type="pct"/>
            <w:tcBorders>
              <w:tl2br w:val="nil"/>
              <w:tr2bl w:val="nil"/>
            </w:tcBorders>
            <w:vAlign w:val="center"/>
          </w:tcPr>
          <w:p>
            <w:pPr>
              <w:jc w:val="left"/>
              <w:rPr>
                <w:rFonts w:ascii="Times New Roman" w:hAnsi="Times New Roman" w:eastAsia="宋体" w:cs="Times New Roman"/>
                <w:sz w:val="21"/>
                <w:szCs w:val="21"/>
              </w:rPr>
            </w:pPr>
          </w:p>
        </w:tc>
        <w:tc>
          <w:tcPr>
            <w:tcW w:w="467" w:type="pct"/>
            <w:tcBorders>
              <w:tl2br w:val="nil"/>
              <w:tr2bl w:val="nil"/>
            </w:tcBorders>
            <w:vAlign w:val="center"/>
          </w:tcPr>
          <w:p>
            <w:pPr>
              <w:jc w:val="left"/>
              <w:rPr>
                <w:rFonts w:ascii="Times New Roman" w:hAnsi="Times New Roman" w:eastAsia="宋体" w:cs="Times New Roman"/>
                <w:sz w:val="21"/>
                <w:szCs w:val="21"/>
              </w:rPr>
            </w:pPr>
          </w:p>
        </w:tc>
        <w:tc>
          <w:tcPr>
            <w:tcW w:w="467" w:type="pct"/>
            <w:tcBorders>
              <w:tl2br w:val="nil"/>
              <w:tr2bl w:val="nil"/>
            </w:tcBorders>
            <w:vAlign w:val="center"/>
          </w:tcPr>
          <w:p>
            <w:pPr>
              <w:spacing w:before="72" w:line="195" w:lineRule="auto"/>
              <w:ind w:left="189"/>
              <w:jc w:val="left"/>
              <w:rPr>
                <w:rFonts w:ascii="Times New Roman" w:hAnsi="Times New Roman" w:eastAsia="宋体" w:cs="Times New Roman"/>
                <w:sz w:val="21"/>
                <w:szCs w:val="21"/>
              </w:rPr>
            </w:pPr>
            <w:r>
              <w:rPr>
                <w:rFonts w:ascii="Times New Roman" w:hAnsi="Times New Roman" w:eastAsia="宋体" w:cs="Times New Roman"/>
                <w:spacing w:val="-13"/>
                <w:sz w:val="21"/>
                <w:szCs w:val="21"/>
              </w:rPr>
              <w:t>-</w:t>
            </w:r>
            <w:r>
              <w:rPr>
                <w:rFonts w:ascii="Times New Roman" w:hAnsi="Times New Roman" w:eastAsia="宋体" w:cs="Times New Roman"/>
                <w:spacing w:val="-11"/>
                <w:sz w:val="21"/>
                <w:szCs w:val="21"/>
              </w:rPr>
              <w:t xml:space="preserve"> 1S</w:t>
            </w:r>
          </w:p>
        </w:tc>
        <w:tc>
          <w:tcPr>
            <w:tcW w:w="467" w:type="pct"/>
            <w:tcBorders>
              <w:tl2br w:val="nil"/>
              <w:tr2bl w:val="nil"/>
            </w:tcBorders>
            <w:vAlign w:val="top"/>
          </w:tcPr>
          <w:p>
            <w:pPr>
              <w:rPr>
                <w:rFonts w:ascii="Times New Roman" w:hAnsi="Times New Roman" w:eastAsia="宋体" w:cs="Times New Roman"/>
                <w:sz w:val="21"/>
                <w:szCs w:val="21"/>
              </w:rPr>
            </w:pPr>
          </w:p>
        </w:tc>
        <w:tc>
          <w:tcPr>
            <w:tcW w:w="418" w:type="pct"/>
            <w:tcBorders>
              <w:tl2br w:val="nil"/>
              <w:tr2bl w:val="nil"/>
            </w:tcBorders>
            <w:vAlign w:val="top"/>
          </w:tcPr>
          <w:p>
            <w:pPr>
              <w:rPr>
                <w:rFonts w:ascii="Times New Roman" w:hAnsi="Times New Roman" w:eastAsia="宋体" w:cs="Times New Roman"/>
                <w:sz w:val="21"/>
                <w:szCs w:val="21"/>
              </w:rPr>
            </w:pPr>
          </w:p>
        </w:tc>
        <w:tc>
          <w:tcPr>
            <w:tcW w:w="394" w:type="pct"/>
            <w:tcBorders>
              <w:tl2br w:val="nil"/>
              <w:tr2bl w:val="nil"/>
            </w:tcBorders>
            <w:vAlign w:val="top"/>
          </w:tcPr>
          <w:p>
            <w:pPr>
              <w:rPr>
                <w:rFonts w:ascii="Times New Roman" w:hAnsi="Times New Roman" w:eastAsia="宋体" w:cs="Times New Roman"/>
                <w:sz w:val="21"/>
                <w:szCs w:val="21"/>
              </w:rPr>
            </w:pPr>
          </w:p>
        </w:tc>
        <w:tc>
          <w:tcPr>
            <w:tcW w:w="387" w:type="pct"/>
            <w:tcBorders>
              <w:tl2br w:val="nil"/>
              <w:tr2bl w:val="nil"/>
            </w:tcBorders>
            <w:vAlign w:val="top"/>
          </w:tcPr>
          <w:p>
            <w:pP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2" w:hRule="atLeast"/>
        </w:trPr>
        <w:tc>
          <w:tcPr>
            <w:tcW w:w="523" w:type="pct"/>
            <w:vMerge w:val="continue"/>
            <w:tcBorders>
              <w:tl2br w:val="nil"/>
              <w:tr2bl w:val="nil"/>
            </w:tcBorders>
            <w:vAlign w:val="top"/>
          </w:tcPr>
          <w:p>
            <w:pPr>
              <w:spacing w:before="38" w:line="225" w:lineRule="auto"/>
              <w:jc w:val="center"/>
              <w:rPr>
                <w:rFonts w:ascii="Times New Roman" w:hAnsi="Times New Roman" w:eastAsia="宋体" w:cs="Times New Roman"/>
                <w:spacing w:val="10"/>
                <w:sz w:val="21"/>
                <w:szCs w:val="21"/>
              </w:rPr>
            </w:pPr>
          </w:p>
        </w:tc>
        <w:tc>
          <w:tcPr>
            <w:tcW w:w="939" w:type="pct"/>
            <w:tcBorders>
              <w:tl2br w:val="nil"/>
              <w:tr2bl w:val="nil"/>
            </w:tcBorders>
            <w:vAlign w:val="top"/>
          </w:tcPr>
          <w:p>
            <w:pPr>
              <w:spacing w:before="38" w:line="225" w:lineRule="auto"/>
              <w:jc w:val="center"/>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施工人员生活</w:t>
            </w:r>
          </w:p>
        </w:tc>
        <w:tc>
          <w:tcPr>
            <w:tcW w:w="467" w:type="pct"/>
            <w:tcBorders>
              <w:tl2br w:val="nil"/>
              <w:tr2bl w:val="nil"/>
            </w:tcBorders>
            <w:vAlign w:val="top"/>
          </w:tcPr>
          <w:p>
            <w:pPr>
              <w:rPr>
                <w:rFonts w:ascii="Times New Roman" w:hAnsi="Times New Roman" w:eastAsia="宋体" w:cs="Times New Roman"/>
                <w:sz w:val="21"/>
                <w:szCs w:val="21"/>
              </w:rPr>
            </w:pPr>
          </w:p>
        </w:tc>
        <w:tc>
          <w:tcPr>
            <w:tcW w:w="467" w:type="pct"/>
            <w:tcBorders>
              <w:tl2br w:val="nil"/>
              <w:tr2bl w:val="nil"/>
            </w:tcBorders>
            <w:vAlign w:val="top"/>
          </w:tcPr>
          <w:p>
            <w:pPr>
              <w:spacing w:before="74" w:line="195" w:lineRule="auto"/>
              <w:ind w:left="232"/>
              <w:rPr>
                <w:rFonts w:ascii="Times New Roman" w:hAnsi="Times New Roman" w:eastAsia="宋体" w:cs="Times New Roman"/>
                <w:sz w:val="21"/>
                <w:szCs w:val="21"/>
              </w:rPr>
            </w:pPr>
            <w:r>
              <w:rPr>
                <w:rFonts w:ascii="Times New Roman" w:hAnsi="Times New Roman" w:eastAsia="宋体" w:cs="Times New Roman"/>
                <w:spacing w:val="-13"/>
                <w:sz w:val="21"/>
                <w:szCs w:val="21"/>
              </w:rPr>
              <w:t>-</w:t>
            </w:r>
            <w:r>
              <w:rPr>
                <w:rFonts w:ascii="Times New Roman" w:hAnsi="Times New Roman" w:eastAsia="宋体" w:cs="Times New Roman"/>
                <w:spacing w:val="-11"/>
                <w:sz w:val="21"/>
                <w:szCs w:val="21"/>
              </w:rPr>
              <w:t xml:space="preserve"> 1S</w:t>
            </w:r>
          </w:p>
        </w:tc>
        <w:tc>
          <w:tcPr>
            <w:tcW w:w="467" w:type="pct"/>
            <w:tcBorders>
              <w:tl2br w:val="nil"/>
              <w:tr2bl w:val="nil"/>
            </w:tcBorders>
            <w:vAlign w:val="top"/>
          </w:tcPr>
          <w:p>
            <w:pPr>
              <w:rPr>
                <w:rFonts w:ascii="Times New Roman" w:hAnsi="Times New Roman" w:eastAsia="宋体" w:cs="Times New Roman"/>
                <w:sz w:val="21"/>
                <w:szCs w:val="21"/>
              </w:rPr>
            </w:pPr>
          </w:p>
        </w:tc>
        <w:tc>
          <w:tcPr>
            <w:tcW w:w="467" w:type="pct"/>
            <w:tcBorders>
              <w:tl2br w:val="nil"/>
              <w:tr2bl w:val="nil"/>
            </w:tcBorders>
            <w:vAlign w:val="top"/>
          </w:tcPr>
          <w:p>
            <w:pPr>
              <w:rPr>
                <w:rFonts w:ascii="Times New Roman" w:hAnsi="Times New Roman" w:eastAsia="宋体" w:cs="Times New Roman"/>
                <w:sz w:val="21"/>
                <w:szCs w:val="21"/>
              </w:rPr>
            </w:pPr>
          </w:p>
        </w:tc>
        <w:tc>
          <w:tcPr>
            <w:tcW w:w="467" w:type="pct"/>
            <w:tcBorders>
              <w:tl2br w:val="nil"/>
              <w:tr2bl w:val="nil"/>
            </w:tcBorders>
            <w:vAlign w:val="top"/>
          </w:tcPr>
          <w:p>
            <w:pPr>
              <w:rPr>
                <w:rFonts w:ascii="Times New Roman" w:hAnsi="Times New Roman" w:eastAsia="宋体" w:cs="Times New Roman"/>
                <w:sz w:val="21"/>
                <w:szCs w:val="21"/>
              </w:rPr>
            </w:pPr>
          </w:p>
        </w:tc>
        <w:tc>
          <w:tcPr>
            <w:tcW w:w="418" w:type="pct"/>
            <w:tcBorders>
              <w:tl2br w:val="nil"/>
              <w:tr2bl w:val="nil"/>
            </w:tcBorders>
            <w:vAlign w:val="top"/>
          </w:tcPr>
          <w:p>
            <w:pPr>
              <w:rPr>
                <w:rFonts w:ascii="Times New Roman" w:hAnsi="Times New Roman" w:eastAsia="宋体" w:cs="Times New Roman"/>
                <w:sz w:val="21"/>
                <w:szCs w:val="21"/>
              </w:rPr>
            </w:pPr>
          </w:p>
        </w:tc>
        <w:tc>
          <w:tcPr>
            <w:tcW w:w="394" w:type="pct"/>
            <w:tcBorders>
              <w:tl2br w:val="nil"/>
              <w:tr2bl w:val="nil"/>
            </w:tcBorders>
            <w:vAlign w:val="top"/>
          </w:tcPr>
          <w:p>
            <w:pPr>
              <w:rPr>
                <w:rFonts w:ascii="Times New Roman" w:hAnsi="Times New Roman" w:eastAsia="宋体" w:cs="Times New Roman"/>
                <w:sz w:val="21"/>
                <w:szCs w:val="21"/>
              </w:rPr>
            </w:pPr>
          </w:p>
        </w:tc>
        <w:tc>
          <w:tcPr>
            <w:tcW w:w="387" w:type="pct"/>
            <w:tcBorders>
              <w:tl2br w:val="nil"/>
              <w:tr2bl w:val="nil"/>
            </w:tcBorders>
            <w:vAlign w:val="top"/>
          </w:tcPr>
          <w:p>
            <w:pP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81" w:hRule="atLeast"/>
        </w:trPr>
        <w:tc>
          <w:tcPr>
            <w:tcW w:w="523" w:type="pct"/>
            <w:tcBorders>
              <w:tl2br w:val="nil"/>
              <w:tr2bl w:val="nil"/>
            </w:tcBorders>
            <w:vAlign w:val="center"/>
          </w:tcPr>
          <w:p>
            <w:pPr>
              <w:spacing w:before="38" w:line="225" w:lineRule="auto"/>
              <w:jc w:val="center"/>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营 运 期</w:t>
            </w:r>
          </w:p>
        </w:tc>
        <w:tc>
          <w:tcPr>
            <w:tcW w:w="939" w:type="pct"/>
            <w:tcBorders>
              <w:tl2br w:val="nil"/>
              <w:tr2bl w:val="nil"/>
            </w:tcBorders>
            <w:vAlign w:val="center"/>
          </w:tcPr>
          <w:p>
            <w:pPr>
              <w:spacing w:before="38" w:line="225" w:lineRule="auto"/>
              <w:jc w:val="center"/>
              <w:rPr>
                <w:rFonts w:hint="default" w:ascii="Times New Roman" w:hAnsi="Times New Roman" w:eastAsia="宋体" w:cs="Times New Roman"/>
                <w:spacing w:val="10"/>
                <w:sz w:val="21"/>
                <w:szCs w:val="21"/>
                <w:lang w:val="en-US" w:eastAsia="zh-CN"/>
              </w:rPr>
            </w:pPr>
            <w:r>
              <w:rPr>
                <w:rFonts w:hint="eastAsia" w:ascii="Times New Roman" w:hAnsi="Times New Roman" w:eastAsia="宋体" w:cs="Times New Roman"/>
                <w:spacing w:val="10"/>
                <w:sz w:val="21"/>
                <w:szCs w:val="21"/>
                <w:lang w:val="en-US" w:eastAsia="zh-CN"/>
              </w:rPr>
              <w:t>实验、检测</w:t>
            </w:r>
          </w:p>
        </w:tc>
        <w:tc>
          <w:tcPr>
            <w:tcW w:w="467" w:type="pct"/>
            <w:tcBorders>
              <w:tl2br w:val="nil"/>
              <w:tr2bl w:val="nil"/>
            </w:tcBorders>
            <w:vAlign w:val="top"/>
          </w:tcPr>
          <w:p>
            <w:pPr>
              <w:spacing w:before="76" w:line="195" w:lineRule="auto"/>
              <w:ind w:left="232" w:leftChars="0"/>
              <w:rPr>
                <w:rFonts w:ascii="Times New Roman" w:hAnsi="Times New Roman" w:eastAsia="宋体" w:cs="Times New Roman"/>
                <w:snapToGrid w:val="0"/>
                <w:color w:val="000000"/>
                <w:kern w:val="0"/>
                <w:sz w:val="21"/>
                <w:szCs w:val="21"/>
              </w:rPr>
            </w:pPr>
            <w:r>
              <w:rPr>
                <w:rFonts w:ascii="Times New Roman" w:hAnsi="Times New Roman" w:eastAsia="宋体" w:cs="Times New Roman"/>
                <w:spacing w:val="3"/>
                <w:sz w:val="21"/>
                <w:szCs w:val="21"/>
              </w:rPr>
              <w:t>-</w:t>
            </w:r>
            <w:r>
              <w:rPr>
                <w:rFonts w:hint="eastAsia" w:ascii="Times New Roman" w:hAnsi="Times New Roman" w:eastAsia="宋体" w:cs="Times New Roman"/>
                <w:spacing w:val="2"/>
                <w:sz w:val="21"/>
                <w:szCs w:val="21"/>
                <w:lang w:val="en-US" w:eastAsia="zh-CN"/>
              </w:rPr>
              <w:t>1</w:t>
            </w:r>
            <w:r>
              <w:rPr>
                <w:rFonts w:ascii="Times New Roman" w:hAnsi="Times New Roman" w:eastAsia="宋体" w:cs="Times New Roman"/>
                <w:sz w:val="21"/>
                <w:szCs w:val="21"/>
              </w:rPr>
              <w:t>L</w:t>
            </w:r>
          </w:p>
        </w:tc>
        <w:tc>
          <w:tcPr>
            <w:tcW w:w="467" w:type="pct"/>
            <w:tcBorders>
              <w:tl2br w:val="nil"/>
              <w:tr2bl w:val="nil"/>
            </w:tcBorders>
            <w:vAlign w:val="top"/>
          </w:tcPr>
          <w:p>
            <w:pPr>
              <w:spacing w:before="76" w:line="195" w:lineRule="auto"/>
              <w:ind w:left="227" w:leftChars="0"/>
              <w:rPr>
                <w:rFonts w:ascii="Times New Roman" w:hAnsi="Times New Roman" w:eastAsia="宋体" w:cs="Times New Roman"/>
                <w:snapToGrid w:val="0"/>
                <w:color w:val="000000"/>
                <w:kern w:val="0"/>
                <w:sz w:val="21"/>
                <w:szCs w:val="21"/>
              </w:rPr>
            </w:pPr>
            <w:r>
              <w:rPr>
                <w:rFonts w:ascii="Times New Roman" w:hAnsi="Times New Roman" w:eastAsia="宋体" w:cs="Times New Roman"/>
                <w:spacing w:val="-12"/>
                <w:sz w:val="21"/>
                <w:szCs w:val="21"/>
              </w:rPr>
              <w:t>-</w:t>
            </w:r>
            <w:r>
              <w:rPr>
                <w:rFonts w:ascii="Times New Roman" w:hAnsi="Times New Roman" w:eastAsia="宋体" w:cs="Times New Roman"/>
                <w:spacing w:val="-11"/>
                <w:sz w:val="21"/>
                <w:szCs w:val="21"/>
              </w:rPr>
              <w:t xml:space="preserve"> 1L</w:t>
            </w:r>
          </w:p>
        </w:tc>
        <w:tc>
          <w:tcPr>
            <w:tcW w:w="467" w:type="pct"/>
            <w:tcBorders>
              <w:tl2br w:val="nil"/>
              <w:tr2bl w:val="nil"/>
            </w:tcBorders>
            <w:vAlign w:val="top"/>
          </w:tcPr>
          <w:p>
            <w:pPr>
              <w:spacing w:before="76" w:line="195" w:lineRule="auto"/>
              <w:ind w:left="189" w:leftChars="0"/>
              <w:rPr>
                <w:rFonts w:ascii="Times New Roman" w:hAnsi="Times New Roman" w:eastAsia="宋体" w:cs="Times New Roman"/>
                <w:snapToGrid w:val="0"/>
                <w:color w:val="000000"/>
                <w:kern w:val="0"/>
                <w:sz w:val="21"/>
                <w:szCs w:val="21"/>
              </w:rPr>
            </w:pPr>
          </w:p>
        </w:tc>
        <w:tc>
          <w:tcPr>
            <w:tcW w:w="467" w:type="pct"/>
            <w:tcBorders>
              <w:tl2br w:val="nil"/>
              <w:tr2bl w:val="nil"/>
            </w:tcBorders>
            <w:vAlign w:val="top"/>
          </w:tcPr>
          <w:p>
            <w:pPr>
              <w:spacing w:before="76" w:line="195" w:lineRule="auto"/>
              <w:ind w:left="184" w:leftChars="0"/>
              <w:rPr>
                <w:rFonts w:ascii="Times New Roman" w:hAnsi="Times New Roman" w:eastAsia="宋体" w:cs="Times New Roman"/>
                <w:snapToGrid w:val="0"/>
                <w:color w:val="000000"/>
                <w:kern w:val="0"/>
                <w:sz w:val="21"/>
                <w:szCs w:val="21"/>
              </w:rPr>
            </w:pPr>
            <w:r>
              <w:rPr>
                <w:rFonts w:ascii="Times New Roman" w:hAnsi="Times New Roman" w:eastAsia="宋体" w:cs="Times New Roman"/>
                <w:spacing w:val="-12"/>
                <w:sz w:val="21"/>
                <w:szCs w:val="21"/>
              </w:rPr>
              <w:t>-</w:t>
            </w:r>
            <w:r>
              <w:rPr>
                <w:rFonts w:ascii="Times New Roman" w:hAnsi="Times New Roman" w:eastAsia="宋体" w:cs="Times New Roman"/>
                <w:spacing w:val="-11"/>
                <w:sz w:val="21"/>
                <w:szCs w:val="21"/>
              </w:rPr>
              <w:t xml:space="preserve"> 1L</w:t>
            </w:r>
          </w:p>
        </w:tc>
        <w:tc>
          <w:tcPr>
            <w:tcW w:w="467" w:type="pct"/>
            <w:tcBorders>
              <w:tl2br w:val="nil"/>
              <w:tr2bl w:val="nil"/>
            </w:tcBorders>
            <w:vAlign w:val="top"/>
          </w:tcPr>
          <w:p>
            <w:pPr>
              <w:spacing w:before="76" w:line="195" w:lineRule="auto"/>
              <w:ind w:left="184" w:leftChars="0"/>
              <w:rPr>
                <w:rFonts w:ascii="Times New Roman" w:hAnsi="Times New Roman" w:eastAsia="宋体" w:cs="Times New Roman"/>
                <w:snapToGrid w:val="0"/>
                <w:color w:val="000000"/>
                <w:kern w:val="0"/>
                <w:sz w:val="21"/>
                <w:szCs w:val="21"/>
              </w:rPr>
            </w:pPr>
          </w:p>
        </w:tc>
        <w:tc>
          <w:tcPr>
            <w:tcW w:w="418" w:type="pct"/>
            <w:tcBorders>
              <w:tl2br w:val="nil"/>
              <w:tr2bl w:val="nil"/>
            </w:tcBorders>
            <w:vAlign w:val="top"/>
          </w:tcPr>
          <w:p>
            <w:pPr>
              <w:rPr>
                <w:rFonts w:ascii="Times New Roman" w:hAnsi="Times New Roman" w:eastAsia="宋体" w:cs="Times New Roman"/>
                <w:sz w:val="21"/>
                <w:szCs w:val="21"/>
              </w:rPr>
            </w:pPr>
          </w:p>
        </w:tc>
        <w:tc>
          <w:tcPr>
            <w:tcW w:w="394" w:type="pct"/>
            <w:tcBorders>
              <w:tl2br w:val="nil"/>
              <w:tr2bl w:val="nil"/>
            </w:tcBorders>
            <w:vAlign w:val="top"/>
          </w:tcPr>
          <w:p>
            <w:pPr>
              <w:rPr>
                <w:rFonts w:ascii="Times New Roman" w:hAnsi="Times New Roman" w:eastAsia="宋体" w:cs="Times New Roman"/>
                <w:sz w:val="21"/>
                <w:szCs w:val="21"/>
              </w:rPr>
            </w:pPr>
          </w:p>
        </w:tc>
        <w:tc>
          <w:tcPr>
            <w:tcW w:w="387" w:type="pct"/>
            <w:tcBorders>
              <w:tl2br w:val="nil"/>
              <w:tr2bl w:val="nil"/>
            </w:tcBorders>
            <w:vAlign w:val="top"/>
          </w:tcPr>
          <w:p>
            <w:pPr>
              <w:rPr>
                <w:rFonts w:ascii="Times New Roman" w:hAnsi="Times New Roman" w:eastAsia="宋体" w:cs="Times New Roman"/>
                <w:sz w:val="21"/>
                <w:szCs w:val="21"/>
              </w:rPr>
            </w:pPr>
          </w:p>
        </w:tc>
      </w:tr>
    </w:tbl>
    <w:p>
      <w:pPr>
        <w:spacing w:line="239" w:lineRule="exact"/>
        <w:ind w:left="367"/>
        <w:rPr>
          <w:rFonts w:ascii="宋体" w:hAnsi="宋体" w:eastAsia="宋体" w:cs="宋体"/>
          <w:sz w:val="18"/>
          <w:szCs w:val="18"/>
        </w:rPr>
      </w:pPr>
      <w:r>
        <w:rPr>
          <w:rFonts w:ascii="宋体" w:hAnsi="宋体" w:eastAsia="宋体" w:cs="宋体"/>
          <w:spacing w:val="-2"/>
          <w:position w:val="1"/>
          <w:sz w:val="18"/>
          <w:szCs w:val="18"/>
        </w:rPr>
        <w:t>注：“</w:t>
      </w:r>
      <w:r>
        <w:rPr>
          <w:rFonts w:ascii="Times New Roman" w:hAnsi="Times New Roman" w:eastAsia="Times New Roman" w:cs="Times New Roman"/>
          <w:spacing w:val="-2"/>
          <w:position w:val="1"/>
          <w:sz w:val="18"/>
          <w:szCs w:val="18"/>
        </w:rPr>
        <w:t xml:space="preserve">+ </w:t>
      </w:r>
      <w:r>
        <w:rPr>
          <w:rFonts w:ascii="宋体" w:hAnsi="宋体" w:eastAsia="宋体" w:cs="宋体"/>
          <w:spacing w:val="-2"/>
          <w:position w:val="1"/>
          <w:sz w:val="18"/>
          <w:szCs w:val="18"/>
        </w:rPr>
        <w:t>、</w:t>
      </w:r>
      <w:r>
        <w:rPr>
          <w:rFonts w:ascii="Times New Roman" w:hAnsi="Times New Roman" w:eastAsia="Times New Roman" w:cs="Times New Roman"/>
          <w:spacing w:val="-2"/>
          <w:position w:val="1"/>
          <w:sz w:val="18"/>
          <w:szCs w:val="18"/>
        </w:rPr>
        <w:t xml:space="preserve">- </w:t>
      </w:r>
      <w:r>
        <w:rPr>
          <w:rFonts w:ascii="宋体" w:hAnsi="宋体" w:eastAsia="宋体" w:cs="宋体"/>
          <w:spacing w:val="-2"/>
          <w:position w:val="1"/>
          <w:sz w:val="18"/>
          <w:szCs w:val="18"/>
        </w:rPr>
        <w:t>”分别代表有利影响、不利影响；  “</w:t>
      </w:r>
      <w:r>
        <w:rPr>
          <w:rFonts w:ascii="Times New Roman" w:hAnsi="Times New Roman" w:eastAsia="Times New Roman" w:cs="Times New Roman"/>
          <w:spacing w:val="-2"/>
          <w:position w:val="1"/>
          <w:sz w:val="18"/>
          <w:szCs w:val="18"/>
        </w:rPr>
        <w:t xml:space="preserve">1 </w:t>
      </w:r>
      <w:r>
        <w:rPr>
          <w:rFonts w:ascii="宋体" w:hAnsi="宋体" w:eastAsia="宋体" w:cs="宋体"/>
          <w:spacing w:val="-2"/>
          <w:position w:val="1"/>
          <w:sz w:val="18"/>
          <w:szCs w:val="18"/>
        </w:rPr>
        <w:t>、</w:t>
      </w:r>
      <w:r>
        <w:rPr>
          <w:rFonts w:ascii="Times New Roman" w:hAnsi="Times New Roman" w:eastAsia="Times New Roman" w:cs="Times New Roman"/>
          <w:spacing w:val="-2"/>
          <w:position w:val="1"/>
          <w:sz w:val="18"/>
          <w:szCs w:val="18"/>
        </w:rPr>
        <w:t xml:space="preserve">2 </w:t>
      </w:r>
      <w:r>
        <w:rPr>
          <w:rFonts w:ascii="宋体" w:hAnsi="宋体" w:eastAsia="宋体" w:cs="宋体"/>
          <w:spacing w:val="-2"/>
          <w:position w:val="1"/>
          <w:sz w:val="18"/>
          <w:szCs w:val="18"/>
        </w:rPr>
        <w:t>、</w:t>
      </w:r>
      <w:r>
        <w:rPr>
          <w:rFonts w:ascii="Times New Roman" w:hAnsi="Times New Roman" w:eastAsia="Times New Roman" w:cs="Times New Roman"/>
          <w:spacing w:val="-2"/>
          <w:position w:val="1"/>
          <w:sz w:val="18"/>
          <w:szCs w:val="18"/>
        </w:rPr>
        <w:t>3</w:t>
      </w:r>
      <w:r>
        <w:rPr>
          <w:rFonts w:ascii="宋体" w:hAnsi="宋体" w:eastAsia="宋体" w:cs="宋体"/>
          <w:spacing w:val="-2"/>
          <w:position w:val="1"/>
          <w:sz w:val="18"/>
          <w:szCs w:val="18"/>
        </w:rPr>
        <w:t>”分别代表影响程度较小、中等、较大；  “</w:t>
      </w:r>
      <w:r>
        <w:rPr>
          <w:rFonts w:ascii="Times New Roman" w:hAnsi="Times New Roman" w:eastAsia="Times New Roman" w:cs="Times New Roman"/>
          <w:position w:val="1"/>
          <w:sz w:val="18"/>
          <w:szCs w:val="18"/>
        </w:rPr>
        <w:t>S</w:t>
      </w:r>
      <w:r>
        <w:rPr>
          <w:rFonts w:ascii="Times New Roman" w:hAnsi="Times New Roman" w:eastAsia="Times New Roman" w:cs="Times New Roman"/>
          <w:spacing w:val="-2"/>
          <w:position w:val="1"/>
          <w:sz w:val="18"/>
          <w:szCs w:val="18"/>
        </w:rPr>
        <w:t xml:space="preserve"> </w:t>
      </w:r>
      <w:r>
        <w:rPr>
          <w:rFonts w:ascii="宋体" w:hAnsi="宋体" w:eastAsia="宋体" w:cs="宋体"/>
          <w:spacing w:val="-2"/>
          <w:position w:val="1"/>
          <w:sz w:val="18"/>
          <w:szCs w:val="18"/>
        </w:rPr>
        <w:t>、</w:t>
      </w:r>
      <w:r>
        <w:rPr>
          <w:rFonts w:ascii="Times New Roman" w:hAnsi="Times New Roman" w:eastAsia="Times New Roman" w:cs="Times New Roman"/>
          <w:position w:val="1"/>
          <w:sz w:val="18"/>
          <w:szCs w:val="18"/>
        </w:rPr>
        <w:t>L</w:t>
      </w:r>
      <w:r>
        <w:rPr>
          <w:rFonts w:ascii="宋体" w:hAnsi="宋体" w:eastAsia="宋体" w:cs="宋体"/>
          <w:spacing w:val="-2"/>
          <w:position w:val="1"/>
          <w:sz w:val="18"/>
          <w:szCs w:val="18"/>
        </w:rPr>
        <w:t>”</w:t>
      </w:r>
      <w:r>
        <w:rPr>
          <w:rFonts w:ascii="宋体" w:hAnsi="宋体" w:eastAsia="宋体" w:cs="宋体"/>
          <w:position w:val="1"/>
          <w:sz w:val="18"/>
          <w:szCs w:val="18"/>
        </w:rPr>
        <w:t xml:space="preserve"> 分别</w:t>
      </w:r>
    </w:p>
    <w:p>
      <w:pPr>
        <w:spacing w:before="141" w:afterAutospacing="0" w:line="230" w:lineRule="auto"/>
        <w:ind w:left="6"/>
        <w:rPr>
          <w:rFonts w:ascii="宋体" w:hAnsi="宋体" w:eastAsia="宋体" w:cs="宋体"/>
          <w:sz w:val="18"/>
          <w:szCs w:val="18"/>
        </w:rPr>
      </w:pPr>
      <w:r>
        <w:rPr>
          <w:rFonts w:ascii="宋体" w:hAnsi="宋体" w:eastAsia="宋体" w:cs="宋体"/>
          <w:spacing w:val="15"/>
          <w:sz w:val="18"/>
          <w:szCs w:val="18"/>
        </w:rPr>
        <w:t>代</w:t>
      </w:r>
      <w:r>
        <w:rPr>
          <w:rFonts w:ascii="宋体" w:hAnsi="宋体" w:eastAsia="宋体" w:cs="宋体"/>
          <w:spacing w:val="9"/>
          <w:sz w:val="18"/>
          <w:szCs w:val="18"/>
        </w:rPr>
        <w:t>表影响时间短期、长期，空格代表基本没有影响。</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上表可以看出，项目建设阶段包括工程施工建设和建筑施工材料等的运输，上述过程对区域自然环境及生态环境产生一定程度的不利影响，主要表现为对环境空气、声环境和土壤环境等自然环境，以及土地利用、地表植被、水土流失等生态环境的影响，其对自然环境和生态环境的不利影响是局部的、短暂的，随着项目建设阶段的结束也将消失。</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项目生产运行阶段生产过程中对环境空气、地表水环境、声环境、土壤环境产生不同程度的不利影响，通过采取有效的废气、废水、噪声等污染控制措施以及固体废物的处理处置措施，可减轻其影响程度。</w:t>
      </w:r>
    </w:p>
    <w:p>
      <w:pPr>
        <w:keepNext w:val="0"/>
        <w:keepLines w:val="0"/>
        <w:pageBreakBefore w:val="0"/>
        <w:widowControl/>
        <w:kinsoku w:val="0"/>
        <w:wordWrap/>
        <w:overflowPunct/>
        <w:topLinePunct w:val="0"/>
        <w:autoSpaceDE w:val="0"/>
        <w:autoSpaceDN w:val="0"/>
        <w:bidi w:val="0"/>
        <w:adjustRightInd w:val="0"/>
        <w:snapToGrid w:val="0"/>
        <w:spacing w:after="0" w:afterLines="50" w:afterAutospacing="0" w:line="360" w:lineRule="auto"/>
        <w:ind w:left="0" w:right="0" w:firstLine="482"/>
        <w:textAlignment w:val="baseline"/>
        <w:outlineLvl w:val="2"/>
        <w:rPr>
          <w:rFonts w:hint="eastAsia" w:ascii="Times New Roman" w:hAnsi="Times New Roman" w:eastAsia="宋体" w:cs="Times New Roman"/>
          <w:b/>
          <w:bCs/>
          <w:spacing w:val="11"/>
          <w:sz w:val="24"/>
          <w:szCs w:val="24"/>
          <w:lang w:val="en-US" w:eastAsia="zh-CN"/>
        </w:rPr>
      </w:pPr>
      <w:bookmarkStart w:id="34" w:name="_Toc14352"/>
      <w:r>
        <w:rPr>
          <w:rFonts w:hint="eastAsia" w:ascii="Times New Roman" w:hAnsi="Times New Roman" w:eastAsia="宋体" w:cs="Times New Roman"/>
          <w:b/>
          <w:bCs/>
          <w:spacing w:val="11"/>
          <w:sz w:val="24"/>
          <w:szCs w:val="24"/>
          <w:lang w:val="en-US" w:eastAsia="zh-CN"/>
        </w:rPr>
        <w:t>2.3.2 评价因子筛选</w:t>
      </w:r>
      <w:bookmarkEnd w:id="34"/>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根据环境特征和本项目的特征污染物，确定本次环境现状评价因子和预测因子。详见下表2.3-2。</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 2.3-2 项目评价因子一览表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5624"/>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top w:val="single" w:color="auto" w:sz="12" w:space="0"/>
              <w:left w:val="nil"/>
            </w:tcBorders>
            <w:vAlign w:val="center"/>
          </w:tcPr>
          <w:p>
            <w:pPr>
              <w:pStyle w:val="30"/>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影响要素</w:t>
            </w:r>
          </w:p>
        </w:tc>
        <w:tc>
          <w:tcPr>
            <w:tcW w:w="2822" w:type="pct"/>
            <w:tcBorders>
              <w:top w:val="single" w:color="auto" w:sz="12" w:space="0"/>
            </w:tcBorders>
            <w:vAlign w:val="center"/>
          </w:tcPr>
          <w:p>
            <w:pPr>
              <w:pStyle w:val="3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现状评价因子</w:t>
            </w:r>
          </w:p>
        </w:tc>
        <w:tc>
          <w:tcPr>
            <w:tcW w:w="1394" w:type="pct"/>
            <w:tcBorders>
              <w:top w:val="single" w:color="auto" w:sz="12" w:space="0"/>
              <w:right w:val="nil"/>
            </w:tcBorders>
            <w:vAlign w:val="center"/>
          </w:tcPr>
          <w:p>
            <w:pPr>
              <w:pStyle w:val="3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预测评价因子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lef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环境空气</w:t>
            </w:r>
          </w:p>
        </w:tc>
        <w:tc>
          <w:tcPr>
            <w:tcW w:w="2822" w:type="pct"/>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pacing w:val="0"/>
                <w:sz w:val="21"/>
                <w:szCs w:val="21"/>
                <w:lang w:val="en-US" w:eastAsia="zh-CN"/>
              </w:rPr>
              <w:t>SO</w:t>
            </w:r>
            <w:r>
              <w:rPr>
                <w:rFonts w:hint="eastAsia" w:ascii="Times New Roman" w:hAnsi="Times New Roman" w:eastAsia="宋体" w:cs="Times New Roman"/>
                <w:b w:val="0"/>
                <w:bCs w:val="0"/>
                <w:spacing w:val="0"/>
                <w:sz w:val="21"/>
                <w:szCs w:val="21"/>
                <w:vertAlign w:val="subscript"/>
                <w:lang w:val="en-US" w:eastAsia="zh-CN"/>
              </w:rPr>
              <w:t>2</w:t>
            </w:r>
            <w:r>
              <w:rPr>
                <w:rFonts w:hint="eastAsia" w:ascii="Times New Roman" w:hAnsi="Times New Roman" w:eastAsia="宋体" w:cs="Times New Roman"/>
                <w:b w:val="0"/>
                <w:bCs w:val="0"/>
                <w:spacing w:val="0"/>
                <w:sz w:val="21"/>
                <w:szCs w:val="21"/>
                <w:lang w:val="en-US" w:eastAsia="zh-CN"/>
              </w:rPr>
              <w:t>、NO</w:t>
            </w:r>
            <w:r>
              <w:rPr>
                <w:rFonts w:hint="eastAsia" w:ascii="Times New Roman" w:hAnsi="Times New Roman" w:eastAsia="宋体" w:cs="Times New Roman"/>
                <w:b w:val="0"/>
                <w:bCs w:val="0"/>
                <w:spacing w:val="0"/>
                <w:sz w:val="21"/>
                <w:szCs w:val="21"/>
                <w:vertAlign w:val="subscript"/>
                <w:lang w:val="en-US" w:eastAsia="zh-CN"/>
              </w:rPr>
              <w:t>2</w:t>
            </w:r>
            <w:r>
              <w:rPr>
                <w:rFonts w:hint="eastAsia" w:ascii="Times New Roman" w:hAnsi="Times New Roman" w:eastAsia="宋体" w:cs="Times New Roman"/>
                <w:b w:val="0"/>
                <w:bCs w:val="0"/>
                <w:spacing w:val="0"/>
                <w:sz w:val="21"/>
                <w:szCs w:val="21"/>
                <w:lang w:val="en-US" w:eastAsia="zh-CN"/>
              </w:rPr>
              <w:t>、PM</w:t>
            </w:r>
            <w:r>
              <w:rPr>
                <w:rFonts w:hint="eastAsia" w:ascii="Times New Roman" w:hAnsi="Times New Roman" w:eastAsia="宋体" w:cs="Times New Roman"/>
                <w:b w:val="0"/>
                <w:bCs w:val="0"/>
                <w:spacing w:val="0"/>
                <w:sz w:val="21"/>
                <w:szCs w:val="21"/>
                <w:vertAlign w:val="subscript"/>
                <w:lang w:val="en-US" w:eastAsia="zh-CN"/>
              </w:rPr>
              <w:t>10</w:t>
            </w:r>
            <w:r>
              <w:rPr>
                <w:rFonts w:hint="eastAsia" w:ascii="Times New Roman" w:hAnsi="Times New Roman" w:eastAsia="宋体" w:cs="Times New Roman"/>
                <w:b w:val="0"/>
                <w:bCs w:val="0"/>
                <w:spacing w:val="0"/>
                <w:sz w:val="21"/>
                <w:szCs w:val="21"/>
                <w:lang w:val="en-US" w:eastAsia="zh-CN"/>
              </w:rPr>
              <w:t>、PM</w:t>
            </w:r>
            <w:r>
              <w:rPr>
                <w:rFonts w:hint="eastAsia" w:ascii="Times New Roman" w:hAnsi="Times New Roman" w:eastAsia="宋体" w:cs="Times New Roman"/>
                <w:b w:val="0"/>
                <w:bCs w:val="0"/>
                <w:spacing w:val="0"/>
                <w:sz w:val="21"/>
                <w:szCs w:val="21"/>
                <w:vertAlign w:val="subscript"/>
                <w:lang w:val="en-US" w:eastAsia="zh-CN"/>
              </w:rPr>
              <w:t>2.5</w:t>
            </w:r>
            <w:r>
              <w:rPr>
                <w:rFonts w:hint="eastAsia" w:ascii="Times New Roman" w:hAnsi="Times New Roman" w:eastAsia="宋体" w:cs="Times New Roman"/>
                <w:b w:val="0"/>
                <w:bCs w:val="0"/>
                <w:spacing w:val="0"/>
                <w:sz w:val="21"/>
                <w:szCs w:val="21"/>
                <w:lang w:val="en-US" w:eastAsia="zh-CN"/>
              </w:rPr>
              <w:t>、CO、O</w:t>
            </w:r>
            <w:r>
              <w:rPr>
                <w:rFonts w:hint="eastAsia" w:ascii="Times New Roman" w:hAnsi="Times New Roman" w:eastAsia="宋体" w:cs="Times New Roman"/>
                <w:b w:val="0"/>
                <w:bCs w:val="0"/>
                <w:spacing w:val="0"/>
                <w:sz w:val="21"/>
                <w:szCs w:val="21"/>
                <w:vertAlign w:val="subscript"/>
                <w:lang w:val="en-US" w:eastAsia="zh-CN"/>
              </w:rPr>
              <w:t>3</w:t>
            </w:r>
            <w:r>
              <w:rPr>
                <w:rFonts w:hint="eastAsia" w:ascii="Times New Roman" w:hAnsi="Times New Roman" w:eastAsia="宋体" w:cs="Times New Roman"/>
                <w:b w:val="0"/>
                <w:bCs w:val="0"/>
                <w:spacing w:val="0"/>
                <w:sz w:val="21"/>
                <w:szCs w:val="21"/>
                <w:lang w:val="en-US" w:eastAsia="zh-CN"/>
              </w:rPr>
              <w:t>、硫化氢、氨、非甲烷总烃、氯化氢、氮氧化物、臭气浓度</w:t>
            </w:r>
          </w:p>
        </w:tc>
        <w:tc>
          <w:tcPr>
            <w:tcW w:w="1394" w:type="pct"/>
            <w:tcBorders>
              <w:righ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pacing w:val="0"/>
                <w:sz w:val="21"/>
                <w:szCs w:val="21"/>
                <w:lang w:val="en-US" w:eastAsia="zh-CN"/>
              </w:rPr>
              <w:t>硫化氢、氨、氯化氢、非甲烷总烃、氮氧化物、硫酸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lef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地表水</w:t>
            </w:r>
          </w:p>
        </w:tc>
        <w:tc>
          <w:tcPr>
            <w:tcW w:w="2822" w:type="pct"/>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pacing w:val="0"/>
                <w:sz w:val="21"/>
                <w:szCs w:val="21"/>
                <w:lang w:val="en-US" w:eastAsia="zh-CN"/>
              </w:rPr>
              <w:t>pH、悬浮物、化学需氧量、五日生化需氧量、氨氮、溶解氧、总磷、石油类、硫酸盐、氯化物、砷、汞、镉、铜、铅、锌、铬 (六价) 、铁、锰</w:t>
            </w:r>
          </w:p>
        </w:tc>
        <w:tc>
          <w:tcPr>
            <w:tcW w:w="1394" w:type="pct"/>
            <w:tcBorders>
              <w:righ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lef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声环境</w:t>
            </w:r>
          </w:p>
        </w:tc>
        <w:tc>
          <w:tcPr>
            <w:tcW w:w="2822" w:type="pct"/>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pacing w:val="0"/>
                <w:sz w:val="21"/>
                <w:szCs w:val="21"/>
                <w:lang w:val="en-US" w:eastAsia="zh-CN"/>
              </w:rPr>
              <w:t xml:space="preserve">连续等效 A 声级 (Leq(A)) </w:t>
            </w:r>
          </w:p>
        </w:tc>
        <w:tc>
          <w:tcPr>
            <w:tcW w:w="1394" w:type="pct"/>
            <w:tcBorders>
              <w:righ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spacing w:val="0"/>
                <w:sz w:val="21"/>
                <w:szCs w:val="21"/>
                <w:lang w:val="en-US" w:eastAsia="zh-CN"/>
              </w:rPr>
              <w:t xml:space="preserve">连续等效 A 声级 (Leq(A))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lef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生态环境</w:t>
            </w:r>
          </w:p>
        </w:tc>
        <w:tc>
          <w:tcPr>
            <w:tcW w:w="4217" w:type="pct"/>
            <w:gridSpan w:val="2"/>
            <w:tcBorders>
              <w:righ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土地利用、动植物资源、水土流失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pct"/>
            <w:tcBorders>
              <w:left w:val="nil"/>
              <w:bottom w:val="single" w:color="auto" w:sz="12" w:space="0"/>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环境风险</w:t>
            </w:r>
          </w:p>
        </w:tc>
        <w:tc>
          <w:tcPr>
            <w:tcW w:w="4217" w:type="pct"/>
            <w:gridSpan w:val="2"/>
            <w:tcBorders>
              <w:bottom w:val="single" w:color="auto" w:sz="12" w:space="0"/>
              <w:right w:val="nil"/>
            </w:tcBorders>
            <w:vAlign w:val="center"/>
          </w:tcPr>
          <w:p>
            <w:pPr>
              <w:pStyle w:val="3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实验室致病微生物的传播；废水</w:t>
            </w:r>
            <w:r>
              <w:rPr>
                <w:rFonts w:hint="default" w:ascii="Times New Roman" w:hAnsi="Times New Roman" w:eastAsia="宋体" w:cs="Times New Roman"/>
                <w:sz w:val="21"/>
                <w:szCs w:val="21"/>
                <w:vertAlign w:val="baseline"/>
                <w:lang w:val="en-US" w:eastAsia="zh-CN"/>
              </w:rPr>
              <w:t>事故</w:t>
            </w:r>
            <w:r>
              <w:rPr>
                <w:rFonts w:hint="eastAsia" w:ascii="Times New Roman" w:hAnsi="Times New Roman" w:eastAsia="宋体" w:cs="Times New Roman"/>
                <w:sz w:val="21"/>
                <w:szCs w:val="21"/>
                <w:vertAlign w:val="baseline"/>
                <w:lang w:val="en-US" w:eastAsia="zh-CN"/>
              </w:rPr>
              <w:t>排放</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危险废物泄露；</w:t>
            </w:r>
            <w:r>
              <w:rPr>
                <w:rFonts w:hint="default" w:ascii="Times New Roman" w:hAnsi="Times New Roman" w:eastAsia="宋体" w:cs="Times New Roman"/>
                <w:sz w:val="21"/>
                <w:szCs w:val="21"/>
                <w:vertAlign w:val="baseline"/>
                <w:lang w:val="en-US" w:eastAsia="zh-CN"/>
              </w:rPr>
              <w:t>以及火灾爆炸事故，引发的次生污染物的排放，造成的环境污染事故</w:t>
            </w:r>
          </w:p>
        </w:tc>
      </w:tr>
    </w:tbl>
    <w:p>
      <w:pPr>
        <w:pStyle w:val="3"/>
        <w:bidi w:val="0"/>
      </w:pPr>
      <w:r>
        <w:rPr>
          <w:rFonts w:hint="eastAsia"/>
          <w:lang w:val="en-US" w:eastAsia="zh-CN"/>
        </w:rPr>
        <w:t xml:space="preserve"> </w:t>
      </w:r>
      <w:bookmarkStart w:id="35" w:name="_Toc19755"/>
      <w:bookmarkStart w:id="36" w:name="_Toc10163"/>
      <w:r>
        <w:rPr>
          <w:rFonts w:hint="eastAsia"/>
          <w:lang w:val="en-US" w:eastAsia="zh-CN"/>
        </w:rPr>
        <w:t>2.4</w:t>
      </w:r>
      <w:r>
        <w:t xml:space="preserve"> 评价工作等级及评价范围</w:t>
      </w:r>
      <w:bookmarkEnd w:id="35"/>
      <w:bookmarkEnd w:id="36"/>
    </w:p>
    <w:p>
      <w:pPr>
        <w:pStyle w:val="4"/>
        <w:bidi w:val="0"/>
        <w:rPr>
          <w:rFonts w:hint="eastAsia"/>
          <w:lang w:val="en-US" w:eastAsia="zh-CN"/>
        </w:rPr>
      </w:pPr>
      <w:bookmarkStart w:id="37" w:name="_Toc8330"/>
      <w:r>
        <w:rPr>
          <w:rFonts w:hint="eastAsia"/>
          <w:lang w:val="en-US" w:eastAsia="zh-CN"/>
        </w:rPr>
        <w:t>2.4.1 评价等级</w:t>
      </w:r>
      <w:bookmarkEnd w:id="37"/>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根据环境影响评价技术导则的划分依据，结合拟建项目的工程特点、项目所在区域的环境特征 (自然环境特点、环境敏感程度、环境质量现状等) 、国家和地方颁布的有关标准、法规确定本次环境影响评价工作等级。</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1、 环境空气评价等级</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根据《环境影响评价技术导则 大气环境》(HJ2.2-2018) 关于大气环境影响评价等级的划分原则，运用导则附录 A 推荐模型中估算模型分别计算项目污染源的最大环境影响，然后按评价工作分级判据进行分级。根据项目生产工艺分析可知，产生的主要大气污染物为臭气浓度、</w:t>
      </w:r>
      <w:r>
        <w:rPr>
          <w:rFonts w:hint="eastAsia" w:eastAsia="宋体" w:cs="Times New Roman"/>
          <w:b w:val="0"/>
          <w:bCs w:val="0"/>
          <w:snapToGrid w:val="0"/>
          <w:color w:val="000000"/>
          <w:spacing w:val="11"/>
          <w:kern w:val="0"/>
          <w:sz w:val="24"/>
          <w:szCs w:val="24"/>
          <w:lang w:val="en-US" w:eastAsia="zh-CN"/>
        </w:rPr>
        <w:t>氨</w:t>
      </w:r>
      <w:r>
        <w:rPr>
          <w:rFonts w:hint="default"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NO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x</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硫化氢</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氯化氢、非甲烷总烃、</w:t>
      </w:r>
      <w:r>
        <w:rPr>
          <w:rFonts w:hint="default" w:eastAsia="宋体" w:cs="Times New Roman"/>
          <w:b w:val="0"/>
          <w:bCs w:val="0"/>
          <w:snapToGrid w:val="0"/>
          <w:color w:val="000000"/>
          <w:spacing w:val="11"/>
          <w:kern w:val="0"/>
          <w:sz w:val="24"/>
          <w:szCs w:val="24"/>
          <w:lang w:val="en-US" w:eastAsia="zh-CN"/>
        </w:rPr>
        <w:t>硫酸雾</w:t>
      </w:r>
      <w:r>
        <w:rPr>
          <w:rFonts w:hint="eastAsia" w:ascii="Times New Roman" w:hAnsi="Times New Roman" w:eastAsia="宋体" w:cs="Times New Roman"/>
          <w:b w:val="0"/>
          <w:bCs w:val="0"/>
          <w:spacing w:val="0"/>
          <w:sz w:val="24"/>
          <w:szCs w:val="24"/>
          <w:lang w:val="en-US" w:eastAsia="zh-CN"/>
        </w:rPr>
        <w:t>。按《环境影响评价技术导则 大气环境》(HJ2.2-2018) 中的规定，选择有环境质量标准的</w:t>
      </w:r>
      <w:r>
        <w:rPr>
          <w:rFonts w:hint="eastAsia" w:eastAsia="宋体" w:cs="Times New Roman"/>
          <w:b w:val="0"/>
          <w:bCs w:val="0"/>
          <w:snapToGrid w:val="0"/>
          <w:color w:val="000000"/>
          <w:spacing w:val="11"/>
          <w:kern w:val="0"/>
          <w:sz w:val="24"/>
          <w:szCs w:val="24"/>
          <w:lang w:val="en-US" w:eastAsia="zh-CN"/>
        </w:rPr>
        <w:t>氨</w:t>
      </w:r>
      <w:r>
        <w:rPr>
          <w:rFonts w:hint="default"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NO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x</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硫化氢</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氯化氢、非甲烷总烃、</w:t>
      </w:r>
      <w:r>
        <w:rPr>
          <w:rFonts w:hint="default" w:eastAsia="宋体" w:cs="Times New Roman"/>
          <w:b w:val="0"/>
          <w:bCs w:val="0"/>
          <w:snapToGrid w:val="0"/>
          <w:color w:val="000000"/>
          <w:spacing w:val="11"/>
          <w:kern w:val="0"/>
          <w:sz w:val="24"/>
          <w:szCs w:val="24"/>
          <w:lang w:val="en-US" w:eastAsia="zh-CN"/>
        </w:rPr>
        <w:t>硫酸雾</w:t>
      </w:r>
      <w:r>
        <w:rPr>
          <w:rFonts w:hint="eastAsia" w:ascii="Times New Roman" w:hAnsi="Times New Roman" w:eastAsia="宋体" w:cs="Times New Roman"/>
          <w:b w:val="0"/>
          <w:bCs w:val="0"/>
          <w:spacing w:val="0"/>
          <w:sz w:val="24"/>
          <w:szCs w:val="24"/>
          <w:lang w:val="en-US" w:eastAsia="zh-CN"/>
        </w:rPr>
        <w:t>为大气环境影响评价因子。</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0" w:right="0" w:firstLine="482"/>
        <w:jc w:val="both"/>
        <w:textAlignment w:val="baseline"/>
        <w:rPr>
          <w:rFonts w:ascii="宋体" w:hAnsi="宋体" w:eastAsia="宋体" w:cs="宋体"/>
          <w:sz w:val="23"/>
          <w:szCs w:val="23"/>
        </w:rPr>
      </w:pPr>
      <w:r>
        <w:rPr>
          <w:rFonts w:hint="eastAsia" w:ascii="Times New Roman" w:hAnsi="Times New Roman" w:eastAsia="宋体" w:cs="Times New Roman"/>
          <w:b w:val="0"/>
          <w:bCs w:val="0"/>
          <w:spacing w:val="0"/>
          <w:sz w:val="24"/>
          <w:szCs w:val="24"/>
          <w:lang w:val="en-US" w:eastAsia="zh-CN"/>
        </w:rPr>
        <w:t>根据《环境影响评价技术导则 大气环境》(HJ2.2-2018) 规定，分别计算每一种污染物的最大地面浓度占标率 Pi (第i个污染物) 及第i个污染物地面浓度达标准限值10% 时所对应的最远距离D</w:t>
      </w:r>
      <w:r>
        <w:rPr>
          <w:rFonts w:hint="eastAsia" w:ascii="Times New Roman" w:hAnsi="Times New Roman" w:eastAsia="宋体" w:cs="Times New Roman"/>
          <w:b w:val="0"/>
          <w:bCs w:val="0"/>
          <w:spacing w:val="0"/>
          <w:sz w:val="24"/>
          <w:szCs w:val="24"/>
          <w:vertAlign w:val="subscript"/>
          <w:lang w:val="en-US" w:eastAsia="zh-CN"/>
        </w:rPr>
        <w:t xml:space="preserve">10% </w:t>
      </w:r>
      <w:r>
        <w:rPr>
          <w:rFonts w:hint="eastAsia" w:ascii="Times New Roman" w:hAnsi="Times New Roman" w:eastAsia="宋体" w:cs="Times New Roman"/>
          <w:b w:val="0"/>
          <w:bCs w:val="0"/>
          <w:spacing w:val="0"/>
          <w:sz w:val="24"/>
          <w:szCs w:val="24"/>
          <w:lang w:val="en-US" w:eastAsia="zh-CN"/>
        </w:rPr>
        <w:t>，其中Pi定义为</w:t>
      </w:r>
      <w:r>
        <w:rPr>
          <w:rFonts w:ascii="宋体" w:hAnsi="宋体" w:eastAsia="宋体" w:cs="宋体"/>
          <w:sz w:val="23"/>
          <w:szCs w:val="23"/>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981"/>
        <w:textAlignment w:val="baseline"/>
        <w:rPr>
          <w:rFonts w:ascii="Times New Roman" w:hAnsi="Times New Roman" w:eastAsia="宋体" w:cs="Times New Roman"/>
          <w:sz w:val="24"/>
          <w:szCs w:val="24"/>
        </w:rPr>
      </w:pPr>
      <w:r>
        <w:rPr>
          <w:rFonts w:ascii="Times New Roman" w:hAnsi="Times New Roman" w:eastAsia="宋体" w:cs="Times New Roman"/>
          <w:spacing w:val="-1"/>
          <w:position w:val="16"/>
          <w:sz w:val="24"/>
          <w:szCs w:val="24"/>
        </w:rPr>
        <w:t>P</w:t>
      </w:r>
      <w:r>
        <w:rPr>
          <w:rFonts w:ascii="Times New Roman" w:hAnsi="Times New Roman" w:eastAsia="宋体" w:cs="Times New Roman"/>
          <w:spacing w:val="-1"/>
          <w:position w:val="15"/>
          <w:sz w:val="24"/>
          <w:szCs w:val="24"/>
        </w:rPr>
        <w:t>i</w:t>
      </w:r>
      <w:r>
        <w:rPr>
          <w:rFonts w:ascii="Times New Roman" w:hAnsi="Times New Roman" w:eastAsia="宋体" w:cs="Times New Roman"/>
          <w:spacing w:val="-2"/>
          <w:position w:val="15"/>
          <w:sz w:val="24"/>
          <w:szCs w:val="24"/>
        </w:rPr>
        <w:t xml:space="preserve"> </w:t>
      </w:r>
      <w:r>
        <w:rPr>
          <w:rFonts w:ascii="Times New Roman" w:hAnsi="Times New Roman" w:eastAsia="宋体" w:cs="Times New Roman"/>
          <w:spacing w:val="-2"/>
          <w:position w:val="16"/>
          <w:sz w:val="24"/>
          <w:szCs w:val="24"/>
        </w:rPr>
        <w:t>＝(</w:t>
      </w:r>
      <w:r>
        <w:rPr>
          <w:rFonts w:ascii="Times New Roman" w:hAnsi="Times New Roman" w:eastAsia="宋体" w:cs="Times New Roman"/>
          <w:spacing w:val="-1"/>
          <w:position w:val="16"/>
          <w:sz w:val="24"/>
          <w:szCs w:val="24"/>
        </w:rPr>
        <w:t>C</w:t>
      </w:r>
      <w:r>
        <w:rPr>
          <w:rFonts w:ascii="Times New Roman" w:hAnsi="Times New Roman" w:eastAsia="宋体" w:cs="Times New Roman"/>
          <w:spacing w:val="-1"/>
          <w:position w:val="15"/>
          <w:sz w:val="24"/>
          <w:szCs w:val="24"/>
        </w:rPr>
        <w:t>i</w:t>
      </w:r>
      <w:r>
        <w:rPr>
          <w:rFonts w:ascii="Times New Roman" w:hAnsi="Times New Roman" w:eastAsia="宋体" w:cs="Times New Roman"/>
          <w:spacing w:val="-2"/>
          <w:position w:val="16"/>
          <w:sz w:val="24"/>
          <w:szCs w:val="24"/>
        </w:rPr>
        <w:t>/</w:t>
      </w:r>
      <w:r>
        <w:rPr>
          <w:rFonts w:ascii="Times New Roman" w:hAnsi="Times New Roman" w:eastAsia="宋体" w:cs="Times New Roman"/>
          <w:spacing w:val="-1"/>
          <w:position w:val="16"/>
          <w:sz w:val="24"/>
          <w:szCs w:val="24"/>
        </w:rPr>
        <w:t>C</w:t>
      </w:r>
      <w:r>
        <w:rPr>
          <w:rFonts w:ascii="Times New Roman" w:hAnsi="Times New Roman" w:eastAsia="宋体" w:cs="Times New Roman"/>
          <w:spacing w:val="-2"/>
          <w:position w:val="15"/>
          <w:sz w:val="24"/>
          <w:szCs w:val="24"/>
          <w:vertAlign w:val="subscript"/>
        </w:rPr>
        <w:t>0</w:t>
      </w:r>
      <w:r>
        <w:rPr>
          <w:rFonts w:ascii="Times New Roman" w:hAnsi="Times New Roman" w:eastAsia="宋体" w:cs="Times New Roman"/>
          <w:spacing w:val="-1"/>
          <w:position w:val="15"/>
          <w:sz w:val="24"/>
          <w:szCs w:val="24"/>
          <w:vertAlign w:val="subscript"/>
        </w:rPr>
        <w:t>i</w:t>
      </w:r>
      <w:r>
        <w:rPr>
          <w:rFonts w:ascii="Times New Roman" w:hAnsi="Times New Roman" w:eastAsia="宋体" w:cs="Times New Roman"/>
          <w:spacing w:val="-2"/>
          <w:position w:val="16"/>
          <w:sz w:val="24"/>
          <w:szCs w:val="24"/>
        </w:rPr>
        <w:t xml:space="preserve">) </w:t>
      </w:r>
      <w:r>
        <w:rPr>
          <w:rFonts w:ascii="Times New Roman" w:hAnsi="Times New Roman" w:eastAsia="宋体" w:cs="Times New Roman"/>
          <w:spacing w:val="-1"/>
          <w:position w:val="16"/>
          <w:sz w:val="24"/>
          <w:szCs w:val="24"/>
        </w:rPr>
        <w:t>×100%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94"/>
        <w:textAlignment w:val="baseline"/>
        <w:rPr>
          <w:rFonts w:ascii="Times New Roman" w:hAnsi="Times New Roman" w:eastAsia="宋体" w:cs="Times New Roman"/>
          <w:sz w:val="24"/>
          <w:szCs w:val="24"/>
        </w:rPr>
      </w:pPr>
      <w:r>
        <w:rPr>
          <w:rFonts w:ascii="Times New Roman" w:hAnsi="Times New Roman" w:eastAsia="宋体" w:cs="Times New Roman"/>
          <w:spacing w:val="6"/>
          <w:position w:val="1"/>
          <w:sz w:val="24"/>
          <w:szCs w:val="24"/>
        </w:rPr>
        <w:t>式中：</w:t>
      </w:r>
      <w:r>
        <w:rPr>
          <w:rFonts w:ascii="Times New Roman" w:hAnsi="Times New Roman" w:eastAsia="宋体" w:cs="Times New Roman"/>
          <w:position w:val="1"/>
          <w:sz w:val="24"/>
          <w:szCs w:val="24"/>
        </w:rPr>
        <w:t>P</w:t>
      </w:r>
      <w:r>
        <w:rPr>
          <w:rFonts w:ascii="Times New Roman" w:hAnsi="Times New Roman" w:eastAsia="宋体" w:cs="Times New Roman"/>
          <w:sz w:val="24"/>
          <w:szCs w:val="24"/>
        </w:rPr>
        <w:t>i</w:t>
      </w:r>
      <w:r>
        <w:rPr>
          <w:rFonts w:ascii="Times New Roman" w:hAnsi="Times New Roman" w:eastAsia="宋体" w:cs="Times New Roman"/>
          <w:spacing w:val="6"/>
          <w:position w:val="1"/>
          <w:sz w:val="24"/>
          <w:szCs w:val="24"/>
        </w:rPr>
        <w:t xml:space="preserve">——第 </w:t>
      </w:r>
      <w:r>
        <w:rPr>
          <w:rFonts w:ascii="Times New Roman" w:hAnsi="Times New Roman" w:eastAsia="宋体" w:cs="Times New Roman"/>
          <w:position w:val="1"/>
          <w:sz w:val="24"/>
          <w:szCs w:val="24"/>
        </w:rPr>
        <w:t>i</w:t>
      </w:r>
      <w:r>
        <w:rPr>
          <w:rFonts w:ascii="Times New Roman" w:hAnsi="Times New Roman" w:eastAsia="宋体" w:cs="Times New Roman"/>
          <w:spacing w:val="6"/>
          <w:position w:val="1"/>
          <w:sz w:val="24"/>
          <w:szCs w:val="24"/>
        </w:rPr>
        <w:t xml:space="preserve"> 个污染物的最大地面浓度占标率，%</w:t>
      </w:r>
      <w:r>
        <w:rPr>
          <w:rFonts w:ascii="Times New Roman" w:hAnsi="Times New Roman" w:eastAsia="宋体" w:cs="Times New Roman"/>
          <w:spacing w:val="4"/>
          <w:position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4" w:right="60" w:firstLine="1194"/>
        <w:jc w:val="both"/>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position w:val="-1"/>
          <w:sz w:val="24"/>
          <w:szCs w:val="24"/>
        </w:rPr>
        <w:t>i</w:t>
      </w:r>
      <w:r>
        <w:rPr>
          <w:rFonts w:ascii="Times New Roman" w:hAnsi="Times New Roman" w:eastAsia="宋体" w:cs="Times New Roman"/>
          <w:spacing w:val="24"/>
          <w:sz w:val="24"/>
          <w:szCs w:val="24"/>
        </w:rPr>
        <w:t>—</w:t>
      </w:r>
      <w:r>
        <w:rPr>
          <w:rFonts w:ascii="Times New Roman" w:hAnsi="Times New Roman" w:eastAsia="宋体" w:cs="Times New Roman"/>
          <w:spacing w:val="13"/>
          <w:sz w:val="24"/>
          <w:szCs w:val="24"/>
        </w:rPr>
        <w:t>—采用估算模式计算出的第</w:t>
      </w:r>
      <w:r>
        <w:rPr>
          <w:rFonts w:ascii="Times New Roman" w:hAnsi="Times New Roman" w:eastAsia="宋体" w:cs="Times New Roman"/>
          <w:sz w:val="24"/>
          <w:szCs w:val="24"/>
        </w:rPr>
        <w:t>i</w:t>
      </w:r>
      <w:r>
        <w:rPr>
          <w:rFonts w:ascii="Times New Roman" w:hAnsi="Times New Roman" w:eastAsia="宋体" w:cs="Times New Roman"/>
          <w:spacing w:val="13"/>
          <w:sz w:val="24"/>
          <w:szCs w:val="24"/>
        </w:rPr>
        <w:t>个污染物的最大1</w:t>
      </w:r>
      <w:r>
        <w:rPr>
          <w:rFonts w:ascii="Times New Roman" w:hAnsi="Times New Roman" w:eastAsia="宋体" w:cs="Times New Roman"/>
          <w:sz w:val="24"/>
          <w:szCs w:val="24"/>
        </w:rPr>
        <w:t>h</w:t>
      </w:r>
      <w:r>
        <w:rPr>
          <w:rFonts w:ascii="Times New Roman" w:hAnsi="Times New Roman" w:eastAsia="宋体" w:cs="Times New Roman"/>
          <w:spacing w:val="13"/>
          <w:sz w:val="24"/>
          <w:szCs w:val="24"/>
        </w:rPr>
        <w:t>地面空气质量浓度</w:t>
      </w:r>
      <w:r>
        <w:rPr>
          <w:rFonts w:hint="eastAsia" w:ascii="Times New Roman" w:hAnsi="Times New Roman" w:eastAsia="宋体" w:cs="Times New Roman"/>
          <w:spacing w:val="13"/>
          <w:sz w:val="24"/>
          <w:szCs w:val="24"/>
          <w:lang w:eastAsia="zh-CN"/>
        </w:rPr>
        <w:t>，</w:t>
      </w:r>
      <w:r>
        <w:rPr>
          <w:rFonts w:ascii="Times New Roman" w:hAnsi="Times New Roman" w:eastAsia="宋体" w:cs="Times New Roman"/>
          <w:spacing w:val="3"/>
          <w:sz w:val="24"/>
          <w:szCs w:val="24"/>
        </w:rPr>
        <w:t>μ</w:t>
      </w:r>
      <w:r>
        <w:rPr>
          <w:rFonts w:ascii="Times New Roman" w:hAnsi="Times New Roman" w:eastAsia="宋体" w:cs="Times New Roman"/>
          <w:sz w:val="24"/>
          <w:szCs w:val="24"/>
        </w:rPr>
        <w:t>g</w:t>
      </w:r>
      <w:r>
        <w:rPr>
          <w:rFonts w:ascii="Times New Roman" w:hAnsi="Times New Roman" w:eastAsia="宋体" w:cs="Times New Roman"/>
          <w:spacing w:val="2"/>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vertAlign w:val="superscript"/>
          <w:lang w:val="en-US" w:eastAsia="zh-CN"/>
        </w:rPr>
        <w:t>3</w:t>
      </w:r>
      <w:r>
        <w:rPr>
          <w:rFonts w:ascii="Times New Roman" w:hAnsi="Times New Roman" w:eastAsia="宋体" w:cs="Times New Roman"/>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26" w:firstLine="1182"/>
        <w:jc w:val="both"/>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spacing w:val="7"/>
          <w:position w:val="-1"/>
          <w:sz w:val="24"/>
          <w:szCs w:val="24"/>
          <w:vertAlign w:val="subscript"/>
        </w:rPr>
        <w:t>0</w:t>
      </w:r>
      <w:r>
        <w:rPr>
          <w:rFonts w:ascii="Times New Roman" w:hAnsi="Times New Roman" w:eastAsia="宋体" w:cs="Times New Roman"/>
          <w:position w:val="-1"/>
          <w:sz w:val="24"/>
          <w:szCs w:val="24"/>
          <w:vertAlign w:val="subscript"/>
        </w:rPr>
        <w:t>i</w:t>
      </w:r>
      <w:r>
        <w:rPr>
          <w:rFonts w:ascii="Times New Roman" w:hAnsi="Times New Roman" w:eastAsia="宋体" w:cs="Times New Roman"/>
          <w:spacing w:val="7"/>
          <w:sz w:val="24"/>
          <w:szCs w:val="24"/>
        </w:rPr>
        <w:t xml:space="preserve">——第 </w:t>
      </w:r>
      <w:r>
        <w:rPr>
          <w:rFonts w:ascii="Times New Roman" w:hAnsi="Times New Roman" w:eastAsia="宋体" w:cs="Times New Roman"/>
          <w:sz w:val="24"/>
          <w:szCs w:val="24"/>
        </w:rPr>
        <w:t>i</w:t>
      </w:r>
      <w:r>
        <w:rPr>
          <w:rFonts w:ascii="Times New Roman" w:hAnsi="Times New Roman" w:eastAsia="宋体" w:cs="Times New Roman"/>
          <w:spacing w:val="7"/>
          <w:sz w:val="24"/>
          <w:szCs w:val="24"/>
        </w:rPr>
        <w:t xml:space="preserve"> 个污染物的环境空气质量标准，μ</w:t>
      </w:r>
      <w:r>
        <w:rPr>
          <w:rFonts w:ascii="Times New Roman" w:hAnsi="Times New Roman" w:eastAsia="宋体" w:cs="Times New Roman"/>
          <w:sz w:val="24"/>
          <w:szCs w:val="24"/>
        </w:rPr>
        <w:t>g</w:t>
      </w:r>
      <w:r>
        <w:rPr>
          <w:rFonts w:ascii="Times New Roman" w:hAnsi="Times New Roman" w:eastAsia="宋体" w:cs="Times New Roman"/>
          <w:spacing w:val="7"/>
          <w:sz w:val="24"/>
          <w:szCs w:val="24"/>
        </w:rPr>
        <w:t>/</w:t>
      </w:r>
      <w:r>
        <w:rPr>
          <w:rFonts w:ascii="Times New Roman" w:hAnsi="Times New Roman" w:eastAsia="宋体" w:cs="Times New Roman"/>
          <w:sz w:val="24"/>
          <w:szCs w:val="24"/>
        </w:rPr>
        <w:t>m</w:t>
      </w:r>
      <w:r>
        <w:rPr>
          <w:rFonts w:hint="eastAsia" w:ascii="Times New Roman" w:hAnsi="Times New Roman" w:eastAsia="宋体" w:cs="Times New Roman"/>
          <w:sz w:val="24"/>
          <w:szCs w:val="24"/>
          <w:vertAlign w:val="superscript"/>
          <w:lang w:val="en-US" w:eastAsia="zh-CN"/>
        </w:rPr>
        <w:t>3</w:t>
      </w:r>
      <w:r>
        <w:rPr>
          <w:rFonts w:ascii="Times New Roman" w:hAnsi="Times New Roman" w:eastAsia="宋体" w:cs="Times New Roman"/>
          <w:spacing w:val="7"/>
          <w:sz w:val="24"/>
          <w:szCs w:val="24"/>
        </w:rPr>
        <w:t>。对仅 8</w:t>
      </w:r>
      <w:r>
        <w:rPr>
          <w:rFonts w:ascii="Times New Roman" w:hAnsi="Times New Roman" w:eastAsia="宋体" w:cs="Times New Roman"/>
          <w:sz w:val="24"/>
          <w:szCs w:val="24"/>
        </w:rPr>
        <w:t>h</w:t>
      </w:r>
      <w:r>
        <w:rPr>
          <w:rFonts w:ascii="Times New Roman" w:hAnsi="Times New Roman" w:eastAsia="宋体" w:cs="Times New Roman"/>
          <w:spacing w:val="7"/>
          <w:sz w:val="24"/>
          <w:szCs w:val="24"/>
        </w:rPr>
        <w:t xml:space="preserve"> 平均质量</w:t>
      </w:r>
      <w:r>
        <w:rPr>
          <w:rFonts w:ascii="Times New Roman" w:hAnsi="Times New Roman" w:eastAsia="宋体" w:cs="Times New Roman"/>
          <w:spacing w:val="6"/>
          <w:sz w:val="24"/>
          <w:szCs w:val="24"/>
        </w:rPr>
        <w:t>浓</w:t>
      </w:r>
      <w:r>
        <w:rPr>
          <w:rFonts w:ascii="Times New Roman" w:hAnsi="Times New Roman" w:eastAsia="宋体" w:cs="Times New Roman"/>
          <w:sz w:val="24"/>
          <w:szCs w:val="24"/>
        </w:rPr>
        <w:t>度</w:t>
      </w:r>
      <w:r>
        <w:rPr>
          <w:rFonts w:ascii="Times New Roman" w:hAnsi="Times New Roman" w:eastAsia="宋体" w:cs="Times New Roman"/>
          <w:spacing w:val="10"/>
          <w:sz w:val="24"/>
          <w:szCs w:val="24"/>
        </w:rPr>
        <w:t>限值</w:t>
      </w:r>
      <w:r>
        <w:rPr>
          <w:rFonts w:hint="eastAsia" w:ascii="Times New Roman" w:hAnsi="Times New Roman" w:eastAsia="宋体" w:cs="Times New Roman"/>
          <w:spacing w:val="10"/>
          <w:sz w:val="24"/>
          <w:szCs w:val="24"/>
          <w:lang w:eastAsia="zh-CN"/>
        </w:rPr>
        <w:t>、</w:t>
      </w:r>
      <w:r>
        <w:rPr>
          <w:rFonts w:ascii="Times New Roman" w:hAnsi="Times New Roman" w:eastAsia="宋体" w:cs="Times New Roman"/>
          <w:spacing w:val="8"/>
          <w:sz w:val="24"/>
          <w:szCs w:val="24"/>
        </w:rPr>
        <w:t>日</w:t>
      </w:r>
      <w:r>
        <w:rPr>
          <w:rFonts w:ascii="Times New Roman" w:hAnsi="Times New Roman" w:eastAsia="宋体" w:cs="Times New Roman"/>
          <w:spacing w:val="5"/>
          <w:sz w:val="24"/>
          <w:szCs w:val="24"/>
        </w:rPr>
        <w:t>平均质量浓度限值或年平均质量浓度限值的，可分别按 2 倍、3 倍、6 倍折算为1</w:t>
      </w:r>
      <w:r>
        <w:rPr>
          <w:rFonts w:ascii="Times New Roman" w:hAnsi="Times New Roman" w:eastAsia="宋体" w:cs="Times New Roman"/>
          <w:sz w:val="24"/>
          <w:szCs w:val="24"/>
        </w:rPr>
        <w:t>h</w:t>
      </w:r>
      <w:r>
        <w:rPr>
          <w:rFonts w:ascii="Times New Roman" w:hAnsi="Times New Roman" w:eastAsia="宋体" w:cs="Times New Roman"/>
          <w:spacing w:val="5"/>
          <w:sz w:val="24"/>
          <w:szCs w:val="24"/>
        </w:rPr>
        <w:t>平均质量浓度限值</w:t>
      </w:r>
      <w:r>
        <w:rPr>
          <w:rFonts w:ascii="Times New Roman" w:hAnsi="Times New Roman" w:eastAsia="宋体" w:cs="Times New Roman"/>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宋体" w:hAnsi="宋体" w:eastAsia="宋体" w:cs="宋体"/>
          <w:sz w:val="23"/>
          <w:szCs w:val="23"/>
        </w:rPr>
      </w:pPr>
      <w:r>
        <w:rPr>
          <w:rFonts w:ascii="Times New Roman" w:hAnsi="Times New Roman" w:eastAsia="宋体" w:cs="Times New Roman"/>
          <w:spacing w:val="-1"/>
          <w:sz w:val="24"/>
          <w:szCs w:val="24"/>
        </w:rPr>
        <w:t>估算</w:t>
      </w:r>
      <w:r>
        <w:rPr>
          <w:rFonts w:ascii="Times New Roman" w:hAnsi="Times New Roman" w:eastAsia="宋体" w:cs="Times New Roman"/>
          <w:sz w:val="24"/>
          <w:szCs w:val="24"/>
        </w:rPr>
        <w:t>模型计算参数见表</w:t>
      </w:r>
      <w:r>
        <w:rPr>
          <w:rFonts w:hint="eastAsia" w:ascii="Times New Roman" w:hAnsi="Times New Roman" w:eastAsia="宋体" w:cs="Times New Roman"/>
          <w:sz w:val="24"/>
          <w:szCs w:val="24"/>
          <w:lang w:val="en-US" w:eastAsia="zh-CN"/>
        </w:rPr>
        <w:t>2.4</w:t>
      </w:r>
      <w:r>
        <w:rPr>
          <w:rFonts w:ascii="Times New Roman" w:hAnsi="Times New Roman" w:eastAsia="宋体" w:cs="Times New Roman"/>
          <w:sz w:val="24"/>
          <w:szCs w:val="24"/>
        </w:rPr>
        <w:t>-1。</w:t>
      </w:r>
      <w:r>
        <w:rPr>
          <w:rFonts w:hint="eastAsia" w:ascii="Times New Roman" w:hAnsi="Times New Roman" w:eastAsia="宋体" w:cs="Times New Roman"/>
          <w:sz w:val="24"/>
          <w:szCs w:val="24"/>
        </w:rPr>
        <w:t>点源及面源污染源强数据见表</w:t>
      </w:r>
      <w:r>
        <w:rPr>
          <w:rFonts w:hint="eastAsia" w:ascii="Times New Roman" w:hAnsi="Times New Roman" w:eastAsia="宋体" w:cs="Times New Roman"/>
          <w:sz w:val="24"/>
          <w:szCs w:val="24"/>
          <w:lang w:val="en-US" w:eastAsia="zh-CN"/>
        </w:rPr>
        <w:t>2.4</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2、2.4-3</w:t>
      </w:r>
      <w:r>
        <w:rPr>
          <w:rFonts w:hint="eastAsia" w:ascii="Times New Roman" w:hAnsi="Times New Roman" w:eastAsia="宋体"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24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表2.4-1   估算模型参数表</w:t>
      </w:r>
    </w:p>
    <w:p>
      <w:pPr>
        <w:spacing w:line="131" w:lineRule="exact"/>
      </w:pPr>
    </w:p>
    <w:tbl>
      <w:tblPr>
        <w:tblStyle w:val="34"/>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058"/>
        <w:gridCol w:w="3105"/>
        <w:gridCol w:w="458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649" w:type="pct"/>
            <w:gridSpan w:val="2"/>
            <w:tcBorders>
              <w:tl2br w:val="nil"/>
              <w:tr2bl w:val="nil"/>
            </w:tcBorders>
            <w:vAlign w:val="top"/>
          </w:tcPr>
          <w:p>
            <w:pPr>
              <w:spacing w:before="59" w:line="228" w:lineRule="auto"/>
              <w:ind w:left="2203"/>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参</w:t>
            </w:r>
            <w:r>
              <w:rPr>
                <w:rFonts w:ascii="Times New Roman" w:hAnsi="Times New Roman" w:eastAsia="宋体" w:cs="Times New Roman"/>
                <w:b/>
                <w:bCs/>
                <w:spacing w:val="3"/>
                <w:sz w:val="21"/>
                <w:szCs w:val="21"/>
              </w:rPr>
              <w:t>数</w:t>
            </w:r>
          </w:p>
        </w:tc>
        <w:tc>
          <w:tcPr>
            <w:tcW w:w="2350" w:type="pct"/>
            <w:tcBorders>
              <w:tl2br w:val="nil"/>
              <w:tr2bl w:val="nil"/>
            </w:tcBorders>
            <w:vAlign w:val="top"/>
          </w:tcPr>
          <w:p>
            <w:pPr>
              <w:spacing w:before="38" w:line="227" w:lineRule="auto"/>
              <w:jc w:val="center"/>
              <w:rPr>
                <w:rFonts w:hint="eastAsia" w:ascii="Times New Roman" w:hAnsi="Times New Roman" w:eastAsia="宋体" w:cs="Times New Roman"/>
                <w:b/>
                <w:bCs/>
                <w:spacing w:val="5"/>
                <w:sz w:val="21"/>
                <w:szCs w:val="21"/>
                <w:lang w:val="en-US" w:eastAsia="zh-CN"/>
              </w:rPr>
            </w:pPr>
            <w:r>
              <w:rPr>
                <w:rFonts w:hint="eastAsia" w:ascii="Times New Roman" w:hAnsi="Times New Roman" w:eastAsia="宋体" w:cs="Times New Roman"/>
                <w:b/>
                <w:bCs/>
                <w:spacing w:val="5"/>
                <w:sz w:val="21"/>
                <w:szCs w:val="21"/>
                <w:lang w:val="en-US" w:eastAsia="zh-CN"/>
              </w:rPr>
              <w:t>取值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649" w:type="pct"/>
            <w:gridSpan w:val="2"/>
            <w:tcBorders>
              <w:tl2br w:val="nil"/>
              <w:tr2bl w:val="nil"/>
            </w:tcBorders>
            <w:vAlign w:val="top"/>
          </w:tcPr>
          <w:p>
            <w:pPr>
              <w:spacing w:line="281" w:lineRule="exact"/>
              <w:ind w:left="1753"/>
              <w:rPr>
                <w:rFonts w:ascii="Times New Roman" w:hAnsi="Times New Roman" w:eastAsia="宋体" w:cs="Times New Roman"/>
                <w:sz w:val="21"/>
                <w:szCs w:val="21"/>
              </w:rPr>
            </w:pPr>
            <w:r>
              <w:rPr>
                <w:rFonts w:ascii="Times New Roman" w:hAnsi="Times New Roman" w:eastAsia="宋体" w:cs="Times New Roman"/>
                <w:spacing w:val="9"/>
                <w:position w:val="1"/>
                <w:sz w:val="21"/>
                <w:szCs w:val="21"/>
              </w:rPr>
              <w:t>城</w:t>
            </w:r>
            <w:r>
              <w:rPr>
                <w:rFonts w:ascii="Times New Roman" w:hAnsi="Times New Roman" w:eastAsia="宋体" w:cs="Times New Roman"/>
                <w:spacing w:val="7"/>
                <w:position w:val="1"/>
                <w:sz w:val="21"/>
                <w:szCs w:val="21"/>
              </w:rPr>
              <w:t>市/农村选项</w:t>
            </w:r>
          </w:p>
        </w:tc>
        <w:tc>
          <w:tcPr>
            <w:tcW w:w="2350" w:type="pct"/>
            <w:tcBorders>
              <w:tl2br w:val="nil"/>
              <w:tr2bl w:val="nil"/>
            </w:tcBorders>
            <w:vAlign w:val="top"/>
          </w:tcPr>
          <w:p>
            <w:pPr>
              <w:spacing w:before="38" w:line="227" w:lineRule="auto"/>
              <w:jc w:val="center"/>
              <w:rPr>
                <w:rFonts w:hint="eastAsia"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城市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2649" w:type="pct"/>
            <w:gridSpan w:val="2"/>
            <w:tcBorders>
              <w:tl2br w:val="nil"/>
              <w:tr2bl w:val="nil"/>
            </w:tcBorders>
            <w:vAlign w:val="top"/>
          </w:tcPr>
          <w:p>
            <w:pPr>
              <w:spacing w:line="281" w:lineRule="exact"/>
              <w:ind w:left="1650"/>
              <w:rPr>
                <w:rFonts w:ascii="Times New Roman" w:hAnsi="Times New Roman" w:eastAsia="宋体" w:cs="Times New Roman"/>
                <w:sz w:val="21"/>
                <w:szCs w:val="21"/>
              </w:rPr>
            </w:pPr>
            <w:r>
              <w:rPr>
                <w:rFonts w:ascii="Times New Roman" w:hAnsi="Times New Roman" w:eastAsia="宋体" w:cs="Times New Roman"/>
                <w:spacing w:val="11"/>
                <w:position w:val="1"/>
                <w:sz w:val="21"/>
                <w:szCs w:val="21"/>
              </w:rPr>
              <w:t>最</w:t>
            </w:r>
            <w:r>
              <w:rPr>
                <w:rFonts w:ascii="Times New Roman" w:hAnsi="Times New Roman" w:eastAsia="宋体" w:cs="Times New Roman"/>
                <w:spacing w:val="7"/>
                <w:position w:val="1"/>
                <w:sz w:val="21"/>
                <w:szCs w:val="21"/>
              </w:rPr>
              <w:t>高环境温度/℃</w:t>
            </w:r>
          </w:p>
        </w:tc>
        <w:tc>
          <w:tcPr>
            <w:tcW w:w="4581" w:type="dxa"/>
            <w:tcBorders>
              <w:tl2br w:val="nil"/>
              <w:tr2bl w:val="nil"/>
            </w:tcBorders>
            <w:vAlign w:val="center"/>
          </w:tcPr>
          <w:p>
            <w:pPr>
              <w:spacing w:before="38" w:line="227" w:lineRule="auto"/>
              <w:jc w:val="center"/>
              <w:rPr>
                <w:rFonts w:hint="default"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40.1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649" w:type="pct"/>
            <w:gridSpan w:val="2"/>
            <w:tcBorders>
              <w:tl2br w:val="nil"/>
              <w:tr2bl w:val="nil"/>
            </w:tcBorders>
            <w:vAlign w:val="top"/>
          </w:tcPr>
          <w:p>
            <w:pPr>
              <w:spacing w:before="1" w:line="281" w:lineRule="exact"/>
              <w:ind w:left="1647"/>
              <w:rPr>
                <w:rFonts w:ascii="Times New Roman" w:hAnsi="Times New Roman" w:eastAsia="宋体" w:cs="Times New Roman"/>
                <w:sz w:val="21"/>
                <w:szCs w:val="21"/>
              </w:rPr>
            </w:pPr>
            <w:r>
              <w:rPr>
                <w:rFonts w:ascii="Times New Roman" w:hAnsi="Times New Roman" w:eastAsia="宋体" w:cs="Times New Roman"/>
                <w:spacing w:val="11"/>
                <w:position w:val="1"/>
                <w:sz w:val="21"/>
                <w:szCs w:val="21"/>
              </w:rPr>
              <w:t>最</w:t>
            </w:r>
            <w:r>
              <w:rPr>
                <w:rFonts w:ascii="Times New Roman" w:hAnsi="Times New Roman" w:eastAsia="宋体" w:cs="Times New Roman"/>
                <w:spacing w:val="7"/>
                <w:position w:val="1"/>
                <w:sz w:val="21"/>
                <w:szCs w:val="21"/>
              </w:rPr>
              <w:t>低环境温度/℃</w:t>
            </w:r>
          </w:p>
        </w:tc>
        <w:tc>
          <w:tcPr>
            <w:tcW w:w="4581" w:type="dxa"/>
            <w:tcBorders>
              <w:tl2br w:val="nil"/>
              <w:tr2bl w:val="nil"/>
            </w:tcBorders>
            <w:vAlign w:val="center"/>
          </w:tcPr>
          <w:p>
            <w:pPr>
              <w:spacing w:before="38" w:line="227" w:lineRule="auto"/>
              <w:jc w:val="center"/>
              <w:rPr>
                <w:rFonts w:hint="eastAsia"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-6.2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2649" w:type="pct"/>
            <w:gridSpan w:val="2"/>
            <w:tcBorders>
              <w:tl2br w:val="nil"/>
              <w:tr2bl w:val="nil"/>
            </w:tcBorders>
            <w:vAlign w:val="top"/>
          </w:tcPr>
          <w:p>
            <w:pPr>
              <w:spacing w:before="38" w:line="228" w:lineRule="auto"/>
              <w:ind w:left="1782"/>
              <w:rPr>
                <w:rFonts w:ascii="Times New Roman" w:hAnsi="Times New Roman" w:eastAsia="宋体" w:cs="Times New Roman"/>
                <w:sz w:val="21"/>
                <w:szCs w:val="21"/>
              </w:rPr>
            </w:pPr>
            <w:r>
              <w:rPr>
                <w:rFonts w:ascii="Times New Roman" w:hAnsi="Times New Roman" w:eastAsia="宋体" w:cs="Times New Roman"/>
                <w:spacing w:val="8"/>
                <w:sz w:val="21"/>
                <w:szCs w:val="21"/>
              </w:rPr>
              <w:t>土地利用类型</w:t>
            </w:r>
          </w:p>
        </w:tc>
        <w:tc>
          <w:tcPr>
            <w:tcW w:w="2350" w:type="pct"/>
            <w:tcBorders>
              <w:tl2br w:val="nil"/>
              <w:tr2bl w:val="nil"/>
            </w:tcBorders>
            <w:vAlign w:val="top"/>
          </w:tcPr>
          <w:p>
            <w:pPr>
              <w:spacing w:before="38" w:line="227"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5"/>
                <w:sz w:val="21"/>
                <w:szCs w:val="21"/>
                <w:lang w:val="en-US" w:eastAsia="zh-CN"/>
              </w:rPr>
              <w:t>建设用地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649" w:type="pct"/>
            <w:gridSpan w:val="2"/>
            <w:tcBorders>
              <w:tl2br w:val="nil"/>
              <w:tr2bl w:val="nil"/>
            </w:tcBorders>
            <w:vAlign w:val="top"/>
          </w:tcPr>
          <w:p>
            <w:pPr>
              <w:spacing w:before="38" w:line="228" w:lineRule="auto"/>
              <w:ind w:left="1797"/>
              <w:rPr>
                <w:rFonts w:ascii="Times New Roman" w:hAnsi="Times New Roman" w:eastAsia="宋体" w:cs="Times New Roman"/>
                <w:sz w:val="21"/>
                <w:szCs w:val="21"/>
              </w:rPr>
            </w:pPr>
            <w:r>
              <w:rPr>
                <w:rFonts w:ascii="Times New Roman" w:hAnsi="Times New Roman" w:eastAsia="宋体" w:cs="Times New Roman"/>
                <w:spacing w:val="9"/>
                <w:sz w:val="21"/>
                <w:szCs w:val="21"/>
              </w:rPr>
              <w:t>区</w:t>
            </w:r>
            <w:r>
              <w:rPr>
                <w:rFonts w:ascii="Times New Roman" w:hAnsi="Times New Roman" w:eastAsia="宋体" w:cs="Times New Roman"/>
                <w:spacing w:val="5"/>
                <w:sz w:val="21"/>
                <w:szCs w:val="21"/>
              </w:rPr>
              <w:t>域湿度条件</w:t>
            </w:r>
          </w:p>
        </w:tc>
        <w:tc>
          <w:tcPr>
            <w:tcW w:w="2350" w:type="pct"/>
            <w:tcBorders>
              <w:tl2br w:val="nil"/>
              <w:tr2bl w:val="nil"/>
            </w:tcBorders>
            <w:vAlign w:val="top"/>
          </w:tcPr>
          <w:p>
            <w:pPr>
              <w:spacing w:before="38" w:line="228" w:lineRule="auto"/>
              <w:jc w:val="center"/>
              <w:rPr>
                <w:rFonts w:ascii="Times New Roman" w:hAnsi="Times New Roman" w:eastAsia="宋体" w:cs="Times New Roman"/>
                <w:sz w:val="21"/>
                <w:szCs w:val="21"/>
              </w:rPr>
            </w:pPr>
            <w:r>
              <w:rPr>
                <w:rFonts w:ascii="Times New Roman" w:hAnsi="Times New Roman" w:eastAsia="宋体" w:cs="Times New Roman"/>
                <w:spacing w:val="9"/>
                <w:sz w:val="21"/>
                <w:szCs w:val="21"/>
              </w:rPr>
              <w:t>潮</w:t>
            </w:r>
            <w:r>
              <w:rPr>
                <w:rFonts w:ascii="Times New Roman" w:hAnsi="Times New Roman" w:eastAsia="宋体" w:cs="Times New Roman"/>
                <w:spacing w:val="7"/>
                <w:sz w:val="21"/>
                <w:szCs w:val="21"/>
              </w:rPr>
              <w:t>湿气候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56" w:type="pct"/>
            <w:vMerge w:val="restart"/>
            <w:tcBorders>
              <w:tl2br w:val="nil"/>
              <w:tr2bl w:val="nil"/>
            </w:tcBorders>
            <w:vAlign w:val="top"/>
          </w:tcPr>
          <w:p>
            <w:pPr>
              <w:spacing w:before="185" w:line="227" w:lineRule="auto"/>
              <w:ind w:left="340"/>
              <w:rPr>
                <w:rFonts w:ascii="Times New Roman" w:hAnsi="Times New Roman" w:eastAsia="宋体" w:cs="Times New Roman"/>
                <w:sz w:val="21"/>
                <w:szCs w:val="21"/>
              </w:rPr>
            </w:pPr>
            <w:r>
              <w:rPr>
                <w:rFonts w:ascii="Times New Roman" w:hAnsi="Times New Roman" w:eastAsia="宋体" w:cs="Times New Roman"/>
                <w:spacing w:val="11"/>
                <w:sz w:val="21"/>
                <w:szCs w:val="21"/>
              </w:rPr>
              <w:t>是</w:t>
            </w:r>
            <w:r>
              <w:rPr>
                <w:rFonts w:ascii="Times New Roman" w:hAnsi="Times New Roman" w:eastAsia="宋体" w:cs="Times New Roman"/>
                <w:spacing w:val="7"/>
                <w:sz w:val="21"/>
                <w:szCs w:val="21"/>
              </w:rPr>
              <w:t>否考虑地形</w:t>
            </w:r>
          </w:p>
        </w:tc>
        <w:tc>
          <w:tcPr>
            <w:tcW w:w="1592" w:type="pct"/>
            <w:tcBorders>
              <w:tl2br w:val="nil"/>
              <w:tr2bl w:val="nil"/>
            </w:tcBorders>
            <w:vAlign w:val="center"/>
          </w:tcPr>
          <w:p>
            <w:pPr>
              <w:spacing w:before="38" w:line="227" w:lineRule="auto"/>
              <w:jc w:val="center"/>
              <w:rPr>
                <w:rFonts w:ascii="Times New Roman" w:hAnsi="Times New Roman" w:eastAsia="宋体" w:cs="Times New Roman"/>
                <w:sz w:val="21"/>
                <w:szCs w:val="21"/>
              </w:rPr>
            </w:pPr>
            <w:r>
              <w:rPr>
                <w:rFonts w:ascii="Times New Roman" w:hAnsi="Times New Roman" w:eastAsia="宋体" w:cs="Times New Roman"/>
                <w:spacing w:val="8"/>
                <w:sz w:val="21"/>
                <w:szCs w:val="21"/>
              </w:rPr>
              <w:t>考</w:t>
            </w:r>
            <w:r>
              <w:rPr>
                <w:rFonts w:ascii="Times New Roman" w:hAnsi="Times New Roman" w:eastAsia="宋体" w:cs="Times New Roman"/>
                <w:spacing w:val="7"/>
                <w:sz w:val="21"/>
                <w:szCs w:val="21"/>
              </w:rPr>
              <w:t>虑地形</w:t>
            </w:r>
          </w:p>
        </w:tc>
        <w:tc>
          <w:tcPr>
            <w:tcW w:w="2350" w:type="pct"/>
            <w:tcBorders>
              <w:tl2br w:val="nil"/>
              <w:tr2bl w:val="nil"/>
            </w:tcBorders>
            <w:vAlign w:val="top"/>
          </w:tcPr>
          <w:p>
            <w:pPr>
              <w:spacing w:before="39" w:line="228" w:lineRule="auto"/>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w:t>
            </w:r>
            <w:r>
              <w:rPr>
                <w:rFonts w:ascii="Times New Roman" w:hAnsi="Times New Roman" w:eastAsia="宋体" w:cs="Times New Roman"/>
                <w:spacing w:val="3"/>
                <w:sz w:val="21"/>
                <w:szCs w:val="21"/>
              </w:rPr>
              <w:t>是</w:t>
            </w:r>
            <w:r>
              <w:rPr>
                <w:rFonts w:ascii="Times New Roman" w:hAnsi="Times New Roman" w:eastAsia="宋体" w:cs="Times New Roman"/>
                <w:spacing w:val="2"/>
                <w:sz w:val="21"/>
                <w:szCs w:val="21"/>
              </w:rPr>
              <w:t xml:space="preserve"> □否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056" w:type="pct"/>
            <w:vMerge w:val="continue"/>
            <w:tcBorders>
              <w:tl2br w:val="nil"/>
              <w:tr2bl w:val="nil"/>
            </w:tcBorders>
            <w:vAlign w:val="top"/>
          </w:tcPr>
          <w:p>
            <w:pPr>
              <w:rPr>
                <w:rFonts w:ascii="Times New Roman" w:hAnsi="Times New Roman" w:eastAsia="宋体" w:cs="Times New Roman"/>
                <w:sz w:val="21"/>
                <w:szCs w:val="21"/>
              </w:rPr>
            </w:pPr>
          </w:p>
        </w:tc>
        <w:tc>
          <w:tcPr>
            <w:tcW w:w="1592" w:type="pct"/>
            <w:tcBorders>
              <w:tl2br w:val="nil"/>
              <w:tr2bl w:val="nil"/>
            </w:tcBorders>
            <w:vAlign w:val="center"/>
          </w:tcPr>
          <w:p>
            <w:pPr>
              <w:spacing w:before="2" w:line="281" w:lineRule="exact"/>
              <w:jc w:val="center"/>
              <w:rPr>
                <w:rFonts w:ascii="Times New Roman" w:hAnsi="Times New Roman" w:eastAsia="宋体" w:cs="Times New Roman"/>
                <w:sz w:val="21"/>
                <w:szCs w:val="21"/>
              </w:rPr>
            </w:pPr>
            <w:r>
              <w:rPr>
                <w:rFonts w:ascii="Times New Roman" w:hAnsi="Times New Roman" w:eastAsia="宋体" w:cs="Times New Roman"/>
                <w:spacing w:val="13"/>
                <w:position w:val="1"/>
                <w:sz w:val="21"/>
                <w:szCs w:val="21"/>
              </w:rPr>
              <w:t>地</w:t>
            </w:r>
            <w:r>
              <w:rPr>
                <w:rFonts w:ascii="Times New Roman" w:hAnsi="Times New Roman" w:eastAsia="宋体" w:cs="Times New Roman"/>
                <w:spacing w:val="8"/>
                <w:position w:val="1"/>
                <w:sz w:val="21"/>
                <w:szCs w:val="21"/>
              </w:rPr>
              <w:t>形数据分辨率/</w:t>
            </w:r>
            <w:r>
              <w:rPr>
                <w:rFonts w:ascii="Times New Roman" w:hAnsi="Times New Roman" w:eastAsia="宋体" w:cs="Times New Roman"/>
                <w:position w:val="1"/>
                <w:sz w:val="21"/>
                <w:szCs w:val="21"/>
              </w:rPr>
              <w:t>m</w:t>
            </w:r>
          </w:p>
        </w:tc>
        <w:tc>
          <w:tcPr>
            <w:tcW w:w="2350" w:type="pct"/>
            <w:tcBorders>
              <w:tl2br w:val="nil"/>
              <w:tr2bl w:val="nil"/>
            </w:tcBorders>
            <w:vAlign w:val="top"/>
          </w:tcPr>
          <w:p>
            <w:pPr>
              <w:spacing w:before="75" w:line="195" w:lineRule="auto"/>
              <w:jc w:val="center"/>
              <w:rPr>
                <w:rFonts w:ascii="Times New Roman" w:hAnsi="Times New Roman" w:eastAsia="宋体" w:cs="Times New Roman"/>
                <w:sz w:val="21"/>
                <w:szCs w:val="21"/>
              </w:rPr>
            </w:pPr>
            <w:r>
              <w:rPr>
                <w:rFonts w:ascii="Times New Roman" w:hAnsi="Times New Roman" w:eastAsia="宋体" w:cs="Times New Roman"/>
                <w:spacing w:val="5"/>
                <w:sz w:val="21"/>
                <w:szCs w:val="21"/>
              </w:rPr>
              <w:t>9</w:t>
            </w:r>
            <w:r>
              <w:rPr>
                <w:rFonts w:ascii="Times New Roman" w:hAnsi="Times New Roman" w:eastAsia="宋体" w:cs="Times New Roman"/>
                <w:spacing w:val="4"/>
                <w:sz w:val="21"/>
                <w:szCs w:val="21"/>
              </w:rPr>
              <w:t>0</w:t>
            </w:r>
            <w:r>
              <w:rPr>
                <w:rFonts w:ascii="Times New Roman" w:hAnsi="Times New Roman" w:eastAsia="宋体" w:cs="Times New Roman"/>
                <w:sz w:val="21"/>
                <w:szCs w:val="21"/>
              </w:rPr>
              <w:t>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056" w:type="pct"/>
            <w:vMerge w:val="restart"/>
            <w:tcBorders>
              <w:tl2br w:val="nil"/>
              <w:tr2bl w:val="nil"/>
            </w:tcBorders>
            <w:vAlign w:val="center"/>
          </w:tcPr>
          <w:p>
            <w:pPr>
              <w:spacing w:beforeAutospacing="0" w:line="265" w:lineRule="auto"/>
              <w:ind w:left="0" w:leftChars="0" w:right="87" w:rightChars="0" w:firstLine="0" w:firstLineChars="0"/>
              <w:jc w:val="center"/>
              <w:rPr>
                <w:rFonts w:ascii="Times New Roman" w:hAnsi="Times New Roman" w:eastAsia="宋体" w:cs="Times New Roman"/>
                <w:sz w:val="21"/>
                <w:szCs w:val="21"/>
              </w:rPr>
            </w:pPr>
            <w:r>
              <w:rPr>
                <w:rFonts w:ascii="Times New Roman" w:hAnsi="Times New Roman" w:eastAsia="宋体" w:cs="Times New Roman"/>
                <w:spacing w:val="11"/>
                <w:sz w:val="21"/>
                <w:szCs w:val="21"/>
              </w:rPr>
              <w:t>是</w:t>
            </w:r>
            <w:r>
              <w:rPr>
                <w:rFonts w:ascii="Times New Roman" w:hAnsi="Times New Roman" w:eastAsia="宋体" w:cs="Times New Roman"/>
                <w:spacing w:val="7"/>
                <w:sz w:val="21"/>
                <w:szCs w:val="21"/>
              </w:rPr>
              <w:t>否考虑岸线</w:t>
            </w:r>
            <w:r>
              <w:rPr>
                <w:rFonts w:ascii="Times New Roman" w:hAnsi="Times New Roman" w:eastAsia="宋体" w:cs="Times New Roman"/>
                <w:spacing w:val="-1"/>
                <w:sz w:val="21"/>
                <w:szCs w:val="21"/>
              </w:rPr>
              <w:t>熏烟</w:t>
            </w:r>
          </w:p>
        </w:tc>
        <w:tc>
          <w:tcPr>
            <w:tcW w:w="1592"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考虑岸线熏烟</w:t>
            </w:r>
          </w:p>
        </w:tc>
        <w:tc>
          <w:tcPr>
            <w:tcW w:w="2350" w:type="pct"/>
            <w:tcBorders>
              <w:tl2br w:val="nil"/>
              <w:tr2bl w:val="nil"/>
            </w:tcBorders>
            <w:vAlign w:val="top"/>
          </w:tcPr>
          <w:p>
            <w:pPr>
              <w:spacing w:before="40" w:line="228" w:lineRule="auto"/>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w:t>
            </w:r>
            <w:r>
              <w:rPr>
                <w:rFonts w:ascii="Times New Roman" w:hAnsi="Times New Roman" w:eastAsia="宋体" w:cs="Times New Roman"/>
                <w:spacing w:val="3"/>
                <w:sz w:val="21"/>
                <w:szCs w:val="21"/>
              </w:rPr>
              <w:t>是</w:t>
            </w:r>
            <w:r>
              <w:rPr>
                <w:rFonts w:ascii="Times New Roman" w:hAnsi="Times New Roman" w:eastAsia="宋体" w:cs="Times New Roman"/>
                <w:spacing w:val="2"/>
                <w:sz w:val="21"/>
                <w:szCs w:val="21"/>
              </w:rPr>
              <w:t xml:space="preserve"> ■否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056" w:type="pct"/>
            <w:vMerge w:val="continue"/>
            <w:tcBorders>
              <w:tl2br w:val="nil"/>
              <w:tr2bl w:val="nil"/>
            </w:tcBorders>
            <w:vAlign w:val="top"/>
          </w:tcPr>
          <w:p>
            <w:pPr>
              <w:rPr>
                <w:rFonts w:ascii="Times New Roman" w:hAnsi="Times New Roman" w:eastAsia="宋体" w:cs="Times New Roman"/>
                <w:sz w:val="21"/>
                <w:szCs w:val="21"/>
              </w:rPr>
            </w:pPr>
          </w:p>
        </w:tc>
        <w:tc>
          <w:tcPr>
            <w:tcW w:w="1592"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岸线距离/km</w:t>
            </w:r>
          </w:p>
        </w:tc>
        <w:tc>
          <w:tcPr>
            <w:tcW w:w="2350" w:type="pct"/>
            <w:tcBorders>
              <w:tl2br w:val="nil"/>
              <w:tr2bl w:val="nil"/>
            </w:tcBorders>
            <w:vAlign w:val="top"/>
          </w:tcPr>
          <w:p>
            <w:pPr>
              <w:spacing w:before="1" w:line="281" w:lineRule="exact"/>
              <w:ind w:left="540"/>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项目周边3</w:t>
            </w:r>
            <w:r>
              <w:rPr>
                <w:rFonts w:ascii="Times New Roman" w:hAnsi="Times New Roman" w:eastAsia="宋体" w:cs="Times New Roman"/>
                <w:position w:val="1"/>
                <w:sz w:val="21"/>
                <w:szCs w:val="21"/>
              </w:rPr>
              <w:t>km</w:t>
            </w:r>
            <w:r>
              <w:rPr>
                <w:rFonts w:ascii="Times New Roman" w:hAnsi="Times New Roman" w:eastAsia="宋体" w:cs="Times New Roman"/>
                <w:spacing w:val="5"/>
                <w:position w:val="1"/>
                <w:sz w:val="21"/>
                <w:szCs w:val="21"/>
              </w:rPr>
              <w:t>范围内没有大型水</w:t>
            </w:r>
            <w:r>
              <w:rPr>
                <w:rFonts w:ascii="Times New Roman" w:hAnsi="Times New Roman" w:eastAsia="宋体" w:cs="Times New Roman"/>
                <w:spacing w:val="4"/>
                <w:position w:val="1"/>
                <w:sz w:val="21"/>
                <w:szCs w:val="21"/>
              </w:rPr>
              <w:t>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056" w:type="pct"/>
            <w:vMerge w:val="continue"/>
            <w:tcBorders>
              <w:tl2br w:val="nil"/>
              <w:tr2bl w:val="nil"/>
            </w:tcBorders>
            <w:vAlign w:val="top"/>
          </w:tcPr>
          <w:p>
            <w:pPr>
              <w:rPr>
                <w:rFonts w:ascii="Times New Roman" w:hAnsi="Times New Roman" w:eastAsia="宋体" w:cs="Times New Roman"/>
                <w:sz w:val="21"/>
                <w:szCs w:val="21"/>
              </w:rPr>
            </w:pPr>
          </w:p>
        </w:tc>
        <w:tc>
          <w:tcPr>
            <w:tcW w:w="1592"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岸线方向/°</w:t>
            </w:r>
          </w:p>
        </w:tc>
        <w:tc>
          <w:tcPr>
            <w:tcW w:w="2350" w:type="pct"/>
            <w:tcBorders>
              <w:tl2br w:val="nil"/>
              <w:tr2bl w:val="nil"/>
            </w:tcBorders>
            <w:vAlign w:val="top"/>
          </w:tcPr>
          <w:p>
            <w:pPr>
              <w:spacing w:before="1" w:line="281" w:lineRule="exact"/>
              <w:ind w:left="2101"/>
              <w:rPr>
                <w:rFonts w:ascii="Times New Roman" w:hAnsi="Times New Roman" w:eastAsia="宋体" w:cs="Times New Roman"/>
                <w:sz w:val="21"/>
                <w:szCs w:val="21"/>
              </w:rPr>
            </w:pPr>
            <w:r>
              <w:rPr>
                <w:rFonts w:ascii="Times New Roman" w:hAnsi="Times New Roman" w:eastAsia="宋体" w:cs="Times New Roman"/>
                <w:spacing w:val="2"/>
                <w:position w:val="2"/>
                <w:sz w:val="21"/>
                <w:szCs w:val="21"/>
              </w:rPr>
              <w:t>/</w:t>
            </w:r>
          </w:p>
        </w:tc>
      </w:tr>
    </w:tbl>
    <w:p>
      <w:pPr>
        <w:pStyle w:val="8"/>
        <w:tabs>
          <w:tab w:val="left" w:pos="0"/>
        </w:tabs>
        <w:bidi w:val="0"/>
        <w:ind w:left="425" w:leftChars="0" w:hanging="425" w:firstLineChars="0"/>
        <w:rPr>
          <w:rFonts w:hint="default"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表2.4-2 本项目污染源（无组织）排放情况一览表</w:t>
      </w:r>
    </w:p>
    <w:tbl>
      <w:tblPr>
        <w:tblStyle w:val="25"/>
        <w:tblW w:w="4995"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autofit"/>
        <w:tblCellMar>
          <w:top w:w="0" w:type="dxa"/>
          <w:left w:w="0" w:type="dxa"/>
          <w:bottom w:w="0" w:type="dxa"/>
          <w:right w:w="0" w:type="dxa"/>
        </w:tblCellMar>
      </w:tblPr>
      <w:tblGrid>
        <w:gridCol w:w="419"/>
        <w:gridCol w:w="1218"/>
        <w:gridCol w:w="1115"/>
        <w:gridCol w:w="776"/>
        <w:gridCol w:w="1349"/>
        <w:gridCol w:w="881"/>
        <w:gridCol w:w="1031"/>
        <w:gridCol w:w="684"/>
        <w:gridCol w:w="517"/>
        <w:gridCol w:w="873"/>
        <w:gridCol w:w="8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vMerge w:val="restart"/>
            <w:tcBorders>
              <w:top w:val="single" w:color="auto" w:sz="12" w:space="0"/>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197" w:type="pct"/>
            <w:gridSpan w:val="2"/>
            <w:tcBorders>
              <w:top w:val="single" w:color="auto" w:sz="12" w:space="0"/>
              <w:bottom w:val="single" w:color="000000"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面源起点坐标/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p>
        </w:tc>
        <w:tc>
          <w:tcPr>
            <w:tcW w:w="398"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面源海拔高度/m</w:t>
            </w:r>
          </w:p>
        </w:tc>
        <w:tc>
          <w:tcPr>
            <w:tcW w:w="69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面源</w:t>
            </w:r>
            <w:r>
              <w:rPr>
                <w:rFonts w:hint="eastAsia" w:eastAsia="宋体" w:cs="Times New Roman"/>
                <w:sz w:val="21"/>
                <w:szCs w:val="21"/>
                <w:lang w:eastAsia="zh-CN"/>
              </w:rPr>
              <w:t>面积</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2</w:t>
            </w:r>
          </w:p>
        </w:tc>
        <w:tc>
          <w:tcPr>
            <w:tcW w:w="45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与正北向夹角/°</w:t>
            </w:r>
          </w:p>
        </w:tc>
        <w:tc>
          <w:tcPr>
            <w:tcW w:w="529"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面源有效排放高度/m</w:t>
            </w:r>
          </w:p>
        </w:tc>
        <w:tc>
          <w:tcPr>
            <w:tcW w:w="351"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年排放小时数/h</w:t>
            </w:r>
          </w:p>
        </w:tc>
        <w:tc>
          <w:tcPr>
            <w:tcW w:w="265"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排放工况</w:t>
            </w:r>
          </w:p>
        </w:tc>
        <w:tc>
          <w:tcPr>
            <w:tcW w:w="448" w:type="pct"/>
            <w:vMerge w:val="restart"/>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硫化氢</w:t>
            </w:r>
            <w:r>
              <w:rPr>
                <w:rFonts w:hint="default" w:ascii="Times New Roman" w:hAnsi="Times New Roman" w:eastAsia="宋体" w:cs="Times New Roman"/>
                <w:sz w:val="21"/>
                <w:szCs w:val="21"/>
              </w:rPr>
              <w:t>排放速率/（kg/h）</w:t>
            </w:r>
          </w:p>
        </w:tc>
        <w:tc>
          <w:tcPr>
            <w:tcW w:w="448" w:type="pct"/>
            <w:vMerge w:val="restart"/>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氨</w:t>
            </w:r>
            <w:r>
              <w:rPr>
                <w:rFonts w:hint="default" w:ascii="Times New Roman" w:hAnsi="Times New Roman" w:eastAsia="宋体" w:cs="Times New Roman"/>
                <w:sz w:val="21"/>
                <w:szCs w:val="21"/>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vMerge w:val="continue"/>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25" w:type="pct"/>
            <w:tcBorders>
              <w:top w:val="single" w:color="000000" w:sz="12"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经度</w:t>
            </w:r>
          </w:p>
        </w:tc>
        <w:tc>
          <w:tcPr>
            <w:tcW w:w="571" w:type="pct"/>
            <w:tcBorders>
              <w:top w:val="single" w:color="000000" w:sz="12" w:space="0"/>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纬度</w:t>
            </w:r>
          </w:p>
        </w:tc>
        <w:tc>
          <w:tcPr>
            <w:tcW w:w="398"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9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5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529"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351"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5"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48" w:type="pct"/>
            <w:vMerge w:val="continue"/>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48" w:type="pct"/>
            <w:vMerge w:val="continue"/>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污水处理站</w:t>
            </w:r>
          </w:p>
        </w:tc>
        <w:tc>
          <w:tcPr>
            <w:tcW w:w="625" w:type="pct"/>
            <w:tcBorders>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111.95035765</w:t>
            </w:r>
          </w:p>
        </w:tc>
        <w:tc>
          <w:tcPr>
            <w:tcW w:w="571" w:type="pct"/>
            <w:tcBorders>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25.54483201</w:t>
            </w:r>
          </w:p>
        </w:tc>
        <w:tc>
          <w:tcPr>
            <w:tcW w:w="398"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227</w:t>
            </w:r>
          </w:p>
        </w:tc>
        <w:tc>
          <w:tcPr>
            <w:tcW w:w="69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w:t>
            </w:r>
          </w:p>
        </w:tc>
        <w:tc>
          <w:tcPr>
            <w:tcW w:w="45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529"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351"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60</w:t>
            </w:r>
            <w:r>
              <w:rPr>
                <w:rFonts w:hint="default" w:ascii="Times New Roman" w:hAnsi="Times New Roman" w:eastAsia="宋体" w:cs="Times New Roman"/>
                <w:color w:val="auto"/>
                <w:sz w:val="21"/>
                <w:szCs w:val="21"/>
              </w:rPr>
              <w:t>00</w:t>
            </w:r>
          </w:p>
        </w:tc>
        <w:tc>
          <w:tcPr>
            <w:tcW w:w="265"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w:t>
            </w:r>
          </w:p>
        </w:tc>
        <w:tc>
          <w:tcPr>
            <w:tcW w:w="44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eastAsia="宋体" w:cs="Times New Roman"/>
                <w:sz w:val="21"/>
                <w:szCs w:val="21"/>
                <w:lang w:val="en-US" w:eastAsia="zh-CN"/>
              </w:rPr>
              <w:t>000001</w:t>
            </w:r>
          </w:p>
        </w:tc>
        <w:tc>
          <w:tcPr>
            <w:tcW w:w="44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0.000018</w:t>
            </w:r>
          </w:p>
        </w:tc>
      </w:tr>
    </w:tbl>
    <w:p>
      <w:pPr>
        <w:pStyle w:val="8"/>
        <w:tabs>
          <w:tab w:val="left" w:pos="0"/>
        </w:tabs>
        <w:bidi w:val="0"/>
        <w:ind w:left="425" w:leftChars="0" w:hanging="425" w:firstLineChars="0"/>
        <w:rPr>
          <w:rFonts w:hint="default" w:ascii="Times New Roman" w:hAnsi="Times New Roman" w:eastAsia="宋体" w:cs="Times New Roman"/>
          <w:b/>
          <w:bCs/>
          <w:snapToGrid w:val="0"/>
          <w:color w:val="0000FF"/>
          <w:spacing w:val="0"/>
          <w:kern w:val="0"/>
          <w:sz w:val="21"/>
          <w:szCs w:val="21"/>
          <w:lang w:val="en-US" w:eastAsia="zh-CN"/>
        </w:rPr>
      </w:pPr>
      <w:r>
        <w:rPr>
          <w:rFonts w:hint="eastAsia" w:ascii="Times New Roman" w:hAnsi="Times New Roman" w:eastAsia="宋体" w:cs="Times New Roman"/>
          <w:b/>
          <w:bCs/>
          <w:snapToGrid w:val="0"/>
          <w:color w:val="auto"/>
          <w:spacing w:val="0"/>
          <w:kern w:val="0"/>
          <w:sz w:val="21"/>
          <w:szCs w:val="21"/>
          <w:lang w:val="en-US" w:eastAsia="zh-CN"/>
        </w:rPr>
        <w:t>表2.4-3 本项目污染源（有组织）排放情况一览表</w:t>
      </w:r>
    </w:p>
    <w:tbl>
      <w:tblPr>
        <w:tblStyle w:val="25"/>
        <w:tblW w:w="4993"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fixed"/>
        <w:tblCellMar>
          <w:top w:w="0" w:type="dxa"/>
          <w:left w:w="0" w:type="dxa"/>
          <w:bottom w:w="0" w:type="dxa"/>
          <w:right w:w="0" w:type="dxa"/>
        </w:tblCellMar>
      </w:tblPr>
      <w:tblGrid>
        <w:gridCol w:w="907"/>
        <w:gridCol w:w="1230"/>
        <w:gridCol w:w="1170"/>
        <w:gridCol w:w="555"/>
        <w:gridCol w:w="480"/>
        <w:gridCol w:w="495"/>
        <w:gridCol w:w="525"/>
        <w:gridCol w:w="495"/>
        <w:gridCol w:w="510"/>
        <w:gridCol w:w="434"/>
        <w:gridCol w:w="732"/>
        <w:gridCol w:w="732"/>
        <w:gridCol w:w="732"/>
        <w:gridCol w:w="7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vMerge w:val="restart"/>
            <w:tcBorders>
              <w:top w:val="single" w:color="auto" w:sz="12" w:space="0"/>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32" w:type="pct"/>
            <w:gridSpan w:val="2"/>
            <w:tcBorders>
              <w:top w:val="single" w:color="auto" w:sz="12" w:space="0"/>
              <w:bottom w:val="single" w:color="000000"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排气筒底部中心</w:t>
            </w:r>
            <w:r>
              <w:rPr>
                <w:rFonts w:hint="default" w:ascii="Times New Roman" w:hAnsi="Times New Roman" w:eastAsia="宋体" w:cs="Times New Roman"/>
                <w:sz w:val="21"/>
                <w:szCs w:val="21"/>
              </w:rPr>
              <w:t>坐标/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p>
        </w:tc>
        <w:tc>
          <w:tcPr>
            <w:tcW w:w="285"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筒底</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拔高</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度/m</w:t>
            </w:r>
          </w:p>
        </w:tc>
        <w:tc>
          <w:tcPr>
            <w:tcW w:w="246"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筒出</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口内</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径/m</w:t>
            </w:r>
          </w:p>
        </w:tc>
        <w:tc>
          <w:tcPr>
            <w:tcW w:w="254"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流速</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269"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烟气温度(℃)</w:t>
            </w:r>
          </w:p>
        </w:tc>
        <w:tc>
          <w:tcPr>
            <w:tcW w:w="254"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排气筒</w:t>
            </w:r>
            <w:r>
              <w:rPr>
                <w:rFonts w:hint="default" w:ascii="Times New Roman" w:hAnsi="Times New Roman" w:eastAsia="宋体" w:cs="Times New Roman"/>
                <w:sz w:val="21"/>
                <w:szCs w:val="21"/>
              </w:rPr>
              <w:t>高度/m</w:t>
            </w:r>
          </w:p>
        </w:tc>
        <w:tc>
          <w:tcPr>
            <w:tcW w:w="261"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年排放小时数/h</w:t>
            </w:r>
          </w:p>
        </w:tc>
        <w:tc>
          <w:tcPr>
            <w:tcW w:w="22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排放工况</w:t>
            </w:r>
          </w:p>
        </w:tc>
        <w:tc>
          <w:tcPr>
            <w:tcW w:w="1506" w:type="pct"/>
            <w:gridSpan w:val="4"/>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污染物</w:t>
            </w:r>
            <w:r>
              <w:rPr>
                <w:rFonts w:hint="default" w:ascii="Times New Roman" w:hAnsi="Times New Roman" w:eastAsia="宋体" w:cs="Times New Roman"/>
                <w:sz w:val="21"/>
                <w:szCs w:val="21"/>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vMerge w:val="continue"/>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31" w:type="pct"/>
            <w:tcBorders>
              <w:top w:val="single" w:color="000000" w:sz="12"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经度</w:t>
            </w:r>
          </w:p>
        </w:tc>
        <w:tc>
          <w:tcPr>
            <w:tcW w:w="601" w:type="pct"/>
            <w:tcBorders>
              <w:top w:val="single" w:color="000000" w:sz="12" w:space="0"/>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纬度</w:t>
            </w:r>
          </w:p>
        </w:tc>
        <w:tc>
          <w:tcPr>
            <w:tcW w:w="285"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46"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54"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9"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54"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1"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2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氯化氢</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非甲烷总烃</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NO</w:t>
            </w:r>
            <w:r>
              <w:rPr>
                <w:rFonts w:hint="eastAsia" w:eastAsia="宋体" w:cs="Times New Roman"/>
                <w:sz w:val="21"/>
                <w:szCs w:val="21"/>
                <w:vertAlign w:val="subscript"/>
                <w:lang w:val="en-US" w:eastAsia="zh-CN"/>
              </w:rPr>
              <w:t>x</w:t>
            </w:r>
          </w:p>
        </w:tc>
        <w:tc>
          <w:tcPr>
            <w:tcW w:w="37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实验室废气</w:t>
            </w:r>
            <w:r>
              <w:rPr>
                <w:rFonts w:hint="eastAsia" w:ascii="Times New Roman" w:hAnsi="Times New Roman" w:eastAsia="宋体" w:cs="Times New Roman"/>
                <w:sz w:val="21"/>
                <w:szCs w:val="21"/>
                <w:lang w:val="en-US" w:eastAsia="zh-CN"/>
              </w:rPr>
              <w:t>排气筒</w:t>
            </w:r>
          </w:p>
        </w:tc>
        <w:tc>
          <w:tcPr>
            <w:tcW w:w="631" w:type="pct"/>
            <w:tcBorders>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111.95041544</w:t>
            </w:r>
          </w:p>
        </w:tc>
        <w:tc>
          <w:tcPr>
            <w:tcW w:w="601" w:type="pct"/>
            <w:tcBorders>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25.54491195</w:t>
            </w:r>
          </w:p>
        </w:tc>
        <w:tc>
          <w:tcPr>
            <w:tcW w:w="285"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227</w:t>
            </w:r>
          </w:p>
        </w:tc>
        <w:tc>
          <w:tcPr>
            <w:tcW w:w="246"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0.3</w:t>
            </w:r>
          </w:p>
        </w:tc>
        <w:tc>
          <w:tcPr>
            <w:tcW w:w="254"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4.9</w:t>
            </w:r>
          </w:p>
        </w:tc>
        <w:tc>
          <w:tcPr>
            <w:tcW w:w="269"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254"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w:t>
            </w:r>
          </w:p>
        </w:tc>
        <w:tc>
          <w:tcPr>
            <w:tcW w:w="261"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20</w:t>
            </w:r>
            <w:r>
              <w:rPr>
                <w:rFonts w:hint="default" w:ascii="Times New Roman" w:hAnsi="Times New Roman" w:eastAsia="宋体" w:cs="Times New Roman"/>
                <w:color w:val="auto"/>
                <w:sz w:val="21"/>
                <w:szCs w:val="21"/>
              </w:rPr>
              <w:t>00</w:t>
            </w:r>
          </w:p>
        </w:tc>
        <w:tc>
          <w:tcPr>
            <w:tcW w:w="22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0.0035</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0.0045</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0.0021</w:t>
            </w:r>
          </w:p>
        </w:tc>
        <w:tc>
          <w:tcPr>
            <w:tcW w:w="37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w:t>
            </w:r>
            <w:r>
              <w:rPr>
                <w:rFonts w:hint="eastAsia" w:eastAsia="宋体" w:cs="Times New Roman"/>
                <w:sz w:val="21"/>
                <w:szCs w:val="21"/>
                <w:lang w:val="en-US" w:eastAsia="zh-CN"/>
              </w:rPr>
              <w:t>055</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firstLine="500" w:firstLineChars="200"/>
        <w:jc w:val="both"/>
        <w:textAlignment w:val="baseline"/>
        <w:rPr>
          <w:rFonts w:ascii="Times New Roman" w:hAnsi="Times New Roman" w:eastAsia="宋体" w:cs="Times New Roman"/>
          <w:spacing w:val="5"/>
          <w:sz w:val="24"/>
          <w:szCs w:val="24"/>
        </w:rPr>
      </w:pPr>
      <w:r>
        <w:rPr>
          <w:rFonts w:ascii="Times New Roman" w:hAnsi="Times New Roman" w:eastAsia="宋体" w:cs="Times New Roman"/>
          <w:spacing w:val="5"/>
          <w:sz w:val="24"/>
          <w:szCs w:val="24"/>
        </w:rPr>
        <w:t>项目主要污染源估算模型计算结果见表</w:t>
      </w:r>
      <w:r>
        <w:rPr>
          <w:rFonts w:hint="eastAsia" w:ascii="Times New Roman" w:hAnsi="Times New Roman" w:eastAsia="宋体" w:cs="Times New Roman"/>
          <w:spacing w:val="5"/>
          <w:sz w:val="24"/>
          <w:szCs w:val="24"/>
          <w:lang w:val="en-US" w:eastAsia="zh-CN"/>
        </w:rPr>
        <w:t>2.4</w:t>
      </w:r>
      <w:r>
        <w:rPr>
          <w:rFonts w:ascii="Times New Roman" w:hAnsi="Times New Roman" w:eastAsia="宋体" w:cs="Times New Roman"/>
          <w:spacing w:val="5"/>
          <w:sz w:val="24"/>
          <w:szCs w:val="24"/>
        </w:rPr>
        <w:t>-</w:t>
      </w:r>
      <w:r>
        <w:rPr>
          <w:rFonts w:hint="eastAsia" w:ascii="Times New Roman" w:hAnsi="Times New Roman" w:eastAsia="宋体" w:cs="Times New Roman"/>
          <w:spacing w:val="5"/>
          <w:sz w:val="24"/>
          <w:szCs w:val="24"/>
          <w:lang w:val="en-US" w:eastAsia="zh-CN"/>
        </w:rPr>
        <w:t>4</w:t>
      </w:r>
      <w:r>
        <w:rPr>
          <w:rFonts w:ascii="Times New Roman" w:hAnsi="Times New Roman" w:eastAsia="宋体" w:cs="Times New Roman"/>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pPr>
      <w:r>
        <w:rPr>
          <w:rFonts w:hint="eastAsia" w:ascii="Times New Roman" w:hAnsi="Times New Roman" w:eastAsia="宋体" w:cs="Times New Roman"/>
          <w:b/>
          <w:bCs/>
          <w:spacing w:val="0"/>
          <w:sz w:val="21"/>
          <w:szCs w:val="21"/>
          <w:lang w:val="en-US" w:eastAsia="zh-CN"/>
        </w:rPr>
        <w:t>表 2.4-4     大气主要污染源估算模型计算结果表</w:t>
      </w:r>
    </w:p>
    <w:tbl>
      <w:tblPr>
        <w:tblStyle w:val="34"/>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8"/>
        <w:gridCol w:w="1949"/>
        <w:gridCol w:w="1723"/>
        <w:gridCol w:w="1927"/>
        <w:gridCol w:w="1705"/>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70" w:type="pct"/>
            <w:gridSpan w:val="2"/>
            <w:tcBorders>
              <w:top w:val="single" w:color="000000" w:sz="12" w:space="0"/>
              <w:left w:val="nil"/>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污染源</w:t>
            </w:r>
          </w:p>
        </w:tc>
        <w:tc>
          <w:tcPr>
            <w:tcW w:w="885"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污染因子</w:t>
            </w:r>
          </w:p>
        </w:tc>
        <w:tc>
          <w:tcPr>
            <w:tcW w:w="990"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最大质量浓度 (μg/m</w:t>
            </w:r>
            <w:r>
              <w:rPr>
                <w:rFonts w:ascii="Times New Roman" w:hAnsi="Times New Roman" w:eastAsia="宋体" w:cs="Times New Roman"/>
                <w:b/>
                <w:bCs/>
                <w:spacing w:val="13"/>
                <w:position w:val="1"/>
                <w:sz w:val="21"/>
                <w:szCs w:val="21"/>
                <w:vertAlign w:val="superscript"/>
              </w:rPr>
              <w:t>3</w:t>
            </w:r>
            <w:r>
              <w:rPr>
                <w:rFonts w:ascii="Times New Roman" w:hAnsi="Times New Roman" w:eastAsia="宋体" w:cs="Times New Roman"/>
                <w:b/>
                <w:bCs/>
                <w:spacing w:val="13"/>
                <w:position w:val="1"/>
                <w:sz w:val="21"/>
                <w:szCs w:val="21"/>
              </w:rPr>
              <w:t>)</w:t>
            </w:r>
          </w:p>
        </w:tc>
        <w:tc>
          <w:tcPr>
            <w:tcW w:w="876"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最大浓度占标率%</w:t>
            </w:r>
          </w:p>
        </w:tc>
        <w:tc>
          <w:tcPr>
            <w:tcW w:w="876" w:type="pct"/>
            <w:tcBorders>
              <w:top w:val="single" w:color="000000" w:sz="12" w:space="0"/>
              <w:bottom w:val="single" w:color="000000" w:sz="2" w:space="0"/>
              <w:right w:val="nil"/>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D</w:t>
            </w:r>
            <w:r>
              <w:rPr>
                <w:rFonts w:ascii="Times New Roman" w:hAnsi="Times New Roman" w:eastAsia="宋体" w:cs="Times New Roman"/>
                <w:b/>
                <w:bCs/>
                <w:spacing w:val="13"/>
                <w:position w:val="1"/>
                <w:sz w:val="21"/>
                <w:szCs w:val="21"/>
                <w:vertAlign w:val="subscript"/>
              </w:rPr>
              <w:t>10%</w:t>
            </w:r>
            <w:r>
              <w:rPr>
                <w:rFonts w:ascii="Times New Roman" w:hAnsi="Times New Roman" w:eastAsia="宋体" w:cs="Times New Roman"/>
                <w:b/>
                <w:bCs/>
                <w:spacing w:val="13"/>
                <w:position w:val="1"/>
                <w:sz w:val="21"/>
                <w:szCs w:val="21"/>
              </w:rPr>
              <w:t>浓度最大落地距离m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restart"/>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点源</w:t>
            </w:r>
          </w:p>
        </w:tc>
        <w:tc>
          <w:tcPr>
            <w:tcW w:w="1001" w:type="pct"/>
            <w:vMerge w:val="restart"/>
            <w:tcBorders>
              <w:top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lang w:val="en-US" w:eastAsia="zh-CN"/>
              </w:rPr>
              <w:t>DA001实验室废气</w:t>
            </w:r>
            <w:r>
              <w:rPr>
                <w:rFonts w:ascii="Times New Roman" w:hAnsi="Times New Roman" w:eastAsia="宋体" w:cs="Times New Roman"/>
                <w:spacing w:val="13"/>
                <w:position w:val="1"/>
                <w:sz w:val="21"/>
                <w:szCs w:val="21"/>
              </w:rPr>
              <w:t>排气筒</w:t>
            </w: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napToGrid w:val="0"/>
                <w:color w:val="000000"/>
                <w:spacing w:val="13"/>
                <w:kern w:val="0"/>
                <w:position w:val="1"/>
                <w:sz w:val="21"/>
                <w:szCs w:val="21"/>
                <w:lang w:val="en-US" w:eastAsia="zh-CN"/>
              </w:rPr>
            </w:pPr>
            <w:r>
              <w:rPr>
                <w:rFonts w:ascii="Times New Roman" w:hAnsi="Times New Roman" w:eastAsia="宋体" w:cs="Times New Roman"/>
                <w:spacing w:val="13"/>
                <w:position w:val="1"/>
                <w:sz w:val="21"/>
                <w:szCs w:val="21"/>
              </w:rPr>
              <w:t>硫酸</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5.1665</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1.72</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非甲烷总烃</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4.2265</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0.21</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ascii="Times New Roman" w:hAnsi="Times New Roman" w:eastAsia="宋体" w:cs="Times New Roman"/>
                <w:spacing w:val="13"/>
                <w:position w:val="1"/>
                <w:sz w:val="21"/>
                <w:szCs w:val="21"/>
              </w:rPr>
              <w:t>NO</w:t>
            </w:r>
            <w:r>
              <w:rPr>
                <w:rFonts w:hint="eastAsia" w:ascii="Times New Roman" w:hAnsi="Times New Roman" w:eastAsia="宋体" w:cs="Times New Roman"/>
                <w:spacing w:val="13"/>
                <w:position w:val="1"/>
                <w:sz w:val="21"/>
                <w:szCs w:val="21"/>
                <w:vertAlign w:val="subscript"/>
                <w:lang w:val="en-US" w:eastAsia="zh-CN"/>
              </w:rPr>
              <w:t>x</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1.9723</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0.79</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auto" w:sz="4"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tcBorders>
              <w:bottom w:val="single" w:color="auto" w:sz="4"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auto" w:sz="4"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氯化氢</w:t>
            </w:r>
          </w:p>
        </w:tc>
        <w:tc>
          <w:tcPr>
            <w:tcW w:w="990" w:type="pct"/>
            <w:tcBorders>
              <w:top w:val="single" w:color="000000" w:sz="2"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3.2827</w:t>
            </w:r>
          </w:p>
        </w:tc>
        <w:tc>
          <w:tcPr>
            <w:tcW w:w="876" w:type="pct"/>
            <w:tcBorders>
              <w:top w:val="single" w:color="000000" w:sz="2"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6.57</w:t>
            </w:r>
          </w:p>
        </w:tc>
        <w:tc>
          <w:tcPr>
            <w:tcW w:w="876" w:type="pct"/>
            <w:tcBorders>
              <w:top w:val="single" w:color="000000" w:sz="2" w:space="0"/>
              <w:bottom w:val="single" w:color="auto" w:sz="4"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restart"/>
            <w:tcBorders>
              <w:top w:val="single" w:color="auto" w:sz="4" w:space="0"/>
              <w:lef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面源</w:t>
            </w:r>
          </w:p>
        </w:tc>
        <w:tc>
          <w:tcPr>
            <w:tcW w:w="1001" w:type="pct"/>
            <w:vMerge w:val="restart"/>
            <w:tcBorders>
              <w:top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污水处理站</w:t>
            </w:r>
          </w:p>
        </w:tc>
        <w:tc>
          <w:tcPr>
            <w:tcW w:w="885" w:type="pct"/>
            <w:tcBorders>
              <w:top w:val="single" w:color="auto" w:sz="4" w:space="0"/>
              <w:bottom w:val="single" w:color="auto" w:sz="4"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氨</w:t>
            </w:r>
          </w:p>
        </w:tc>
        <w:tc>
          <w:tcPr>
            <w:tcW w:w="990" w:type="pct"/>
            <w:tcBorders>
              <w:top w:val="single" w:color="auto" w:sz="4"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1.1529</w:t>
            </w:r>
          </w:p>
        </w:tc>
        <w:tc>
          <w:tcPr>
            <w:tcW w:w="876" w:type="pct"/>
            <w:tcBorders>
              <w:top w:val="single" w:color="auto" w:sz="4"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0.58</w:t>
            </w:r>
          </w:p>
        </w:tc>
        <w:tc>
          <w:tcPr>
            <w:tcW w:w="876" w:type="pct"/>
            <w:tcBorders>
              <w:top w:val="single" w:color="auto" w:sz="4" w:space="0"/>
              <w:bottom w:val="single" w:color="auto" w:sz="4" w:space="0"/>
              <w:right w:val="nil"/>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left w:val="nil"/>
              <w:bottom w:val="single" w:color="auto" w:sz="1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tcBorders>
              <w:bottom w:val="single" w:color="auto" w:sz="1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p>
        </w:tc>
        <w:tc>
          <w:tcPr>
            <w:tcW w:w="885" w:type="pct"/>
            <w:tcBorders>
              <w:top w:val="single" w:color="auto" w:sz="4" w:space="0"/>
              <w:bottom w:val="single" w:color="auto" w:sz="1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硫化氢</w:t>
            </w:r>
          </w:p>
        </w:tc>
        <w:tc>
          <w:tcPr>
            <w:tcW w:w="990" w:type="pct"/>
            <w:tcBorders>
              <w:top w:val="single" w:color="auto" w:sz="4" w:space="0"/>
              <w:bottom w:val="single" w:color="auto" w:sz="1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0.0641</w:t>
            </w:r>
          </w:p>
        </w:tc>
        <w:tc>
          <w:tcPr>
            <w:tcW w:w="876" w:type="pct"/>
            <w:tcBorders>
              <w:top w:val="single" w:color="auto" w:sz="4" w:space="0"/>
              <w:bottom w:val="single" w:color="auto" w:sz="1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0.64</w:t>
            </w:r>
          </w:p>
        </w:tc>
        <w:tc>
          <w:tcPr>
            <w:tcW w:w="876" w:type="pct"/>
            <w:tcBorders>
              <w:top w:val="single" w:color="auto" w:sz="4" w:space="0"/>
              <w:bottom w:val="single" w:color="auto" w:sz="12" w:space="0"/>
              <w:right w:val="nil"/>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firstLine="500" w:firstLineChars="200"/>
        <w:jc w:val="both"/>
        <w:textAlignment w:val="baseline"/>
        <w:rPr>
          <w:rFonts w:hint="default" w:ascii="Times New Roman" w:hAnsi="Times New Roman" w:eastAsia="宋体" w:cs="Times New Roman"/>
          <w:spacing w:val="5"/>
          <w:sz w:val="24"/>
          <w:szCs w:val="24"/>
          <w:lang w:val="en-US" w:eastAsia="zh-CN"/>
        </w:rPr>
      </w:pPr>
      <w:r>
        <w:rPr>
          <w:rFonts w:ascii="Times New Roman" w:hAnsi="Times New Roman" w:eastAsia="宋体" w:cs="Times New Roman"/>
          <w:spacing w:val="5"/>
          <w:sz w:val="24"/>
          <w:szCs w:val="24"/>
        </w:rPr>
        <w:t xml:space="preserve">评价工作等级的判定依据见表 </w:t>
      </w:r>
      <w:r>
        <w:rPr>
          <w:rFonts w:hint="eastAsia" w:ascii="Times New Roman" w:hAnsi="Times New Roman" w:eastAsia="宋体" w:cs="Times New Roman"/>
          <w:spacing w:val="5"/>
          <w:sz w:val="24"/>
          <w:szCs w:val="24"/>
          <w:lang w:val="en-US" w:eastAsia="zh-CN"/>
        </w:rPr>
        <w:t>2.4</w:t>
      </w:r>
      <w:r>
        <w:rPr>
          <w:rFonts w:ascii="Times New Roman" w:hAnsi="Times New Roman" w:eastAsia="宋体" w:cs="Times New Roman"/>
          <w:spacing w:val="5"/>
          <w:sz w:val="24"/>
          <w:szCs w:val="24"/>
        </w:rPr>
        <w:t>-</w:t>
      </w:r>
      <w:r>
        <w:rPr>
          <w:rFonts w:hint="eastAsia" w:ascii="Times New Roman" w:hAnsi="Times New Roman" w:eastAsia="宋体" w:cs="Times New Roman"/>
          <w:spacing w:val="5"/>
          <w:sz w:val="24"/>
          <w:szCs w:val="24"/>
          <w:lang w:val="en-US" w:eastAsia="zh-CN"/>
        </w:rPr>
        <w:t>5。</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表2.4-5   大气环境评价工作等级判据表</w:t>
      </w:r>
    </w:p>
    <w:p>
      <w:pPr>
        <w:spacing w:line="132" w:lineRule="exact"/>
      </w:pPr>
    </w:p>
    <w:tbl>
      <w:tblPr>
        <w:tblStyle w:val="34"/>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2491"/>
        <w:gridCol w:w="725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278" w:type="pct"/>
            <w:tcBorders>
              <w:tl2br w:val="nil"/>
              <w:tr2bl w:val="nil"/>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评价工作等级</w:t>
            </w:r>
          </w:p>
        </w:tc>
        <w:tc>
          <w:tcPr>
            <w:tcW w:w="3721" w:type="pct"/>
            <w:tcBorders>
              <w:tl2br w:val="nil"/>
              <w:tr2bl w:val="nil"/>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评价工作分级判据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278"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一级</w:t>
            </w:r>
          </w:p>
        </w:tc>
        <w:tc>
          <w:tcPr>
            <w:tcW w:w="3721"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Pmax≥10%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278"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二级</w:t>
            </w:r>
          </w:p>
        </w:tc>
        <w:tc>
          <w:tcPr>
            <w:tcW w:w="3721"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1%&lt;Pmax&lt; 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454" w:hRule="atLeast"/>
        </w:trPr>
        <w:tc>
          <w:tcPr>
            <w:tcW w:w="1278"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三级</w:t>
            </w:r>
          </w:p>
        </w:tc>
        <w:tc>
          <w:tcPr>
            <w:tcW w:w="3721" w:type="pct"/>
            <w:tcBorders>
              <w:tl2br w:val="nil"/>
              <w:tr2bl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Pmax&lt; 1%</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ascii="Times New Roman" w:hAnsi="Times New Roman" w:eastAsia="宋体" w:cs="Times New Roman"/>
          <w:spacing w:val="5"/>
          <w:sz w:val="24"/>
          <w:szCs w:val="24"/>
        </w:rPr>
        <w:t>估算结果表明，项目主要大气污染物最大地面浓度占标率 Pmax为</w:t>
      </w:r>
      <w:r>
        <w:rPr>
          <w:rFonts w:hint="eastAsia" w:ascii="Times New Roman" w:hAnsi="Times New Roman" w:eastAsia="宋体" w:cs="Times New Roman"/>
          <w:spacing w:val="5"/>
          <w:sz w:val="24"/>
          <w:szCs w:val="24"/>
          <w:lang w:val="en-US" w:eastAsia="zh-CN"/>
        </w:rPr>
        <w:t>6.57</w:t>
      </w:r>
      <w:r>
        <w:rPr>
          <w:rFonts w:ascii="Times New Roman" w:hAnsi="Times New Roman" w:eastAsia="宋体" w:cs="Times New Roman"/>
          <w:spacing w:val="5"/>
          <w:sz w:val="24"/>
          <w:szCs w:val="24"/>
        </w:rPr>
        <w:t>% ，结合表</w:t>
      </w:r>
      <w:r>
        <w:rPr>
          <w:rFonts w:hint="eastAsia" w:ascii="Times New Roman" w:hAnsi="Times New Roman" w:eastAsia="宋体" w:cs="Times New Roman"/>
          <w:spacing w:val="5"/>
          <w:sz w:val="24"/>
          <w:szCs w:val="24"/>
          <w:lang w:val="en-US" w:eastAsia="zh-CN"/>
        </w:rPr>
        <w:t>2.4</w:t>
      </w:r>
      <w:r>
        <w:rPr>
          <w:rFonts w:ascii="Times New Roman" w:hAnsi="Times New Roman" w:eastAsia="宋体" w:cs="Times New Roman"/>
          <w:spacing w:val="5"/>
          <w:sz w:val="24"/>
          <w:szCs w:val="24"/>
        </w:rPr>
        <w:t>-</w:t>
      </w:r>
      <w:r>
        <w:rPr>
          <w:rFonts w:hint="eastAsia" w:ascii="Times New Roman" w:hAnsi="Times New Roman" w:eastAsia="宋体" w:cs="Times New Roman"/>
          <w:spacing w:val="5"/>
          <w:sz w:val="24"/>
          <w:szCs w:val="24"/>
          <w:lang w:val="en-US" w:eastAsia="zh-CN"/>
        </w:rPr>
        <w:t>5</w:t>
      </w:r>
      <w:r>
        <w:rPr>
          <w:rFonts w:ascii="Times New Roman" w:hAnsi="Times New Roman" w:eastAsia="宋体" w:cs="Times New Roman"/>
          <w:spacing w:val="5"/>
          <w:sz w:val="24"/>
          <w:szCs w:val="24"/>
        </w:rPr>
        <w:t>可知，本项目大气环境影响评价工</w:t>
      </w:r>
      <w:r>
        <w:rPr>
          <w:rFonts w:hint="eastAsia" w:ascii="Times New Roman" w:hAnsi="Times New Roman" w:eastAsia="宋体" w:cs="Times New Roman"/>
          <w:b w:val="0"/>
          <w:bCs w:val="0"/>
          <w:spacing w:val="0"/>
          <w:sz w:val="24"/>
          <w:szCs w:val="24"/>
          <w:lang w:val="en-US" w:eastAsia="zh-CN"/>
        </w:rPr>
        <w:t>作等级为二级。</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2、地表水环境评价等级</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项目运营期废水经污水处理站进行处理达到《医疗机构水污染物排放标准》（GB18466-2005）表 2 中的预处理标准后，排入市政污水管网，最终由宁远县污水处理厂统一处理，最终排入泠江，属于间接排放。根据《环境影响评价技术导则 地表水环境》(HJ/T2.3-2018) ，本项目属于水污染影响型建设项目，地表水环境影响评价等级为三级B。</w:t>
      </w:r>
    </w:p>
    <w:p>
      <w:pPr>
        <w:pStyle w:val="30"/>
        <w:jc w:val="center"/>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表2.4-6 本项目水污染影响型建设项目评价等级判定</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98"/>
        <w:gridCol w:w="1723"/>
        <w:gridCol w:w="683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评价等级</w:t>
            </w:r>
          </w:p>
        </w:tc>
        <w:tc>
          <w:tcPr>
            <w:tcW w:w="4297" w:type="pct"/>
            <w:gridSpan w:val="2"/>
            <w:tcBorders>
              <w:tl2br w:val="nil"/>
              <w:tr2bl w:val="nil"/>
            </w:tcBorders>
            <w:noWrap w:val="0"/>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p>
        </w:tc>
        <w:tc>
          <w:tcPr>
            <w:tcW w:w="865" w:type="pct"/>
            <w:tcBorders>
              <w:tl2br w:val="nil"/>
              <w:tr2bl w:val="nil"/>
            </w:tcBorders>
            <w:noWrap w:val="0"/>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排放方式</w:t>
            </w:r>
          </w:p>
        </w:tc>
        <w:tc>
          <w:tcPr>
            <w:tcW w:w="3431" w:type="pct"/>
            <w:tcBorders>
              <w:tl2br w:val="nil"/>
              <w:tr2bl w:val="nil"/>
            </w:tcBorders>
            <w:noWrap w:val="0"/>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废水排放量Q/（m</w:t>
            </w:r>
            <w:r>
              <w:rPr>
                <w:rFonts w:ascii="Times New Roman" w:hAnsi="Times New Roman" w:eastAsia="宋体" w:cs="宋体"/>
                <w:b/>
                <w:bCs/>
                <w:sz w:val="21"/>
                <w:szCs w:val="21"/>
                <w:vertAlign w:val="superscript"/>
              </w:rPr>
              <w:t>3</w:t>
            </w:r>
            <w:r>
              <w:rPr>
                <w:rFonts w:ascii="Times New Roman" w:hAnsi="Times New Roman" w:eastAsia="宋体" w:cs="宋体"/>
                <w:b/>
                <w:bCs/>
                <w:sz w:val="21"/>
                <w:szCs w:val="21"/>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一级</w:t>
            </w:r>
          </w:p>
        </w:tc>
        <w:tc>
          <w:tcPr>
            <w:tcW w:w="865"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直接排放</w:t>
            </w:r>
          </w:p>
        </w:tc>
        <w:tc>
          <w:tcPr>
            <w:tcW w:w="3431"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二级</w:t>
            </w:r>
          </w:p>
        </w:tc>
        <w:tc>
          <w:tcPr>
            <w:tcW w:w="865"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直接排放</w:t>
            </w:r>
          </w:p>
        </w:tc>
        <w:tc>
          <w:tcPr>
            <w:tcW w:w="3431"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其它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三级A</w:t>
            </w:r>
          </w:p>
        </w:tc>
        <w:tc>
          <w:tcPr>
            <w:tcW w:w="865"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直接排放</w:t>
            </w:r>
          </w:p>
        </w:tc>
        <w:tc>
          <w:tcPr>
            <w:tcW w:w="3431"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Q＜200且W＜6000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02"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三级B</w:t>
            </w:r>
          </w:p>
        </w:tc>
        <w:tc>
          <w:tcPr>
            <w:tcW w:w="865"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间接排放</w:t>
            </w:r>
          </w:p>
        </w:tc>
        <w:tc>
          <w:tcPr>
            <w:tcW w:w="3431" w:type="pct"/>
            <w:tcBorders>
              <w:tl2br w:val="nil"/>
              <w:tr2bl w:val="nil"/>
            </w:tcBorders>
            <w:noWrap w:val="0"/>
            <w:vAlign w:val="center"/>
          </w:tcPr>
          <w:p>
            <w:pPr>
              <w:spacing w:line="240" w:lineRule="auto"/>
              <w:ind w:firstLine="0" w:firstLineChars="0"/>
              <w:jc w:val="center"/>
              <w:rPr>
                <w:rFonts w:ascii="Times New Roman" w:hAnsi="Times New Roman" w:eastAsia="宋体" w:cs="宋体"/>
                <w:bCs w:val="0"/>
                <w:sz w:val="21"/>
                <w:szCs w:val="21"/>
              </w:rPr>
            </w:pPr>
            <w:r>
              <w:rPr>
                <w:rFonts w:ascii="Times New Roman" w:hAnsi="Times New Roman" w:eastAsia="宋体" w:cs="宋体"/>
                <w:b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noWrap w:val="0"/>
            <w:vAlign w:val="center"/>
          </w:tcPr>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注3：厂区存在堆积物（露天堆放的原料、燃料、废渣等以及垃圾堆放场）、降尘污染的，应将初期雨污水纳入废水排放量，相应的主要污染物纳入水污染当量计算。</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注4：建设项目直接排放第一类污染物的，其评价等级为一级；建设项目直接排放的污染物为受纳水体超标因子的，评价等级不低于二级。</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注5：直接排放受纳水体影响范围涉及饮用水水源保护区、饮用水取水口、重点保护与珍稀水生生物的栖息地、重要水生生物的自然产卵场等保护目标时，评价等级不低于二级。</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注6：建设项目向河流、湖库排放温排水引起受纳水体水温变化超过水环境质量标准要求，且评价范围有水温敏感目标时，评价等级为一级。</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注7：建设项目利用海水作为调节温度介质，排水量≥500万m</w:t>
            </w:r>
            <w:r>
              <w:rPr>
                <w:rFonts w:ascii="Times New Roman" w:hAnsi="Times New Roman" w:eastAsia="宋体" w:cs="宋体"/>
                <w:bCs w:val="0"/>
                <w:sz w:val="21"/>
                <w:szCs w:val="21"/>
                <w:vertAlign w:val="superscript"/>
              </w:rPr>
              <w:t>3</w:t>
            </w:r>
            <w:r>
              <w:rPr>
                <w:rFonts w:ascii="Times New Roman" w:hAnsi="Times New Roman" w:eastAsia="宋体" w:cs="宋体"/>
                <w:bCs w:val="0"/>
                <w:sz w:val="21"/>
                <w:szCs w:val="21"/>
              </w:rPr>
              <w:t>/d，评价等级为一级；排水量＜500万m</w:t>
            </w:r>
            <w:r>
              <w:rPr>
                <w:rFonts w:ascii="Times New Roman" w:hAnsi="Times New Roman" w:eastAsia="宋体" w:cs="宋体"/>
                <w:bCs w:val="0"/>
                <w:sz w:val="21"/>
                <w:szCs w:val="21"/>
                <w:vertAlign w:val="superscript"/>
              </w:rPr>
              <w:t>3</w:t>
            </w:r>
            <w:r>
              <w:rPr>
                <w:rFonts w:ascii="Times New Roman" w:hAnsi="Times New Roman" w:eastAsia="宋体" w:cs="宋体"/>
                <w:bCs w:val="0"/>
                <w:sz w:val="21"/>
                <w:szCs w:val="21"/>
              </w:rPr>
              <w:t>/d，评价等级为二级。</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注8：仅涉及清净下水排放的，如其排放水质满足受纳水体水环境质量标准要求的，评价等级为三级A。</w:t>
            </w:r>
          </w:p>
          <w:p>
            <w:pPr>
              <w:spacing w:line="240" w:lineRule="auto"/>
              <w:ind w:firstLine="0" w:firstLineChars="0"/>
              <w:jc w:val="left"/>
              <w:rPr>
                <w:rFonts w:ascii="Times New Roman" w:hAnsi="Times New Roman" w:eastAsia="宋体" w:cs="宋体"/>
                <w:bCs w:val="0"/>
                <w:sz w:val="21"/>
                <w:szCs w:val="21"/>
              </w:rPr>
            </w:pPr>
            <w:r>
              <w:rPr>
                <w:rFonts w:ascii="Times New Roman" w:hAnsi="Times New Roman" w:eastAsia="宋体" w:cs="宋体"/>
                <w:bCs w:val="0"/>
                <w:sz w:val="21"/>
                <w:szCs w:val="21"/>
              </w:rPr>
              <w:t>注9：依托现有排放口，且对外环境未新增排放污染物的直接排放建设项目，评价等级参照间接排放，定为三级B。</w:t>
            </w:r>
          </w:p>
          <w:p>
            <w:pPr>
              <w:spacing w:line="240" w:lineRule="auto"/>
              <w:ind w:firstLine="0" w:firstLineChars="0"/>
              <w:jc w:val="both"/>
              <w:rPr>
                <w:rFonts w:ascii="Times New Roman" w:hAnsi="Times New Roman" w:eastAsia="宋体" w:cs="宋体"/>
                <w:bCs w:val="0"/>
                <w:sz w:val="21"/>
                <w:szCs w:val="21"/>
              </w:rPr>
            </w:pPr>
            <w:r>
              <w:rPr>
                <w:rFonts w:ascii="Times New Roman" w:hAnsi="Times New Roman" w:eastAsia="宋体" w:cs="宋体"/>
                <w:bCs w:val="0"/>
                <w:sz w:val="21"/>
                <w:szCs w:val="21"/>
              </w:rPr>
              <w:t>注10：建设项目生产工艺中有废水产生，但作为回水利用，不排放到外环境的，按三级B。</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3、 地下水环境评价等级</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outlineLvl w:val="3"/>
        <w:rPr>
          <w:rFonts w:hint="default"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根据《环境影响评价技术导则地下水环境》（HJ610-2016），评价工作等级的划分应依据建设项目行业分类和地下水环境敏感程度分级进行判断。根据导则附录A地下水环境影响评价行业分类表，本项目属于“V 社会事业与服务业-160、疾病预防控制中心”，属</w:t>
      </w:r>
      <w:r>
        <w:rPr>
          <w:rFonts w:hint="default" w:ascii="Times New Roman" w:hAnsi="Times New Roman" w:eastAsia="宋体" w:cs="Times New Roman"/>
          <w:b w:val="0"/>
          <w:bCs w:val="0"/>
          <w:spacing w:val="0"/>
          <w:sz w:val="24"/>
          <w:szCs w:val="24"/>
          <w:lang w:val="en-US" w:eastAsia="zh-CN"/>
        </w:rPr>
        <w:t>Ⅳ</w:t>
      </w:r>
      <w:r>
        <w:rPr>
          <w:rFonts w:hint="eastAsia" w:ascii="Times New Roman" w:hAnsi="Times New Roman" w:eastAsia="宋体" w:cs="Times New Roman"/>
          <w:b w:val="0"/>
          <w:bCs w:val="0"/>
          <w:spacing w:val="0"/>
          <w:sz w:val="24"/>
          <w:szCs w:val="24"/>
          <w:lang w:val="en-US" w:eastAsia="zh-CN"/>
        </w:rPr>
        <w:t>类建设项目。可不开展地下水环境影评价。</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outlineLvl w:val="3"/>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4、声环境评价等级</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left="0" w:right="0" w:firstLine="482"/>
        <w:jc w:val="both"/>
        <w:textAlignment w:val="baseline"/>
        <w:rPr>
          <w:rFonts w:hint="eastAsia" w:ascii="Times New Roman" w:hAnsi="Times New Roman" w:eastAsia="宋体" w:cs="Times New Roman"/>
          <w:b w:val="0"/>
          <w:bCs w:val="0"/>
          <w:spacing w:val="0"/>
          <w:sz w:val="24"/>
          <w:szCs w:val="24"/>
          <w:lang w:val="en-US" w:eastAsia="zh-CN"/>
        </w:rPr>
      </w:pPr>
      <w:r>
        <w:rPr>
          <w:rFonts w:hint="eastAsia" w:ascii="Times New Roman" w:hAnsi="Times New Roman" w:eastAsia="宋体" w:cs="Times New Roman"/>
          <w:b w:val="0"/>
          <w:bCs w:val="0"/>
          <w:spacing w:val="0"/>
          <w:sz w:val="24"/>
          <w:szCs w:val="24"/>
          <w:lang w:val="en-US" w:eastAsia="zh-CN"/>
        </w:rPr>
        <w:t>本项目处于声环境功能区为《声环境质量标准》(GB3096-2008)中规定的2类地区，项目建成后区域环境噪声的增高量在3dB(A)以下，且受影响人口变化不大，根据《环境影响评价技术导则 声环境》  (HJ2.4-2021) ，本项目噪声影响评价等级确定为二级。</w:t>
      </w:r>
    </w:p>
    <w:p>
      <w:pPr>
        <w:tabs>
          <w:tab w:val="left" w:pos="5763"/>
        </w:tabs>
        <w:spacing w:before="227" w:line="360" w:lineRule="auto"/>
        <w:ind w:left="9" w:right="176" w:firstLine="480"/>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5、土壤环境</w:t>
      </w:r>
      <w:r>
        <w:rPr>
          <w:rFonts w:hint="eastAsia" w:ascii="Times New Roman" w:hAnsi="Times New Roman" w:eastAsia="宋体" w:cs="Times New Roman"/>
          <w:b w:val="0"/>
          <w:bCs w:val="0"/>
          <w:spacing w:val="11"/>
          <w:sz w:val="24"/>
          <w:szCs w:val="24"/>
          <w:lang w:val="en-US" w:eastAsia="zh-CN"/>
        </w:rPr>
        <w:tab/>
      </w:r>
    </w:p>
    <w:p>
      <w:pPr>
        <w:spacing w:before="227" w:line="360" w:lineRule="auto"/>
        <w:ind w:left="9" w:right="176" w:firstLine="480"/>
        <w:jc w:val="both"/>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环境影响评价技术导则土壤环境（试行）》（HJ964-2018），土壤环境评价等级根据建设项目类型、占地规模、环境影响类型、建设项目所在地周边的土壤环境敏感程度进行分级判定。依据《建设项目环境影响评价技术导则 总纲》(HJ2.1-2016)中对建设项目污染影响和生态影响的相关要求，结合本项目的工程分析内容，确定本项目土壤环境影响类型为“污染影响型”。根据导则附录A中表A.1土壤环境影响评价项目类别可知，本项目属于本项目行业类别属于其他行业，为</w:t>
      </w:r>
      <w:r>
        <w:rPr>
          <w:rFonts w:hint="default" w:ascii="Times New Roman" w:hAnsi="Times New Roman" w:eastAsia="宋体" w:cs="Times New Roman"/>
          <w:b w:val="0"/>
          <w:bCs w:val="0"/>
          <w:spacing w:val="0"/>
          <w:sz w:val="24"/>
          <w:szCs w:val="24"/>
          <w:lang w:val="en-US" w:eastAsia="zh-CN"/>
        </w:rPr>
        <w:t>Ⅳ</w:t>
      </w:r>
      <w:r>
        <w:rPr>
          <w:rFonts w:hint="eastAsia" w:ascii="Times New Roman" w:hAnsi="Times New Roman" w:eastAsia="宋体" w:cs="Times New Roman"/>
          <w:b w:val="0"/>
          <w:bCs w:val="0"/>
          <w:spacing w:val="11"/>
          <w:sz w:val="24"/>
          <w:szCs w:val="24"/>
          <w:lang w:val="en-US" w:eastAsia="zh-CN"/>
        </w:rPr>
        <w:t>类项目。根据导则 4.2.2 的规定，项目不开展土壤环境影响评价，不设置土壤评价范围。</w:t>
      </w:r>
    </w:p>
    <w:p>
      <w:pPr>
        <w:spacing w:before="227" w:line="360" w:lineRule="auto"/>
        <w:ind w:left="9" w:right="176" w:firstLine="480"/>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6、 生态环境评价等级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根据《环境影响评价技术导则 生态影响》（HJ19-2022）可知：依据建设项目影响区域的生态敏感性和影响程度，评价等级划分为一级、二级和三级。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按以下原则确定评价等级：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a）涉及国家公园、自然保护区、世界自然遗产、重要生境时，评价等级为一级；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b）涉及自然公园时，评价等级为二级；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c）涉及生态保护红线时，评价等级不低于二级；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d）根据 HJ2.3 判断属于水文要素影响型且地表水评价等级不低于二级的建设项目，生态影响评价等级不低于二级；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e）根据 HJ610、HJ964 判断地下水水位或土壤影响范围内分布有天然林、公益林、湿地等生态保护目标的建设项目，生态影响评价等级不低于二级；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f）当工程占地规模大于 20km</w:t>
      </w:r>
      <w:r>
        <w:rPr>
          <w:rFonts w:hint="eastAsia" w:ascii="Times New Roman" w:hAnsi="Times New Roman" w:eastAsia="宋体" w:cs="Times New Roman"/>
          <w:b w:val="0"/>
          <w:bCs w:val="0"/>
          <w:spacing w:val="11"/>
          <w:sz w:val="24"/>
          <w:szCs w:val="24"/>
          <w:vertAlign w:val="superscript"/>
          <w:lang w:val="en-US" w:eastAsia="zh-CN"/>
        </w:rPr>
        <w:t>2</w:t>
      </w:r>
      <w:r>
        <w:rPr>
          <w:rFonts w:hint="eastAsia" w:ascii="Times New Roman" w:hAnsi="Times New Roman" w:eastAsia="宋体" w:cs="Times New Roman"/>
          <w:b w:val="0"/>
          <w:bCs w:val="0"/>
          <w:spacing w:val="11"/>
          <w:sz w:val="24"/>
          <w:szCs w:val="24"/>
          <w:lang w:val="en-US" w:eastAsia="zh-CN"/>
        </w:rPr>
        <w:t>时（包括永久和临时占用陆域和水域），评价等级不低于二级；改扩建项目的占地范围以新增占地（包括陆域和水域）确定；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g）除本条 a）、b）、c）、d）、e）、f）以外的情况，评价等级为三级；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h）当评价等级判定同时符合上述多种情况时，应采用其中最高的评价等级。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3" w:right="0" w:firstLine="482"/>
        <w:jc w:val="both"/>
        <w:textAlignment w:val="baseline"/>
        <w:rPr>
          <w:rFonts w:hint="eastAsia" w:ascii="宋体" w:hAnsi="宋体" w:eastAsia="宋体" w:cs="宋体"/>
          <w:sz w:val="23"/>
          <w:szCs w:val="23"/>
          <w:lang w:eastAsia="zh-CN"/>
        </w:rPr>
      </w:pPr>
      <w:r>
        <w:rPr>
          <w:rFonts w:hint="eastAsia" w:ascii="Times New Roman" w:hAnsi="Times New Roman" w:eastAsia="宋体" w:cs="Times New Roman"/>
          <w:b w:val="0"/>
          <w:bCs w:val="0"/>
          <w:spacing w:val="11"/>
          <w:sz w:val="24"/>
          <w:szCs w:val="24"/>
          <w:lang w:val="en-US" w:eastAsia="zh-CN"/>
        </w:rPr>
        <w:t xml:space="preserve">根据 HJ19-2022中生态影响评价工作等级划分原则，本项目占地面积为 </w:t>
      </w:r>
      <w:r>
        <w:rPr>
          <w:rFonts w:hint="eastAsia" w:ascii="Times New Roman" w:hAnsi="Times New Roman" w:eastAsia="宋体" w:cs="Times New Roman"/>
          <w:b w:val="0"/>
          <w:bCs w:val="0"/>
          <w:color w:val="auto"/>
          <w:spacing w:val="11"/>
          <w:sz w:val="24"/>
          <w:szCs w:val="24"/>
          <w:lang w:val="en-US" w:eastAsia="zh-CN"/>
        </w:rPr>
        <w:t>1640.25</w:t>
      </w:r>
      <w:r>
        <w:rPr>
          <w:rFonts w:hint="eastAsia" w:ascii="Times New Roman" w:hAnsi="Times New Roman" w:eastAsia="宋体" w:cs="Times New Roman"/>
          <w:b w:val="0"/>
          <w:bCs w:val="0"/>
          <w:spacing w:val="11"/>
          <w:sz w:val="24"/>
          <w:szCs w:val="24"/>
          <w:lang w:val="en-US" w:eastAsia="zh-CN"/>
        </w:rPr>
        <w:t>m</w:t>
      </w:r>
      <w:r>
        <w:rPr>
          <w:rFonts w:hint="eastAsia" w:ascii="Times New Roman" w:hAnsi="Times New Roman" w:eastAsia="宋体" w:cs="Times New Roman"/>
          <w:b w:val="0"/>
          <w:bCs w:val="0"/>
          <w:spacing w:val="11"/>
          <w:sz w:val="24"/>
          <w:szCs w:val="24"/>
          <w:vertAlign w:val="superscript"/>
          <w:lang w:val="en-US" w:eastAsia="zh-CN"/>
        </w:rPr>
        <w:t>2</w:t>
      </w:r>
      <w:r>
        <w:rPr>
          <w:rFonts w:hint="eastAsia" w:ascii="Times New Roman" w:hAnsi="Times New Roman" w:eastAsia="宋体" w:cs="Times New Roman"/>
          <w:b w:val="0"/>
          <w:bCs w:val="0"/>
          <w:spacing w:val="11"/>
          <w:sz w:val="24"/>
          <w:szCs w:val="24"/>
          <w:lang w:val="en-US" w:eastAsia="zh-CN"/>
        </w:rPr>
        <w:t>，选址不涉及《环境影响评价技术导则生态影响》（HJ19-2022）6.1 评价等级判定中的 a）、b）、c）、d）、e）、f）的情况，本次生态影响评价等级定为三级</w:t>
      </w:r>
      <w:r>
        <w:rPr>
          <w:rFonts w:hint="eastAsia" w:ascii="宋体" w:hAnsi="宋体" w:eastAsia="宋体" w:cs="宋体"/>
          <w:spacing w:val="5"/>
          <w:sz w:val="23"/>
          <w:szCs w:val="23"/>
          <w:lang w:eastAsia="zh-CN"/>
        </w:rPr>
        <w:t>。</w:t>
      </w:r>
    </w:p>
    <w:p>
      <w:pPr>
        <w:spacing w:before="227" w:line="360" w:lineRule="auto"/>
        <w:ind w:left="9" w:right="176" w:firstLine="480"/>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7、 环境风险评价等级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计算所涉及的每种危险物质在厂界内的最大存在总量与其在《建设项目环境风险评价技术导则》(HJ169-2018)附录B中对应临界量的比值Q。</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当存在多种危险物质时，则按下面公式计算物质总量与其临界量比值 (Q)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center"/>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Q=q1/Q1+q2/Q2+…+qn/Qn</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式中：q1 ，q2……qn——每种危险物质的最大存在总量，t；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1310" w:firstLineChars="50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Q1 ，Q2……Qn——每种危险物质的临界量，t。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当Q＜1时，该项目环境风险潜势为Ⅰ。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当Q≥1时，将Q值划分为：(1)1≤Q＜10；(2)10≤Q＜100；(3)Q≥100。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7" w:right="0" w:firstLine="480"/>
        <w:jc w:val="both"/>
        <w:textAlignment w:val="baseline"/>
        <w:rPr>
          <w:rFonts w:ascii="宋体" w:hAnsi="宋体" w:eastAsia="宋体" w:cs="宋体"/>
          <w:sz w:val="23"/>
          <w:szCs w:val="23"/>
        </w:rPr>
      </w:pPr>
      <w:r>
        <w:rPr>
          <w:rFonts w:hint="eastAsia" w:ascii="Times New Roman" w:hAnsi="Times New Roman" w:eastAsia="宋体" w:cs="Times New Roman"/>
          <w:b w:val="0"/>
          <w:bCs w:val="0"/>
          <w:spacing w:val="11"/>
          <w:sz w:val="24"/>
          <w:szCs w:val="24"/>
          <w:lang w:val="en-US" w:eastAsia="zh-CN"/>
        </w:rPr>
        <w:t>根据《建设项目环境风险评价技术导则》(HJ 169-2018)附录 B ，项目涉及的危险化学品储存情况见表2.4-7</w:t>
      </w:r>
      <w:r>
        <w:rPr>
          <w:rFonts w:ascii="宋体" w:hAnsi="宋体" w:eastAsia="宋体" w:cs="宋体"/>
          <w:spacing w:val="2"/>
          <w:sz w:val="23"/>
          <w:szCs w:val="23"/>
        </w:rPr>
        <w:t>。</w:t>
      </w:r>
    </w:p>
    <w:p>
      <w:pPr>
        <w:spacing w:before="1" w:line="220" w:lineRule="auto"/>
        <w:ind w:left="1387"/>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 2.4-7   本项目危险物质储存情况及Q值计算表 (根据 HJ 169-2018 附录B)</w:t>
      </w:r>
    </w:p>
    <w:p>
      <w:pPr>
        <w:spacing w:line="139" w:lineRule="exact"/>
      </w:pPr>
    </w:p>
    <w:tbl>
      <w:tblPr>
        <w:tblStyle w:val="34"/>
        <w:tblW w:w="4991"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652"/>
        <w:gridCol w:w="1633"/>
        <w:gridCol w:w="1341"/>
        <w:gridCol w:w="1430"/>
        <w:gridCol w:w="1158"/>
        <w:gridCol w:w="151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物料名称</w:t>
            </w:r>
          </w:p>
        </w:tc>
        <w:tc>
          <w:tcPr>
            <w:tcW w:w="839"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CAS 号</w:t>
            </w:r>
          </w:p>
        </w:tc>
        <w:tc>
          <w:tcPr>
            <w:tcW w:w="689"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临界量 (t)</w:t>
            </w:r>
          </w:p>
        </w:tc>
        <w:tc>
          <w:tcPr>
            <w:tcW w:w="735"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最大贮存量 (t)</w:t>
            </w:r>
          </w:p>
        </w:tc>
        <w:tc>
          <w:tcPr>
            <w:tcW w:w="595"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Q 值</w:t>
            </w:r>
          </w:p>
        </w:tc>
        <w:tc>
          <w:tcPr>
            <w:tcW w:w="778" w:type="pct"/>
            <w:tcBorders>
              <w:tl2br w:val="nil"/>
              <w:tr2bl w:val="nil"/>
            </w:tcBorders>
            <w:vAlign w:val="center"/>
          </w:tcPr>
          <w:p>
            <w:pPr>
              <w:spacing w:line="240" w:lineRule="auto"/>
              <w:ind w:firstLine="0" w:firstLineChars="0"/>
              <w:jc w:val="center"/>
              <w:rPr>
                <w:rFonts w:ascii="Times New Roman" w:hAnsi="Times New Roman" w:eastAsia="宋体" w:cs="宋体"/>
                <w:b/>
                <w:bCs/>
                <w:sz w:val="21"/>
                <w:szCs w:val="21"/>
              </w:rPr>
            </w:pPr>
            <w:r>
              <w:rPr>
                <w:rFonts w:ascii="Times New Roman" w:hAnsi="Times New Roman" w:eastAsia="宋体" w:cs="宋体"/>
                <w:b/>
                <w:bCs/>
                <w:sz w:val="21"/>
                <w:szCs w:val="21"/>
              </w:rPr>
              <w:t>存储位置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ascii="Times New Roman" w:hAnsi="Times New Roman" w:eastAsia="宋体" w:cs="宋体"/>
                <w:sz w:val="21"/>
                <w:szCs w:val="21"/>
              </w:rPr>
              <w:t>硫酸</w:t>
            </w:r>
          </w:p>
        </w:tc>
        <w:tc>
          <w:tcPr>
            <w:tcW w:w="839"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ascii="Times New Roman" w:hAnsi="Times New Roman" w:eastAsia="宋体" w:cs="宋体"/>
                <w:sz w:val="21"/>
                <w:szCs w:val="21"/>
              </w:rPr>
              <w:t>7664-93-9</w:t>
            </w:r>
          </w:p>
        </w:tc>
        <w:tc>
          <w:tcPr>
            <w:tcW w:w="689"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ascii="Times New Roman" w:hAnsi="Times New Roman" w:eastAsia="宋体" w:cs="宋体"/>
                <w:sz w:val="21"/>
                <w:szCs w:val="21"/>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0.0184</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0.00184</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甲基叔丁基醚</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1634-04-4</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0.0001</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盐酸</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7647-01-0</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7.5</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0.0118</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 xml:space="preserve">0.00157 </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硝酸</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7697-37-2</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7.5</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0.0141</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0.00188</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次氯酸钠</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7681-52-9</w:t>
            </w:r>
          </w:p>
        </w:tc>
        <w:tc>
          <w:tcPr>
            <w:tcW w:w="689"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0.0002</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乙酸</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64-19-7</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0.0001</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乙腈</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75-05-8</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0.0016</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0.00016</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甲醇</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67-56-1</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0.0008</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0.00008</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甲酸</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64-18-6</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0.0012</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0.00012</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63"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Times New Roman"/>
                <w:i w:val="0"/>
                <w:iCs w:val="0"/>
                <w:snapToGrid w:val="0"/>
                <w:color w:val="000000"/>
                <w:kern w:val="0"/>
                <w:sz w:val="21"/>
                <w:szCs w:val="21"/>
                <w:u w:val="none"/>
                <w:lang w:val="en-US" w:eastAsia="zh-CN" w:bidi="ar"/>
              </w:rPr>
              <w:t>正己烷</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110-54-3</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0.0007</w:t>
            </w:r>
          </w:p>
        </w:tc>
        <w:tc>
          <w:tcPr>
            <w:tcW w:w="595"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0.00007</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检验科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柴油</w:t>
            </w:r>
          </w:p>
        </w:tc>
        <w:tc>
          <w:tcPr>
            <w:tcW w:w="83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c>
          <w:tcPr>
            <w:tcW w:w="689"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2500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59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0.0002</w:t>
            </w:r>
          </w:p>
        </w:tc>
        <w:tc>
          <w:tcPr>
            <w:tcW w:w="778"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柴油发电机房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363"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废过滤介质、医疗废物等危险废物</w:t>
            </w:r>
          </w:p>
        </w:tc>
        <w:tc>
          <w:tcPr>
            <w:tcW w:w="839"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ascii="Times New Roman" w:hAnsi="Times New Roman" w:eastAsia="宋体" w:cs="宋体"/>
                <w:sz w:val="21"/>
                <w:szCs w:val="21"/>
              </w:rPr>
              <w:t>/</w:t>
            </w:r>
          </w:p>
        </w:tc>
        <w:tc>
          <w:tcPr>
            <w:tcW w:w="689" w:type="pct"/>
            <w:tcBorders>
              <w:tl2br w:val="nil"/>
              <w:tr2bl w:val="nil"/>
            </w:tcBorders>
            <w:vAlign w:val="center"/>
          </w:tcPr>
          <w:p>
            <w:pPr>
              <w:spacing w:line="240" w:lineRule="auto"/>
              <w:ind w:firstLine="0" w:firstLineChars="0"/>
              <w:jc w:val="center"/>
              <w:rPr>
                <w:rFonts w:ascii="Times New Roman" w:hAnsi="Times New Roman" w:eastAsia="宋体" w:cs="宋体"/>
                <w:sz w:val="21"/>
                <w:szCs w:val="21"/>
              </w:rPr>
            </w:pPr>
            <w:r>
              <w:rPr>
                <w:rFonts w:hint="eastAsia" w:ascii="Times New Roman" w:hAnsi="Times New Roman" w:eastAsia="宋体" w:cs="宋体"/>
                <w:sz w:val="21"/>
                <w:szCs w:val="21"/>
                <w:lang w:val="en-US" w:eastAsia="zh-CN"/>
              </w:rPr>
              <w:t>50</w:t>
            </w:r>
          </w:p>
        </w:tc>
        <w:tc>
          <w:tcPr>
            <w:tcW w:w="73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1.689</w:t>
            </w:r>
          </w:p>
        </w:tc>
        <w:tc>
          <w:tcPr>
            <w:tcW w:w="59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0.03378</w:t>
            </w:r>
          </w:p>
        </w:tc>
        <w:tc>
          <w:tcPr>
            <w:tcW w:w="778"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危废暂存间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26" w:type="pct"/>
            <w:gridSpan w:val="4"/>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合计</w:t>
            </w:r>
          </w:p>
        </w:tc>
        <w:tc>
          <w:tcPr>
            <w:tcW w:w="595" w:type="pct"/>
            <w:tcBorders>
              <w:tl2br w:val="nil"/>
              <w:tr2bl w:val="nil"/>
            </w:tcBorders>
            <w:vAlign w:val="center"/>
          </w:tcPr>
          <w:p>
            <w:pPr>
              <w:spacing w:line="240" w:lineRule="auto"/>
              <w:ind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0.0401</w:t>
            </w:r>
          </w:p>
        </w:tc>
        <w:tc>
          <w:tcPr>
            <w:tcW w:w="778" w:type="pct"/>
            <w:tcBorders>
              <w:tl2br w:val="nil"/>
              <w:tr2bl w:val="nil"/>
            </w:tcBorders>
            <w:vAlign w:val="center"/>
          </w:tcPr>
          <w:p>
            <w:pPr>
              <w:spacing w:line="240" w:lineRule="auto"/>
              <w:ind w:firstLine="0" w:firstLineChars="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bl>
    <w:p>
      <w:pPr>
        <w:spacing w:before="32" w:line="374" w:lineRule="auto"/>
        <w:ind w:left="119" w:right="0" w:rightChars="0" w:firstLine="478"/>
        <w:jc w:val="both"/>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根据以上计算结果，本项目危险物质数量与临界量比值Q合计为</w:t>
      </w:r>
      <w:r>
        <w:rPr>
          <w:rFonts w:hint="eastAsia" w:ascii="Times New Roman" w:hAnsi="Times New Roman" w:eastAsia="宋体" w:cs="Times New Roman"/>
          <w:b w:val="0"/>
          <w:bCs w:val="0"/>
          <w:color w:val="auto"/>
          <w:spacing w:val="11"/>
          <w:sz w:val="24"/>
          <w:szCs w:val="24"/>
          <w:lang w:val="en-US" w:eastAsia="zh-CN"/>
        </w:rPr>
        <w:t>0.0401</w:t>
      </w:r>
      <w:r>
        <w:rPr>
          <w:rFonts w:hint="eastAsia" w:ascii="Times New Roman" w:hAnsi="Times New Roman" w:eastAsia="宋体" w:cs="Times New Roman"/>
          <w:b w:val="0"/>
          <w:bCs w:val="0"/>
          <w:spacing w:val="11"/>
          <w:sz w:val="24"/>
          <w:szCs w:val="24"/>
          <w:lang w:val="en-US" w:eastAsia="zh-CN"/>
        </w:rPr>
        <w:t>＜1，因此本项目项目环境风险潜势为Ⅰ，按《建设项目环境风险评价技术导则》 (HJ 169-2018)中环境风险评价等级的判定依据，本项目环境风险评价工作不划分等级，仅进行简单分析。本次环评主要在描述危险物质、环境影响途径、环境危害后果、风险防范措施等方面给出定性的说明。</w:t>
      </w:r>
    </w:p>
    <w:p>
      <w:pPr>
        <w:pStyle w:val="8"/>
        <w:tabs>
          <w:tab w:val="left" w:pos="0"/>
        </w:tabs>
        <w:bidi w:val="0"/>
        <w:ind w:left="425" w:leftChars="0" w:hanging="425" w:firstLineChars="0"/>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表2.4-8 项目环境风险评价工作等级划分</w:t>
      </w:r>
    </w:p>
    <w:tbl>
      <w:tblPr>
        <w:tblStyle w:val="25"/>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31"/>
        <w:gridCol w:w="1926"/>
        <w:gridCol w:w="1927"/>
        <w:gridCol w:w="1927"/>
        <w:gridCol w:w="192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0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环境风险潜势</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IV、IV</w:t>
            </w:r>
            <w:r>
              <w:rPr>
                <w:rFonts w:hint="default" w:ascii="Times New Roman" w:hAnsi="Times New Roman" w:eastAsia="宋体" w:cs="Times New Roman"/>
                <w:b/>
                <w:bCs/>
                <w:position w:val="7"/>
                <w:sz w:val="21"/>
                <w:szCs w:val="21"/>
              </w:rPr>
              <w:t>+</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III</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w:t>
            </w:r>
          </w:p>
        </w:tc>
        <w:tc>
          <w:tcPr>
            <w:tcW w:w="989"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99"/>
                <w:sz w:val="21"/>
                <w:szCs w:val="21"/>
                <w:highlight w:val="none"/>
              </w:rPr>
              <w:t>I</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0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评工作等级</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一</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w:t>
            </w:r>
          </w:p>
        </w:tc>
        <w:tc>
          <w:tcPr>
            <w:tcW w:w="9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三</w:t>
            </w:r>
          </w:p>
        </w:tc>
        <w:tc>
          <w:tcPr>
            <w:tcW w:w="989" w:type="pct"/>
            <w:tcBorders>
              <w:tl2br w:val="nil"/>
              <w:tr2bl w:val="nil"/>
            </w:tcBorders>
            <w:shd w:val="clear" w:color="auto" w:fill="FFFFFF" w:themeFill="background1"/>
            <w:vAlign w:val="center"/>
          </w:tcPr>
          <w:p>
            <w:pPr>
              <w:pStyle w:val="36"/>
              <w:keepNext w:val="0"/>
              <w:keepLines w:val="0"/>
              <w:pageBreakBefore w:val="0"/>
              <w:widowControl w:val="0"/>
              <w:shd w:val="clear"/>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val="0"/>
                <w:bCs/>
                <w:sz w:val="21"/>
                <w:szCs w:val="21"/>
              </w:rPr>
              <w:t>简单分析</w:t>
            </w:r>
            <w:r>
              <w:rPr>
                <w:rFonts w:hint="default" w:ascii="Times New Roman" w:hAnsi="Times New Roman" w:eastAsia="宋体" w:cs="Times New Roman"/>
                <w:b w:val="0"/>
                <w:bCs/>
                <w:position w:val="7"/>
                <w:sz w:val="21"/>
                <w:szCs w:val="21"/>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5000"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a是相对于详细评价工作内容而言，在描述危险物质、环境影响途径、环境危害后果、风险防范措施等方面给出定性的说明。</w:t>
            </w:r>
          </w:p>
        </w:tc>
      </w:tr>
    </w:tbl>
    <w:p>
      <w:pPr>
        <w:pStyle w:val="4"/>
        <w:bidi w:val="0"/>
        <w:rPr>
          <w:rFonts w:hint="eastAsia"/>
          <w:lang w:val="en-US" w:eastAsia="zh-CN"/>
        </w:rPr>
      </w:pPr>
      <w:bookmarkStart w:id="38" w:name="_Toc10226"/>
      <w:r>
        <w:rPr>
          <w:rFonts w:hint="eastAsia"/>
          <w:lang w:val="en-US" w:eastAsia="zh-CN"/>
        </w:rPr>
        <w:t>2.4.2 评价范围</w:t>
      </w:r>
      <w:bookmarkEnd w:id="38"/>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1 、环境空气</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由估算模型计算结果可知，建设项目大气评价等级为三级，故不设置评价范围。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2 、地表水环境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根据《环境影响评价技术导则地表水环境》  (HJ2.3-2018) ，本项目地表水环境评价等级为三级B，不划定评价范围。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3 、地下水环境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不开展地下水评价，不设置评价范围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4 、声环境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项目厂界200m范围内。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5 、土壤环境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不开展土壤评价，不设置评价范围。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6 、生态环境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评价等级为三级，生态环境影响评价范围主要是划定用地范围内。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7 、环境风险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19" w:right="0" w:firstLine="482"/>
        <w:jc w:val="both"/>
        <w:textAlignment w:val="baseline"/>
      </w:pPr>
      <w:r>
        <w:rPr>
          <w:rFonts w:hint="eastAsia" w:ascii="Times New Roman" w:hAnsi="Times New Roman" w:eastAsia="宋体" w:cs="Times New Roman"/>
          <w:b w:val="0"/>
          <w:bCs w:val="0"/>
          <w:spacing w:val="11"/>
          <w:sz w:val="24"/>
          <w:szCs w:val="24"/>
          <w:lang w:val="en-US" w:eastAsia="zh-CN"/>
        </w:rPr>
        <w:t>本次项目风险评价等级为简单分析，不设评价范围。</w:t>
      </w:r>
    </w:p>
    <w:p>
      <w:pPr>
        <w:pStyle w:val="3"/>
        <w:bidi w:val="0"/>
        <w:rPr>
          <w:rFonts w:hint="eastAsia"/>
          <w:lang w:val="en-US" w:eastAsia="zh-CN"/>
        </w:rPr>
      </w:pPr>
      <w:bookmarkStart w:id="39" w:name="_Toc8288"/>
      <w:bookmarkStart w:id="40" w:name="_Toc24320"/>
      <w:r>
        <w:rPr>
          <w:rFonts w:hint="eastAsia"/>
          <w:lang w:val="en-US" w:eastAsia="zh-CN"/>
        </w:rPr>
        <w:t>2.5 环境功能区划及评价标准</w:t>
      </w:r>
      <w:bookmarkEnd w:id="39"/>
      <w:bookmarkEnd w:id="40"/>
    </w:p>
    <w:p>
      <w:pPr>
        <w:pStyle w:val="4"/>
        <w:bidi w:val="0"/>
        <w:rPr>
          <w:rFonts w:hint="eastAsia"/>
          <w:lang w:val="en-US" w:eastAsia="zh-CN"/>
        </w:rPr>
      </w:pPr>
      <w:bookmarkStart w:id="41" w:name="_Toc7639"/>
      <w:r>
        <w:rPr>
          <w:rFonts w:hint="eastAsia"/>
          <w:lang w:val="en-US" w:eastAsia="zh-CN"/>
        </w:rPr>
        <w:t>2.5.1 环境功能区划</w:t>
      </w:r>
      <w:bookmarkEnd w:id="41"/>
    </w:p>
    <w:p>
      <w:pPr>
        <w:keepNext w:val="0"/>
        <w:keepLines w:val="0"/>
        <w:widowControl/>
        <w:suppressLineNumbers w:val="0"/>
        <w:ind w:firstLine="480" w:firstLineChars="200"/>
        <w:jc w:val="left"/>
      </w:pPr>
      <w:r>
        <w:rPr>
          <w:rFonts w:hint="eastAsia" w:ascii="宋体" w:hAnsi="宋体" w:eastAsia="宋体" w:cs="宋体"/>
          <w:snapToGrid w:val="0"/>
          <w:color w:val="000000"/>
          <w:kern w:val="0"/>
          <w:sz w:val="24"/>
          <w:szCs w:val="24"/>
          <w:lang w:val="en-US" w:eastAsia="zh-CN" w:bidi="ar"/>
        </w:rPr>
        <w:t>项目所在区域的环境功能区划见下表。</w:t>
      </w:r>
    </w:p>
    <w:p>
      <w:pPr>
        <w:jc w:val="center"/>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 2.5-1 项目选址环境功能区划</w:t>
      </w:r>
    </w:p>
    <w:p>
      <w:pPr>
        <w:spacing w:line="29" w:lineRule="exact"/>
      </w:pP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587"/>
        <w:gridCol w:w="2875"/>
        <w:gridCol w:w="528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eastAsia="宋体"/>
                <w:b/>
                <w:bCs/>
                <w:sz w:val="21"/>
                <w:szCs w:val="21"/>
              </w:rPr>
            </w:pPr>
            <w:r>
              <w:rPr>
                <w:rFonts w:hint="eastAsia" w:ascii="宋体" w:eastAsia="宋体"/>
                <w:b/>
                <w:bCs/>
                <w:sz w:val="21"/>
                <w:szCs w:val="21"/>
              </w:rPr>
              <w:t>序号</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eastAsia="宋体"/>
                <w:b/>
                <w:bCs/>
                <w:sz w:val="21"/>
                <w:szCs w:val="21"/>
                <w:lang w:val="en-US" w:eastAsia="zh-CN"/>
              </w:rPr>
            </w:pPr>
            <w:r>
              <w:rPr>
                <w:rFonts w:hint="eastAsia" w:ascii="宋体" w:eastAsia="宋体"/>
                <w:b/>
                <w:bCs/>
                <w:sz w:val="21"/>
                <w:szCs w:val="21"/>
                <w:lang w:val="en-US" w:eastAsia="zh-CN"/>
              </w:rPr>
              <w:t>项目</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b/>
                <w:bCs/>
                <w:sz w:val="21"/>
                <w:szCs w:val="21"/>
                <w:lang w:val="en-US" w:eastAsia="zh-CN"/>
              </w:rPr>
            </w:pPr>
            <w:r>
              <w:rPr>
                <w:rFonts w:hint="eastAsia" w:ascii="宋体" w:hAnsi="宋体" w:eastAsia="宋体"/>
                <w:b/>
                <w:bCs/>
                <w:sz w:val="21"/>
                <w:szCs w:val="21"/>
                <w:lang w:val="en-US" w:eastAsia="zh-CN"/>
              </w:rPr>
              <w:t>功能属性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w w:val="99"/>
                <w:sz w:val="21"/>
                <w:szCs w:val="21"/>
              </w:rPr>
              <w:t>1</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eastAsia="宋体"/>
                <w:sz w:val="21"/>
                <w:szCs w:val="21"/>
                <w:lang w:val="en-US" w:eastAsia="zh-CN"/>
              </w:rPr>
              <w:t>环境空气功能区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sz w:val="21"/>
                <w:szCs w:val="21"/>
              </w:rPr>
              <w:t>二类环境空气功能区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w w:val="99"/>
                <w:sz w:val="21"/>
                <w:szCs w:val="21"/>
              </w:rPr>
              <w:t>2</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地表水环境功能区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sz w:val="21"/>
                <w:szCs w:val="21"/>
              </w:rPr>
              <w:t>Ⅲ类地表水环境功能区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w w:val="99"/>
                <w:sz w:val="21"/>
                <w:szCs w:val="21"/>
              </w:rPr>
              <w:t>3</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地下水环境功能区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sz w:val="21"/>
                <w:szCs w:val="21"/>
              </w:rPr>
              <w:t>Ⅲ类地下水环境功能区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w w:val="99"/>
                <w:sz w:val="21"/>
                <w:szCs w:val="21"/>
              </w:rPr>
              <w:t>4</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声环境功能区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eastAsia="宋体"/>
                <w:sz w:val="21"/>
                <w:szCs w:val="21"/>
                <w:lang w:val="en-US" w:eastAsia="zh-CN"/>
              </w:rPr>
              <w:t>2</w:t>
            </w:r>
            <w:r>
              <w:rPr>
                <w:rFonts w:hint="eastAsia"/>
                <w:sz w:val="21"/>
                <w:szCs w:val="21"/>
              </w:rPr>
              <w:t>类声环境功能区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5</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是否涉及基本农田保护区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6</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是否涉及自然保护区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7</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是否涉及风景名胜区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8</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是否涉及饮用水源保护区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9</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是否涉及森林、公园</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10</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是否涉及生态功能保护区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w w:val="99"/>
                <w:sz w:val="21"/>
                <w:szCs w:val="21"/>
              </w:rPr>
            </w:pPr>
            <w:r>
              <w:rPr>
                <w:w w:val="99"/>
                <w:sz w:val="21"/>
                <w:szCs w:val="21"/>
              </w:rPr>
              <w:t>11</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是否属于生态保护红线范围</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z w:val="21"/>
                <w:szCs w:val="21"/>
              </w:rPr>
              <w:t>12</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是否水土流失重点预防区和重点治理区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13</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是否人口密集区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人口密集区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14</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是否重点文物保护单位</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15</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是否三河、三湖、两控区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16</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是否水库库区</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17</w:t>
            </w:r>
          </w:p>
        </w:tc>
        <w:tc>
          <w:tcPr>
            <w:tcW w:w="147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eastAsia="宋体"/>
                <w:sz w:val="21"/>
                <w:szCs w:val="21"/>
                <w:lang w:val="en-US" w:eastAsia="zh-CN"/>
              </w:rPr>
            </w:pPr>
            <w:r>
              <w:rPr>
                <w:rFonts w:hint="eastAsia" w:ascii="宋体" w:eastAsia="宋体"/>
                <w:sz w:val="21"/>
                <w:szCs w:val="21"/>
                <w:lang w:val="en-US" w:eastAsia="zh-CN"/>
              </w:rPr>
              <w:t>是否污水处理厂集水范围</w:t>
            </w:r>
          </w:p>
        </w:tc>
        <w:tc>
          <w:tcPr>
            <w:tcW w:w="27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rFonts w:hint="eastAsia" w:ascii="宋体" w:eastAsia="宋体"/>
                <w:sz w:val="21"/>
                <w:szCs w:val="21"/>
                <w:lang w:val="en-US" w:eastAsia="zh-CN"/>
              </w:rPr>
              <w:t>是</w:t>
            </w:r>
          </w:p>
        </w:tc>
      </w:tr>
    </w:tbl>
    <w:p/>
    <w:p>
      <w:pPr>
        <w:spacing w:line="29" w:lineRule="exact"/>
      </w:pPr>
    </w:p>
    <w:p>
      <w:pPr>
        <w:spacing w:before="142" w:line="360" w:lineRule="auto"/>
        <w:ind w:left="117" w:right="293" w:firstLine="480"/>
        <w:jc w:val="both"/>
        <w:outlineLvl w:val="2"/>
        <w:rPr>
          <w:rFonts w:hint="eastAsia" w:ascii="Times New Roman" w:hAnsi="Times New Roman" w:eastAsia="宋体" w:cs="Times New Roman"/>
          <w:b/>
          <w:bCs/>
          <w:spacing w:val="11"/>
          <w:sz w:val="24"/>
          <w:szCs w:val="24"/>
          <w:lang w:val="en-US" w:eastAsia="zh-CN"/>
        </w:rPr>
      </w:pPr>
      <w:bookmarkStart w:id="42" w:name="_Toc31005"/>
      <w:r>
        <w:rPr>
          <w:rFonts w:hint="eastAsia" w:ascii="Times New Roman" w:hAnsi="Times New Roman" w:eastAsia="宋体" w:cs="Times New Roman"/>
          <w:b/>
          <w:bCs/>
          <w:spacing w:val="11"/>
          <w:sz w:val="24"/>
          <w:szCs w:val="24"/>
          <w:lang w:val="en-US" w:eastAsia="zh-CN"/>
        </w:rPr>
        <w:t>2.5.2 评价标准</w:t>
      </w:r>
      <w:bookmarkEnd w:id="42"/>
    </w:p>
    <w:p>
      <w:pPr>
        <w:spacing w:before="142" w:line="360" w:lineRule="auto"/>
        <w:ind w:left="117" w:right="293" w:firstLine="480"/>
        <w:jc w:val="both"/>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2.5.2.1 环境质量标准</w:t>
      </w:r>
    </w:p>
    <w:p>
      <w:pPr>
        <w:spacing w:before="142" w:line="360" w:lineRule="auto"/>
        <w:ind w:left="117" w:right="293" w:firstLine="480"/>
        <w:jc w:val="both"/>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根据环境功能区划，确定本项目评价区域环境质量标准如下：</w:t>
      </w:r>
    </w:p>
    <w:p>
      <w:pPr>
        <w:spacing w:before="142" w:line="360" w:lineRule="auto"/>
        <w:ind w:left="117" w:right="293" w:firstLine="480"/>
        <w:jc w:val="both"/>
        <w:outlineLvl w:val="4"/>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1 、环境空气</w:t>
      </w:r>
    </w:p>
    <w:p>
      <w:pPr>
        <w:spacing w:before="142" w:line="360" w:lineRule="auto"/>
        <w:ind w:left="117" w:right="293" w:firstLine="480"/>
        <w:jc w:val="both"/>
        <w:rPr>
          <w:rFonts w:ascii="宋体" w:hAnsi="宋体" w:eastAsia="宋体" w:cs="宋体"/>
          <w:sz w:val="23"/>
          <w:szCs w:val="23"/>
        </w:rPr>
      </w:pPr>
      <w:r>
        <w:rPr>
          <w:rFonts w:hint="eastAsia" w:ascii="Times New Roman" w:hAnsi="Times New Roman" w:eastAsia="宋体" w:cs="Times New Roman"/>
          <w:b w:val="0"/>
          <w:bCs w:val="0"/>
          <w:spacing w:val="11"/>
          <w:sz w:val="24"/>
          <w:szCs w:val="24"/>
          <w:lang w:val="en-US" w:eastAsia="zh-CN"/>
        </w:rPr>
        <w:t>区域环境空气质量常规因子执行《环境空气质量标准》  (GB3095-2012)及修改单中的二级标准；氨（NH</w:t>
      </w:r>
      <w:r>
        <w:rPr>
          <w:rFonts w:hint="eastAsia" w:ascii="Times New Roman" w:hAnsi="Times New Roman" w:eastAsia="宋体" w:cs="Times New Roman"/>
          <w:b w:val="0"/>
          <w:bCs w:val="0"/>
          <w:spacing w:val="11"/>
          <w:sz w:val="24"/>
          <w:szCs w:val="24"/>
          <w:vertAlign w:val="subscript"/>
          <w:lang w:val="en-US" w:eastAsia="zh-CN"/>
        </w:rPr>
        <w:t>3</w:t>
      </w:r>
      <w:r>
        <w:rPr>
          <w:rFonts w:hint="eastAsia" w:ascii="Times New Roman" w:hAnsi="Times New Roman" w:eastAsia="宋体" w:cs="Times New Roman"/>
          <w:b w:val="0"/>
          <w:bCs w:val="0"/>
          <w:spacing w:val="11"/>
          <w:sz w:val="24"/>
          <w:szCs w:val="24"/>
          <w:lang w:val="en-US" w:eastAsia="zh-CN"/>
        </w:rPr>
        <w:t>）、硫化氢（H</w:t>
      </w:r>
      <w:r>
        <w:rPr>
          <w:rFonts w:hint="eastAsia" w:ascii="Times New Roman" w:hAnsi="Times New Roman" w:eastAsia="宋体" w:cs="Times New Roman"/>
          <w:b w:val="0"/>
          <w:bCs w:val="0"/>
          <w:spacing w:val="11"/>
          <w:sz w:val="24"/>
          <w:szCs w:val="24"/>
          <w:vertAlign w:val="subscript"/>
          <w:lang w:val="en-US" w:eastAsia="zh-CN"/>
        </w:rPr>
        <w:t>2</w:t>
      </w:r>
      <w:r>
        <w:rPr>
          <w:rFonts w:hint="eastAsia" w:ascii="Times New Roman" w:hAnsi="Times New Roman" w:eastAsia="宋体" w:cs="Times New Roman"/>
          <w:b w:val="0"/>
          <w:bCs w:val="0"/>
          <w:spacing w:val="11"/>
          <w:sz w:val="24"/>
          <w:szCs w:val="24"/>
          <w:lang w:val="en-US" w:eastAsia="zh-CN"/>
        </w:rPr>
        <w:t>S）、硫酸雾、氯化氢执行《环境影响评价技术导则 大气环境》  (HJ2.2-2018) 附录 D表D. 1其他污染物空气质量浓度参考限值，非甲烷总烃执行《大气污染物综合排放标准详解》中的浓度限值。详见表2.5-2</w:t>
      </w:r>
      <w:r>
        <w:rPr>
          <w:rFonts w:ascii="宋体" w:hAnsi="宋体" w:eastAsia="宋体" w:cs="宋体"/>
          <w:spacing w:val="1"/>
          <w:sz w:val="23"/>
          <w:szCs w:val="23"/>
        </w:rPr>
        <w:t>。</w:t>
      </w:r>
    </w:p>
    <w:p>
      <w:pPr>
        <w:jc w:val="center"/>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表2.5-2    环境空气质量标准</w:t>
      </w:r>
    </w:p>
    <w:p>
      <w:pPr>
        <w:spacing w:line="132" w:lineRule="exact"/>
      </w:pPr>
    </w:p>
    <w:tbl>
      <w:tblPr>
        <w:tblStyle w:val="3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Layout w:type="autofit"/>
        <w:tblCellMar>
          <w:top w:w="0" w:type="dxa"/>
          <w:left w:w="0" w:type="dxa"/>
          <w:bottom w:w="0" w:type="dxa"/>
          <w:right w:w="0" w:type="dxa"/>
        </w:tblCellMar>
      </w:tblPr>
      <w:tblGrid>
        <w:gridCol w:w="2417"/>
        <w:gridCol w:w="2201"/>
        <w:gridCol w:w="1282"/>
        <w:gridCol w:w="1564"/>
        <w:gridCol w:w="2272"/>
      </w:tblGrid>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评价因子</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平均时段</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单位</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标准值</w:t>
            </w:r>
          </w:p>
        </w:tc>
        <w:tc>
          <w:tcPr>
            <w:tcW w:w="116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10</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116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《环境空气质量标</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准》  (GB3095-</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2012) 及修改单中的</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2.5</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 小时平均</w:t>
            </w:r>
          </w:p>
        </w:tc>
        <w:tc>
          <w:tcPr>
            <w:tcW w:w="6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SO</w:t>
            </w:r>
            <w:r>
              <w:rPr>
                <w:rFonts w:hint="default" w:ascii="Times New Roman" w:hAnsi="Times New Roman" w:eastAsia="宋体" w:cs="Times New Roman"/>
                <w:sz w:val="21"/>
                <w:szCs w:val="21"/>
                <w:vertAlign w:val="subscript"/>
                <w:lang w:val="en-US" w:eastAsia="zh-CN"/>
              </w:rPr>
              <w:t>2</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NO</w:t>
            </w:r>
            <w:r>
              <w:rPr>
                <w:rFonts w:hint="default" w:ascii="Times New Roman" w:hAnsi="Times New Roman" w:eastAsia="宋体" w:cs="Times New Roman"/>
                <w:sz w:val="21"/>
                <w:szCs w:val="21"/>
                <w:vertAlign w:val="subscript"/>
                <w:lang w:val="en-US" w:eastAsia="zh-CN"/>
              </w:rPr>
              <w:t>2</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3</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日最大 8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氮氧化物</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5</w:t>
            </w:r>
            <w:r>
              <w:rPr>
                <w:rFonts w:hint="eastAsia" w:ascii="Times New Roman" w:hAnsi="Times New Roman" w:eastAsia="宋体" w:cs="Times New Roman"/>
                <w:sz w:val="21"/>
                <w:szCs w:val="21"/>
                <w:lang w:val="en-US" w:eastAsia="zh-CN"/>
              </w:rPr>
              <w:t>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 小时平均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1</w:t>
            </w:r>
            <w:r>
              <w:rPr>
                <w:rFonts w:hint="eastAsia" w:ascii="Times New Roman" w:hAnsi="Times New Roman" w:eastAsia="宋体" w:cs="Times New Roman"/>
                <w:sz w:val="21"/>
                <w:szCs w:val="21"/>
                <w:lang w:val="en-US" w:eastAsia="zh-CN"/>
              </w:rPr>
              <w:t>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250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116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《环境影响评价技术</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导则 大气环境》</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(HJ2.2-2018) 附录 D</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日平均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氯化氢</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氨</w:t>
            </w:r>
          </w:p>
        </w:tc>
        <w:tc>
          <w:tcPr>
            <w:tcW w:w="11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200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硫化氢</w:t>
            </w:r>
          </w:p>
        </w:tc>
        <w:tc>
          <w:tcPr>
            <w:tcW w:w="11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10</w:t>
            </w:r>
          </w:p>
        </w:tc>
        <w:tc>
          <w:tcPr>
            <w:tcW w:w="116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454" w:hRule="atLeast"/>
        </w:trPr>
        <w:tc>
          <w:tcPr>
            <w:tcW w:w="12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非甲烷总烃</w:t>
            </w:r>
          </w:p>
        </w:tc>
        <w:tc>
          <w:tcPr>
            <w:tcW w:w="11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1h 平均</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p>
        </w:tc>
        <w:tc>
          <w:tcPr>
            <w:tcW w:w="80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2.0</w:t>
            </w:r>
          </w:p>
        </w:tc>
        <w:tc>
          <w:tcPr>
            <w:tcW w:w="116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《大气污染物综合排放标准详解》</w:t>
            </w:r>
          </w:p>
        </w:tc>
      </w:tr>
    </w:tbl>
    <w:p>
      <w:pPr>
        <w:pStyle w:val="36"/>
        <w:keepNext w:val="0"/>
        <w:keepLines w:val="0"/>
        <w:pageBreakBefore w:val="0"/>
        <w:widowControl w:val="0"/>
        <w:kinsoku/>
        <w:wordWrap/>
        <w:overflowPunct/>
        <w:topLinePunct w:val="0"/>
        <w:autoSpaceDE/>
        <w:autoSpaceDN/>
        <w:bidi w:val="0"/>
        <w:adjustRightInd/>
        <w:snapToGrid/>
        <w:spacing w:line="360" w:lineRule="auto"/>
        <w:ind w:left="0" w:right="0" w:firstLine="240" w:firstLineChars="100"/>
        <w:jc w:val="both"/>
        <w:textAlignment w:val="auto"/>
        <w:outlineLvl w:val="4"/>
        <w:rPr>
          <w:rFonts w:hint="default" w:ascii="Times New Roman" w:hAnsi="Times New Roman" w:eastAsia="宋体" w:cstheme="minorBidi"/>
          <w:snapToGrid/>
          <w:kern w:val="2"/>
          <w:sz w:val="24"/>
          <w:szCs w:val="24"/>
          <w:lang w:val="en-US" w:eastAsia="zh-CN" w:bidi="ar-SA"/>
        </w:rPr>
      </w:pPr>
      <w:r>
        <w:rPr>
          <w:rFonts w:hint="eastAsia" w:ascii="Times New Roman" w:hAnsi="Times New Roman" w:eastAsia="宋体" w:cstheme="minorBidi"/>
          <w:snapToGrid/>
          <w:kern w:val="2"/>
          <w:sz w:val="24"/>
          <w:szCs w:val="24"/>
          <w:lang w:val="en-US" w:eastAsia="zh-CN" w:bidi="ar-SA"/>
        </w:rPr>
        <w:t>2 、地表水</w:t>
      </w:r>
    </w:p>
    <w:p>
      <w:pPr>
        <w:spacing w:before="49" w:line="360" w:lineRule="auto"/>
        <w:ind w:left="184" w:firstLine="480" w:firstLineChars="200"/>
        <w:outlineLvl w:val="5"/>
        <w:rPr>
          <w:rFonts w:hint="eastAsia" w:ascii="Times New Roman" w:hAnsi="Times New Roman" w:eastAsia="宋体" w:cstheme="minorBidi"/>
          <w:snapToGrid/>
          <w:kern w:val="2"/>
          <w:sz w:val="24"/>
          <w:szCs w:val="24"/>
          <w:lang w:val="en-US" w:eastAsia="zh-CN" w:bidi="ar-SA"/>
        </w:rPr>
      </w:pPr>
      <w:r>
        <w:rPr>
          <w:rFonts w:hint="default" w:ascii="Times New Roman" w:hAnsi="Times New Roman" w:eastAsia="宋体" w:cstheme="minorBidi"/>
          <w:snapToGrid/>
          <w:kern w:val="2"/>
          <w:sz w:val="24"/>
          <w:szCs w:val="24"/>
          <w:lang w:val="en-US" w:eastAsia="zh-CN" w:bidi="ar-SA"/>
        </w:rPr>
        <w:t>区域地表水体执行《地表水环境质量标准》 (GB3838-2002)中的Ⅲ类标准</w:t>
      </w:r>
      <w:r>
        <w:rPr>
          <w:rFonts w:hint="eastAsia" w:ascii="Times New Roman" w:hAnsi="Times New Roman" w:eastAsia="宋体" w:cstheme="minorBidi"/>
          <w:snapToGrid/>
          <w:kern w:val="2"/>
          <w:sz w:val="24"/>
          <w:szCs w:val="24"/>
          <w:lang w:val="en-US" w:eastAsia="zh-CN" w:bidi="ar-SA"/>
        </w:rPr>
        <w:t>。</w:t>
      </w:r>
    </w:p>
    <w:p>
      <w:pPr>
        <w:pStyle w:val="30"/>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表2.</w:t>
      </w:r>
      <w:r>
        <w:rPr>
          <w:rFonts w:hint="eastAsia" w:ascii="Times New Roman" w:hAnsi="Times New Roman" w:eastAsia="宋体" w:cs="Times New Roman"/>
          <w:b/>
          <w:bCs/>
          <w:snapToGrid w:val="0"/>
          <w:color w:val="000000"/>
          <w:spacing w:val="0"/>
          <w:kern w:val="0"/>
          <w:sz w:val="21"/>
          <w:szCs w:val="21"/>
          <w:lang w:val="en-US" w:eastAsia="zh-CN" w:bidi="ar-SA"/>
        </w:rPr>
        <w:t>5</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eastAsia" w:ascii="Times New Roman" w:hAnsi="Times New Roman" w:eastAsia="宋体" w:cs="Times New Roman"/>
          <w:b/>
          <w:bCs/>
          <w:snapToGrid w:val="0"/>
          <w:color w:val="000000"/>
          <w:spacing w:val="0"/>
          <w:kern w:val="0"/>
          <w:sz w:val="21"/>
          <w:szCs w:val="21"/>
          <w:lang w:val="en-US" w:eastAsia="zh-CN" w:bidi="ar-SA"/>
        </w:rPr>
        <w:t xml:space="preserve">3  </w:t>
      </w:r>
      <w:r>
        <w:rPr>
          <w:rFonts w:hint="default" w:ascii="Times New Roman" w:hAnsi="Times New Roman" w:eastAsia="宋体" w:cs="Times New Roman"/>
          <w:b/>
          <w:bCs/>
          <w:snapToGrid w:val="0"/>
          <w:color w:val="000000"/>
          <w:spacing w:val="0"/>
          <w:kern w:val="0"/>
          <w:sz w:val="21"/>
          <w:szCs w:val="21"/>
          <w:lang w:val="en-US" w:eastAsia="zh-CN" w:bidi="ar-SA"/>
        </w:rPr>
        <w:t>地表水环境质量评价执行标准（摘录）</w:t>
      </w:r>
      <w:r>
        <w:rPr>
          <w:rFonts w:hint="default" w:ascii="Times New Roman" w:hAnsi="Times New Roman" w:eastAsia="宋体" w:cs="Times New Roman"/>
          <w:b/>
          <w:bCs/>
          <w:snapToGrid w:val="0"/>
          <w:color w:val="000000"/>
          <w:spacing w:val="0"/>
          <w:kern w:val="0"/>
          <w:sz w:val="21"/>
          <w:szCs w:val="21"/>
          <w:lang w:val="en-US" w:eastAsia="zh-CN" w:bidi="ar-SA"/>
        </w:rPr>
        <w:tab/>
      </w:r>
      <w:r>
        <w:rPr>
          <w:rFonts w:hint="default" w:ascii="Times New Roman" w:hAnsi="Times New Roman" w:eastAsia="宋体" w:cs="Times New Roman"/>
          <w:b/>
          <w:bCs/>
          <w:snapToGrid w:val="0"/>
          <w:color w:val="000000"/>
          <w:spacing w:val="0"/>
          <w:kern w:val="0"/>
          <w:sz w:val="21"/>
          <w:szCs w:val="21"/>
          <w:lang w:val="en-US" w:eastAsia="zh-CN" w:bidi="ar-SA"/>
        </w:rPr>
        <w:t>单位：mg/L（pH除外）</w:t>
      </w:r>
    </w:p>
    <w:tbl>
      <w:tblPr>
        <w:tblStyle w:val="34"/>
        <w:tblW w:w="4995"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803"/>
        <w:gridCol w:w="3138"/>
        <w:gridCol w:w="47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eastAsia" w:ascii="宋体" w:eastAsia="宋体"/>
                <w:b/>
                <w:bCs/>
                <w:sz w:val="21"/>
                <w:szCs w:val="21"/>
              </w:rPr>
              <w:t>序号</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eastAsia" w:ascii="宋体" w:eastAsia="宋体"/>
                <w:b/>
                <w:bCs/>
                <w:sz w:val="21"/>
                <w:szCs w:val="21"/>
                <w:lang w:val="en-US" w:eastAsia="zh-CN"/>
              </w:rPr>
              <w:t>项目</w:t>
            </w:r>
          </w:p>
        </w:tc>
        <w:tc>
          <w:tcPr>
            <w:tcW w:w="4796" w:type="dxa"/>
            <w:tcBorders>
              <w:tl2br w:val="nil"/>
              <w:tr2bl w:val="nil"/>
            </w:tcBorders>
            <w:vAlign w:val="center"/>
          </w:tcPr>
          <w:p>
            <w:pPr>
              <w:spacing w:before="77" w:line="228"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pacing w:val="11"/>
                <w:sz w:val="21"/>
                <w:szCs w:val="21"/>
              </w:rPr>
              <w:t>Ⅲ</w:t>
            </w:r>
            <w:r>
              <w:rPr>
                <w:rFonts w:hint="eastAsia" w:ascii="Times New Roman" w:hAnsi="Times New Roman" w:eastAsia="宋体" w:cs="Times New Roman"/>
                <w:b/>
                <w:bCs/>
                <w:spacing w:val="11"/>
                <w:sz w:val="21"/>
                <w:szCs w:val="21"/>
                <w:lang w:val="en-US" w:eastAsia="zh-CN"/>
              </w:rPr>
              <w:t>类标准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  (无量纲)</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DO</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r>
              <w:rPr>
                <w:rFonts w:hint="eastAsia" w:eastAsia="宋体" w:cs="Times New Roman"/>
                <w:sz w:val="21"/>
                <w:szCs w:val="21"/>
                <w:lang w:val="en-US" w:eastAsia="zh-CN"/>
              </w:rPr>
              <w:t>cr</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BOD</w:t>
            </w:r>
            <w:r>
              <w:rPr>
                <w:rFonts w:hint="eastAsia" w:ascii="Times New Roman" w:hAnsi="Times New Roman" w:eastAsia="宋体" w:cs="Times New Roman"/>
                <w:sz w:val="21"/>
                <w:szCs w:val="21"/>
                <w:vertAlign w:val="subscript"/>
                <w:lang w:val="en-US" w:eastAsia="zh-CN"/>
              </w:rPr>
              <w:t>5</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kern w:val="0"/>
                <w:sz w:val="21"/>
                <w:szCs w:val="21"/>
                <w:lang w:val="en-US" w:eastAsia="zh-CN"/>
              </w:rPr>
            </w:pPr>
            <w:r>
              <w:rPr>
                <w:rFonts w:hint="eastAsia" w:eastAsia="宋体" w:cs="Times New Roman"/>
                <w:sz w:val="21"/>
                <w:szCs w:val="21"/>
                <w:lang w:val="en-US" w:eastAsia="zh-CN"/>
              </w:rPr>
              <w:t>氟化物</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总磷(以P 计)</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硫酸盐*(以 SO</w:t>
            </w:r>
            <w:r>
              <w:rPr>
                <w:rFonts w:hint="eastAsia" w:ascii="Times New Roman" w:hAnsi="Times New Roman" w:eastAsia="宋体" w:cs="Times New Roman"/>
                <w:sz w:val="21"/>
                <w:szCs w:val="21"/>
                <w:vertAlign w:val="subscript"/>
                <w:lang w:val="en-US" w:eastAsia="zh-CN"/>
              </w:rPr>
              <w:t>4</w:t>
            </w:r>
            <w:r>
              <w:rPr>
                <w:rFonts w:hint="eastAsia" w:ascii="Times New Roman" w:hAnsi="Times New Roman" w:eastAsia="宋体" w:cs="Times New Roman"/>
                <w:sz w:val="21"/>
                <w:szCs w:val="21"/>
                <w:vertAlign w:val="superscript"/>
                <w:lang w:val="en-US" w:eastAsia="zh-CN"/>
              </w:rPr>
              <w:t>2-</w:t>
            </w:r>
            <w:r>
              <w:rPr>
                <w:rFonts w:hint="eastAsia" w:eastAsia="宋体" w:cs="Times New Roman"/>
                <w:sz w:val="21"/>
                <w:szCs w:val="21"/>
                <w:vertAlign w:val="superscript"/>
                <w:lang w:val="en-US" w:eastAsia="zh-CN"/>
              </w:rPr>
              <w:t xml:space="preserve"> </w:t>
            </w:r>
            <w:r>
              <w:rPr>
                <w:rFonts w:hint="eastAsia" w:ascii="Times New Roman" w:hAnsi="Times New Roman" w:eastAsia="宋体" w:cs="Times New Roman"/>
                <w:sz w:val="21"/>
                <w:szCs w:val="21"/>
                <w:lang w:val="en-US" w:eastAsia="zh-CN"/>
              </w:rPr>
              <w:t>计)</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硫化物</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粪大肠菌群</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10000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Hg</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Cd</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Cu</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Pb</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Zn</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Cr</w:t>
            </w:r>
            <w:r>
              <w:rPr>
                <w:rFonts w:hint="eastAsia" w:ascii="Times New Roman" w:hAnsi="Times New Roman" w:eastAsia="宋体" w:cs="Times New Roman"/>
                <w:sz w:val="21"/>
                <w:szCs w:val="21"/>
                <w:vertAlign w:val="superscript"/>
                <w:lang w:val="en-US" w:eastAsia="zh-CN"/>
              </w:rPr>
              <w:t>6+</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阴离子表面活性剂</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eastAsia="宋体" w:cs="Times New Roman"/>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0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31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挥发酚</w:t>
            </w:r>
          </w:p>
        </w:tc>
        <w:tc>
          <w:tcPr>
            <w:tcW w:w="4796"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eastAsia="宋体" w:cs="Times New Roman"/>
                <w:sz w:val="21"/>
                <w:szCs w:val="21"/>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9738" w:type="dxa"/>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sz w:val="21"/>
                <w:szCs w:val="21"/>
                <w:lang w:val="en-US" w:eastAsia="zh-CN"/>
              </w:rPr>
            </w:pPr>
            <w:r>
              <w:rPr>
                <w:rFonts w:ascii="宋体" w:hAnsi="宋体" w:eastAsia="宋体" w:cs="宋体"/>
                <w:spacing w:val="6"/>
                <w:sz w:val="20"/>
                <w:szCs w:val="20"/>
              </w:rPr>
              <w:t>注：</w:t>
            </w:r>
            <w:r>
              <w:rPr>
                <w:rFonts w:ascii="宋体" w:hAnsi="宋体" w:eastAsia="宋体" w:cs="宋体"/>
                <w:spacing w:val="3"/>
                <w:sz w:val="20"/>
                <w:szCs w:val="20"/>
              </w:rPr>
              <w:t>硫酸盐</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参照集中</w:t>
            </w:r>
            <w:r>
              <w:rPr>
                <w:rFonts w:ascii="宋体" w:hAnsi="宋体" w:eastAsia="宋体" w:cs="宋体"/>
                <w:spacing w:val="18"/>
                <w:sz w:val="20"/>
                <w:szCs w:val="20"/>
              </w:rPr>
              <w:t>式</w:t>
            </w:r>
            <w:r>
              <w:rPr>
                <w:rFonts w:ascii="宋体" w:hAnsi="宋体" w:eastAsia="宋体" w:cs="宋体"/>
                <w:spacing w:val="11"/>
                <w:sz w:val="20"/>
                <w:szCs w:val="20"/>
              </w:rPr>
              <w:t>生</w:t>
            </w:r>
            <w:r>
              <w:rPr>
                <w:rFonts w:ascii="宋体" w:hAnsi="宋体" w:eastAsia="宋体" w:cs="宋体"/>
                <w:spacing w:val="9"/>
                <w:sz w:val="20"/>
                <w:szCs w:val="20"/>
              </w:rPr>
              <w:t>活饮用水地表水源地补充项目标准限值</w:t>
            </w:r>
          </w:p>
        </w:tc>
      </w:tr>
    </w:tbl>
    <w:p>
      <w:pPr>
        <w:pStyle w:val="36"/>
        <w:keepNext w:val="0"/>
        <w:keepLines w:val="0"/>
        <w:pageBreakBefore w:val="0"/>
        <w:widowControl w:val="0"/>
        <w:kinsoku/>
        <w:wordWrap/>
        <w:overflowPunct/>
        <w:topLinePunct w:val="0"/>
        <w:autoSpaceDE/>
        <w:autoSpaceDN/>
        <w:bidi w:val="0"/>
        <w:adjustRightInd/>
        <w:snapToGrid/>
        <w:spacing w:before="0" w:beforeLines="50" w:beforeAutospacing="0" w:line="360" w:lineRule="auto"/>
        <w:ind w:left="0" w:right="0" w:firstLine="480" w:firstLineChars="200"/>
        <w:jc w:val="both"/>
        <w:textAlignment w:val="auto"/>
        <w:outlineLvl w:val="4"/>
        <w:rPr>
          <w:rFonts w:hint="default" w:ascii="Times New Roman" w:hAnsi="Times New Roman" w:eastAsia="宋体" w:cstheme="minorBidi"/>
          <w:snapToGrid/>
          <w:kern w:val="2"/>
          <w:sz w:val="24"/>
          <w:szCs w:val="24"/>
          <w:lang w:val="en-US" w:eastAsia="zh-CN" w:bidi="ar-SA"/>
        </w:rPr>
      </w:pPr>
      <w:bookmarkStart w:id="43" w:name="_Toc4112"/>
      <w:bookmarkStart w:id="44" w:name="_Toc4986"/>
      <w:r>
        <w:rPr>
          <w:rFonts w:hint="eastAsia" w:eastAsia="宋体" w:cstheme="minorBidi"/>
          <w:snapToGrid/>
          <w:kern w:val="2"/>
          <w:sz w:val="24"/>
          <w:szCs w:val="24"/>
          <w:lang w:val="en-US" w:eastAsia="zh-CN" w:bidi="ar-SA"/>
        </w:rPr>
        <w:t>3、</w:t>
      </w:r>
      <w:bookmarkEnd w:id="43"/>
      <w:bookmarkEnd w:id="44"/>
      <w:r>
        <w:rPr>
          <w:rFonts w:hint="default" w:ascii="Times New Roman" w:hAnsi="Times New Roman" w:eastAsia="宋体" w:cstheme="minorBidi"/>
          <w:snapToGrid/>
          <w:kern w:val="2"/>
          <w:sz w:val="24"/>
          <w:szCs w:val="24"/>
          <w:lang w:val="en-US" w:eastAsia="zh-CN" w:bidi="ar-SA"/>
        </w:rPr>
        <w:t>声环境</w:t>
      </w:r>
    </w:p>
    <w:p>
      <w:pPr>
        <w:pStyle w:val="36"/>
        <w:keepNext w:val="0"/>
        <w:keepLines w:val="0"/>
        <w:pageBreakBefore w:val="0"/>
        <w:widowControl w:val="0"/>
        <w:kinsoku/>
        <w:wordWrap/>
        <w:overflowPunct/>
        <w:topLinePunct w:val="0"/>
        <w:autoSpaceDE/>
        <w:autoSpaceDN/>
        <w:bidi w:val="0"/>
        <w:adjustRightInd/>
        <w:snapToGrid/>
        <w:spacing w:before="0" w:beforeLines="50" w:beforeAutospacing="0" w:line="360" w:lineRule="auto"/>
        <w:ind w:left="0" w:right="0" w:firstLine="480" w:firstLineChars="200"/>
        <w:jc w:val="both"/>
        <w:textAlignment w:val="auto"/>
        <w:rPr>
          <w:rFonts w:ascii="宋体" w:hAnsi="宋体" w:eastAsia="宋体" w:cs="宋体"/>
          <w:sz w:val="23"/>
          <w:szCs w:val="23"/>
        </w:rPr>
      </w:pPr>
      <w:r>
        <w:rPr>
          <w:rFonts w:hint="default" w:ascii="Times New Roman" w:hAnsi="Times New Roman" w:eastAsia="宋体" w:cstheme="minorBidi"/>
          <w:snapToGrid/>
          <w:kern w:val="2"/>
          <w:sz w:val="24"/>
          <w:szCs w:val="24"/>
          <w:lang w:val="en-US" w:eastAsia="zh-CN" w:bidi="ar-SA"/>
        </w:rPr>
        <w:t>本项目位于南部文化生态新城九嶷大道西侧，区域声环境执行《声环境质量标准》  (GB3096-2008) 中的 2 类区标准；周边敏感点执行 2 类区标准</w:t>
      </w:r>
      <w:r>
        <w:rPr>
          <w:rFonts w:ascii="宋体" w:hAnsi="宋体" w:eastAsia="宋体" w:cs="宋体"/>
          <w:spacing w:val="1"/>
          <w:sz w:val="23"/>
          <w:szCs w:val="23"/>
        </w:rPr>
        <w:t>。</w:t>
      </w:r>
    </w:p>
    <w:p>
      <w:pPr>
        <w:spacing w:before="139" w:line="289" w:lineRule="exact"/>
        <w:jc w:val="center"/>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表2.5-5   声环境质量标准 (摘要)     单位：Leq[dB(A)]</w:t>
      </w:r>
    </w:p>
    <w:p>
      <w:pPr>
        <w:spacing w:line="129" w:lineRule="exact"/>
      </w:pPr>
    </w:p>
    <w:tbl>
      <w:tblPr>
        <w:tblStyle w:val="3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21"/>
        <w:gridCol w:w="3592"/>
        <w:gridCol w:w="3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91" w:type="pct"/>
            <w:tcBorders>
              <w:top w:val="single" w:color="000000" w:sz="12" w:space="0"/>
              <w:left w:val="nil"/>
              <w:right w:val="single" w:color="000000" w:sz="4" w:space="0"/>
            </w:tcBorders>
            <w:vAlign w:val="center"/>
          </w:tcPr>
          <w:p>
            <w:pPr>
              <w:spacing w:beforeAutospacing="0" w:line="228"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5"/>
                <w:sz w:val="21"/>
                <w:szCs w:val="21"/>
              </w:rPr>
              <w:t>类</w:t>
            </w:r>
            <w:r>
              <w:rPr>
                <w:rFonts w:ascii="Times New Roman" w:hAnsi="Times New Roman" w:eastAsia="宋体" w:cs="Times New Roman"/>
                <w:b/>
                <w:bCs/>
                <w:spacing w:val="4"/>
                <w:sz w:val="21"/>
                <w:szCs w:val="21"/>
              </w:rPr>
              <w:t>别</w:t>
            </w:r>
          </w:p>
        </w:tc>
        <w:tc>
          <w:tcPr>
            <w:tcW w:w="1843" w:type="pct"/>
            <w:tcBorders>
              <w:top w:val="single" w:color="000000" w:sz="12" w:space="0"/>
              <w:left w:val="single" w:color="000000" w:sz="4" w:space="0"/>
              <w:right w:val="single" w:color="000000" w:sz="4" w:space="0"/>
            </w:tcBorders>
            <w:vAlign w:val="center"/>
          </w:tcPr>
          <w:p>
            <w:pPr>
              <w:spacing w:beforeAutospacing="0" w:line="231"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5"/>
                <w:sz w:val="21"/>
                <w:szCs w:val="21"/>
              </w:rPr>
              <w:t>昼间</w:t>
            </w:r>
          </w:p>
        </w:tc>
        <w:tc>
          <w:tcPr>
            <w:tcW w:w="1964" w:type="pct"/>
            <w:tcBorders>
              <w:top w:val="single" w:color="000000" w:sz="12" w:space="0"/>
              <w:left w:val="single" w:color="000000" w:sz="4" w:space="0"/>
              <w:right w:val="nil"/>
            </w:tcBorders>
            <w:vAlign w:val="center"/>
          </w:tcPr>
          <w:p>
            <w:pPr>
              <w:spacing w:beforeAutospacing="0" w:line="228"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3"/>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91" w:type="pct"/>
            <w:tcBorders>
              <w:left w:val="nil"/>
              <w:bottom w:val="single" w:color="000000" w:sz="12" w:space="0"/>
              <w:right w:val="single" w:color="000000" w:sz="4" w:space="0"/>
            </w:tcBorders>
            <w:vAlign w:val="center"/>
          </w:tcPr>
          <w:p>
            <w:pPr>
              <w:spacing w:before="97" w:line="228" w:lineRule="auto"/>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2</w:t>
            </w:r>
            <w:r>
              <w:rPr>
                <w:rFonts w:ascii="Times New Roman" w:hAnsi="Times New Roman" w:eastAsia="宋体" w:cs="Times New Roman"/>
                <w:sz w:val="21"/>
                <w:szCs w:val="21"/>
              </w:rPr>
              <w:t xml:space="preserve"> 类</w:t>
            </w:r>
          </w:p>
        </w:tc>
        <w:tc>
          <w:tcPr>
            <w:tcW w:w="1843" w:type="pct"/>
            <w:tcBorders>
              <w:left w:val="single" w:color="000000" w:sz="4" w:space="0"/>
              <w:bottom w:val="single" w:color="000000" w:sz="12" w:space="0"/>
              <w:right w:val="single" w:color="000000" w:sz="4" w:space="0"/>
            </w:tcBorders>
            <w:vAlign w:val="center"/>
          </w:tcPr>
          <w:p>
            <w:pPr>
              <w:spacing w:before="133" w:line="195" w:lineRule="auto"/>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6</w:t>
            </w:r>
            <w:r>
              <w:rPr>
                <w:rFonts w:ascii="Times New Roman" w:hAnsi="Times New Roman" w:eastAsia="宋体" w:cs="Times New Roman"/>
                <w:sz w:val="21"/>
                <w:szCs w:val="21"/>
              </w:rPr>
              <w:t>0</w:t>
            </w:r>
          </w:p>
        </w:tc>
        <w:tc>
          <w:tcPr>
            <w:tcW w:w="1964" w:type="pct"/>
            <w:tcBorders>
              <w:left w:val="single" w:color="000000" w:sz="4" w:space="0"/>
              <w:bottom w:val="single" w:color="000000" w:sz="12" w:space="0"/>
              <w:right w:val="nil"/>
            </w:tcBorders>
            <w:vAlign w:val="center"/>
          </w:tcPr>
          <w:p>
            <w:pPr>
              <w:spacing w:before="133" w:line="195"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r>
    </w:tbl>
    <w:p>
      <w:pPr>
        <w:spacing w:before="142" w:line="360" w:lineRule="auto"/>
        <w:ind w:left="117" w:right="293" w:firstLine="480"/>
        <w:jc w:val="both"/>
        <w:outlineLvl w:val="2"/>
        <w:rPr>
          <w:rFonts w:hint="eastAsia" w:ascii="Times New Roman" w:hAnsi="Times New Roman" w:eastAsia="宋体" w:cs="Times New Roman"/>
          <w:b/>
          <w:bCs/>
          <w:spacing w:val="11"/>
          <w:sz w:val="24"/>
          <w:szCs w:val="24"/>
          <w:lang w:val="en-US" w:eastAsia="zh-CN"/>
        </w:rPr>
      </w:pPr>
      <w:bookmarkStart w:id="45" w:name="_Toc5239"/>
      <w:r>
        <w:rPr>
          <w:rFonts w:hint="eastAsia" w:ascii="Times New Roman" w:hAnsi="Times New Roman" w:eastAsia="宋体" w:cs="Times New Roman"/>
          <w:b/>
          <w:bCs/>
          <w:spacing w:val="11"/>
          <w:sz w:val="24"/>
          <w:szCs w:val="24"/>
          <w:lang w:val="en-US" w:eastAsia="zh-CN"/>
        </w:rPr>
        <w:t>2.5.3 污染物排放标准</w:t>
      </w:r>
      <w:bookmarkEnd w:id="45"/>
    </w:p>
    <w:p>
      <w:pPr>
        <w:spacing w:before="142" w:line="360" w:lineRule="auto"/>
        <w:ind w:left="117" w:right="293" w:firstLine="480"/>
        <w:jc w:val="both"/>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1 、大气污染物</w:t>
      </w:r>
    </w:p>
    <w:p>
      <w:pPr>
        <w:spacing w:before="142" w:afterAutospacing="0" w:line="360" w:lineRule="auto"/>
        <w:ind w:left="117" w:right="293" w:firstLine="480"/>
        <w:jc w:val="both"/>
        <w:rPr>
          <w:rFonts w:ascii="宋体" w:hAnsi="宋体" w:eastAsia="宋体" w:cs="宋体"/>
          <w:sz w:val="23"/>
          <w:szCs w:val="23"/>
        </w:rPr>
      </w:pPr>
      <w:r>
        <w:rPr>
          <w:rFonts w:hint="eastAsia" w:ascii="Times New Roman" w:hAnsi="Times New Roman" w:eastAsia="宋体" w:cs="Times New Roman"/>
          <w:b w:val="0"/>
          <w:bCs w:val="0"/>
          <w:spacing w:val="11"/>
          <w:sz w:val="24"/>
          <w:szCs w:val="24"/>
          <w:lang w:val="en-US" w:eastAsia="zh-CN"/>
        </w:rPr>
        <w:t>项目实验室产生的氯化氢、NOx、硫酸雾、非甲烷总烃执行《大气污染物综合排放标准》（GB16297-1996）表 2 新污染源大气污染物排放限值；项目污水处理站废气排放执行《医疗机构水污染物排放标准》（GB18466-2005）中表3 中“污水处理站周边大气污染物最高允许浓度”相应标准；项目厂界臭气浓度、氨、硫化氢执行《恶臭污染物排放标准》（GB14554-93）表 1 二级“新改扩建”厂界标准值要求。具体标准值见下表</w:t>
      </w:r>
      <w:r>
        <w:rPr>
          <w:rFonts w:ascii="宋体" w:hAnsi="宋体" w:eastAsia="宋体" w:cs="宋体"/>
          <w:sz w:val="23"/>
          <w:szCs w:val="23"/>
        </w:rPr>
        <w:t>。</w:t>
      </w:r>
    </w:p>
    <w:p>
      <w:pPr>
        <w:spacing w:beforeAutospacing="0" w:line="280" w:lineRule="auto"/>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 xml:space="preserve">表 </w:t>
      </w:r>
      <w:r>
        <w:rPr>
          <w:rFonts w:hint="eastAsia" w:ascii="Times New Roman" w:hAnsi="Times New Roman" w:eastAsia="宋体" w:cs="Times New Roman"/>
          <w:b/>
          <w:bCs/>
          <w:snapToGrid w:val="0"/>
          <w:color w:val="000000"/>
          <w:spacing w:val="0"/>
          <w:kern w:val="0"/>
          <w:sz w:val="21"/>
          <w:szCs w:val="21"/>
          <w:lang w:val="en-US" w:eastAsia="zh-CN" w:bidi="ar-SA"/>
        </w:rPr>
        <w:t>2.5</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eastAsia" w:ascii="Times New Roman" w:hAnsi="Times New Roman" w:eastAsia="宋体" w:cs="Times New Roman"/>
          <w:b/>
          <w:bCs/>
          <w:snapToGrid w:val="0"/>
          <w:color w:val="000000"/>
          <w:spacing w:val="0"/>
          <w:kern w:val="0"/>
          <w:sz w:val="21"/>
          <w:szCs w:val="21"/>
          <w:lang w:val="en-US" w:eastAsia="zh-CN" w:bidi="ar-SA"/>
        </w:rPr>
        <w:t xml:space="preserve">8 </w:t>
      </w:r>
      <w:r>
        <w:rPr>
          <w:rFonts w:hint="default" w:ascii="Times New Roman" w:hAnsi="Times New Roman" w:eastAsia="宋体" w:cs="Times New Roman"/>
          <w:b/>
          <w:bCs/>
          <w:snapToGrid w:val="0"/>
          <w:color w:val="000000"/>
          <w:spacing w:val="0"/>
          <w:kern w:val="0"/>
          <w:sz w:val="21"/>
          <w:szCs w:val="21"/>
          <w:lang w:val="en-US" w:eastAsia="zh-CN" w:bidi="ar-SA"/>
        </w:rPr>
        <w:t xml:space="preserve">《大气污染物综合排放标准》  ( GB16297-1996)   </w:t>
      </w:r>
    </w:p>
    <w:p>
      <w:pPr>
        <w:spacing w:line="115" w:lineRule="exact"/>
      </w:pPr>
    </w:p>
    <w:tbl>
      <w:tblPr>
        <w:tblStyle w:val="34"/>
        <w:tblW w:w="4996"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893"/>
        <w:gridCol w:w="1930"/>
        <w:gridCol w:w="1665"/>
        <w:gridCol w:w="1412"/>
        <w:gridCol w:w="1206"/>
        <w:gridCol w:w="163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污染物</w:t>
            </w:r>
          </w:p>
        </w:tc>
        <w:tc>
          <w:tcPr>
            <w:tcW w:w="99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最高允许排放浓度 (mg/m</w:t>
            </w:r>
            <w:r>
              <w:rPr>
                <w:rFonts w:hint="default" w:ascii="Times New Roman" w:hAnsi="Times New Roman" w:eastAsia="宋体" w:cs="Times New Roman"/>
                <w:b/>
                <w:bCs/>
                <w:kern w:val="2"/>
                <w:sz w:val="21"/>
                <w:szCs w:val="21"/>
                <w:vertAlign w:val="superscript"/>
                <w:lang w:val="en-US" w:eastAsia="zh-CN" w:bidi="ar-SA"/>
              </w:rPr>
              <w:t>3</w:t>
            </w:r>
            <w:r>
              <w:rPr>
                <w:rFonts w:hint="default" w:ascii="Times New Roman" w:hAnsi="Times New Roman" w:eastAsia="宋体" w:cs="Times New Roman"/>
                <w:b/>
                <w:bCs/>
                <w:kern w:val="2"/>
                <w:sz w:val="21"/>
                <w:szCs w:val="21"/>
                <w:lang w:val="en-US" w:eastAsia="zh-CN" w:bidi="ar-SA"/>
              </w:rPr>
              <w:t xml:space="preserve"> )</w:t>
            </w:r>
          </w:p>
        </w:tc>
        <w:tc>
          <w:tcPr>
            <w:tcW w:w="1580"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最高允许排放速率 (kg/h)</w:t>
            </w:r>
          </w:p>
        </w:tc>
        <w:tc>
          <w:tcPr>
            <w:tcW w:w="1455"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tc>
        <w:tc>
          <w:tcPr>
            <w:tcW w:w="99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tc>
        <w:tc>
          <w:tcPr>
            <w:tcW w:w="8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排气筒高度</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 m )</w:t>
            </w:r>
          </w:p>
        </w:tc>
        <w:tc>
          <w:tcPr>
            <w:tcW w:w="7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 xml:space="preserve">二级 </w:t>
            </w:r>
          </w:p>
        </w:tc>
        <w:tc>
          <w:tcPr>
            <w:tcW w:w="61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监控点</w:t>
            </w:r>
          </w:p>
        </w:tc>
        <w:tc>
          <w:tcPr>
            <w:tcW w:w="8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浓度  (mg/m</w:t>
            </w:r>
            <w:r>
              <w:rPr>
                <w:rFonts w:hint="default" w:ascii="Times New Roman" w:hAnsi="Times New Roman" w:eastAsia="宋体" w:cs="Times New Roman"/>
                <w:b/>
                <w:bCs/>
                <w:kern w:val="2"/>
                <w:sz w:val="21"/>
                <w:szCs w:val="21"/>
                <w:vertAlign w:val="superscript"/>
                <w:lang w:val="en-US" w:eastAsia="zh-CN" w:bidi="ar-SA"/>
              </w:rPr>
              <w:t>3</w:t>
            </w:r>
            <w:r>
              <w:rPr>
                <w:rFonts w:hint="default" w:ascii="Times New Roman" w:hAnsi="Times New Roman" w:eastAsia="宋体" w:cs="Times New Roman"/>
                <w:b/>
                <w:bCs/>
                <w:kern w:val="2"/>
                <w:sz w:val="21"/>
                <w:szCs w:val="21"/>
                <w:lang w:val="en-US" w:eastAsia="zh-CN" w:bidi="ar-SA"/>
              </w:rPr>
              <w:t xml:space="preserve">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氯化氢</w:t>
            </w:r>
          </w:p>
        </w:tc>
        <w:tc>
          <w:tcPr>
            <w:tcW w:w="9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default" w:eastAsia="宋体" w:cs="Times New Roman"/>
                <w:kern w:val="2"/>
                <w:sz w:val="21"/>
                <w:szCs w:val="21"/>
                <w:lang w:val="en-US" w:eastAsia="zh-CN" w:bidi="ar-SA"/>
              </w:rPr>
              <w:t>1</w:t>
            </w:r>
            <w:r>
              <w:rPr>
                <w:rFonts w:hint="eastAsia" w:eastAsia="宋体" w:cs="Times New Roman"/>
                <w:kern w:val="2"/>
                <w:sz w:val="21"/>
                <w:szCs w:val="21"/>
                <w:lang w:val="en-US" w:eastAsia="zh-CN" w:bidi="ar-SA"/>
              </w:rPr>
              <w:t>0</w:t>
            </w:r>
            <w:r>
              <w:rPr>
                <w:rFonts w:hint="default" w:eastAsia="宋体" w:cs="Times New Roman"/>
                <w:kern w:val="2"/>
                <w:sz w:val="21"/>
                <w:szCs w:val="21"/>
                <w:lang w:val="en-US" w:eastAsia="zh-CN" w:bidi="ar-SA"/>
              </w:rPr>
              <w:t>0</w:t>
            </w:r>
          </w:p>
        </w:tc>
        <w:tc>
          <w:tcPr>
            <w:tcW w:w="8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17</w:t>
            </w:r>
          </w:p>
        </w:tc>
        <w:tc>
          <w:tcPr>
            <w:tcW w:w="7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0.328</w:t>
            </w:r>
          </w:p>
        </w:tc>
        <w:tc>
          <w:tcPr>
            <w:tcW w:w="61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周界外浓</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度最高点</w:t>
            </w:r>
          </w:p>
        </w:tc>
        <w:tc>
          <w:tcPr>
            <w:tcW w:w="8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NOx</w:t>
            </w:r>
          </w:p>
        </w:tc>
        <w:tc>
          <w:tcPr>
            <w:tcW w:w="9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default" w:eastAsia="宋体" w:cs="Times New Roman"/>
                <w:kern w:val="2"/>
                <w:sz w:val="21"/>
                <w:szCs w:val="21"/>
                <w:lang w:val="en-US" w:eastAsia="zh-CN" w:bidi="ar-SA"/>
              </w:rPr>
              <w:t>240</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17</w:t>
            </w:r>
          </w:p>
        </w:tc>
        <w:tc>
          <w:tcPr>
            <w:tcW w:w="7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0.982</w:t>
            </w:r>
          </w:p>
        </w:tc>
        <w:tc>
          <w:tcPr>
            <w:tcW w:w="61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非甲烷总烃</w:t>
            </w:r>
          </w:p>
        </w:tc>
        <w:tc>
          <w:tcPr>
            <w:tcW w:w="9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120</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17</w:t>
            </w:r>
          </w:p>
        </w:tc>
        <w:tc>
          <w:tcPr>
            <w:tcW w:w="7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12.8</w:t>
            </w:r>
          </w:p>
        </w:tc>
        <w:tc>
          <w:tcPr>
            <w:tcW w:w="61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4.0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硫酸雾</w:t>
            </w:r>
          </w:p>
        </w:tc>
        <w:tc>
          <w:tcPr>
            <w:tcW w:w="9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default" w:eastAsia="宋体" w:cs="Times New Roman"/>
                <w:kern w:val="2"/>
                <w:sz w:val="21"/>
                <w:szCs w:val="21"/>
                <w:lang w:val="en-US" w:eastAsia="zh-CN" w:bidi="ar-SA"/>
              </w:rPr>
              <w:t>45</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17</w:t>
            </w:r>
          </w:p>
        </w:tc>
        <w:tc>
          <w:tcPr>
            <w:tcW w:w="7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1.94</w:t>
            </w:r>
          </w:p>
        </w:tc>
        <w:tc>
          <w:tcPr>
            <w:tcW w:w="61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00" w:type="pct"/>
            <w:gridSpan w:val="6"/>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备注：本项目排气筒高度为17m，</w:t>
            </w:r>
            <w:r>
              <w:rPr>
                <w:rFonts w:hint="default" w:eastAsia="宋体" w:cs="Times New Roman"/>
                <w:kern w:val="2"/>
                <w:sz w:val="21"/>
                <w:szCs w:val="21"/>
                <w:lang w:val="en-US" w:eastAsia="zh-CN" w:bidi="ar-SA"/>
              </w:rPr>
              <w:t>最高允许排放速率</w:t>
            </w:r>
            <w:r>
              <w:rPr>
                <w:rFonts w:hint="eastAsia" w:eastAsia="宋体" w:cs="Times New Roman"/>
                <w:kern w:val="2"/>
                <w:sz w:val="21"/>
                <w:szCs w:val="21"/>
                <w:lang w:val="en-US" w:eastAsia="zh-CN" w:bidi="ar-SA"/>
              </w:rPr>
              <w:t>依据内插法计算得出</w:t>
            </w:r>
          </w:p>
        </w:tc>
      </w:tr>
    </w:tbl>
    <w:p>
      <w:pPr>
        <w:spacing w:before="0" w:beforeLines="50" w:beforeAutospacing="0" w:line="280" w:lineRule="auto"/>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 xml:space="preserve">表 </w:t>
      </w:r>
      <w:r>
        <w:rPr>
          <w:rFonts w:hint="eastAsia" w:ascii="Times New Roman" w:hAnsi="Times New Roman" w:eastAsia="宋体" w:cs="Times New Roman"/>
          <w:b/>
          <w:bCs/>
          <w:snapToGrid w:val="0"/>
          <w:color w:val="000000"/>
          <w:spacing w:val="0"/>
          <w:kern w:val="0"/>
          <w:sz w:val="21"/>
          <w:szCs w:val="21"/>
          <w:lang w:val="en-US" w:eastAsia="zh-CN" w:bidi="ar-SA"/>
        </w:rPr>
        <w:t>2.5</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eastAsia" w:ascii="Times New Roman" w:hAnsi="Times New Roman" w:eastAsia="宋体" w:cs="Times New Roman"/>
          <w:b/>
          <w:bCs/>
          <w:snapToGrid w:val="0"/>
          <w:color w:val="000000"/>
          <w:spacing w:val="0"/>
          <w:kern w:val="0"/>
          <w:sz w:val="21"/>
          <w:szCs w:val="21"/>
          <w:lang w:val="en-US" w:eastAsia="zh-CN" w:bidi="ar-SA"/>
        </w:rPr>
        <w:t xml:space="preserve">9 </w:t>
      </w:r>
      <w:r>
        <w:rPr>
          <w:rFonts w:hint="default" w:ascii="Times New Roman" w:hAnsi="Times New Roman" w:eastAsia="宋体" w:cs="Times New Roman"/>
          <w:b/>
          <w:bCs/>
          <w:snapToGrid w:val="0"/>
          <w:color w:val="000000"/>
          <w:spacing w:val="0"/>
          <w:kern w:val="0"/>
          <w:sz w:val="21"/>
          <w:szCs w:val="21"/>
          <w:lang w:val="en-US" w:eastAsia="zh-CN" w:bidi="ar-SA"/>
        </w:rPr>
        <w:t xml:space="preserve">《医疗机构水污染物排放标准》（GB18466-2005)  </w:t>
      </w:r>
    </w:p>
    <w:p>
      <w:pPr>
        <w:spacing w:line="115" w:lineRule="exact"/>
      </w:pP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901"/>
        <w:gridCol w:w="2481"/>
        <w:gridCol w:w="336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0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污染物</w:t>
            </w:r>
          </w:p>
        </w:tc>
        <w:tc>
          <w:tcPr>
            <w:tcW w:w="2997"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0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tc>
        <w:tc>
          <w:tcPr>
            <w:tcW w:w="12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监控点</w:t>
            </w:r>
          </w:p>
        </w:tc>
        <w:tc>
          <w:tcPr>
            <w:tcW w:w="17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标准值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氨</w:t>
            </w:r>
            <w:r>
              <w:rPr>
                <w:rFonts w:hint="default"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val="0"/>
                <w:bCs w:val="0"/>
                <w:kern w:val="2"/>
                <w:sz w:val="21"/>
                <w:szCs w:val="21"/>
                <w:lang w:val="en-US" w:eastAsia="zh-CN" w:bidi="ar-SA"/>
              </w:rPr>
              <w:t>(mg/m</w:t>
            </w:r>
            <w:r>
              <w:rPr>
                <w:rFonts w:hint="default" w:ascii="Times New Roman" w:hAnsi="Times New Roman" w:eastAsia="宋体" w:cs="Times New Roman"/>
                <w:b w:val="0"/>
                <w:bCs w:val="0"/>
                <w:kern w:val="2"/>
                <w:sz w:val="21"/>
                <w:szCs w:val="21"/>
                <w:vertAlign w:val="superscript"/>
                <w:lang w:val="en-US" w:eastAsia="zh-CN" w:bidi="ar-SA"/>
              </w:rPr>
              <w:t>3</w:t>
            </w:r>
            <w:r>
              <w:rPr>
                <w:rFonts w:hint="default" w:ascii="Times New Roman" w:hAnsi="Times New Roman" w:eastAsia="宋体" w:cs="Times New Roman"/>
                <w:b w:val="0"/>
                <w:bCs w:val="0"/>
                <w:kern w:val="2"/>
                <w:sz w:val="21"/>
                <w:szCs w:val="21"/>
                <w:lang w:val="en-US" w:eastAsia="zh-CN" w:bidi="ar-SA"/>
              </w:rPr>
              <w:t xml:space="preserve"> )</w:t>
            </w:r>
          </w:p>
        </w:tc>
        <w:tc>
          <w:tcPr>
            <w:tcW w:w="1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污水处理站周边</w:t>
            </w:r>
          </w:p>
        </w:tc>
        <w:tc>
          <w:tcPr>
            <w:tcW w:w="17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硫化氢</w:t>
            </w:r>
            <w:r>
              <w:rPr>
                <w:rFonts w:hint="default" w:ascii="Times New Roman" w:hAnsi="Times New Roman" w:eastAsia="宋体" w:cs="Times New Roman"/>
                <w:b w:val="0"/>
                <w:bCs w:val="0"/>
                <w:kern w:val="2"/>
                <w:sz w:val="21"/>
                <w:szCs w:val="21"/>
                <w:lang w:val="en-US" w:eastAsia="zh-CN" w:bidi="ar-SA"/>
              </w:rPr>
              <w:t>(mg/m</w:t>
            </w:r>
            <w:r>
              <w:rPr>
                <w:rFonts w:hint="default" w:ascii="Times New Roman" w:hAnsi="Times New Roman" w:eastAsia="宋体" w:cs="Times New Roman"/>
                <w:b w:val="0"/>
                <w:bCs w:val="0"/>
                <w:kern w:val="2"/>
                <w:sz w:val="21"/>
                <w:szCs w:val="21"/>
                <w:vertAlign w:val="superscript"/>
                <w:lang w:val="en-US" w:eastAsia="zh-CN" w:bidi="ar-SA"/>
              </w:rPr>
              <w:t>3</w:t>
            </w:r>
            <w:r>
              <w:rPr>
                <w:rFonts w:hint="default" w:ascii="Times New Roman" w:hAnsi="Times New Roman" w:eastAsia="宋体" w:cs="Times New Roman"/>
                <w:b w:val="0"/>
                <w:bCs w:val="0"/>
                <w:kern w:val="2"/>
                <w:sz w:val="21"/>
                <w:szCs w:val="21"/>
                <w:lang w:val="en-US" w:eastAsia="zh-CN" w:bidi="ar-SA"/>
              </w:rPr>
              <w:t xml:space="preserve"> )</w:t>
            </w:r>
          </w:p>
        </w:tc>
        <w:tc>
          <w:tcPr>
            <w:tcW w:w="1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7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r>
              <w:rPr>
                <w:rFonts w:hint="eastAsia" w:eastAsia="宋体" w:cs="Times New Roman"/>
                <w:kern w:val="2"/>
                <w:sz w:val="21"/>
                <w:szCs w:val="21"/>
                <w:lang w:val="en-US" w:eastAsia="zh-CN" w:bidi="ar-SA"/>
              </w:rPr>
              <w:t>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0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臭气浓度</w:t>
            </w:r>
            <w:r>
              <w:rPr>
                <w:rFonts w:hint="default" w:ascii="Times New Roman" w:hAnsi="Times New Roman" w:eastAsia="宋体" w:cs="Times New Roman"/>
                <w:b w:val="0"/>
                <w:bCs w:val="0"/>
                <w:kern w:val="2"/>
                <w:sz w:val="21"/>
                <w:szCs w:val="21"/>
                <w:lang w:val="en-US" w:eastAsia="zh-CN" w:bidi="ar-SA"/>
              </w:rPr>
              <w:t>(</w:t>
            </w:r>
            <w:r>
              <w:rPr>
                <w:rFonts w:hint="eastAsia" w:eastAsia="宋体" w:cs="Times New Roman"/>
                <w:b w:val="0"/>
                <w:bCs w:val="0"/>
                <w:kern w:val="2"/>
                <w:sz w:val="21"/>
                <w:szCs w:val="21"/>
                <w:lang w:val="en-US" w:eastAsia="zh-CN" w:bidi="ar-SA"/>
              </w:rPr>
              <w:t>无量纲</w:t>
            </w:r>
            <w:r>
              <w:rPr>
                <w:rFonts w:hint="default" w:ascii="Times New Roman" w:hAnsi="Times New Roman" w:eastAsia="宋体" w:cs="Times New Roman"/>
                <w:b w:val="0"/>
                <w:bCs w:val="0"/>
                <w:kern w:val="2"/>
                <w:sz w:val="21"/>
                <w:szCs w:val="21"/>
                <w:lang w:val="en-US" w:eastAsia="zh-CN" w:bidi="ar-SA"/>
              </w:rPr>
              <w:t xml:space="preserve"> )</w:t>
            </w:r>
          </w:p>
        </w:tc>
        <w:tc>
          <w:tcPr>
            <w:tcW w:w="1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7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10</w:t>
            </w:r>
          </w:p>
        </w:tc>
      </w:tr>
    </w:tbl>
    <w:p>
      <w:pPr>
        <w:spacing w:before="0" w:beforeLines="50" w:beforeAutospacing="0" w:line="280" w:lineRule="auto"/>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 xml:space="preserve">表 </w:t>
      </w:r>
      <w:r>
        <w:rPr>
          <w:rFonts w:hint="eastAsia" w:ascii="Times New Roman" w:hAnsi="Times New Roman" w:eastAsia="宋体" w:cs="Times New Roman"/>
          <w:b/>
          <w:bCs/>
          <w:snapToGrid w:val="0"/>
          <w:color w:val="000000"/>
          <w:spacing w:val="0"/>
          <w:kern w:val="0"/>
          <w:sz w:val="21"/>
          <w:szCs w:val="21"/>
          <w:lang w:val="en-US" w:eastAsia="zh-CN" w:bidi="ar-SA"/>
        </w:rPr>
        <w:t>2.5</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eastAsia" w:ascii="Times New Roman" w:hAnsi="Times New Roman" w:eastAsia="宋体" w:cs="Times New Roman"/>
          <w:b/>
          <w:bCs/>
          <w:snapToGrid w:val="0"/>
          <w:color w:val="000000"/>
          <w:spacing w:val="0"/>
          <w:kern w:val="0"/>
          <w:sz w:val="21"/>
          <w:szCs w:val="21"/>
          <w:lang w:val="en-US" w:eastAsia="zh-CN" w:bidi="ar-SA"/>
        </w:rPr>
        <w:t>10 《恶臭污染物排放标准》(GB14554-93)</w:t>
      </w:r>
      <w:r>
        <w:rPr>
          <w:rFonts w:hint="default" w:ascii="Times New Roman" w:hAnsi="Times New Roman" w:eastAsia="宋体" w:cs="Times New Roman"/>
          <w:b/>
          <w:bCs/>
          <w:snapToGrid w:val="0"/>
          <w:color w:val="000000"/>
          <w:spacing w:val="0"/>
          <w:kern w:val="0"/>
          <w:sz w:val="21"/>
          <w:szCs w:val="21"/>
          <w:lang w:val="en-US" w:eastAsia="zh-CN" w:bidi="ar-SA"/>
        </w:rPr>
        <w:t xml:space="preserve">  </w:t>
      </w:r>
    </w:p>
    <w:p>
      <w:pPr>
        <w:spacing w:line="115" w:lineRule="exact"/>
      </w:pPr>
    </w:p>
    <w:tbl>
      <w:tblPr>
        <w:tblStyle w:val="34"/>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785"/>
        <w:gridCol w:w="2785"/>
        <w:gridCol w:w="1772"/>
        <w:gridCol w:w="240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序号</w:t>
            </w:r>
          </w:p>
        </w:tc>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污染物</w:t>
            </w:r>
          </w:p>
        </w:tc>
        <w:tc>
          <w:tcPr>
            <w:tcW w:w="2141"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1</w:t>
            </w:r>
          </w:p>
        </w:tc>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氨</w:t>
            </w:r>
            <w:r>
              <w:rPr>
                <w:rFonts w:hint="default"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val="0"/>
                <w:bCs w:val="0"/>
                <w:kern w:val="2"/>
                <w:sz w:val="21"/>
                <w:szCs w:val="21"/>
                <w:lang w:val="en-US" w:eastAsia="zh-CN" w:bidi="ar-SA"/>
              </w:rPr>
              <w:t>(mg/m</w:t>
            </w:r>
            <w:r>
              <w:rPr>
                <w:rFonts w:hint="default" w:ascii="Times New Roman" w:hAnsi="Times New Roman" w:eastAsia="宋体" w:cs="Times New Roman"/>
                <w:b w:val="0"/>
                <w:bCs w:val="0"/>
                <w:kern w:val="2"/>
                <w:sz w:val="21"/>
                <w:szCs w:val="21"/>
                <w:vertAlign w:val="superscript"/>
                <w:lang w:val="en-US" w:eastAsia="zh-CN" w:bidi="ar-SA"/>
              </w:rPr>
              <w:t>3</w:t>
            </w:r>
            <w:r>
              <w:rPr>
                <w:rFonts w:hint="default" w:ascii="Times New Roman" w:hAnsi="Times New Roman" w:eastAsia="宋体" w:cs="Times New Roman"/>
                <w:b w:val="0"/>
                <w:bCs w:val="0"/>
                <w:kern w:val="2"/>
                <w:sz w:val="21"/>
                <w:szCs w:val="21"/>
                <w:lang w:val="en-US" w:eastAsia="zh-CN" w:bidi="ar-SA"/>
              </w:rPr>
              <w:t xml:space="preserve"> )</w:t>
            </w:r>
          </w:p>
        </w:tc>
        <w:tc>
          <w:tcPr>
            <w:tcW w:w="9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厂</w:t>
            </w:r>
            <w:r>
              <w:rPr>
                <w:rFonts w:hint="default" w:ascii="Times New Roman" w:hAnsi="Times New Roman" w:eastAsia="宋体" w:cs="Times New Roman"/>
                <w:kern w:val="2"/>
                <w:sz w:val="21"/>
                <w:szCs w:val="21"/>
                <w:lang w:val="en-US" w:eastAsia="zh-CN" w:bidi="ar-SA"/>
              </w:rPr>
              <w:t>界外浓</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度最高点</w:t>
            </w:r>
          </w:p>
        </w:tc>
        <w:tc>
          <w:tcPr>
            <w:tcW w:w="240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2</w:t>
            </w:r>
          </w:p>
        </w:tc>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硫化氢</w:t>
            </w:r>
            <w:r>
              <w:rPr>
                <w:rFonts w:hint="default" w:ascii="Times New Roman" w:hAnsi="Times New Roman" w:eastAsia="宋体" w:cs="Times New Roman"/>
                <w:b w:val="0"/>
                <w:bCs w:val="0"/>
                <w:kern w:val="2"/>
                <w:sz w:val="21"/>
                <w:szCs w:val="21"/>
                <w:lang w:val="en-US" w:eastAsia="zh-CN" w:bidi="ar-SA"/>
              </w:rPr>
              <w:t>(mg/m</w:t>
            </w:r>
            <w:r>
              <w:rPr>
                <w:rFonts w:hint="default" w:ascii="Times New Roman" w:hAnsi="Times New Roman" w:eastAsia="宋体" w:cs="Times New Roman"/>
                <w:b w:val="0"/>
                <w:bCs w:val="0"/>
                <w:kern w:val="2"/>
                <w:sz w:val="21"/>
                <w:szCs w:val="21"/>
                <w:vertAlign w:val="superscript"/>
                <w:lang w:val="en-US" w:eastAsia="zh-CN" w:bidi="ar-SA"/>
              </w:rPr>
              <w:t>3</w:t>
            </w:r>
            <w:r>
              <w:rPr>
                <w:rFonts w:hint="default" w:ascii="Times New Roman" w:hAnsi="Times New Roman" w:eastAsia="宋体" w:cs="Times New Roman"/>
                <w:b w:val="0"/>
                <w:bCs w:val="0"/>
                <w:kern w:val="2"/>
                <w:sz w:val="21"/>
                <w:szCs w:val="21"/>
                <w:lang w:val="en-US" w:eastAsia="zh-CN" w:bidi="ar-SA"/>
              </w:rPr>
              <w:t xml:space="preserve"> )</w:t>
            </w:r>
          </w:p>
        </w:tc>
        <w:tc>
          <w:tcPr>
            <w:tcW w:w="9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240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r>
              <w:rPr>
                <w:rFonts w:hint="eastAsia" w:eastAsia="宋体" w:cs="Times New Roman"/>
                <w:kern w:val="2"/>
                <w:sz w:val="21"/>
                <w:szCs w:val="21"/>
                <w:lang w:val="en-US" w:eastAsia="zh-CN" w:bidi="ar-SA"/>
              </w:rPr>
              <w:t>06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kern w:val="2"/>
                <w:sz w:val="21"/>
                <w:szCs w:val="21"/>
                <w:lang w:val="en-US" w:eastAsia="zh-CN" w:bidi="ar-SA"/>
              </w:rPr>
            </w:pPr>
            <w:r>
              <w:rPr>
                <w:rFonts w:hint="eastAsia" w:eastAsia="宋体" w:cs="Times New Roman"/>
                <w:kern w:val="2"/>
                <w:sz w:val="21"/>
                <w:szCs w:val="21"/>
                <w:lang w:val="en-US" w:eastAsia="zh-CN" w:bidi="ar-SA"/>
              </w:rPr>
              <w:t>3</w:t>
            </w:r>
          </w:p>
        </w:tc>
        <w:tc>
          <w:tcPr>
            <w:tcW w:w="14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臭气浓度</w:t>
            </w:r>
            <w:r>
              <w:rPr>
                <w:rFonts w:hint="default" w:ascii="Times New Roman" w:hAnsi="Times New Roman" w:eastAsia="宋体" w:cs="Times New Roman"/>
                <w:b w:val="0"/>
                <w:bCs w:val="0"/>
                <w:kern w:val="2"/>
                <w:sz w:val="21"/>
                <w:szCs w:val="21"/>
                <w:lang w:val="en-US" w:eastAsia="zh-CN" w:bidi="ar-SA"/>
              </w:rPr>
              <w:t>(</w:t>
            </w:r>
            <w:r>
              <w:rPr>
                <w:rFonts w:hint="eastAsia" w:eastAsia="宋体" w:cs="Times New Roman"/>
                <w:b w:val="0"/>
                <w:bCs w:val="0"/>
                <w:kern w:val="2"/>
                <w:sz w:val="21"/>
                <w:szCs w:val="21"/>
                <w:lang w:val="en-US" w:eastAsia="zh-CN" w:bidi="ar-SA"/>
              </w:rPr>
              <w:t>无量纲</w:t>
            </w:r>
            <w:r>
              <w:rPr>
                <w:rFonts w:hint="default" w:ascii="Times New Roman" w:hAnsi="Times New Roman" w:eastAsia="宋体" w:cs="Times New Roman"/>
                <w:b w:val="0"/>
                <w:bCs w:val="0"/>
                <w:kern w:val="2"/>
                <w:sz w:val="21"/>
                <w:szCs w:val="21"/>
                <w:lang w:val="en-US" w:eastAsia="zh-CN" w:bidi="ar-SA"/>
              </w:rPr>
              <w:t xml:space="preserve"> )</w:t>
            </w:r>
          </w:p>
        </w:tc>
        <w:tc>
          <w:tcPr>
            <w:tcW w:w="9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240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20</w:t>
            </w:r>
          </w:p>
        </w:tc>
      </w:tr>
    </w:tbl>
    <w:p>
      <w:pPr>
        <w:keepNext w:val="0"/>
        <w:keepLines w:val="0"/>
        <w:pageBreakBefore w:val="0"/>
        <w:widowControl w:val="0"/>
        <w:kinsoku w:val="0"/>
        <w:wordWrap/>
        <w:overflowPunct/>
        <w:topLinePunct w:val="0"/>
        <w:autoSpaceDE w:val="0"/>
        <w:autoSpaceDN w:val="0"/>
        <w:bidi w:val="0"/>
        <w:adjustRightInd w:val="0"/>
        <w:snapToGrid w:val="0"/>
        <w:spacing w:before="142" w:line="360" w:lineRule="auto"/>
        <w:ind w:right="295" w:firstLine="524" w:firstLineChars="200"/>
        <w:jc w:val="both"/>
        <w:textAlignment w:val="baseline"/>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2、水污染物</w:t>
      </w:r>
    </w:p>
    <w:p>
      <w:pPr>
        <w:keepNext w:val="0"/>
        <w:keepLines w:val="0"/>
        <w:pageBreakBefore w:val="0"/>
        <w:widowControl w:val="0"/>
        <w:kinsoku w:val="0"/>
        <w:wordWrap/>
        <w:overflowPunct/>
        <w:topLinePunct w:val="0"/>
        <w:autoSpaceDE w:val="0"/>
        <w:autoSpaceDN w:val="0"/>
        <w:bidi w:val="0"/>
        <w:adjustRightInd w:val="0"/>
        <w:snapToGrid w:val="0"/>
        <w:spacing w:before="142" w:line="360" w:lineRule="auto"/>
        <w:ind w:right="295" w:firstLine="524" w:firstLineChars="200"/>
        <w:jc w:val="both"/>
        <w:textAlignment w:val="baseline"/>
        <w:rPr>
          <w:rFonts w:ascii="宋体" w:hAnsi="宋体" w:eastAsia="宋体" w:cs="宋体"/>
          <w:spacing w:val="2"/>
          <w:sz w:val="23"/>
          <w:szCs w:val="23"/>
        </w:rPr>
      </w:pPr>
      <w:r>
        <w:rPr>
          <w:rFonts w:hint="eastAsia" w:ascii="Times New Roman" w:hAnsi="Times New Roman" w:eastAsia="宋体" w:cs="Times New Roman"/>
          <w:b w:val="0"/>
          <w:bCs w:val="0"/>
          <w:spacing w:val="11"/>
          <w:sz w:val="24"/>
          <w:szCs w:val="24"/>
          <w:lang w:val="en-US" w:eastAsia="zh-CN"/>
        </w:rPr>
        <w:t>项目生活污水经过化粪池预处理后达到《污水综合排放标准》（GB8978-1996）表 4 中三级标准，同时满足宁远县污水处理厂进水水质标准后，排入市政污水管网；实验废水进入自建污水处理站处理达到《医疗机构水污染物排放标准》（GB18466-2005）表 2 中的预处理标准同时满足宁远县污水处理厂进水水质限值后排入市政污水管网，最终由宁远县污水处理厂统一处理达到《城镇污水处理厂污染物排放标准》（GB18918-2002）一级A标准后排入泠江</w:t>
      </w:r>
      <w:r>
        <w:rPr>
          <w:rFonts w:ascii="宋体" w:hAnsi="宋体" w:eastAsia="宋体" w:cs="宋体"/>
          <w:spacing w:val="2"/>
          <w:sz w:val="23"/>
          <w:szCs w:val="23"/>
        </w:rPr>
        <w:t>。</w:t>
      </w:r>
    </w:p>
    <w:p>
      <w:pPr>
        <w:spacing w:before="0" w:beforeLines="50" w:beforeAutospacing="0" w:line="280" w:lineRule="auto"/>
        <w:jc w:val="center"/>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表2.5</w:t>
      </w:r>
      <w:r>
        <w:rPr>
          <w:rFonts w:hint="default" w:ascii="Times New Roman" w:hAnsi="Times New Roman" w:eastAsia="宋体" w:cs="Times New Roman"/>
          <w:b/>
          <w:bCs/>
          <w:snapToGrid w:val="0"/>
          <w:color w:val="000000"/>
          <w:spacing w:val="0"/>
          <w:kern w:val="0"/>
          <w:sz w:val="21"/>
          <w:szCs w:val="21"/>
          <w:lang w:val="en-US" w:eastAsia="zh-CN" w:bidi="ar-SA"/>
        </w:rPr>
        <w:t>-1</w:t>
      </w:r>
      <w:r>
        <w:rPr>
          <w:rFonts w:hint="eastAsia" w:ascii="Times New Roman" w:hAnsi="Times New Roman" w:eastAsia="宋体" w:cs="Times New Roman"/>
          <w:b/>
          <w:bCs/>
          <w:snapToGrid w:val="0"/>
          <w:color w:val="000000"/>
          <w:spacing w:val="0"/>
          <w:kern w:val="0"/>
          <w:sz w:val="21"/>
          <w:szCs w:val="21"/>
          <w:lang w:val="en-US" w:eastAsia="zh-CN" w:bidi="ar-SA"/>
        </w:rPr>
        <w:t>1</w:t>
      </w:r>
      <w:r>
        <w:rPr>
          <w:rFonts w:hint="default" w:ascii="Times New Roman" w:hAnsi="Times New Roman" w:eastAsia="宋体" w:cs="Times New Roman"/>
          <w:b/>
          <w:bCs/>
          <w:snapToGrid w:val="0"/>
          <w:color w:val="000000"/>
          <w:spacing w:val="0"/>
          <w:kern w:val="0"/>
          <w:sz w:val="21"/>
          <w:szCs w:val="21"/>
          <w:lang w:val="en-US" w:eastAsia="zh-CN" w:bidi="ar-SA"/>
        </w:rPr>
        <w:t xml:space="preserve"> </w:t>
      </w:r>
      <w:r>
        <w:rPr>
          <w:rFonts w:hint="eastAsia" w:ascii="Times New Roman" w:hAnsi="Times New Roman" w:eastAsia="宋体" w:cs="Times New Roman"/>
          <w:b/>
          <w:bCs/>
          <w:snapToGrid w:val="0"/>
          <w:color w:val="000000"/>
          <w:spacing w:val="0"/>
          <w:kern w:val="0"/>
          <w:sz w:val="21"/>
          <w:szCs w:val="21"/>
          <w:lang w:val="en-US" w:eastAsia="zh-CN" w:bidi="ar-SA"/>
        </w:rPr>
        <w:t xml:space="preserve">《污水综合排放标准》（ </w:t>
      </w:r>
      <w:r>
        <w:rPr>
          <w:rFonts w:hint="default" w:ascii="Times New Roman" w:hAnsi="Times New Roman" w:eastAsia="宋体" w:cs="Times New Roman"/>
          <w:b/>
          <w:bCs/>
          <w:snapToGrid w:val="0"/>
          <w:color w:val="000000"/>
          <w:spacing w:val="0"/>
          <w:kern w:val="0"/>
          <w:sz w:val="21"/>
          <w:szCs w:val="21"/>
          <w:lang w:val="en-US" w:eastAsia="zh-CN" w:bidi="ar-SA"/>
        </w:rPr>
        <w:t>GB8978-1996</w:t>
      </w:r>
      <w:r>
        <w:rPr>
          <w:rFonts w:hint="eastAsia" w:ascii="Times New Roman" w:hAnsi="Times New Roman" w:eastAsia="宋体" w:cs="Times New Roman"/>
          <w:b/>
          <w:bCs/>
          <w:snapToGrid w:val="0"/>
          <w:color w:val="000000"/>
          <w:spacing w:val="0"/>
          <w:kern w:val="0"/>
          <w:sz w:val="21"/>
          <w:szCs w:val="21"/>
          <w:lang w:val="en-US" w:eastAsia="zh-CN" w:bidi="ar-SA"/>
        </w:rPr>
        <w:t>）（摘录）</w:t>
      </w: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869"/>
        <w:gridCol w:w="48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污染物</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标准值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500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BOD</w:t>
            </w:r>
            <w:r>
              <w:rPr>
                <w:rFonts w:hint="eastAsia" w:eastAsia="宋体" w:cs="Times New Roman"/>
                <w:kern w:val="2"/>
                <w:sz w:val="21"/>
                <w:szCs w:val="21"/>
                <w:vertAlign w:val="subscript"/>
                <w:lang w:val="en-US" w:eastAsia="zh-CN" w:bidi="ar-SA"/>
              </w:rPr>
              <w:t>5</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400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氨氮</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粪大肠菌群数</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5000</w:t>
            </w:r>
          </w:p>
        </w:tc>
      </w:tr>
    </w:tbl>
    <w:p>
      <w:pPr>
        <w:pStyle w:val="13"/>
        <w:rPr>
          <w:rFonts w:hint="eastAsia"/>
          <w:lang w:val="en-US" w:eastAsia="zh-CN"/>
        </w:rPr>
      </w:pPr>
    </w:p>
    <w:p>
      <w:pPr>
        <w:spacing w:before="0" w:beforeLines="50" w:beforeAutospacing="0" w:line="280" w:lineRule="auto"/>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 xml:space="preserve">表 </w:t>
      </w:r>
      <w:r>
        <w:rPr>
          <w:rFonts w:hint="eastAsia" w:ascii="Times New Roman" w:hAnsi="Times New Roman" w:eastAsia="宋体" w:cs="Times New Roman"/>
          <w:b/>
          <w:bCs/>
          <w:snapToGrid w:val="0"/>
          <w:color w:val="000000"/>
          <w:spacing w:val="0"/>
          <w:kern w:val="0"/>
          <w:sz w:val="21"/>
          <w:szCs w:val="21"/>
          <w:lang w:val="en-US" w:eastAsia="zh-CN" w:bidi="ar-SA"/>
        </w:rPr>
        <w:t>2.5</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eastAsia" w:ascii="Times New Roman" w:hAnsi="Times New Roman" w:eastAsia="宋体" w:cs="Times New Roman"/>
          <w:b/>
          <w:bCs/>
          <w:snapToGrid w:val="0"/>
          <w:color w:val="000000"/>
          <w:spacing w:val="0"/>
          <w:kern w:val="0"/>
          <w:sz w:val="21"/>
          <w:szCs w:val="21"/>
          <w:lang w:val="en-US" w:eastAsia="zh-CN" w:bidi="ar-SA"/>
        </w:rPr>
        <w:t>12 医疗机构水污染物排放标准摘录（单位：mg/L、粪大肠菌群：MPN/L）</w:t>
      </w:r>
      <w:r>
        <w:rPr>
          <w:rFonts w:hint="default" w:ascii="Times New Roman" w:hAnsi="Times New Roman" w:eastAsia="宋体" w:cs="Times New Roman"/>
          <w:b/>
          <w:bCs/>
          <w:snapToGrid w:val="0"/>
          <w:color w:val="000000"/>
          <w:spacing w:val="0"/>
          <w:kern w:val="0"/>
          <w:sz w:val="21"/>
          <w:szCs w:val="21"/>
          <w:lang w:val="en-US" w:eastAsia="zh-CN" w:bidi="ar-SA"/>
        </w:rPr>
        <w:t xml:space="preserve"> </w:t>
      </w:r>
    </w:p>
    <w:p>
      <w:pPr>
        <w:spacing w:line="115" w:lineRule="exact"/>
      </w:pP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869"/>
        <w:gridCol w:w="487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污染物</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eastAsia="宋体" w:cs="Times New Roman"/>
                <w:b/>
                <w:bCs/>
                <w:kern w:val="2"/>
                <w:sz w:val="21"/>
                <w:szCs w:val="21"/>
                <w:lang w:val="en-US" w:eastAsia="zh-CN" w:bidi="ar-SA"/>
              </w:rPr>
              <w:t>标准值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BODs</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氨氮</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粪大肠菌群数</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肠道致病菌</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肠道病毒</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动植物油</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石油类</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阴离子表面活性剂</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挥发酚</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总氰化物</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总汞</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总镉</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总铬</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六价铬</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总铅</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总砷</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总余氯1)、2)</w:t>
            </w:r>
          </w:p>
        </w:tc>
        <w:tc>
          <w:tcPr>
            <w:tcW w:w="250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00"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注：1）采用含氯消毒剂消毒的工艺控制要求为</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排放标准：消毒接触池接触时间≧1h，接触池出口总余氯 3~10mg/L。</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预处理标准：消毒接触池接触时间≧1h，接触池出口总余氯 2~8mg/L。</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2）采用其他消毒剂对总余氯不做要求。</w:t>
            </w:r>
          </w:p>
        </w:tc>
      </w:tr>
    </w:tbl>
    <w:p>
      <w:pPr>
        <w:spacing w:before="0" w:beforeLines="50" w:beforeAutospacing="0" w:line="280" w:lineRule="auto"/>
        <w:jc w:val="center"/>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 xml:space="preserve"> 表2.5-13  污水处理厂废水执行标准    单位：mg/L，pH除外</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2077"/>
        <w:gridCol w:w="905"/>
        <w:gridCol w:w="807"/>
        <w:gridCol w:w="809"/>
        <w:gridCol w:w="768"/>
        <w:gridCol w:w="876"/>
        <w:gridCol w:w="1006"/>
        <w:gridCol w:w="663"/>
        <w:gridCol w:w="743"/>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1065" w:type="pct"/>
            <w:vMerge w:val="restart"/>
            <w:tcBorders>
              <w:tl2br w:val="nil"/>
              <w:tr2bl w:val="nil"/>
            </w:tcBorders>
            <w:noWrap w:val="0"/>
            <w:vAlign w:val="center"/>
          </w:tcPr>
          <w:p>
            <w:pPr>
              <w:pStyle w:val="30"/>
              <w:jc w:val="center"/>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c>
          <w:tcPr>
            <w:tcW w:w="3934" w:type="pct"/>
            <w:gridSpan w:val="9"/>
            <w:tcBorders>
              <w:tl2br w:val="nil"/>
              <w:tr2bl w:val="nil"/>
            </w:tcBorders>
            <w:noWrap w:val="0"/>
            <w:vAlign w:val="center"/>
          </w:tcPr>
          <w:p>
            <w:pPr>
              <w:pStyle w:val="30"/>
              <w:jc w:val="center"/>
              <w:rPr>
                <w:rFonts w:ascii="Times New Roman" w:hAnsi="Times New Roman" w:eastAsia="宋体" w:cs="Times New Roman"/>
                <w:sz w:val="21"/>
                <w:szCs w:val="21"/>
              </w:rPr>
            </w:pPr>
            <w:r>
              <w:rPr>
                <w:rFonts w:ascii="Times New Roman" w:hAnsi="Times New Roman" w:eastAsia="宋体" w:cs="Times New Roman"/>
                <w:sz w:val="21"/>
                <w:szCs w:val="21"/>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1065" w:type="pct"/>
            <w:vMerge w:val="continue"/>
            <w:tcBorders>
              <w:tl2br w:val="nil"/>
              <w:tr2bl w:val="nil"/>
            </w:tcBorders>
            <w:noWrap w:val="0"/>
            <w:vAlign w:val="center"/>
          </w:tcPr>
          <w:p>
            <w:pPr>
              <w:pStyle w:val="30"/>
              <w:jc w:val="center"/>
              <w:rPr>
                <w:rFonts w:ascii="Times New Roman" w:hAnsi="Times New Roman" w:eastAsia="宋体" w:cs="Times New Roman"/>
                <w:sz w:val="21"/>
                <w:szCs w:val="21"/>
              </w:rPr>
            </w:pPr>
          </w:p>
        </w:tc>
        <w:tc>
          <w:tcPr>
            <w:tcW w:w="464"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414"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w:t>
            </w:r>
            <w:r>
              <w:rPr>
                <w:rFonts w:ascii="Times New Roman" w:hAnsi="Times New Roman" w:eastAsia="宋体" w:cs="Times New Roman"/>
                <w:color w:val="000000"/>
                <w:sz w:val="21"/>
                <w:szCs w:val="21"/>
                <w:vertAlign w:val="subscript"/>
              </w:rPr>
              <w:t>Cr</w:t>
            </w:r>
          </w:p>
        </w:tc>
        <w:tc>
          <w:tcPr>
            <w:tcW w:w="415"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BOD</w:t>
            </w:r>
            <w:r>
              <w:rPr>
                <w:rFonts w:ascii="Times New Roman" w:hAnsi="Times New Roman" w:eastAsia="宋体" w:cs="Times New Roman"/>
                <w:color w:val="000000"/>
                <w:sz w:val="21"/>
                <w:szCs w:val="21"/>
                <w:vertAlign w:val="subscript"/>
              </w:rPr>
              <w:t>5</w:t>
            </w:r>
          </w:p>
        </w:tc>
        <w:tc>
          <w:tcPr>
            <w:tcW w:w="394"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w:t>
            </w:r>
          </w:p>
        </w:tc>
        <w:tc>
          <w:tcPr>
            <w:tcW w:w="449"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w:t>
            </w:r>
          </w:p>
        </w:tc>
        <w:tc>
          <w:tcPr>
            <w:tcW w:w="516"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动植物油</w:t>
            </w:r>
          </w:p>
        </w:tc>
        <w:tc>
          <w:tcPr>
            <w:tcW w:w="340" w:type="pct"/>
            <w:tcBorders>
              <w:tl2br w:val="nil"/>
              <w:tr2bl w:val="nil"/>
            </w:tcBorders>
            <w:noWrap w:val="0"/>
            <w:vAlign w:val="center"/>
          </w:tcPr>
          <w:p>
            <w:pPr>
              <w:pStyle w:val="53"/>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总氮</w:t>
            </w:r>
          </w:p>
        </w:tc>
        <w:tc>
          <w:tcPr>
            <w:tcW w:w="381" w:type="pct"/>
            <w:tcBorders>
              <w:tl2br w:val="nil"/>
              <w:tr2bl w:val="nil"/>
            </w:tcBorders>
            <w:noWrap w:val="0"/>
            <w:vAlign w:val="center"/>
          </w:tcPr>
          <w:p>
            <w:pPr>
              <w:pStyle w:val="53"/>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总磷</w:t>
            </w:r>
          </w:p>
        </w:tc>
        <w:tc>
          <w:tcPr>
            <w:tcW w:w="557" w:type="pct"/>
            <w:tcBorders>
              <w:tl2br w:val="nil"/>
              <w:tr2bl w:val="nil"/>
            </w:tcBorders>
            <w:noWrap w:val="0"/>
            <w:vAlign w:val="center"/>
          </w:tcPr>
          <w:p>
            <w:pPr>
              <w:pStyle w:val="53"/>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粪大肠菌群</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个/L</w:t>
            </w:r>
            <w:r>
              <w:rPr>
                <w:rFonts w:hint="eastAsia" w:ascii="Times New Roman" w:hAnsi="Times New Roman" w:eastAsia="宋体" w:cs="Times New Roman"/>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1065"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宁远县污水处理厂纳管标准</w:t>
            </w:r>
          </w:p>
        </w:tc>
        <w:tc>
          <w:tcPr>
            <w:tcW w:w="464"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6.0~9.0</w:t>
            </w:r>
          </w:p>
        </w:tc>
        <w:tc>
          <w:tcPr>
            <w:tcW w:w="414"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00</w:t>
            </w:r>
          </w:p>
        </w:tc>
        <w:tc>
          <w:tcPr>
            <w:tcW w:w="415"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15</w:t>
            </w:r>
            <w:r>
              <w:rPr>
                <w:rFonts w:hint="eastAsia" w:ascii="Times New Roman" w:hAnsi="Times New Roman" w:eastAsia="宋体" w:cs="Times New Roman"/>
                <w:sz w:val="21"/>
                <w:szCs w:val="21"/>
              </w:rPr>
              <w:t>0</w:t>
            </w:r>
          </w:p>
        </w:tc>
        <w:tc>
          <w:tcPr>
            <w:tcW w:w="394"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21</w:t>
            </w:r>
            <w:r>
              <w:rPr>
                <w:rFonts w:hint="eastAsia" w:ascii="Times New Roman" w:hAnsi="Times New Roman" w:eastAsia="宋体" w:cs="Times New Roman"/>
                <w:sz w:val="21"/>
                <w:szCs w:val="21"/>
              </w:rPr>
              <w:t>0</w:t>
            </w:r>
          </w:p>
        </w:tc>
        <w:tc>
          <w:tcPr>
            <w:tcW w:w="449"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3</w:t>
            </w:r>
            <w:r>
              <w:rPr>
                <w:rFonts w:hint="eastAsia" w:ascii="Times New Roman" w:hAnsi="Times New Roman" w:eastAsia="宋体" w:cs="Times New Roman"/>
                <w:sz w:val="21"/>
                <w:szCs w:val="21"/>
              </w:rPr>
              <w:t>0</w:t>
            </w:r>
          </w:p>
        </w:tc>
        <w:tc>
          <w:tcPr>
            <w:tcW w:w="516"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340"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0</w:t>
            </w:r>
          </w:p>
        </w:tc>
        <w:tc>
          <w:tcPr>
            <w:tcW w:w="381" w:type="pct"/>
            <w:tcBorders>
              <w:tl2br w:val="nil"/>
              <w:tr2bl w:val="nil"/>
            </w:tcBorders>
            <w:noWrap w:val="0"/>
            <w:vAlign w:val="center"/>
          </w:tcPr>
          <w:p>
            <w:pPr>
              <w:pStyle w:val="3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557"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1065" w:type="pct"/>
            <w:tcBorders>
              <w:tl2br w:val="nil"/>
              <w:tr2bl w:val="nil"/>
            </w:tcBorders>
            <w:noWrap w:val="0"/>
            <w:vAlign w:val="center"/>
          </w:tcPr>
          <w:p>
            <w:pPr>
              <w:pStyle w:val="3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《城镇污水处理厂污染物排放标准》一级A类标准</w:t>
            </w:r>
          </w:p>
        </w:tc>
        <w:tc>
          <w:tcPr>
            <w:tcW w:w="464" w:type="pct"/>
            <w:tcBorders>
              <w:tl2br w:val="nil"/>
              <w:tr2bl w:val="nil"/>
            </w:tcBorders>
            <w:noWrap w:val="0"/>
            <w:vAlign w:val="center"/>
          </w:tcPr>
          <w:p>
            <w:pPr>
              <w:pStyle w:val="3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6.0~</w:t>
            </w:r>
            <w:r>
              <w:rPr>
                <w:rFonts w:hint="eastAsia" w:ascii="Times New Roman" w:hAnsi="Times New Roman" w:eastAsia="宋体" w:cs="Times New Roman"/>
                <w:sz w:val="21"/>
                <w:szCs w:val="21"/>
                <w:lang w:val="en-US" w:eastAsia="zh-CN"/>
              </w:rPr>
              <w:t>9.0</w:t>
            </w:r>
          </w:p>
        </w:tc>
        <w:tc>
          <w:tcPr>
            <w:tcW w:w="414" w:type="pct"/>
            <w:tcBorders>
              <w:tl2br w:val="nil"/>
              <w:tr2bl w:val="nil"/>
            </w:tcBorders>
            <w:noWrap w:val="0"/>
            <w:vAlign w:val="center"/>
          </w:tcPr>
          <w:p>
            <w:pPr>
              <w:pStyle w:val="3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50</w:t>
            </w:r>
          </w:p>
        </w:tc>
        <w:tc>
          <w:tcPr>
            <w:tcW w:w="415"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0</w:t>
            </w:r>
          </w:p>
        </w:tc>
        <w:tc>
          <w:tcPr>
            <w:tcW w:w="394" w:type="pct"/>
            <w:tcBorders>
              <w:tl2br w:val="nil"/>
              <w:tr2bl w:val="nil"/>
            </w:tcBorders>
            <w:noWrap w:val="0"/>
            <w:vAlign w:val="center"/>
          </w:tcPr>
          <w:p>
            <w:pPr>
              <w:pStyle w:val="3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r>
              <w:rPr>
                <w:rFonts w:ascii="Times New Roman" w:hAnsi="Times New Roman" w:eastAsia="宋体" w:cs="Times New Roman"/>
                <w:sz w:val="21"/>
                <w:szCs w:val="21"/>
              </w:rPr>
              <w:t>1</w:t>
            </w:r>
            <w:r>
              <w:rPr>
                <w:rFonts w:hint="eastAsia" w:ascii="Times New Roman" w:hAnsi="Times New Roman" w:eastAsia="宋体" w:cs="Times New Roman"/>
                <w:sz w:val="21"/>
                <w:szCs w:val="21"/>
              </w:rPr>
              <w:t>0</w:t>
            </w:r>
          </w:p>
        </w:tc>
        <w:tc>
          <w:tcPr>
            <w:tcW w:w="449" w:type="pct"/>
            <w:tcBorders>
              <w:tl2br w:val="nil"/>
              <w:tr2bl w:val="nil"/>
            </w:tcBorders>
            <w:noWrap w:val="0"/>
            <w:vAlign w:val="center"/>
          </w:tcPr>
          <w:p>
            <w:pPr>
              <w:pStyle w:val="3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5（8）</w:t>
            </w:r>
          </w:p>
        </w:tc>
        <w:tc>
          <w:tcPr>
            <w:tcW w:w="516" w:type="pct"/>
            <w:tcBorders>
              <w:tl2br w:val="nil"/>
              <w:tr2bl w:val="nil"/>
            </w:tcBorders>
            <w:noWrap w:val="0"/>
            <w:vAlign w:val="center"/>
          </w:tcPr>
          <w:p>
            <w:pPr>
              <w:pStyle w:val="3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p>
        </w:tc>
        <w:tc>
          <w:tcPr>
            <w:tcW w:w="340" w:type="pct"/>
            <w:tcBorders>
              <w:tl2br w:val="nil"/>
              <w:tr2bl w:val="nil"/>
            </w:tcBorders>
            <w:noWrap w:val="0"/>
            <w:vAlign w:val="center"/>
          </w:tcPr>
          <w:p>
            <w:pPr>
              <w:pStyle w:val="3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15</w:t>
            </w:r>
          </w:p>
        </w:tc>
        <w:tc>
          <w:tcPr>
            <w:tcW w:w="381" w:type="pct"/>
            <w:tcBorders>
              <w:tl2br w:val="nil"/>
              <w:tr2bl w:val="nil"/>
            </w:tcBorders>
            <w:noWrap w:val="0"/>
            <w:vAlign w:val="center"/>
          </w:tcPr>
          <w:p>
            <w:pPr>
              <w:pStyle w:val="3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p>
        </w:tc>
        <w:tc>
          <w:tcPr>
            <w:tcW w:w="557" w:type="pct"/>
            <w:tcBorders>
              <w:tl2br w:val="nil"/>
              <w:tr2bl w:val="nil"/>
            </w:tcBorders>
            <w:noWrap w:val="0"/>
            <w:vAlign w:val="center"/>
          </w:tcPr>
          <w:p>
            <w:pPr>
              <w:pStyle w:val="3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w:t>
            </w:r>
          </w:p>
        </w:tc>
      </w:tr>
    </w:tbl>
    <w:p>
      <w:pPr>
        <w:pStyle w:val="30"/>
        <w:rPr>
          <w:rFonts w:hint="default"/>
          <w:lang w:val="en-US" w:eastAsia="zh-CN"/>
        </w:rPr>
      </w:pPr>
    </w:p>
    <w:p>
      <w:pPr>
        <w:pStyle w:val="36"/>
        <w:keepNext w:val="0"/>
        <w:keepLines w:val="0"/>
        <w:pageBreakBefore w:val="0"/>
        <w:widowControl w:val="0"/>
        <w:kinsoku/>
        <w:wordWrap/>
        <w:overflowPunct/>
        <w:topLinePunct w:val="0"/>
        <w:autoSpaceDE/>
        <w:autoSpaceDN/>
        <w:bidi w:val="0"/>
        <w:adjustRightInd/>
        <w:snapToGrid/>
        <w:spacing w:before="0" w:beforeLines="50" w:beforeAutospacing="0" w:line="360" w:lineRule="auto"/>
        <w:ind w:right="0" w:firstLine="480" w:firstLineChars="200"/>
        <w:jc w:val="both"/>
        <w:textAlignment w:val="auto"/>
        <w:outlineLvl w:val="3"/>
        <w:rPr>
          <w:rFonts w:hint="default" w:eastAsia="宋体" w:cstheme="minorBidi"/>
          <w:snapToGrid/>
          <w:kern w:val="2"/>
          <w:sz w:val="24"/>
          <w:szCs w:val="24"/>
          <w:lang w:val="en-US" w:eastAsia="zh-CN" w:bidi="ar-SA"/>
        </w:rPr>
      </w:pPr>
      <w:r>
        <w:rPr>
          <w:rFonts w:hint="default" w:eastAsia="宋体" w:cstheme="minorBidi"/>
          <w:snapToGrid/>
          <w:kern w:val="2"/>
          <w:sz w:val="24"/>
          <w:szCs w:val="24"/>
          <w:lang w:val="en-US" w:eastAsia="zh-CN" w:bidi="ar-SA"/>
        </w:rPr>
        <w:t>3 、噪声</w:t>
      </w:r>
    </w:p>
    <w:p>
      <w:pPr>
        <w:pStyle w:val="36"/>
        <w:keepNext w:val="0"/>
        <w:keepLines w:val="0"/>
        <w:pageBreakBefore w:val="0"/>
        <w:widowControl w:val="0"/>
        <w:numPr>
          <w:ilvl w:val="0"/>
          <w:numId w:val="2"/>
        </w:numPr>
        <w:kinsoku/>
        <w:wordWrap/>
        <w:overflowPunct/>
        <w:topLinePunct w:val="0"/>
        <w:autoSpaceDE/>
        <w:autoSpaceDN/>
        <w:bidi w:val="0"/>
        <w:adjustRightInd/>
        <w:snapToGrid/>
        <w:spacing w:before="0" w:beforeLines="50" w:beforeAutospacing="0" w:line="360" w:lineRule="auto"/>
        <w:ind w:left="0" w:right="0" w:firstLine="480" w:firstLineChars="200"/>
        <w:jc w:val="both"/>
        <w:textAlignment w:val="auto"/>
        <w:rPr>
          <w:rFonts w:hint="default" w:eastAsia="宋体" w:cstheme="minorBidi"/>
          <w:snapToGrid/>
          <w:kern w:val="2"/>
          <w:sz w:val="24"/>
          <w:szCs w:val="24"/>
          <w:lang w:val="en-US" w:eastAsia="zh-CN" w:bidi="ar-SA"/>
        </w:rPr>
      </w:pPr>
      <w:r>
        <w:rPr>
          <w:rFonts w:hint="default" w:eastAsia="宋体" w:cstheme="minorBidi"/>
          <w:snapToGrid/>
          <w:kern w:val="2"/>
          <w:sz w:val="24"/>
          <w:szCs w:val="24"/>
          <w:lang w:val="en-US" w:eastAsia="zh-CN" w:bidi="ar-SA"/>
        </w:rPr>
        <w:t>施工期噪声执行《建筑施工场界环境噪声排放标准》(GB12523-2011) ，见表</w:t>
      </w:r>
      <w:r>
        <w:rPr>
          <w:rFonts w:hint="eastAsia" w:eastAsia="宋体" w:cstheme="minorBidi"/>
          <w:snapToGrid/>
          <w:kern w:val="2"/>
          <w:sz w:val="24"/>
          <w:szCs w:val="24"/>
          <w:lang w:val="en-US" w:eastAsia="zh-CN" w:bidi="ar-SA"/>
        </w:rPr>
        <w:t>2.5-14</w:t>
      </w:r>
      <w:r>
        <w:rPr>
          <w:rFonts w:hint="default" w:eastAsia="宋体" w:cstheme="minorBidi"/>
          <w:snapToGrid/>
          <w:kern w:val="2"/>
          <w:sz w:val="24"/>
          <w:szCs w:val="24"/>
          <w:lang w:val="en-US" w:eastAsia="zh-CN" w:bidi="ar-SA"/>
        </w:rPr>
        <w:t>。</w:t>
      </w:r>
    </w:p>
    <w:p>
      <w:pPr>
        <w:spacing w:beforeAutospacing="0" w:line="280" w:lineRule="auto"/>
        <w:jc w:val="center"/>
        <w:rPr>
          <w:rFonts w:ascii="宋体" w:hAnsi="宋体" w:eastAsia="宋体" w:cs="宋体"/>
          <w:sz w:val="20"/>
          <w:szCs w:val="20"/>
        </w:rPr>
      </w:pPr>
      <w:r>
        <w:rPr>
          <w:rFonts w:hint="default" w:ascii="Times New Roman" w:hAnsi="Times New Roman" w:eastAsia="宋体" w:cs="Times New Roman"/>
          <w:b/>
          <w:bCs/>
          <w:snapToGrid w:val="0"/>
          <w:color w:val="000000"/>
          <w:spacing w:val="0"/>
          <w:kern w:val="0"/>
          <w:sz w:val="21"/>
          <w:szCs w:val="21"/>
          <w:lang w:val="en-US" w:eastAsia="zh-CN" w:bidi="ar-SA"/>
        </w:rPr>
        <mc:AlternateContent>
          <mc:Choice Requires="wps">
            <w:drawing>
              <wp:anchor distT="0" distB="0" distL="114300" distR="114300" simplePos="0" relativeHeight="251663360" behindDoc="0" locked="0" layoutInCell="0" allowOverlap="1">
                <wp:simplePos x="0" y="0"/>
                <wp:positionH relativeFrom="page">
                  <wp:posOffset>900430</wp:posOffset>
                </wp:positionH>
                <wp:positionV relativeFrom="page">
                  <wp:posOffset>737235</wp:posOffset>
                </wp:positionV>
                <wp:extent cx="5904230" cy="9525"/>
                <wp:effectExtent l="0" t="0" r="0" b="0"/>
                <wp:wrapNone/>
                <wp:docPr id="62" name="任意多边形 62"/>
                <wp:cNvGraphicFramePr/>
                <a:graphic xmlns:a="http://schemas.openxmlformats.org/drawingml/2006/main">
                  <a:graphicData uri="http://schemas.microsoft.com/office/word/2010/wordprocessingShape">
                    <wps:wsp>
                      <wps:cNvSpPr/>
                      <wps:spPr>
                        <a:xfrm>
                          <a:off x="0" y="0"/>
                          <a:ext cx="5904230" cy="9525"/>
                        </a:xfrm>
                        <a:custGeom>
                          <a:avLst/>
                          <a:gdLst/>
                          <a:ahLst/>
                          <a:cxnLst/>
                          <a:pathLst>
                            <a:path w="9297" h="15">
                              <a:moveTo>
                                <a:pt x="0" y="0"/>
                              </a:moveTo>
                              <a:lnTo>
                                <a:pt x="9297" y="0"/>
                              </a:lnTo>
                              <a:lnTo>
                                <a:pt x="9297" y="14"/>
                              </a:lnTo>
                              <a:lnTo>
                                <a:pt x="0" y="14"/>
                              </a:lnTo>
                              <a:lnTo>
                                <a:pt x="0" y="0"/>
                              </a:lnTo>
                              <a:close/>
                            </a:path>
                          </a:pathLst>
                        </a:custGeom>
                        <a:solidFill>
                          <a:srgbClr val="000000"/>
                        </a:solidFill>
                        <a:ln>
                          <a:noFill/>
                        </a:ln>
                      </wps:spPr>
                      <wps:bodyPr upright="true"/>
                    </wps:wsp>
                  </a:graphicData>
                </a:graphic>
              </wp:anchor>
            </w:drawing>
          </mc:Choice>
          <mc:Fallback>
            <w:pict>
              <v:shape id="_x0000_s1026" o:spid="_x0000_s1026" o:spt="100" style="position:absolute;left:0pt;margin-left:70.9pt;margin-top:58.05pt;height:0.75pt;width:464.9pt;mso-position-horizontal-relative:page;mso-position-vertical-relative:page;z-index:251663360;mso-width-relative:page;mso-height-relative:page;" fillcolor="#000000" filled="t" stroked="f" coordsize="9297,15" o:allowincell="f" o:gfxdata="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RgxQw1wAAAAwBAAAPAAAAAAAAAAEA&#10;IAAAADgAAABkcnMvZG93bnJldi54bWxQSwECFAAUAAAACACHTuJAMMIl8foBAAAyBAAADgAAAAAA&#10;AAABACAAAAA8AQAAZHJzL2Uyb0RvYy54bWxQSwUGAAAAAAYABgBZAQAAqAUAAAAA&#10;" path="m0,0l9297,0,9297,14,0,14,0,0xe">
                <v:fill on="t" focussize="0,0"/>
                <v:stroke on="f"/>
                <v:imagedata o:title=""/>
                <o:lock v:ext="edit" aspectratio="f"/>
              </v:shape>
            </w:pict>
          </mc:Fallback>
        </mc:AlternateContent>
      </w:r>
      <w:r>
        <w:rPr>
          <w:rFonts w:hint="default" w:ascii="Times New Roman" w:hAnsi="Times New Roman" w:eastAsia="宋体" w:cs="Times New Roman"/>
          <w:b/>
          <w:bCs/>
          <w:snapToGrid w:val="0"/>
          <w:color w:val="000000"/>
          <w:spacing w:val="0"/>
          <w:kern w:val="0"/>
          <w:sz w:val="21"/>
          <w:szCs w:val="21"/>
          <w:lang w:val="en-US" w:eastAsia="zh-CN" w:bidi="ar-SA"/>
        </w:rPr>
        <w:t>表</w:t>
      </w:r>
      <w:r>
        <w:rPr>
          <w:rFonts w:hint="eastAsia" w:ascii="Times New Roman" w:hAnsi="Times New Roman" w:eastAsia="宋体" w:cs="Times New Roman"/>
          <w:b/>
          <w:bCs/>
          <w:snapToGrid w:val="0"/>
          <w:color w:val="000000"/>
          <w:spacing w:val="0"/>
          <w:kern w:val="0"/>
          <w:sz w:val="21"/>
          <w:szCs w:val="21"/>
          <w:lang w:val="en-US" w:eastAsia="zh-CN" w:bidi="ar-SA"/>
        </w:rPr>
        <w:t xml:space="preserve">2.5-14 </w:t>
      </w:r>
      <w:r>
        <w:rPr>
          <w:rFonts w:hint="default" w:ascii="Times New Roman" w:hAnsi="Times New Roman" w:eastAsia="宋体" w:cs="Times New Roman"/>
          <w:b/>
          <w:bCs/>
          <w:snapToGrid w:val="0"/>
          <w:color w:val="000000"/>
          <w:spacing w:val="0"/>
          <w:kern w:val="0"/>
          <w:sz w:val="21"/>
          <w:szCs w:val="21"/>
          <w:lang w:val="en-US" w:eastAsia="zh-CN" w:bidi="ar-SA"/>
        </w:rPr>
        <w:t>《建筑施工场界环境噪声排放标准》  (GB12523-2011)   单位：Leq[dB(A)]</w:t>
      </w:r>
    </w:p>
    <w:p>
      <w:pPr>
        <w:spacing w:line="25" w:lineRule="exact"/>
      </w:pP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087"/>
        <w:gridCol w:w="465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5000"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噪声限值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261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昼间</w:t>
            </w:r>
          </w:p>
        </w:tc>
        <w:tc>
          <w:tcPr>
            <w:tcW w:w="23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261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w:t>
            </w:r>
          </w:p>
        </w:tc>
        <w:tc>
          <w:tcPr>
            <w:tcW w:w="23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r>
    </w:tbl>
    <w:p>
      <w:pPr>
        <w:spacing w:before="35" w:line="375" w:lineRule="auto"/>
        <w:ind w:left="56" w:right="65" w:firstLine="480"/>
        <w:rPr>
          <w:rFonts w:hint="eastAsia" w:ascii="宋体" w:hAnsi="宋体" w:eastAsia="宋体" w:cs="宋体"/>
          <w:sz w:val="23"/>
          <w:szCs w:val="23"/>
          <w:lang w:eastAsia="zh-CN"/>
        </w:rPr>
      </w:pPr>
      <w:r>
        <w:rPr>
          <w:rFonts w:hint="eastAsia" w:ascii="Times New Roman" w:hAnsi="Times New Roman" w:eastAsia="宋体" w:cs="Times New Roman"/>
          <w:b w:val="0"/>
          <w:bCs w:val="0"/>
          <w:spacing w:val="11"/>
          <w:sz w:val="24"/>
          <w:szCs w:val="24"/>
          <w:lang w:val="en-US" w:eastAsia="zh-CN"/>
        </w:rPr>
        <w:t>(2) 运营期噪声：项目厂界噪声执行《工业企业厂界环境噪声排放标准》 (GB12348-2008)中的2类区限值，具体见表2.5-15。</w:t>
      </w:r>
    </w:p>
    <w:p>
      <w:pPr>
        <w:spacing w:beforeAutospacing="0" w:line="280" w:lineRule="auto"/>
        <w:jc w:val="center"/>
        <w:rPr>
          <w:rFonts w:hint="default" w:ascii="Times New Roman" w:hAnsi="Times New Roman" w:eastAsia="宋体" w:cs="Times New Roman"/>
          <w:b/>
          <w:bCs/>
          <w:snapToGrid w:val="0"/>
          <w:color w:val="000000"/>
          <w:spacing w:val="0"/>
          <w:kern w:val="0"/>
          <w:sz w:val="21"/>
          <w:szCs w:val="21"/>
          <w:lang w:val="en-US" w:eastAsia="zh-CN" w:bidi="ar-SA"/>
        </w:rPr>
      </w:pPr>
      <w:r>
        <w:rPr>
          <w:rFonts w:hint="default" w:ascii="Times New Roman" w:hAnsi="Times New Roman" w:eastAsia="宋体" w:cs="Times New Roman"/>
          <w:b/>
          <w:bCs/>
          <w:snapToGrid w:val="0"/>
          <w:color w:val="000000"/>
          <w:spacing w:val="0"/>
          <w:kern w:val="0"/>
          <w:sz w:val="21"/>
          <w:szCs w:val="21"/>
          <w:lang w:val="en-US" w:eastAsia="zh-CN" w:bidi="ar-SA"/>
        </w:rPr>
        <w:t xml:space="preserve">表 </w:t>
      </w:r>
      <w:r>
        <w:rPr>
          <w:rFonts w:hint="eastAsia" w:ascii="Times New Roman" w:hAnsi="Times New Roman" w:eastAsia="宋体" w:cs="Times New Roman"/>
          <w:b/>
          <w:bCs/>
          <w:snapToGrid w:val="0"/>
          <w:color w:val="000000"/>
          <w:spacing w:val="0"/>
          <w:kern w:val="0"/>
          <w:sz w:val="21"/>
          <w:szCs w:val="21"/>
          <w:lang w:val="en-US" w:eastAsia="zh-CN" w:bidi="ar-SA"/>
        </w:rPr>
        <w:t>2.5-15</w:t>
      </w:r>
      <w:r>
        <w:rPr>
          <w:rFonts w:hint="default" w:ascii="Times New Roman" w:hAnsi="Times New Roman" w:eastAsia="宋体" w:cs="Times New Roman"/>
          <w:b/>
          <w:bCs/>
          <w:snapToGrid w:val="0"/>
          <w:color w:val="000000"/>
          <w:spacing w:val="0"/>
          <w:kern w:val="0"/>
          <w:sz w:val="21"/>
          <w:szCs w:val="21"/>
          <w:lang w:val="en-US" w:eastAsia="zh-CN" w:bidi="ar-SA"/>
        </w:rPr>
        <w:t xml:space="preserve">     《工业企业厂界环境噪声排放标准》  (GB12348-2008)   单位：dB  (A)</w:t>
      </w:r>
    </w:p>
    <w:p>
      <w:pPr>
        <w:spacing w:line="128" w:lineRule="exact"/>
      </w:pP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542"/>
        <w:gridCol w:w="3951"/>
        <w:gridCol w:w="32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ascii="宋体" w:eastAsia="宋体"/>
                <w:b/>
                <w:bCs/>
                <w:sz w:val="21"/>
              </w:rPr>
              <w:t>声功能区类别</w:t>
            </w:r>
          </w:p>
        </w:tc>
        <w:tc>
          <w:tcPr>
            <w:tcW w:w="20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昼间</w:t>
            </w:r>
          </w:p>
        </w:tc>
        <w:tc>
          <w:tcPr>
            <w:tcW w:w="166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 类区标准限值</w:t>
            </w:r>
          </w:p>
        </w:tc>
        <w:tc>
          <w:tcPr>
            <w:tcW w:w="20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w:t>
            </w:r>
          </w:p>
        </w:tc>
        <w:tc>
          <w:tcPr>
            <w:tcW w:w="166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w:t>
            </w:r>
          </w:p>
        </w:tc>
      </w:tr>
    </w:tbl>
    <w:p>
      <w:pPr>
        <w:spacing w:before="142" w:line="360" w:lineRule="auto"/>
        <w:ind w:right="293" w:firstLine="524" w:firstLineChars="200"/>
        <w:jc w:val="both"/>
        <w:outlineLvl w:val="3"/>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4 、固体废物</w:t>
      </w:r>
    </w:p>
    <w:p>
      <w:pPr>
        <w:spacing w:before="142" w:line="360" w:lineRule="auto"/>
        <w:ind w:right="293" w:firstLine="524" w:firstLineChars="200"/>
        <w:jc w:val="both"/>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医疗废物收集贮存处置执行《医疗废物管理条例》、《医疗废物处理处置污染控制标准》（GB39707-2020）及《医疗废物集中处置技术规范（试行）》（环发[2003]206号）中有关规定控制；污水处理站污泥执行《医疗机构水污染物排放标准》（GB18466-2005）表 4 医疗机构污泥控制标准；</w:t>
      </w:r>
    </w:p>
    <w:p>
      <w:pPr>
        <w:spacing w:before="142" w:line="360" w:lineRule="auto"/>
        <w:ind w:right="293" w:firstLine="524" w:firstLineChars="200"/>
        <w:jc w:val="both"/>
        <w:rPr>
          <w:rFonts w:hint="eastAsia"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一般工业固体废物贮存执行《一般工业固体废物贮存和填埋污染控制标准》 (GB18599-2020) ；</w:t>
      </w:r>
    </w:p>
    <w:p>
      <w:pPr>
        <w:spacing w:before="142" w:line="360" w:lineRule="auto"/>
        <w:ind w:right="293" w:firstLine="524" w:firstLineChars="200"/>
        <w:jc w:val="both"/>
        <w:rPr>
          <w:rFonts w:ascii="宋体" w:hAnsi="宋体" w:eastAsia="宋体" w:cs="宋体"/>
          <w:spacing w:val="4"/>
          <w:sz w:val="23"/>
          <w:szCs w:val="23"/>
        </w:rPr>
      </w:pPr>
      <w:r>
        <w:rPr>
          <w:rFonts w:hint="eastAsia" w:ascii="Times New Roman" w:hAnsi="Times New Roman" w:eastAsia="宋体" w:cs="Times New Roman"/>
          <w:b w:val="0"/>
          <w:bCs w:val="0"/>
          <w:spacing w:val="11"/>
          <w:sz w:val="24"/>
          <w:szCs w:val="24"/>
          <w:lang w:val="en-US" w:eastAsia="zh-CN"/>
        </w:rPr>
        <w:t>危险废物暂存执行《危险废物贮存污染控制标准》(GB18597-2023) 要求</w:t>
      </w:r>
      <w:r>
        <w:rPr>
          <w:rFonts w:ascii="宋体" w:hAnsi="宋体" w:eastAsia="宋体" w:cs="宋体"/>
          <w:spacing w:val="4"/>
          <w:sz w:val="23"/>
          <w:szCs w:val="23"/>
        </w:rPr>
        <w:t>。</w:t>
      </w:r>
    </w:p>
    <w:p>
      <w:pPr>
        <w:pStyle w:val="3"/>
        <w:bidi w:val="0"/>
        <w:rPr>
          <w:rFonts w:hint="default"/>
          <w:lang w:val="en-US" w:eastAsia="zh-CN"/>
        </w:rPr>
      </w:pPr>
      <w:bookmarkStart w:id="46" w:name="_Toc600"/>
      <w:bookmarkStart w:id="47" w:name="_Toc3826"/>
      <w:r>
        <w:rPr>
          <w:rFonts w:hint="eastAsia"/>
          <w:lang w:val="en-US" w:eastAsia="zh-CN"/>
        </w:rPr>
        <w:t>2.6 评</w:t>
      </w:r>
      <w:r>
        <w:rPr>
          <w:lang w:val="zh-CN"/>
        </w:rPr>
        <w:t>价</w:t>
      </w:r>
      <w:r>
        <w:rPr>
          <w:rFonts w:hint="eastAsia"/>
          <w:lang w:val="zh-CN"/>
        </w:rPr>
        <w:t>工作内容、评价重点与评价时段</w:t>
      </w:r>
      <w:bookmarkEnd w:id="46"/>
      <w:bookmarkEnd w:id="47"/>
    </w:p>
    <w:p>
      <w:pPr>
        <w:pStyle w:val="4"/>
        <w:bidi w:val="0"/>
        <w:rPr>
          <w:rFonts w:hint="eastAsia"/>
          <w:lang w:val="en-US" w:eastAsia="zh-CN"/>
        </w:rPr>
      </w:pPr>
      <w:bookmarkStart w:id="48" w:name="_Toc25241"/>
      <w:bookmarkStart w:id="49" w:name="_Toc29626"/>
      <w:bookmarkStart w:id="50" w:name="_Toc15668"/>
      <w:r>
        <w:rPr>
          <w:rFonts w:hint="eastAsia"/>
          <w:lang w:val="en-US" w:eastAsia="zh-CN"/>
        </w:rPr>
        <w:t>2.6.1评价工作内容</w:t>
      </w:r>
      <w:bookmarkEnd w:id="48"/>
      <w:bookmarkEnd w:id="49"/>
      <w:bookmarkEnd w:id="50"/>
    </w:p>
    <w:p>
      <w:pPr>
        <w:spacing w:before="142" w:line="360" w:lineRule="auto"/>
        <w:ind w:right="293" w:firstLine="524" w:firstLineChars="200"/>
        <w:jc w:val="both"/>
        <w:rPr>
          <w:rFonts w:hint="default" w:ascii="Times New Roman" w:hAnsi="Times New Roman" w:eastAsia="宋体" w:cs="Times New Roman"/>
          <w:b w:val="0"/>
          <w:bCs w:val="0"/>
          <w:spacing w:val="11"/>
          <w:sz w:val="24"/>
          <w:szCs w:val="24"/>
          <w:lang w:val="en-US" w:eastAsia="zh-CN"/>
        </w:rPr>
      </w:pPr>
      <w:r>
        <w:rPr>
          <w:rFonts w:hint="eastAsia" w:ascii="Times New Roman" w:hAnsi="Times New Roman" w:eastAsia="宋体" w:cs="Times New Roman"/>
          <w:b w:val="0"/>
          <w:bCs w:val="0"/>
          <w:spacing w:val="11"/>
          <w:sz w:val="24"/>
          <w:szCs w:val="24"/>
          <w:lang w:val="en-US" w:eastAsia="zh-CN"/>
        </w:rPr>
        <w:t>本次评价工作内容见</w:t>
      </w:r>
      <w:r>
        <w:rPr>
          <w:rFonts w:hint="eastAsia" w:ascii="Times New Roman" w:hAnsi="Times New Roman" w:eastAsia="宋体" w:cs="Times New Roman"/>
          <w:b w:val="0"/>
          <w:bCs w:val="0"/>
          <w:spacing w:val="11"/>
          <w:sz w:val="24"/>
          <w:szCs w:val="24"/>
          <w:lang w:val="en-US" w:eastAsia="zh-CN"/>
        </w:rPr>
        <w:fldChar w:fldCharType="begin"/>
      </w:r>
      <w:r>
        <w:rPr>
          <w:rFonts w:hint="eastAsia" w:ascii="Times New Roman" w:hAnsi="Times New Roman" w:eastAsia="宋体" w:cs="Times New Roman"/>
          <w:b w:val="0"/>
          <w:bCs w:val="0"/>
          <w:spacing w:val="11"/>
          <w:sz w:val="24"/>
          <w:szCs w:val="24"/>
          <w:lang w:val="en-US" w:eastAsia="zh-CN"/>
        </w:rPr>
        <w:instrText xml:space="preserve"> REF 表 \h </w:instrText>
      </w:r>
      <w:r>
        <w:rPr>
          <w:rFonts w:hint="eastAsia" w:ascii="Times New Roman" w:hAnsi="Times New Roman" w:eastAsia="宋体" w:cs="Times New Roman"/>
          <w:b w:val="0"/>
          <w:bCs w:val="0"/>
          <w:spacing w:val="11"/>
          <w:sz w:val="24"/>
          <w:szCs w:val="24"/>
          <w:lang w:val="en-US" w:eastAsia="zh-CN"/>
        </w:rPr>
        <w:fldChar w:fldCharType="separate"/>
      </w:r>
      <w:r>
        <w:rPr>
          <w:rFonts w:hint="eastAsia" w:ascii="Times New Roman" w:hAnsi="Times New Roman" w:eastAsia="宋体" w:cs="Times New Roman"/>
          <w:b w:val="0"/>
          <w:bCs w:val="0"/>
          <w:spacing w:val="11"/>
          <w:sz w:val="24"/>
          <w:szCs w:val="24"/>
          <w:lang w:val="en-US" w:eastAsia="zh-CN"/>
        </w:rPr>
        <w:t>表2.6-1</w:t>
      </w:r>
      <w:r>
        <w:rPr>
          <w:rFonts w:hint="eastAsia" w:ascii="Times New Roman" w:hAnsi="Times New Roman" w:eastAsia="宋体" w:cs="Times New Roman"/>
          <w:b w:val="0"/>
          <w:bCs w:val="0"/>
          <w:spacing w:val="11"/>
          <w:sz w:val="24"/>
          <w:szCs w:val="24"/>
          <w:lang w:val="en-US" w:eastAsia="zh-CN"/>
        </w:rPr>
        <w:fldChar w:fldCharType="end"/>
      </w:r>
      <w:r>
        <w:rPr>
          <w:rFonts w:hint="eastAsia" w:ascii="Times New Roman" w:hAnsi="Times New Roman" w:eastAsia="宋体" w:cs="Times New Roman"/>
          <w:b w:val="0"/>
          <w:bCs w:val="0"/>
          <w:spacing w:val="11"/>
          <w:sz w:val="24"/>
          <w:szCs w:val="24"/>
          <w:lang w:val="en-US" w:eastAsia="zh-CN"/>
        </w:rPr>
        <w:t>。</w:t>
      </w:r>
    </w:p>
    <w:p>
      <w:pPr>
        <w:pStyle w:val="8"/>
        <w:tabs>
          <w:tab w:val="left" w:pos="0"/>
        </w:tabs>
        <w:bidi w:val="0"/>
        <w:ind w:left="425" w:leftChars="0" w:hanging="425" w:firstLineChars="0"/>
        <w:rPr>
          <w:rFonts w:hint="default" w:eastAsia="宋体" w:cstheme="minorBidi"/>
          <w:snapToGrid/>
          <w:kern w:val="2"/>
          <w:sz w:val="24"/>
          <w:szCs w:val="24"/>
          <w:lang w:val="en-US" w:eastAsia="zh-CN" w:bidi="ar-SA"/>
        </w:rPr>
      </w:pPr>
      <w:bookmarkStart w:id="51" w:name="表"/>
      <w:r>
        <w:rPr>
          <w:rFonts w:hint="default" w:ascii="Times New Roman" w:hAnsi="Times New Roman" w:eastAsia="宋体" w:cs="Times New Roman"/>
          <w:b/>
          <w:bCs/>
          <w:snapToGrid w:val="0"/>
          <w:color w:val="000000"/>
          <w:spacing w:val="0"/>
          <w:kern w:val="0"/>
          <w:sz w:val="21"/>
          <w:szCs w:val="21"/>
          <w:lang w:val="en-US" w:eastAsia="zh-CN" w:bidi="ar-SA"/>
        </w:rPr>
        <w:t>表2.</w:t>
      </w:r>
      <w:r>
        <w:rPr>
          <w:rFonts w:hint="eastAsia" w:ascii="Times New Roman" w:hAnsi="Times New Roman" w:eastAsia="宋体" w:cs="Times New Roman"/>
          <w:b/>
          <w:bCs/>
          <w:snapToGrid w:val="0"/>
          <w:color w:val="000000"/>
          <w:spacing w:val="0"/>
          <w:kern w:val="0"/>
          <w:sz w:val="21"/>
          <w:szCs w:val="21"/>
          <w:lang w:val="en-US" w:eastAsia="zh-CN" w:bidi="ar-SA"/>
        </w:rPr>
        <w:t>6</w:t>
      </w:r>
      <w:r>
        <w:rPr>
          <w:rFonts w:hint="default" w:ascii="Times New Roman" w:hAnsi="Times New Roman" w:eastAsia="宋体" w:cs="Times New Roman"/>
          <w:b/>
          <w:bCs/>
          <w:snapToGrid w:val="0"/>
          <w:color w:val="000000"/>
          <w:spacing w:val="0"/>
          <w:kern w:val="0"/>
          <w:sz w:val="21"/>
          <w:szCs w:val="21"/>
          <w:lang w:val="en-US" w:eastAsia="zh-CN" w:bidi="ar-SA"/>
        </w:rPr>
        <w:t>-</w:t>
      </w:r>
      <w:r>
        <w:rPr>
          <w:rFonts w:hint="default" w:ascii="Times New Roman" w:hAnsi="Times New Roman" w:eastAsia="宋体" w:cs="Times New Roman"/>
          <w:b/>
          <w:bCs/>
          <w:snapToGrid w:val="0"/>
          <w:color w:val="000000"/>
          <w:spacing w:val="0"/>
          <w:kern w:val="0"/>
          <w:sz w:val="21"/>
          <w:szCs w:val="21"/>
          <w:lang w:val="en-US" w:eastAsia="zh-CN" w:bidi="ar-SA"/>
        </w:rPr>
        <w:fldChar w:fldCharType="begin"/>
      </w:r>
      <w:r>
        <w:rPr>
          <w:rFonts w:hint="default" w:ascii="Times New Roman" w:hAnsi="Times New Roman" w:eastAsia="宋体" w:cs="Times New Roman"/>
          <w:b/>
          <w:bCs/>
          <w:snapToGrid w:val="0"/>
          <w:color w:val="000000"/>
          <w:spacing w:val="0"/>
          <w:kern w:val="0"/>
          <w:sz w:val="21"/>
          <w:szCs w:val="21"/>
          <w:lang w:val="en-US" w:eastAsia="zh-CN" w:bidi="ar-SA"/>
        </w:rPr>
        <w:instrText xml:space="preserve"> SEQ 表2.7- \* ARABIC </w:instrText>
      </w:r>
      <w:r>
        <w:rPr>
          <w:rFonts w:hint="default" w:ascii="Times New Roman" w:hAnsi="Times New Roman" w:eastAsia="宋体" w:cs="Times New Roman"/>
          <w:b/>
          <w:bCs/>
          <w:snapToGrid w:val="0"/>
          <w:color w:val="000000"/>
          <w:spacing w:val="0"/>
          <w:kern w:val="0"/>
          <w:sz w:val="21"/>
          <w:szCs w:val="21"/>
          <w:lang w:val="en-US" w:eastAsia="zh-CN" w:bidi="ar-SA"/>
        </w:rPr>
        <w:fldChar w:fldCharType="separate"/>
      </w:r>
      <w:r>
        <w:rPr>
          <w:rFonts w:hint="default" w:ascii="Times New Roman" w:hAnsi="Times New Roman" w:eastAsia="宋体" w:cs="Times New Roman"/>
          <w:b/>
          <w:bCs/>
          <w:snapToGrid w:val="0"/>
          <w:color w:val="000000"/>
          <w:spacing w:val="0"/>
          <w:kern w:val="0"/>
          <w:sz w:val="21"/>
          <w:szCs w:val="21"/>
          <w:lang w:val="en-US" w:eastAsia="zh-CN" w:bidi="ar-SA"/>
        </w:rPr>
        <w:t>1</w:t>
      </w:r>
      <w:r>
        <w:rPr>
          <w:rFonts w:hint="default" w:ascii="Times New Roman" w:hAnsi="Times New Roman" w:eastAsia="宋体" w:cs="Times New Roman"/>
          <w:b/>
          <w:bCs/>
          <w:snapToGrid w:val="0"/>
          <w:color w:val="000000"/>
          <w:spacing w:val="0"/>
          <w:kern w:val="0"/>
          <w:sz w:val="21"/>
          <w:szCs w:val="21"/>
          <w:lang w:val="en-US" w:eastAsia="zh-CN" w:bidi="ar-SA"/>
        </w:rPr>
        <w:fldChar w:fldCharType="end"/>
      </w:r>
      <w:bookmarkEnd w:id="51"/>
      <w:r>
        <w:rPr>
          <w:rFonts w:hint="eastAsia" w:ascii="Times New Roman" w:hAnsi="Times New Roman" w:eastAsia="宋体" w:cs="Times New Roman"/>
          <w:b/>
          <w:bCs/>
          <w:snapToGrid w:val="0"/>
          <w:color w:val="000000"/>
          <w:spacing w:val="0"/>
          <w:kern w:val="0"/>
          <w:sz w:val="21"/>
          <w:szCs w:val="21"/>
          <w:lang w:val="en-US" w:eastAsia="zh-CN" w:bidi="ar-SA"/>
        </w:rPr>
        <w:t xml:space="preserve"> </w:t>
      </w:r>
      <w:r>
        <w:rPr>
          <w:rFonts w:hint="default" w:ascii="Times New Roman" w:hAnsi="Times New Roman" w:eastAsia="宋体" w:cs="Times New Roman"/>
          <w:b/>
          <w:bCs/>
          <w:snapToGrid w:val="0"/>
          <w:color w:val="000000"/>
          <w:spacing w:val="0"/>
          <w:kern w:val="0"/>
          <w:sz w:val="21"/>
          <w:szCs w:val="21"/>
          <w:lang w:val="en-US" w:eastAsia="zh-CN" w:bidi="ar-SA"/>
        </w:rPr>
        <w:t>评价工作内容一览表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57"/>
        <w:gridCol w:w="2446"/>
        <w:gridCol w:w="68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评价项目</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主要评价工作内容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工程分析</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项目工艺流程、排污环节分析、水平衡分析、工程污染源、污染物及达标情况分析，列出污染源及污染物排放汇总表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环境现状调查与评价</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评价范围内自然和社会环境状况调查、区域环境质量现状监测与评价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建设期环境影响分析</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定性分析项目建设期对环境空气、水环境、声环境与生态环境的影响，提出污染防治对策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生态环境影响评价</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评价区生态环境现状及影响，提出生态保护措施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环境污染影响预测与评价</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选择切实可行的预测模式，定性或定量分析和预测项目运营期污染物排放对地表水、地下水、环境空气、声环境及土壤环境的影响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环境保护措施分析论证</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对环境保护措施进行分析论证，并提出项目污水资源化利用方案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noWrap w:val="0"/>
            <w:vAlign w:val="center"/>
          </w:tcPr>
          <w:p>
            <w:pPr>
              <w:pStyle w:val="37"/>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7</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环境管理与环境监测</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制定环境管理工作内容及制度，以及环境监测计划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shd w:val="clear" w:color="auto" w:fill="auto"/>
            <w:noWrap w:val="0"/>
            <w:vAlign w:val="center"/>
          </w:tcPr>
          <w:p>
            <w:pPr>
              <w:pStyle w:val="37"/>
              <w:spacing w:line="240" w:lineRule="auto"/>
              <w:ind w:firstLine="0" w:firstLineChars="0"/>
              <w:jc w:val="center"/>
              <w:rPr>
                <w:rFonts w:ascii="Times New Roman" w:hAnsi="Times New Roman" w:eastAsia="宋体" w:cs="Times New Roman"/>
                <w:snapToGrid w:val="0"/>
                <w:color w:val="000000"/>
                <w:kern w:val="0"/>
                <w:sz w:val="21"/>
                <w:szCs w:val="21"/>
              </w:rPr>
            </w:pPr>
            <w:r>
              <w:rPr>
                <w:rFonts w:hint="eastAsia" w:ascii="Times New Roman" w:hAnsi="Times New Roman" w:eastAsia="宋体" w:cs="Times New Roman"/>
                <w:sz w:val="21"/>
                <w:szCs w:val="21"/>
              </w:rPr>
              <w:t>8</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项目选址环境可行性分析</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全面考虑项目区的自然环境和社会环境，从环境质量、土地利用、区域规划和环境功能区划等方面对项目选址环境可行性进行分析论证，给出明确的项目选址的环境可行性评价结论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shd w:val="clear" w:color="auto" w:fill="auto"/>
            <w:noWrap w:val="0"/>
            <w:vAlign w:val="center"/>
          </w:tcPr>
          <w:p>
            <w:pPr>
              <w:pStyle w:val="37"/>
              <w:spacing w:line="240" w:lineRule="auto"/>
              <w:ind w:firstLine="0" w:firstLineChars="0"/>
              <w:jc w:val="center"/>
              <w:rPr>
                <w:rFonts w:ascii="Times New Roman" w:hAnsi="Times New Roman" w:eastAsia="宋体" w:cs="Times New Roman"/>
                <w:snapToGrid w:val="0"/>
                <w:color w:val="000000"/>
                <w:kern w:val="0"/>
                <w:sz w:val="21"/>
                <w:szCs w:val="21"/>
              </w:rPr>
            </w:pPr>
            <w:r>
              <w:rPr>
                <w:rFonts w:hint="eastAsia" w:ascii="Times New Roman" w:hAnsi="Times New Roman" w:eastAsia="宋体" w:cs="Times New Roman"/>
                <w:sz w:val="21"/>
                <w:szCs w:val="21"/>
              </w:rPr>
              <w:t>9</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项目与相关政策、规划的符合性分析</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对项目与国家相关政策、行业发展规划、区域社会经济发展规划、环境管理及生态建设规划等的符合性分进行分析，并给出明确结论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shd w:val="clear" w:color="auto" w:fill="auto"/>
            <w:noWrap w:val="0"/>
            <w:vAlign w:val="center"/>
          </w:tcPr>
          <w:p>
            <w:pPr>
              <w:pStyle w:val="37"/>
              <w:spacing w:line="240" w:lineRule="auto"/>
              <w:ind w:firstLine="0" w:firstLineChars="0"/>
              <w:jc w:val="center"/>
              <w:rPr>
                <w:rFonts w:ascii="Times New Roman" w:hAnsi="Times New Roman" w:eastAsia="宋体" w:cs="Times New Roman"/>
                <w:snapToGrid w:val="0"/>
                <w:color w:val="000000"/>
                <w:kern w:val="0"/>
                <w:sz w:val="21"/>
                <w:szCs w:val="21"/>
              </w:rPr>
            </w:pPr>
            <w:r>
              <w:rPr>
                <w:rFonts w:hint="eastAsia" w:ascii="Times New Roman" w:hAnsi="Times New Roman" w:eastAsia="宋体" w:cs="Times New Roman"/>
                <w:sz w:val="21"/>
                <w:szCs w:val="21"/>
              </w:rPr>
              <w:t>10</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环境风险评价</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进行环境风险源项分析，环境风险影响分析，提出风险防范对策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30" w:type="pct"/>
            <w:tcBorders>
              <w:tl2br w:val="nil"/>
              <w:tr2bl w:val="nil"/>
            </w:tcBorders>
            <w:shd w:val="clear" w:color="auto" w:fill="auto"/>
            <w:noWrap w:val="0"/>
            <w:vAlign w:val="center"/>
          </w:tcPr>
          <w:p>
            <w:pPr>
              <w:pStyle w:val="37"/>
              <w:spacing w:line="240" w:lineRule="auto"/>
              <w:ind w:firstLine="0" w:firstLineChars="0"/>
              <w:jc w:val="center"/>
              <w:rPr>
                <w:rFonts w:ascii="Times New Roman" w:hAnsi="Times New Roman" w:eastAsia="宋体" w:cs="Times New Roman"/>
                <w:snapToGrid w:val="0"/>
                <w:color w:val="000000"/>
                <w:kern w:val="0"/>
                <w:sz w:val="21"/>
                <w:szCs w:val="21"/>
              </w:rPr>
            </w:pPr>
            <w:r>
              <w:rPr>
                <w:rFonts w:hint="eastAsia" w:ascii="Times New Roman" w:hAnsi="Times New Roman" w:eastAsia="宋体" w:cs="Times New Roman"/>
                <w:sz w:val="21"/>
                <w:szCs w:val="21"/>
              </w:rPr>
              <w:t>11</w:t>
            </w:r>
          </w:p>
        </w:tc>
        <w:tc>
          <w:tcPr>
            <w:tcW w:w="1228"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环境经济损益分析</w:t>
            </w:r>
          </w:p>
        </w:tc>
        <w:tc>
          <w:tcPr>
            <w:tcW w:w="3440" w:type="pct"/>
            <w:tcBorders>
              <w:tl2br w:val="nil"/>
              <w:tr2bl w:val="nil"/>
            </w:tcBorders>
            <w:noWrap w:val="0"/>
            <w:vAlign w:val="center"/>
          </w:tcPr>
          <w:p>
            <w:pPr>
              <w:pStyle w:val="37"/>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项目环境保护投资结算，对主要环境经济指标进行综合分析</w:t>
            </w:r>
          </w:p>
        </w:tc>
      </w:tr>
    </w:tbl>
    <w:p>
      <w:pPr>
        <w:pStyle w:val="4"/>
        <w:bidi w:val="0"/>
        <w:rPr>
          <w:rFonts w:hint="default"/>
          <w:lang w:val="en-US" w:eastAsia="zh-CN"/>
        </w:rPr>
      </w:pPr>
      <w:bookmarkStart w:id="52" w:name="_Toc18201"/>
      <w:r>
        <w:rPr>
          <w:rFonts w:hint="default"/>
          <w:lang w:val="en-US" w:eastAsia="zh-CN"/>
        </w:rPr>
        <w:t>2.</w:t>
      </w:r>
      <w:r>
        <w:rPr>
          <w:rFonts w:hint="eastAsia"/>
          <w:lang w:val="en-US" w:eastAsia="zh-CN"/>
        </w:rPr>
        <w:t>6</w:t>
      </w:r>
      <w:r>
        <w:rPr>
          <w:rFonts w:hint="default"/>
          <w:lang w:val="en-US" w:eastAsia="zh-CN"/>
        </w:rPr>
        <w:t>.2评价重点与评价时段</w:t>
      </w:r>
      <w:bookmarkEnd w:id="52"/>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Lines="5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根据项目厂址地区周围的自然环境状况、环境质量和项目的工艺特点、规模以及环境功能区要求，确定本项目评价重点是：工程分析、大气环境影响预测分析、声环境影响预测与分析</w:t>
      </w:r>
      <w:r>
        <w:rPr>
          <w:rFonts w:hint="eastAsia" w:eastAsia="宋体" w:cs="Times New Roman"/>
          <w:b w:val="0"/>
          <w:bCs w:val="0"/>
          <w:snapToGrid w:val="0"/>
          <w:color w:val="000000"/>
          <w:spacing w:val="11"/>
          <w:kern w:val="0"/>
          <w:sz w:val="24"/>
          <w:szCs w:val="24"/>
          <w:lang w:val="en-US" w:eastAsia="zh-CN"/>
        </w:rPr>
        <w:t>、污染防治措施及可行性分析</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Lines="5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评价时段包括施工期和运营期，重点评价运营期，对施工期环境影响作一般分析</w:t>
      </w:r>
      <w:r>
        <w:rPr>
          <w:rFonts w:hint="eastAsia" w:eastAsia="宋体" w:cs="Times New Roman"/>
          <w:b w:val="0"/>
          <w:bCs w:val="0"/>
          <w:snapToGrid w:val="0"/>
          <w:color w:val="000000"/>
          <w:spacing w:val="11"/>
          <w:kern w:val="0"/>
          <w:sz w:val="24"/>
          <w:szCs w:val="24"/>
          <w:lang w:val="en-US" w:eastAsia="zh-CN"/>
        </w:rPr>
        <w:t>。</w:t>
      </w:r>
    </w:p>
    <w:p>
      <w:pPr>
        <w:pStyle w:val="3"/>
        <w:bidi w:val="0"/>
        <w:rPr>
          <w:rFonts w:hint="default"/>
          <w:lang w:val="en-US" w:eastAsia="zh-CN"/>
        </w:rPr>
      </w:pPr>
      <w:bookmarkStart w:id="53" w:name="_Toc30526"/>
      <w:bookmarkStart w:id="54" w:name="_Toc16638"/>
      <w:bookmarkStart w:id="55" w:name="_Toc8085"/>
      <w:bookmarkStart w:id="56" w:name="_Toc16920"/>
      <w:bookmarkStart w:id="57" w:name="_Toc29337"/>
      <w:r>
        <w:rPr>
          <w:rFonts w:hint="eastAsia"/>
          <w:lang w:val="en-US" w:eastAsia="zh-CN"/>
        </w:rPr>
        <w:t xml:space="preserve">2.7 </w:t>
      </w:r>
      <w:r>
        <w:rPr>
          <w:rFonts w:hint="default"/>
          <w:lang w:val="en-US" w:eastAsia="zh-CN"/>
        </w:rPr>
        <w:t>主要环境保护目标</w:t>
      </w:r>
      <w:bookmarkEnd w:id="53"/>
      <w:bookmarkEnd w:id="54"/>
      <w:bookmarkEnd w:id="55"/>
      <w:bookmarkEnd w:id="56"/>
      <w:bookmarkEnd w:id="57"/>
    </w:p>
    <w:p>
      <w:pPr>
        <w:pStyle w:val="36"/>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结合现场调查，本项目评价范围内主要环境保护目标，</w:t>
      </w:r>
      <w:r>
        <w:rPr>
          <w:rFonts w:hint="eastAsia" w:ascii="Times New Roman" w:hAnsi="Times New Roman" w:eastAsia="宋体" w:cs="Times New Roman"/>
          <w:b w:val="0"/>
          <w:bCs w:val="0"/>
          <w:snapToGrid w:val="0"/>
          <w:color w:val="000000"/>
          <w:spacing w:val="11"/>
          <w:kern w:val="0"/>
          <w:sz w:val="24"/>
          <w:szCs w:val="24"/>
          <w:lang w:val="en-US" w:eastAsia="zh-CN"/>
        </w:rPr>
        <w:t>距离厂界位置见</w:t>
      </w:r>
      <w:r>
        <w:rPr>
          <w:rFonts w:hint="default" w:ascii="Times New Roman" w:hAnsi="Times New Roman" w:eastAsia="宋体" w:cs="Times New Roman"/>
          <w:b w:val="0"/>
          <w:bCs w:val="0"/>
          <w:snapToGrid w:val="0"/>
          <w:color w:val="000000"/>
          <w:spacing w:val="11"/>
          <w:kern w:val="0"/>
          <w:sz w:val="24"/>
          <w:szCs w:val="24"/>
          <w:lang w:val="en-US" w:eastAsia="zh-CN"/>
        </w:rPr>
        <w:fldChar w:fldCharType="begin"/>
      </w:r>
      <w:r>
        <w:rPr>
          <w:rFonts w:hint="default" w:ascii="Times New Roman" w:hAnsi="Times New Roman" w:eastAsia="宋体" w:cs="Times New Roman"/>
          <w:b w:val="0"/>
          <w:bCs w:val="0"/>
          <w:snapToGrid w:val="0"/>
          <w:color w:val="000000"/>
          <w:spacing w:val="11"/>
          <w:kern w:val="0"/>
          <w:sz w:val="24"/>
          <w:szCs w:val="24"/>
          <w:lang w:val="en-US" w:eastAsia="zh-CN"/>
        </w:rPr>
        <w:instrText xml:space="preserve"> REF 表2 \h </w:instrText>
      </w:r>
      <w:r>
        <w:rPr>
          <w:rFonts w:hint="default" w:ascii="Times New Roman" w:hAnsi="Times New Roman" w:eastAsia="宋体" w:cs="Times New Roman"/>
          <w:b w:val="0"/>
          <w:bCs w:val="0"/>
          <w:snapToGrid w:val="0"/>
          <w:color w:val="000000"/>
          <w:spacing w:val="11"/>
          <w:kern w:val="0"/>
          <w:sz w:val="24"/>
          <w:szCs w:val="24"/>
          <w:lang w:val="en-US" w:eastAsia="zh-CN"/>
        </w:rPr>
        <w:fldChar w:fldCharType="separate"/>
      </w:r>
      <w:r>
        <w:rPr>
          <w:rFonts w:hint="default" w:ascii="Times New Roman" w:hAnsi="Times New Roman" w:eastAsia="宋体" w:cs="Times New Roman"/>
          <w:b w:val="0"/>
          <w:bCs w:val="0"/>
          <w:snapToGrid w:val="0"/>
          <w:color w:val="000000"/>
          <w:spacing w:val="11"/>
          <w:kern w:val="0"/>
          <w:sz w:val="24"/>
          <w:szCs w:val="24"/>
          <w:lang w:val="en-US" w:eastAsia="zh-CN"/>
        </w:rPr>
        <w:t>表2.</w:t>
      </w:r>
      <w:r>
        <w:rPr>
          <w:rFonts w:hint="eastAsia" w:ascii="Times New Roman" w:hAnsi="Times New Roman"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fldChar w:fldCharType="end"/>
      </w:r>
      <w:r>
        <w:rPr>
          <w:rFonts w:hint="eastAsia" w:ascii="Times New Roman" w:hAnsi="Times New Roman"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w:t>
      </w:r>
    </w:p>
    <w:p>
      <w:pPr>
        <w:pStyle w:val="8"/>
        <w:tabs>
          <w:tab w:val="left" w:pos="0"/>
        </w:tabs>
        <w:bidi w:val="0"/>
        <w:ind w:left="425" w:leftChars="0" w:hanging="425" w:firstLineChars="0"/>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bCs/>
          <w:snapToGrid w:val="0"/>
          <w:color w:val="000000"/>
          <w:spacing w:val="0"/>
          <w:kern w:val="0"/>
          <w:sz w:val="21"/>
          <w:szCs w:val="21"/>
          <w:lang w:val="en-US" w:eastAsia="zh-CN" w:bidi="ar-SA"/>
        </w:rPr>
        <w:t>表2.</w:t>
      </w:r>
      <w:r>
        <w:rPr>
          <w:rFonts w:hint="eastAsia" w:ascii="Times New Roman" w:hAnsi="Times New Roman" w:eastAsia="宋体" w:cs="Times New Roman"/>
          <w:b/>
          <w:bCs/>
          <w:snapToGrid w:val="0"/>
          <w:color w:val="000000"/>
          <w:spacing w:val="0"/>
          <w:kern w:val="0"/>
          <w:sz w:val="21"/>
          <w:szCs w:val="21"/>
          <w:lang w:val="en-US" w:eastAsia="zh-CN" w:bidi="ar-SA"/>
        </w:rPr>
        <w:t>7</w:t>
      </w:r>
      <w:r>
        <w:rPr>
          <w:rFonts w:hint="default" w:ascii="Times New Roman" w:hAnsi="Times New Roman" w:eastAsia="宋体" w:cs="Times New Roman"/>
          <w:b/>
          <w:bCs/>
          <w:snapToGrid w:val="0"/>
          <w:color w:val="000000"/>
          <w:spacing w:val="0"/>
          <w:kern w:val="0"/>
          <w:sz w:val="21"/>
          <w:szCs w:val="21"/>
          <w:lang w:val="en-US" w:eastAsia="zh-CN" w:bidi="ar-SA"/>
        </w:rPr>
        <w:t xml:space="preserve">- </w:t>
      </w:r>
      <w:r>
        <w:rPr>
          <w:rFonts w:hint="default" w:ascii="Times New Roman" w:hAnsi="Times New Roman" w:eastAsia="宋体" w:cs="Times New Roman"/>
          <w:b/>
          <w:bCs/>
          <w:snapToGrid w:val="0"/>
          <w:color w:val="000000"/>
          <w:spacing w:val="0"/>
          <w:kern w:val="0"/>
          <w:sz w:val="21"/>
          <w:szCs w:val="21"/>
          <w:lang w:val="en-US" w:eastAsia="zh-CN" w:bidi="ar-SA"/>
        </w:rPr>
        <w:fldChar w:fldCharType="begin"/>
      </w:r>
      <w:r>
        <w:rPr>
          <w:rFonts w:hint="default" w:ascii="Times New Roman" w:hAnsi="Times New Roman" w:eastAsia="宋体" w:cs="Times New Roman"/>
          <w:b/>
          <w:bCs/>
          <w:snapToGrid w:val="0"/>
          <w:color w:val="000000"/>
          <w:spacing w:val="0"/>
          <w:kern w:val="0"/>
          <w:sz w:val="21"/>
          <w:szCs w:val="21"/>
          <w:lang w:val="en-US" w:eastAsia="zh-CN" w:bidi="ar-SA"/>
        </w:rPr>
        <w:instrText xml:space="preserve"> SEQ 表2.8- \* ARABIC </w:instrText>
      </w:r>
      <w:r>
        <w:rPr>
          <w:rFonts w:hint="default" w:ascii="Times New Roman" w:hAnsi="Times New Roman" w:eastAsia="宋体" w:cs="Times New Roman"/>
          <w:b/>
          <w:bCs/>
          <w:snapToGrid w:val="0"/>
          <w:color w:val="000000"/>
          <w:spacing w:val="0"/>
          <w:kern w:val="0"/>
          <w:sz w:val="21"/>
          <w:szCs w:val="21"/>
          <w:lang w:val="en-US" w:eastAsia="zh-CN" w:bidi="ar-SA"/>
        </w:rPr>
        <w:fldChar w:fldCharType="separate"/>
      </w:r>
      <w:r>
        <w:rPr>
          <w:rFonts w:hint="default" w:ascii="Times New Roman" w:hAnsi="Times New Roman" w:eastAsia="宋体" w:cs="Times New Roman"/>
          <w:b/>
          <w:bCs/>
          <w:snapToGrid w:val="0"/>
          <w:color w:val="000000"/>
          <w:spacing w:val="0"/>
          <w:kern w:val="0"/>
          <w:sz w:val="21"/>
          <w:szCs w:val="21"/>
          <w:lang w:val="en-US" w:eastAsia="zh-CN" w:bidi="ar-SA"/>
        </w:rPr>
        <w:t>1</w:t>
      </w:r>
      <w:r>
        <w:rPr>
          <w:rFonts w:hint="default" w:ascii="Times New Roman" w:hAnsi="Times New Roman" w:eastAsia="宋体" w:cs="Times New Roman"/>
          <w:b/>
          <w:bCs/>
          <w:snapToGrid w:val="0"/>
          <w:color w:val="000000"/>
          <w:spacing w:val="0"/>
          <w:kern w:val="0"/>
          <w:sz w:val="21"/>
          <w:szCs w:val="21"/>
          <w:lang w:val="en-US" w:eastAsia="zh-CN" w:bidi="ar-SA"/>
        </w:rPr>
        <w:fldChar w:fldCharType="end"/>
      </w:r>
      <w:r>
        <w:rPr>
          <w:rFonts w:hint="eastAsia" w:ascii="Times New Roman" w:hAnsi="Times New Roman" w:eastAsia="宋体" w:cs="Times New Roman"/>
          <w:b/>
          <w:bCs/>
          <w:snapToGrid w:val="0"/>
          <w:color w:val="000000"/>
          <w:spacing w:val="0"/>
          <w:kern w:val="0"/>
          <w:sz w:val="21"/>
          <w:szCs w:val="21"/>
          <w:lang w:val="en-US" w:eastAsia="zh-CN" w:bidi="ar-SA"/>
        </w:rPr>
        <w:t xml:space="preserve"> </w:t>
      </w:r>
      <w:r>
        <w:rPr>
          <w:rFonts w:hint="default" w:ascii="Times New Roman" w:hAnsi="Times New Roman" w:eastAsia="宋体" w:cs="Times New Roman"/>
          <w:b/>
          <w:bCs/>
          <w:snapToGrid w:val="0"/>
          <w:color w:val="000000"/>
          <w:spacing w:val="0"/>
          <w:kern w:val="0"/>
          <w:sz w:val="21"/>
          <w:szCs w:val="21"/>
          <w:lang w:val="en-US" w:eastAsia="zh-CN" w:bidi="ar-SA"/>
        </w:rPr>
        <w:t>项目评价范围内的主要环境敏感点</w:t>
      </w:r>
    </w:p>
    <w:tbl>
      <w:tblPr>
        <w:tblStyle w:val="25"/>
        <w:tblW w:w="499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847"/>
        <w:gridCol w:w="1507"/>
        <w:gridCol w:w="1219"/>
        <w:gridCol w:w="1115"/>
        <w:gridCol w:w="685"/>
        <w:gridCol w:w="1324"/>
        <w:gridCol w:w="765"/>
        <w:gridCol w:w="862"/>
        <w:gridCol w:w="14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敏感要素</w:t>
            </w:r>
          </w:p>
        </w:tc>
        <w:tc>
          <w:tcPr>
            <w:tcW w:w="77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名称</w:t>
            </w:r>
          </w:p>
        </w:tc>
        <w:tc>
          <w:tcPr>
            <w:tcW w:w="119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坐标</w:t>
            </w:r>
          </w:p>
        </w:tc>
        <w:tc>
          <w:tcPr>
            <w:tcW w:w="35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保护对象</w:t>
            </w:r>
          </w:p>
        </w:tc>
        <w:tc>
          <w:tcPr>
            <w:tcW w:w="68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保护内容</w:t>
            </w:r>
          </w:p>
        </w:tc>
        <w:tc>
          <w:tcPr>
            <w:tcW w:w="39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环境功能区</w:t>
            </w:r>
          </w:p>
        </w:tc>
        <w:tc>
          <w:tcPr>
            <w:tcW w:w="4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相对厂址方位</w:t>
            </w:r>
          </w:p>
        </w:tc>
        <w:tc>
          <w:tcPr>
            <w:tcW w:w="72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相对厂界距</w:t>
            </w:r>
            <w:r>
              <w:rPr>
                <w:rFonts w:hint="default" w:ascii="Times New Roman" w:hAnsi="Times New Roman" w:eastAsia="宋体" w:cs="Times New Roman"/>
                <w:b w:val="0"/>
                <w:color w:val="auto"/>
                <w:spacing w:val="-14"/>
                <w:sz w:val="21"/>
                <w:szCs w:val="21"/>
              </w:rPr>
              <w:t>离范围</w:t>
            </w:r>
            <w:r>
              <w:rPr>
                <w:rFonts w:hint="default" w:ascii="Times New Roman" w:hAnsi="Times New Roman" w:eastAsia="宋体" w:cs="Times New Roman"/>
                <w:b w:val="0"/>
                <w:color w:val="auto"/>
                <w:sz w:val="21"/>
                <w:szCs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经度</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纬度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大气环境</w:t>
            </w: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海汇家博城</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111.950931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25.547215</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约100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300 人</w:t>
            </w:r>
          </w:p>
        </w:tc>
        <w:tc>
          <w:tcPr>
            <w:tcW w:w="39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大气2</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类</w:t>
            </w: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100-345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蔡家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111.950931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25.548996</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约80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240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360-570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和谐村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111.944084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25.541030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 500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1500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500-1000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吉家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111.965081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25.546907</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 50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150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1389-1578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宁远二中</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111.961727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25.555520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eastAsia="zh-CN"/>
              </w:rPr>
            </w:pPr>
            <w:r>
              <w:rPr>
                <w:rFonts w:hint="eastAsia" w:eastAsia="宋体" w:cs="Times New Roman"/>
                <w:b w:val="0"/>
                <w:color w:val="auto"/>
                <w:sz w:val="21"/>
                <w:szCs w:val="21"/>
                <w:lang w:val="en-US" w:eastAsia="zh-CN"/>
              </w:rPr>
              <w:t>学校</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约3000 人</w:t>
            </w:r>
          </w:p>
        </w:tc>
        <w:tc>
          <w:tcPr>
            <w:tcW w:w="39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1262-1935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世纪汇</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111.950072</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25.556735</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约500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1500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1218-1467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宁远八中</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111.945773</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25.568027</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学校</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约3000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2435-2658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罗坝头</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111.968244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25.553968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约400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1200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1887-2469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龙板桥村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111.971354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25.567956</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约100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3058-3093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石灰冲</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111.968512</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25.541032</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约40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120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1537-1998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长沙明德中学湘南学校</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111.961553</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25.535974</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学校</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约3000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1247-1670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黄金桥</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111.955080</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25.532244</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约500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1500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1258-1870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兴旺山村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111.965015</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25.523711</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 1000户，3000人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2370-2995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宁远县中医医院</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111.951925</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25.545118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28</w:t>
            </w:r>
            <w:r>
              <w:rPr>
                <w:rFonts w:hint="default" w:ascii="Times New Roman" w:hAnsi="Times New Roman" w:eastAsia="宋体" w:cs="Times New Roman"/>
                <w:b w:val="0"/>
                <w:color w:val="auto"/>
                <w:sz w:val="21"/>
                <w:szCs w:val="21"/>
              </w:rPr>
              <w:t>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11-210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大井头</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111.925964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25.563938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8</w:t>
            </w:r>
            <w:r>
              <w:rPr>
                <w:rFonts w:hint="default" w:ascii="Times New Roman" w:hAnsi="Times New Roman" w:eastAsia="宋体" w:cs="Times New Roman"/>
                <w:b w:val="0"/>
                <w:color w:val="auto"/>
                <w:sz w:val="21"/>
                <w:szCs w:val="21"/>
              </w:rPr>
              <w:t>0 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26</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2983-3592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福家坪村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111.932181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25.556137</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7</w:t>
            </w:r>
            <w:r>
              <w:rPr>
                <w:rFonts w:hint="default" w:ascii="Times New Roman" w:hAnsi="Times New Roman" w:eastAsia="宋体" w:cs="Times New Roman"/>
                <w:b w:val="0"/>
                <w:color w:val="auto"/>
                <w:sz w:val="21"/>
                <w:szCs w:val="21"/>
              </w:rPr>
              <w:t>0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24</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2031-2464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黄家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111.939476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25.559542</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13</w:t>
            </w:r>
            <w:r>
              <w:rPr>
                <w:rFonts w:hint="default" w:ascii="Times New Roman" w:hAnsi="Times New Roman" w:eastAsia="宋体" w:cs="Times New Roman"/>
                <w:b w:val="0"/>
                <w:color w:val="auto"/>
                <w:sz w:val="21"/>
                <w:szCs w:val="21"/>
              </w:rPr>
              <w:t>0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40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1545-2137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高福村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111.925104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25.553043</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7</w:t>
            </w:r>
            <w:r>
              <w:rPr>
                <w:rFonts w:hint="default" w:ascii="Times New Roman" w:hAnsi="Times New Roman" w:eastAsia="宋体" w:cs="Times New Roman"/>
                <w:b w:val="0"/>
                <w:color w:val="auto"/>
                <w:sz w:val="21"/>
                <w:szCs w:val="21"/>
              </w:rPr>
              <w:t>0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23</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2365-2899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李家山村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111.930016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25.544011</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11</w:t>
            </w:r>
            <w:r>
              <w:rPr>
                <w:rFonts w:hint="default" w:ascii="Times New Roman" w:hAnsi="Times New Roman" w:eastAsia="宋体" w:cs="Times New Roman"/>
                <w:b w:val="0"/>
                <w:color w:val="auto"/>
                <w:sz w:val="21"/>
                <w:szCs w:val="21"/>
              </w:rPr>
              <w:t xml:space="preserve">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4</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1860-2056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湾头村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111.935263</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25.534437</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3</w:t>
            </w:r>
            <w:r>
              <w:rPr>
                <w:rFonts w:hint="default" w:ascii="Times New Roman" w:hAnsi="Times New Roman" w:eastAsia="宋体" w:cs="Times New Roman"/>
                <w:b w:val="0"/>
                <w:color w:val="auto"/>
                <w:sz w:val="21"/>
                <w:szCs w:val="21"/>
              </w:rPr>
              <w:t>00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95</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1700-2294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花板塘村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111.929527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25.525507</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4</w:t>
            </w:r>
            <w:r>
              <w:rPr>
                <w:rFonts w:hint="default" w:ascii="Times New Roman" w:hAnsi="Times New Roman" w:eastAsia="宋体" w:cs="Times New Roman"/>
                <w:b w:val="0"/>
                <w:color w:val="auto"/>
                <w:sz w:val="21"/>
                <w:szCs w:val="21"/>
              </w:rPr>
              <w:t>0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15</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2721-3223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西眼</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111.937067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25.525768</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35</w:t>
            </w:r>
            <w:r>
              <w:rPr>
                <w:rFonts w:hint="default" w:ascii="Times New Roman" w:hAnsi="Times New Roman" w:eastAsia="宋体" w:cs="Times New Roman"/>
                <w:b w:val="0"/>
                <w:color w:val="auto"/>
                <w:sz w:val="21"/>
                <w:szCs w:val="21"/>
              </w:rPr>
              <w:t xml:space="preserve">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10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2285-2606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宁远县第十中学</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111.943277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25.525487</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学校</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约3000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2088-2398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官桥</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111.942654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25.528234</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70</w:t>
            </w:r>
            <w:r>
              <w:rPr>
                <w:rFonts w:hint="default" w:ascii="Times New Roman" w:hAnsi="Times New Roman" w:eastAsia="宋体" w:cs="Times New Roman"/>
                <w:b w:val="0"/>
                <w:color w:val="auto"/>
                <w:sz w:val="21"/>
                <w:szCs w:val="21"/>
              </w:rPr>
              <w:t xml:space="preserve">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23</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1516-2474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胡家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111.940538</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25.535334</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60</w:t>
            </w:r>
            <w:r>
              <w:rPr>
                <w:rFonts w:hint="default" w:ascii="Times New Roman" w:hAnsi="Times New Roman" w:eastAsia="宋体" w:cs="Times New Roman"/>
                <w:b w:val="0"/>
                <w:color w:val="auto"/>
                <w:sz w:val="21"/>
                <w:szCs w:val="21"/>
              </w:rPr>
              <w:t xml:space="preserve">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1264-1643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淌下村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111.947038</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25.521128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80</w:t>
            </w:r>
            <w:r>
              <w:rPr>
                <w:rFonts w:hint="default" w:ascii="Times New Roman" w:hAnsi="Times New Roman" w:eastAsia="宋体" w:cs="Times New Roman"/>
                <w:b w:val="0"/>
                <w:color w:val="auto"/>
                <w:sz w:val="21"/>
                <w:szCs w:val="21"/>
              </w:rPr>
              <w:t xml:space="preserve"> 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26</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2410-2782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肖家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111.951661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25.527573</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84</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27</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1760-1972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毛家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111.946367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25.534231</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65</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1001-1417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赖家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111.943999</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25.548780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55</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18</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529-1000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张家</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111.952726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25.535549</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50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16</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897-1146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丙塘村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111.965704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25.527719</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90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30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1900-2637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西岭脚</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111.975891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25.531161</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50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16</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2799-3081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王茂塘村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111.970389</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25.534670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30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9</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2180-2364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宁远合一府</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111.957338</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25.541848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1258</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500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472-858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长春村</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111.973966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25.544694</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68</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20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2182-2540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珑湖</w:t>
            </w:r>
            <w:r>
              <w:rPr>
                <w:rFonts w:hint="default" w:ascii="Times New Roman" w:hAnsi="Times New Roman" w:eastAsia="宋体" w:cs="Times New Roman"/>
                <w:b w:val="0"/>
                <w:color w:val="auto"/>
                <w:sz w:val="21"/>
                <w:szCs w:val="21"/>
                <w:lang w:val="en-US" w:eastAsia="zh-CN"/>
              </w:rPr>
              <w:t>·</w:t>
            </w:r>
            <w:r>
              <w:rPr>
                <w:rFonts w:hint="eastAsia" w:eastAsia="宋体" w:cs="Times New Roman"/>
                <w:b w:val="0"/>
                <w:color w:val="auto"/>
                <w:sz w:val="21"/>
                <w:szCs w:val="21"/>
                <w:lang w:val="en-US" w:eastAsia="zh-CN"/>
              </w:rPr>
              <w:t>桃花源</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111.954371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25.548461</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1414</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425</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290-671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宁远碧桂园</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111.957296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25.550170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1400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420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750-1072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碧桂园</w:t>
            </w:r>
            <w:r>
              <w:rPr>
                <w:rFonts w:hint="default" w:ascii="Times New Roman" w:hAnsi="Times New Roman" w:eastAsia="宋体" w:cs="Times New Roman"/>
                <w:b w:val="0"/>
                <w:color w:val="auto"/>
                <w:sz w:val="21"/>
                <w:szCs w:val="21"/>
                <w:lang w:val="en-US" w:eastAsia="zh-CN"/>
              </w:rPr>
              <w:t>·</w:t>
            </w:r>
            <w:r>
              <w:rPr>
                <w:rFonts w:hint="default" w:ascii="Times New Roman" w:hAnsi="Times New Roman" w:eastAsia="宋体" w:cs="Times New Roman"/>
                <w:b w:val="0"/>
                <w:color w:val="auto"/>
                <w:sz w:val="21"/>
                <w:szCs w:val="21"/>
              </w:rPr>
              <w:t>城央壹品</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111.964695</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25.557153</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1535</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460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1754-2052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大宁府</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111.960996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25.564439</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1047</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350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东北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2318-2542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金印豪庭</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111.951706</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25.561691</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824</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250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1778-1919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壹品江山小区</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111.948180</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25.562846</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1494</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rPr>
            </w:pPr>
            <w:r>
              <w:rPr>
                <w:rFonts w:hint="eastAsia" w:eastAsia="宋体" w:cs="Times New Roman"/>
                <w:b w:val="0"/>
                <w:color w:val="auto"/>
                <w:sz w:val="21"/>
                <w:szCs w:val="21"/>
                <w:lang w:val="en-US" w:eastAsia="zh-CN"/>
              </w:rPr>
              <w:t>350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1895-2256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潇湘山水城</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111.954545</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25.568198</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3400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lang w:val="en-US" w:eastAsia="zh-CN"/>
              </w:rPr>
            </w:pPr>
            <w:r>
              <w:rPr>
                <w:rFonts w:hint="eastAsia" w:eastAsia="宋体" w:cs="Times New Roman"/>
                <w:b w:val="0"/>
                <w:color w:val="auto"/>
                <w:sz w:val="21"/>
                <w:szCs w:val="21"/>
                <w:lang w:val="en-US" w:eastAsia="zh-CN"/>
              </w:rPr>
              <w:t>1300</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lang w:val="en-US" w:eastAsia="zh-CN"/>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2333-2874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莲花小学</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111.952050</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25.566026</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学校</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4</w:t>
            </w:r>
            <w:r>
              <w:rPr>
                <w:rFonts w:hint="default" w:ascii="Times New Roman" w:hAnsi="Times New Roman" w:eastAsia="宋体" w:cs="Times New Roman"/>
                <w:b w:val="0"/>
                <w:color w:val="auto"/>
                <w:sz w:val="21"/>
                <w:szCs w:val="21"/>
              </w:rPr>
              <w:t>000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lang w:val="en-US" w:eastAsia="zh-CN"/>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2308-2558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芙蓉学校</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111.961941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25.548400</w:t>
            </w:r>
          </w:p>
        </w:tc>
        <w:tc>
          <w:tcPr>
            <w:tcW w:w="35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学校</w:t>
            </w:r>
          </w:p>
        </w:tc>
        <w:tc>
          <w:tcPr>
            <w:tcW w:w="680"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17</w:t>
            </w:r>
            <w:r>
              <w:rPr>
                <w:rFonts w:hint="default" w:ascii="Times New Roman" w:hAnsi="Times New Roman" w:eastAsia="宋体" w:cs="Times New Roman"/>
                <w:b w:val="0"/>
                <w:color w:val="auto"/>
                <w:sz w:val="21"/>
                <w:szCs w:val="21"/>
              </w:rPr>
              <w:t>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lang w:val="en-US" w:eastAsia="zh-CN"/>
              </w:rPr>
            </w:pPr>
            <w:r>
              <w:rPr>
                <w:rFonts w:hint="eastAsia" w:eastAsia="宋体" w:cs="Times New Roman"/>
                <w:b w:val="0"/>
                <w:color w:val="auto"/>
                <w:sz w:val="21"/>
                <w:szCs w:val="21"/>
                <w:lang w:val="en-US" w:eastAsia="zh-CN"/>
              </w:rPr>
              <w:t>东</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1110-1286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印山社区</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111.948653</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25.561860</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1120</w:t>
            </w:r>
            <w:r>
              <w:rPr>
                <w:rFonts w:hint="default" w:ascii="Times New Roman" w:hAnsi="Times New Roman" w:eastAsia="宋体" w:cs="Times New Roman"/>
                <w:b w:val="0"/>
                <w:color w:val="auto"/>
                <w:sz w:val="21"/>
                <w:szCs w:val="21"/>
              </w:rPr>
              <w:t>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385</w:t>
            </w:r>
            <w:r>
              <w:rPr>
                <w:rFonts w:hint="default" w:ascii="Times New Roman" w:hAnsi="Times New Roman" w:eastAsia="宋体" w:cs="Times New Roman"/>
                <w:b w:val="0"/>
                <w:color w:val="auto"/>
                <w:sz w:val="21"/>
                <w:szCs w:val="21"/>
              </w:rPr>
              <w:t>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700-2756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声环境</w:t>
            </w: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海汇家博城</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111.950931</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25.547215</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约100 户，300人</w:t>
            </w:r>
          </w:p>
        </w:tc>
        <w:tc>
          <w:tcPr>
            <w:tcW w:w="39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声2类</w:t>
            </w: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北</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100-200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宁远县中医医院</w:t>
            </w:r>
          </w:p>
        </w:tc>
        <w:tc>
          <w:tcPr>
            <w:tcW w:w="6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111.951925</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25.545118</w:t>
            </w:r>
          </w:p>
        </w:tc>
        <w:tc>
          <w:tcPr>
            <w:tcW w:w="3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居民</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约</w:t>
            </w:r>
            <w:r>
              <w:rPr>
                <w:rFonts w:hint="eastAsia" w:eastAsia="宋体" w:cs="Times New Roman"/>
                <w:b w:val="0"/>
                <w:color w:val="auto"/>
                <w:sz w:val="21"/>
                <w:szCs w:val="21"/>
                <w:lang w:val="en-US" w:eastAsia="zh-CN"/>
              </w:rPr>
              <w:t>28</w:t>
            </w:r>
            <w:r>
              <w:rPr>
                <w:rFonts w:hint="default" w:ascii="Times New Roman" w:hAnsi="Times New Roman" w:eastAsia="宋体" w:cs="Times New Roman"/>
                <w:b w:val="0"/>
                <w:color w:val="auto"/>
                <w:sz w:val="21"/>
                <w:szCs w:val="21"/>
              </w:rPr>
              <w:t>00 人</w:t>
            </w: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东</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eastAsia="宋体" w:cs="Times New Roman"/>
                <w:b w:val="0"/>
                <w:color w:val="auto"/>
                <w:sz w:val="21"/>
                <w:szCs w:val="21"/>
                <w:lang w:val="en-US" w:eastAsia="zh-CN"/>
              </w:rPr>
              <w:t>11-210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454" w:hRule="atLeast"/>
          <w:jc w:val="center"/>
        </w:trPr>
        <w:tc>
          <w:tcPr>
            <w:tcW w:w="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地表水</w:t>
            </w:r>
          </w:p>
        </w:tc>
        <w:tc>
          <w:tcPr>
            <w:tcW w:w="7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泠江</w:t>
            </w:r>
          </w:p>
        </w:tc>
        <w:tc>
          <w:tcPr>
            <w:tcW w:w="119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eastAsia="宋体" w:cs="Times New Roman"/>
                <w:b w:val="0"/>
                <w:color w:val="auto"/>
                <w:sz w:val="21"/>
                <w:szCs w:val="21"/>
                <w:lang w:val="en-US" w:eastAsia="zh-CN"/>
              </w:rPr>
              <w:t>/</w:t>
            </w:r>
          </w:p>
        </w:tc>
        <w:tc>
          <w:tcPr>
            <w:tcW w:w="103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地表水</w:t>
            </w:r>
            <w:r>
              <w:rPr>
                <w:rFonts w:hint="eastAsia" w:ascii="Times New Roman" w:hAnsi="Times New Roman" w:eastAsia="宋体" w:cs="Times New Roman"/>
                <w:b w:val="0"/>
                <w:color w:val="auto"/>
                <w:sz w:val="21"/>
                <w:szCs w:val="21"/>
                <w:lang w:val="en-US" w:eastAsia="zh-CN"/>
              </w:rPr>
              <w:t>III</w:t>
            </w:r>
            <w:r>
              <w:rPr>
                <w:rFonts w:hint="default" w:ascii="Times New Roman" w:hAnsi="Times New Roman" w:eastAsia="宋体" w:cs="Times New Roman"/>
                <w:b w:val="0"/>
                <w:color w:val="auto"/>
                <w:sz w:val="21"/>
                <w:szCs w:val="21"/>
              </w:rPr>
              <w:t>类</w:t>
            </w:r>
          </w:p>
        </w:tc>
        <w:tc>
          <w:tcPr>
            <w:tcW w:w="3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III</w:t>
            </w:r>
            <w:r>
              <w:rPr>
                <w:rFonts w:hint="default" w:ascii="Times New Roman" w:hAnsi="Times New Roman" w:eastAsia="宋体" w:cs="Times New Roman"/>
                <w:b w:val="0"/>
                <w:color w:val="auto"/>
                <w:sz w:val="21"/>
                <w:szCs w:val="21"/>
              </w:rPr>
              <w:t>类</w:t>
            </w:r>
          </w:p>
        </w:tc>
        <w:tc>
          <w:tcPr>
            <w:tcW w:w="4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北侧</w:t>
            </w:r>
          </w:p>
        </w:tc>
        <w:tc>
          <w:tcPr>
            <w:tcW w:w="7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sectPr>
          <w:headerReference r:id="rId11" w:type="default"/>
          <w:footerReference r:id="rId12" w:type="default"/>
          <w:pgSz w:w="11906" w:h="16839"/>
          <w:pgMar w:top="1440" w:right="1080" w:bottom="1440" w:left="1080" w:header="878" w:footer="996" w:gutter="0"/>
          <w:pgBorders w:offsetFrom="page">
            <w:top w:val="none" w:sz="0" w:space="0"/>
            <w:left w:val="none" w:sz="0" w:space="0"/>
            <w:bottom w:val="none" w:sz="0" w:space="0"/>
            <w:right w:val="none" w:sz="0" w:space="0"/>
          </w:pgBorders>
          <w:pgNumType w:fmt="decimal"/>
          <w:cols w:space="720" w:num="1"/>
        </w:sectPr>
      </w:pPr>
    </w:p>
    <w:p>
      <w:pPr>
        <w:pStyle w:val="2"/>
        <w:bidi w:val="0"/>
        <w:jc w:val="center"/>
      </w:pPr>
      <w:bookmarkStart w:id="58" w:name="_Toc30610"/>
      <w:bookmarkStart w:id="59" w:name="_Toc7332"/>
      <w:r>
        <w:t>第</w:t>
      </w:r>
      <w:r>
        <w:rPr>
          <w:rFonts w:hint="eastAsia"/>
          <w:lang w:val="en-US" w:eastAsia="zh-CN"/>
        </w:rPr>
        <w:t>三</w:t>
      </w:r>
      <w:r>
        <w:t>章 项目概况和工程分析</w:t>
      </w:r>
      <w:bookmarkEnd w:id="58"/>
      <w:bookmarkEnd w:id="59"/>
    </w:p>
    <w:p>
      <w:pPr>
        <w:pStyle w:val="3"/>
        <w:bidi w:val="0"/>
      </w:pPr>
      <w:bookmarkStart w:id="60" w:name="_Toc22458"/>
      <w:bookmarkStart w:id="61" w:name="_Toc32132"/>
      <w:r>
        <w:rPr>
          <w:rFonts w:hint="eastAsia"/>
          <w:lang w:val="en-US" w:eastAsia="zh-CN"/>
        </w:rPr>
        <w:t>3</w:t>
      </w:r>
      <w:r>
        <w:t>.1 项目概况</w:t>
      </w:r>
      <w:bookmarkEnd w:id="60"/>
      <w:bookmarkEnd w:id="61"/>
    </w:p>
    <w:p>
      <w:pPr>
        <w:pStyle w:val="4"/>
        <w:bidi w:val="0"/>
        <w:rPr>
          <w:rFonts w:hint="eastAsia"/>
          <w:lang w:val="en-US" w:eastAsia="zh-CN"/>
        </w:rPr>
      </w:pPr>
      <w:bookmarkStart w:id="62" w:name="_Toc6539"/>
      <w:r>
        <w:rPr>
          <w:rFonts w:hint="eastAsia"/>
          <w:lang w:val="en-US" w:eastAsia="zh-CN"/>
        </w:rPr>
        <w:t>3.1.1 现有工程概况</w:t>
      </w:r>
    </w:p>
    <w:p>
      <w:pPr>
        <w:pStyle w:val="5"/>
        <w:bidi w:val="0"/>
        <w:spacing w:line="240" w:lineRule="auto"/>
        <w:rPr>
          <w:rFonts w:hint="eastAsia"/>
          <w:lang w:val="en-US" w:eastAsia="zh-CN"/>
        </w:rPr>
      </w:pPr>
      <w:r>
        <w:rPr>
          <w:rFonts w:hint="eastAsia"/>
          <w:lang w:val="en-US" w:eastAsia="zh-CN"/>
        </w:rPr>
        <w:t>3.1.1.1 疾控中心现状情况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宁远县</w:t>
      </w:r>
      <w:r>
        <w:rPr>
          <w:rFonts w:hint="eastAsia" w:ascii="Times New Roman" w:hAnsi="Times New Roman" w:eastAsia="宋体" w:cs="Times New Roman"/>
          <w:b w:val="0"/>
          <w:bCs w:val="0"/>
          <w:snapToGrid w:val="0"/>
          <w:color w:val="000000"/>
          <w:spacing w:val="11"/>
          <w:kern w:val="0"/>
          <w:sz w:val="24"/>
          <w:szCs w:val="24"/>
          <w:lang w:val="en-US" w:eastAsia="zh-CN"/>
        </w:rPr>
        <w:t>疾病预防控制中心是在原</w:t>
      </w:r>
      <w:r>
        <w:rPr>
          <w:rFonts w:hint="eastAsia" w:eastAsia="宋体" w:cs="Times New Roman"/>
          <w:b w:val="0"/>
          <w:bCs w:val="0"/>
          <w:snapToGrid w:val="0"/>
          <w:color w:val="000000"/>
          <w:spacing w:val="11"/>
          <w:kern w:val="0"/>
          <w:sz w:val="24"/>
          <w:szCs w:val="24"/>
          <w:lang w:val="en-US" w:eastAsia="zh-CN"/>
        </w:rPr>
        <w:t>宁远县</w:t>
      </w:r>
      <w:r>
        <w:rPr>
          <w:rFonts w:hint="eastAsia" w:ascii="Times New Roman" w:hAnsi="Times New Roman" w:eastAsia="宋体" w:cs="Times New Roman"/>
          <w:b w:val="0"/>
          <w:bCs w:val="0"/>
          <w:snapToGrid w:val="0"/>
          <w:color w:val="000000"/>
          <w:spacing w:val="11"/>
          <w:kern w:val="0"/>
          <w:sz w:val="24"/>
          <w:szCs w:val="24"/>
          <w:lang w:val="en-US" w:eastAsia="zh-CN"/>
        </w:rPr>
        <w:t>卫生防疫站的基础上于200</w:t>
      </w:r>
      <w:r>
        <w:rPr>
          <w:rFonts w:hint="eastAsia" w:eastAsia="宋体" w:cs="Times New Roman"/>
          <w:b w:val="0"/>
          <w:bCs w:val="0"/>
          <w:snapToGrid w:val="0"/>
          <w:color w:val="000000"/>
          <w:spacing w:val="11"/>
          <w:kern w:val="0"/>
          <w:sz w:val="24"/>
          <w:szCs w:val="24"/>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年 1月组建而成，是全</w:t>
      </w:r>
      <w:r>
        <w:rPr>
          <w:rFonts w:hint="eastAsia" w:eastAsia="宋体" w:cs="Times New Roman"/>
          <w:b w:val="0"/>
          <w:bCs w:val="0"/>
          <w:snapToGrid w:val="0"/>
          <w:color w:val="000000"/>
          <w:spacing w:val="11"/>
          <w:kern w:val="0"/>
          <w:sz w:val="24"/>
          <w:szCs w:val="24"/>
          <w:lang w:val="en-US" w:eastAsia="zh-CN"/>
        </w:rPr>
        <w:t>县</w:t>
      </w:r>
      <w:r>
        <w:rPr>
          <w:rFonts w:hint="eastAsia" w:ascii="Times New Roman" w:hAnsi="Times New Roman" w:eastAsia="宋体" w:cs="Times New Roman"/>
          <w:b w:val="0"/>
          <w:bCs w:val="0"/>
          <w:snapToGrid w:val="0"/>
          <w:color w:val="000000"/>
          <w:spacing w:val="11"/>
          <w:kern w:val="0"/>
          <w:sz w:val="24"/>
          <w:szCs w:val="24"/>
          <w:lang w:val="en-US" w:eastAsia="zh-CN"/>
        </w:rPr>
        <w:t>疾病预防与控制的技术指导中心和技术咨询、服务机构，是政府实施疾病预防与控制、突发公共卫生事件应急处置、疫情报告及健康相关因素信息管理、健康危害因素监测与干预、实验室检测分析与评价、健康教育与健康促进、技术管理与应用研究指导等职能的公益性事业单位。</w:t>
      </w:r>
      <w:r>
        <w:rPr>
          <w:rFonts w:hint="eastAsia" w:eastAsia="宋体" w:cs="Times New Roman"/>
          <w:b w:val="0"/>
          <w:bCs w:val="0"/>
          <w:snapToGrid w:val="0"/>
          <w:color w:val="000000"/>
          <w:spacing w:val="11"/>
          <w:kern w:val="0"/>
          <w:sz w:val="24"/>
          <w:szCs w:val="24"/>
          <w:lang w:val="en-US" w:eastAsia="zh-CN"/>
        </w:rPr>
        <w:t>建设地</w:t>
      </w:r>
      <w:r>
        <w:rPr>
          <w:rFonts w:hint="eastAsia" w:ascii="Times New Roman" w:hAnsi="Times New Roman" w:eastAsia="宋体" w:cs="Times New Roman"/>
          <w:b w:val="0"/>
          <w:bCs w:val="0"/>
          <w:snapToGrid w:val="0"/>
          <w:color w:val="000000"/>
          <w:spacing w:val="11"/>
          <w:kern w:val="0"/>
          <w:sz w:val="24"/>
          <w:szCs w:val="24"/>
          <w:lang w:val="en-US" w:eastAsia="zh-CN"/>
        </w:rPr>
        <w:t>位于</w:t>
      </w:r>
      <w:r>
        <w:rPr>
          <w:rFonts w:hint="eastAsia" w:eastAsia="宋体" w:cs="Times New Roman"/>
          <w:b w:val="0"/>
          <w:bCs w:val="0"/>
          <w:snapToGrid w:val="0"/>
          <w:color w:val="000000"/>
          <w:spacing w:val="11"/>
          <w:kern w:val="0"/>
          <w:sz w:val="24"/>
          <w:szCs w:val="24"/>
          <w:lang w:val="en-US" w:eastAsia="zh-CN"/>
        </w:rPr>
        <w:t>宁远县舜陵镇光明路9号</w:t>
      </w:r>
      <w:r>
        <w:rPr>
          <w:rFonts w:hint="eastAsia" w:ascii="Times New Roman" w:hAnsi="Times New Roman" w:eastAsia="宋体" w:cs="Times New Roman"/>
          <w:b w:val="0"/>
          <w:bCs w:val="0"/>
          <w:snapToGrid w:val="0"/>
          <w:color w:val="000000"/>
          <w:spacing w:val="11"/>
          <w:kern w:val="0"/>
          <w:sz w:val="24"/>
          <w:szCs w:val="24"/>
          <w:lang w:val="en-US" w:eastAsia="zh-CN"/>
        </w:rPr>
        <w:t>。项目包括 1 栋综合大楼及门诊楼，共 5 层（包括行政办公、职业病健康检查等）及其辅助工程。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中心占地面积</w:t>
      </w:r>
      <w:r>
        <w:rPr>
          <w:rFonts w:hint="eastAsia" w:eastAsia="宋体" w:cs="Times New Roman"/>
          <w:b w:val="0"/>
          <w:bCs w:val="0"/>
          <w:snapToGrid w:val="0"/>
          <w:color w:val="000000"/>
          <w:spacing w:val="11"/>
          <w:kern w:val="0"/>
          <w:sz w:val="24"/>
          <w:szCs w:val="24"/>
          <w:lang w:val="en-US" w:eastAsia="zh-CN"/>
        </w:rPr>
        <w:t>2653.3</w:t>
      </w:r>
      <w:r>
        <w:rPr>
          <w:rFonts w:hint="eastAsia" w:ascii="Times New Roman" w:hAnsi="Times New Roman" w:eastAsia="宋体" w:cs="Times New Roman"/>
          <w:b w:val="0"/>
          <w:bCs w:val="0"/>
          <w:snapToGrid w:val="0"/>
          <w:color w:val="000000"/>
          <w:spacing w:val="11"/>
          <w:kern w:val="0"/>
          <w:sz w:val="24"/>
          <w:szCs w:val="24"/>
          <w:lang w:val="en-US" w:eastAsia="zh-CN"/>
        </w:rPr>
        <w:t>5m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建筑面积3075.92</w:t>
      </w:r>
      <w:r>
        <w:rPr>
          <w:rFonts w:hint="eastAsia" w:ascii="Times New Roman" w:hAnsi="Times New Roman" w:eastAsia="宋体" w:cs="Times New Roman"/>
          <w:b w:val="0"/>
          <w:bCs w:val="0"/>
          <w:snapToGrid w:val="0"/>
          <w:color w:val="000000"/>
          <w:spacing w:val="11"/>
          <w:kern w:val="0"/>
          <w:sz w:val="24"/>
          <w:szCs w:val="24"/>
          <w:lang w:val="en-US" w:eastAsia="zh-CN"/>
        </w:rPr>
        <w:t>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。现有在职工作人员</w:t>
      </w:r>
      <w:r>
        <w:rPr>
          <w:rFonts w:hint="eastAsia" w:eastAsia="宋体" w:cs="Times New Roman"/>
          <w:b w:val="0"/>
          <w:bCs w:val="0"/>
          <w:snapToGrid w:val="0"/>
          <w:color w:val="000000"/>
          <w:spacing w:val="11"/>
          <w:kern w:val="0"/>
          <w:sz w:val="24"/>
          <w:szCs w:val="24"/>
          <w:lang w:val="en-US" w:eastAsia="zh-CN"/>
        </w:rPr>
        <w:t>73</w:t>
      </w:r>
      <w:r>
        <w:rPr>
          <w:rFonts w:hint="eastAsia" w:ascii="Times New Roman" w:hAnsi="Times New Roman" w:eastAsia="宋体" w:cs="Times New Roman"/>
          <w:b w:val="0"/>
          <w:bCs w:val="0"/>
          <w:snapToGrid w:val="0"/>
          <w:color w:val="000000"/>
          <w:spacing w:val="11"/>
          <w:kern w:val="0"/>
          <w:sz w:val="24"/>
          <w:szCs w:val="24"/>
          <w:lang w:val="en-US" w:eastAsia="zh-CN"/>
        </w:rPr>
        <w:t>人，中心下设办公室、财务室、计划免疫科、急性传染病防治科、慢性病防治科、质量管理科、检验科、艾滋病防治科、结核病防治科、食品卫生监测科、门诊部、学校卫生科等科室。</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hint="eastAsia" w:ascii="Arial" w:hAnsi="Arial" w:eastAsia="Arial" w:cs="Arial"/>
          <w:b/>
          <w:bCs/>
          <w:snapToGrid w:val="0"/>
          <w:color w:val="000000"/>
          <w:kern w:val="0"/>
          <w:sz w:val="28"/>
          <w:szCs w:val="28"/>
          <w:lang w:val="en-US" w:eastAsia="zh-CN"/>
        </w:rPr>
      </w:pPr>
      <w:r>
        <w:rPr>
          <w:rFonts w:hint="eastAsia" w:ascii="Arial" w:hAnsi="Arial" w:eastAsia="Arial" w:cs="Arial"/>
          <w:b/>
          <w:bCs/>
          <w:snapToGrid w:val="0"/>
          <w:color w:val="000000"/>
          <w:kern w:val="0"/>
          <w:sz w:val="28"/>
          <w:szCs w:val="28"/>
          <w:lang w:val="en-US" w:eastAsia="zh-CN"/>
        </w:rPr>
        <w:t>3.1.1.2 现有工程污染物产排及处理情况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 废气污染源分析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现有工程废气污染源主要为实验室废气（微生物实验室和理化实验室废气）。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PCR 实验室、微生物实验室含菌废气：PCR 实验室、微生物实验室检测、实验过程中，废气可能含传染性的细菌和病毒，PCR 实验室、微生物实验室内设置生物安全柜。PCR 实验室、微生物实验室所有涉及病原微生物的操作均在生物安全柜中进行，生物安全柜内安装有高效空气过滤器（HEPA过滤器）。生物安全柜废气经处理后经排气管道墙外排放。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理化实验室有机废气、无机废气：经通风橱负压收集+楼顶排放。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 废水污染源分析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现有工程废水类型主要为实验室废水（理化实验室、生物实验室）、生活污水等。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实验室废水</w:t>
      </w:r>
      <w:r>
        <w:rPr>
          <w:rFonts w:hint="eastAsia" w:ascii="Times New Roman" w:hAnsi="Times New Roman" w:eastAsia="宋体" w:cs="Times New Roman"/>
          <w:b w:val="0"/>
          <w:bCs w:val="0"/>
          <w:snapToGrid w:val="0"/>
          <w:color w:val="000000"/>
          <w:spacing w:val="11"/>
          <w:kern w:val="0"/>
          <w:sz w:val="24"/>
          <w:szCs w:val="24"/>
          <w:lang w:val="en-US" w:eastAsia="zh-CN"/>
        </w:rPr>
        <w:t>经现有一体化废水处理站（处理能力为</w:t>
      </w:r>
      <w:r>
        <w:rPr>
          <w:rFonts w:hint="eastAsia"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3</w:t>
      </w:r>
      <w:r>
        <w:rPr>
          <w:rFonts w:hint="eastAsia" w:eastAsia="宋体" w:cs="Times New Roman"/>
          <w:b w:val="0"/>
          <w:bCs w:val="0"/>
          <w:snapToGrid w:val="0"/>
          <w:color w:val="000000"/>
          <w:spacing w:val="11"/>
          <w:kern w:val="0"/>
          <w:sz w:val="24"/>
          <w:szCs w:val="24"/>
          <w:vertAlign w:val="baseline"/>
          <w:lang w:val="en-US" w:eastAsia="zh-CN"/>
        </w:rPr>
        <w:t>/d</w:t>
      </w:r>
      <w:r>
        <w:rPr>
          <w:rFonts w:hint="eastAsia" w:ascii="Times New Roman" w:hAnsi="Times New Roman" w:eastAsia="宋体" w:cs="Times New Roman"/>
          <w:b w:val="0"/>
          <w:bCs w:val="0"/>
          <w:snapToGrid w:val="0"/>
          <w:color w:val="000000"/>
          <w:spacing w:val="11"/>
          <w:kern w:val="0"/>
          <w:sz w:val="24"/>
          <w:szCs w:val="24"/>
          <w:lang w:val="en-US" w:eastAsia="zh-CN"/>
        </w:rPr>
        <w:t>）处理后接入市政管网进入</w:t>
      </w:r>
      <w:r>
        <w:rPr>
          <w:rFonts w:hint="eastAsia" w:eastAsia="宋体" w:cs="Times New Roman"/>
          <w:b w:val="0"/>
          <w:bCs w:val="0"/>
          <w:snapToGrid w:val="0"/>
          <w:color w:val="000000"/>
          <w:spacing w:val="11"/>
          <w:kern w:val="0"/>
          <w:sz w:val="24"/>
          <w:szCs w:val="24"/>
          <w:lang w:val="en-US" w:eastAsia="zh-CN"/>
        </w:rPr>
        <w:t>宁远县</w:t>
      </w:r>
      <w:r>
        <w:rPr>
          <w:rFonts w:hint="eastAsia" w:ascii="Times New Roman" w:hAnsi="Times New Roman" w:eastAsia="宋体" w:cs="Times New Roman"/>
          <w:b w:val="0"/>
          <w:bCs w:val="0"/>
          <w:snapToGrid w:val="0"/>
          <w:color w:val="000000"/>
          <w:spacing w:val="11"/>
          <w:kern w:val="0"/>
          <w:sz w:val="24"/>
          <w:szCs w:val="24"/>
          <w:lang w:val="en-US" w:eastAsia="zh-CN"/>
        </w:rPr>
        <w:t>污水处理厂处理后排入</w:t>
      </w:r>
      <w:r>
        <w:rPr>
          <w:rFonts w:hint="eastAsia" w:eastAsia="宋体" w:cs="Times New Roman"/>
          <w:b w:val="0"/>
          <w:bCs w:val="0"/>
          <w:snapToGrid w:val="0"/>
          <w:color w:val="000000"/>
          <w:spacing w:val="11"/>
          <w:kern w:val="0"/>
          <w:sz w:val="24"/>
          <w:szCs w:val="24"/>
          <w:lang w:val="en-US" w:eastAsia="zh-CN"/>
        </w:rPr>
        <w:t>泠江</w:t>
      </w:r>
      <w:r>
        <w:rPr>
          <w:rFonts w:hint="eastAsia" w:ascii="Times New Roman" w:hAnsi="Times New Roman" w:eastAsia="宋体" w:cs="Times New Roman"/>
          <w:b w:val="0"/>
          <w:bCs w:val="0"/>
          <w:snapToGrid w:val="0"/>
          <w:color w:val="000000"/>
          <w:spacing w:val="11"/>
          <w:kern w:val="0"/>
          <w:sz w:val="24"/>
          <w:szCs w:val="24"/>
          <w:lang w:val="en-US" w:eastAsia="zh-CN"/>
        </w:rPr>
        <w:t>。现有工程污水处理站处理工艺为“一级强化处理+消毒工艺”，处理后废水能达到《医疗机构水污染物排放标准》（GB18466-2005）表 2 预处理标准。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生活污水进化粪池预处理后排入市政污水管道，进入宁远县污水处理站深度处理。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现有工程噪声源主要为：水泵、风机、中央空调室外机组等机械设备，以及机动车产生的交通噪声和进出项目区域人员产生的社会生活噪声，各声级在 60-90dB（A）之间。设备噪声通过隔声减震、社会生活噪声一并经过绿化带隔离及距离衰减，对外环境影响甚微。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4、固体废物。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现有工程固体废物分为危险废物、生活垃圾</w:t>
      </w:r>
      <w:r>
        <w:rPr>
          <w:rFonts w:hint="eastAsia" w:eastAsia="宋体" w:cs="Times New Roman"/>
          <w:b w:val="0"/>
          <w:bCs w:val="0"/>
          <w:snapToGrid w:val="0"/>
          <w:color w:val="000000"/>
          <w:spacing w:val="11"/>
          <w:kern w:val="0"/>
          <w:sz w:val="24"/>
          <w:szCs w:val="24"/>
          <w:lang w:val="en-US" w:eastAsia="zh-CN"/>
        </w:rPr>
        <w:t>和纯水制备设备废过滤材料等</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（1）生活垃圾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疾控中心员工为</w:t>
      </w:r>
      <w:r>
        <w:rPr>
          <w:rFonts w:hint="eastAsia" w:eastAsia="宋体" w:cs="Times New Roman"/>
          <w:b w:val="0"/>
          <w:bCs w:val="0"/>
          <w:snapToGrid w:val="0"/>
          <w:color w:val="000000"/>
          <w:spacing w:val="11"/>
          <w:kern w:val="0"/>
          <w:sz w:val="24"/>
          <w:szCs w:val="24"/>
          <w:lang w:val="en-US" w:eastAsia="zh-CN"/>
        </w:rPr>
        <w:t>73</w:t>
      </w:r>
      <w:r>
        <w:rPr>
          <w:rFonts w:hint="eastAsia" w:ascii="Times New Roman" w:hAnsi="Times New Roman" w:eastAsia="宋体" w:cs="Times New Roman"/>
          <w:b w:val="0"/>
          <w:bCs w:val="0"/>
          <w:snapToGrid w:val="0"/>
          <w:color w:val="000000"/>
          <w:spacing w:val="11"/>
          <w:kern w:val="0"/>
          <w:sz w:val="24"/>
          <w:szCs w:val="24"/>
          <w:lang w:val="en-US" w:eastAsia="zh-CN"/>
        </w:rPr>
        <w:t xml:space="preserve"> 人，每人每日产生生活垃圾按 1.0kg计，则产生生活垃圾 </w:t>
      </w:r>
      <w:r>
        <w:rPr>
          <w:rFonts w:hint="eastAsia" w:eastAsia="宋体" w:cs="Times New Roman"/>
          <w:b w:val="0"/>
          <w:bCs w:val="0"/>
          <w:snapToGrid w:val="0"/>
          <w:color w:val="000000"/>
          <w:spacing w:val="11"/>
          <w:kern w:val="0"/>
          <w:sz w:val="24"/>
          <w:szCs w:val="24"/>
          <w:lang w:val="en-US" w:eastAsia="zh-CN"/>
        </w:rPr>
        <w:t>73</w:t>
      </w:r>
      <w:r>
        <w:rPr>
          <w:rFonts w:hint="eastAsia" w:ascii="Times New Roman" w:hAnsi="Times New Roman" w:eastAsia="宋体" w:cs="Times New Roman"/>
          <w:b w:val="0"/>
          <w:bCs w:val="0"/>
          <w:snapToGrid w:val="0"/>
          <w:color w:val="000000"/>
          <w:spacing w:val="11"/>
          <w:kern w:val="0"/>
          <w:sz w:val="24"/>
          <w:szCs w:val="24"/>
          <w:lang w:val="en-US" w:eastAsia="zh-CN"/>
        </w:rPr>
        <w:t>kg/d，</w:t>
      </w:r>
      <w:r>
        <w:rPr>
          <w:rFonts w:hint="eastAsia" w:eastAsia="宋体" w:cs="Times New Roman"/>
          <w:b w:val="0"/>
          <w:bCs w:val="0"/>
          <w:snapToGrid w:val="0"/>
          <w:color w:val="000000"/>
          <w:spacing w:val="11"/>
          <w:kern w:val="0"/>
          <w:sz w:val="24"/>
          <w:szCs w:val="24"/>
          <w:lang w:val="en-US" w:eastAsia="zh-CN"/>
        </w:rPr>
        <w:t>26.645</w:t>
      </w:r>
      <w:r>
        <w:rPr>
          <w:rFonts w:hint="eastAsia" w:ascii="Times New Roman" w:hAnsi="Times New Roman" w:eastAsia="宋体" w:cs="Times New Roman"/>
          <w:b w:val="0"/>
          <w:bCs w:val="0"/>
          <w:snapToGrid w:val="0"/>
          <w:color w:val="000000"/>
          <w:spacing w:val="11"/>
          <w:kern w:val="0"/>
          <w:sz w:val="24"/>
          <w:szCs w:val="24"/>
          <w:lang w:val="en-US" w:eastAsia="zh-CN"/>
        </w:rPr>
        <w:t>t/a。建设单位将生活垃圾袋装后集中存在放在生活垃圾暂存间堆放，并每日由环卫部门清理运走，对垃圾堆放点进行定期的清洁消毒。</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（2）危险废物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包括各种危化品包装物、废过滤介质、实验室废活性炭、废紫外线灯管、水处理栅渣及污泥、医疗废物。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①各种危化品包装物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各种危化品包装物产生量为 0.01t/a，根据《国家危险废物名录》（2021 年）可知，各种危化品包装物属于危险废物，危废编号为HW49 其他废物（900-041-49），暂存于医疗废物暂存间，委托资质单位处置。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②废过滤介质</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微生物实验室及生物安全柜废气处理采用高效空气过滤器，安装的空气过滤介质需要定期更换，产生的废过滤介质（含有或沾染毒性、感染性危险废物的废弃包装物、容器、过滤吸附介质 900-041-49）约为0.01t/a，废过滤介质属于危险废物，暂存于医疗废物暂存间，委托有资质的单位处置。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③医疗废物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w:t>
      </w:r>
      <w:r>
        <w:rPr>
          <w:rFonts w:hint="eastAsia" w:eastAsia="宋体" w:cs="Times New Roman"/>
          <w:b w:val="0"/>
          <w:bCs w:val="0"/>
          <w:snapToGrid w:val="0"/>
          <w:color w:val="000000"/>
          <w:spacing w:val="11"/>
          <w:kern w:val="0"/>
          <w:sz w:val="24"/>
          <w:szCs w:val="24"/>
          <w:lang w:val="en-US" w:eastAsia="zh-CN"/>
        </w:rPr>
        <w:t>现有工程</w:t>
      </w:r>
      <w:r>
        <w:rPr>
          <w:rFonts w:hint="eastAsia" w:ascii="Times New Roman" w:hAnsi="Times New Roman" w:eastAsia="宋体" w:cs="Times New Roman"/>
          <w:b w:val="0"/>
          <w:bCs w:val="0"/>
          <w:snapToGrid w:val="0"/>
          <w:color w:val="000000"/>
          <w:spacing w:val="11"/>
          <w:kern w:val="0"/>
          <w:sz w:val="24"/>
          <w:szCs w:val="24"/>
          <w:lang w:val="en-US" w:eastAsia="zh-CN"/>
        </w:rPr>
        <w:t>产生的医疗废物约</w:t>
      </w:r>
      <w:r>
        <w:rPr>
          <w:rFonts w:hint="eastAsia" w:eastAsia="宋体" w:cs="Times New Roman"/>
          <w:b w:val="0"/>
          <w:bCs w:val="0"/>
          <w:snapToGrid w:val="0"/>
          <w:color w:val="000000"/>
          <w:spacing w:val="11"/>
          <w:kern w:val="0"/>
          <w:sz w:val="24"/>
          <w:szCs w:val="24"/>
          <w:lang w:val="en-US" w:eastAsia="zh-CN"/>
        </w:rPr>
        <w:t>1.2</w:t>
      </w:r>
      <w:r>
        <w:rPr>
          <w:rFonts w:hint="eastAsia" w:ascii="Times New Roman" w:hAnsi="Times New Roman" w:eastAsia="宋体" w:cs="Times New Roman"/>
          <w:b w:val="0"/>
          <w:bCs w:val="0"/>
          <w:snapToGrid w:val="0"/>
          <w:color w:val="000000"/>
          <w:spacing w:val="11"/>
          <w:kern w:val="0"/>
          <w:sz w:val="24"/>
          <w:szCs w:val="24"/>
          <w:lang w:val="en-US" w:eastAsia="zh-CN"/>
        </w:rPr>
        <w:t>t/a，各项医疗废物分类使用不同容器收集，并贴上相应标签，暂存于医疗废物暂存间内，委托有资质单位处理。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④废紫外线灯管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w:t>
      </w:r>
      <w:r>
        <w:rPr>
          <w:rFonts w:hint="eastAsia" w:eastAsia="宋体" w:cs="Times New Roman"/>
          <w:b w:val="0"/>
          <w:bCs w:val="0"/>
          <w:snapToGrid w:val="0"/>
          <w:color w:val="000000"/>
          <w:spacing w:val="11"/>
          <w:kern w:val="0"/>
          <w:sz w:val="24"/>
          <w:szCs w:val="24"/>
          <w:lang w:val="en-US" w:eastAsia="zh-CN"/>
        </w:rPr>
        <w:t>生物实验室</w:t>
      </w:r>
      <w:r>
        <w:rPr>
          <w:rFonts w:hint="eastAsia" w:ascii="Times New Roman" w:hAnsi="Times New Roman" w:eastAsia="宋体" w:cs="Times New Roman"/>
          <w:b w:val="0"/>
          <w:bCs w:val="0"/>
          <w:snapToGrid w:val="0"/>
          <w:color w:val="000000"/>
          <w:spacing w:val="11"/>
          <w:kern w:val="0"/>
          <w:sz w:val="24"/>
          <w:szCs w:val="24"/>
          <w:lang w:val="en-US" w:eastAsia="zh-CN"/>
        </w:rPr>
        <w:t>等使用紫外线进行消毒，会产生废紫外线灯管，属于危险废物。产生量为0.1t/a，废物类别为HW49（其他废物），废物代码为HW049-900-041-49，单独收集后交有危险废物资质的单位处理。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⑤水处理栅渣及污泥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根据《医疗机构水污染物排放标准》（GB18466-2005）中有关污泥控制与处置的规定：栅渣、化粪池和污水处理站污泥属危险废物（HW49），应按危险废物进行处理和处置，须委托有危废资质处置。污泥及栅渣清淘前加入漂白粉对污泥进行消毒处理，并进行监测，达到《医疗机构水污染物排放标准》（GB18466-2005）中表 4 医疗机构污泥控制标准后进行清淘。</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清淘出的污泥及栅渣经脱水后作为危险废物由有资质单位处理</w:t>
      </w:r>
      <w:r>
        <w:rPr>
          <w:rFonts w:hint="eastAsia"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现有工程污泥产生量为4.1kg/d，1.5t/a，清淘出的污泥及栅渣经脱水后作为危险废物由有资质单位处理。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w:t>
      </w:r>
      <w:r>
        <w:rPr>
          <w:rFonts w:hint="eastAsia" w:eastAsia="宋体" w:cs="Times New Roman"/>
          <w:b w:val="0"/>
          <w:bCs w:val="0"/>
          <w:snapToGrid w:val="0"/>
          <w:color w:val="000000"/>
          <w:spacing w:val="11"/>
          <w:kern w:val="0"/>
          <w:sz w:val="24"/>
          <w:szCs w:val="24"/>
          <w:lang w:val="en-US" w:eastAsia="zh-CN"/>
        </w:rPr>
        <w:t>纯水制备设备废过滤材料</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 xml:space="preserve">        现有工程配备一套反渗透纯水制备装置用于制备纯水，纯水制备设备的过滤材料产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生量为 0.1t/a，失效后，由厂家定期更换回收。</w:t>
      </w:r>
    </w:p>
    <w:p>
      <w:pPr>
        <w:pStyle w:val="36"/>
        <w:keepNext w:val="0"/>
        <w:keepLines w:val="0"/>
        <w:pageBreakBefore w:val="0"/>
        <w:widowControl w:val="0"/>
        <w:numPr>
          <w:ilvl w:val="0"/>
          <w:numId w:val="3"/>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现有工程污染物排放统计表</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ascii="Times New Roman" w:hAnsi="Times New Roman" w:eastAsia="宋体" w:cs="Times New Roman"/>
          <w:b/>
          <w:bCs/>
          <w:snapToGrid w:val="0"/>
          <w:color w:val="000000"/>
          <w:spacing w:val="0"/>
          <w:kern w:val="0"/>
          <w:sz w:val="21"/>
          <w:szCs w:val="21"/>
          <w:lang w:val="en-US" w:eastAsia="zh-CN" w:bidi="ar-SA"/>
        </w:rPr>
      </w:pPr>
      <w:r>
        <w:rPr>
          <w:rFonts w:hint="eastAsia" w:ascii="Times New Roman" w:hAnsi="Times New Roman" w:eastAsia="宋体" w:cs="Times New Roman"/>
          <w:b/>
          <w:bCs/>
          <w:snapToGrid w:val="0"/>
          <w:color w:val="000000"/>
          <w:spacing w:val="0"/>
          <w:kern w:val="0"/>
          <w:sz w:val="21"/>
          <w:szCs w:val="21"/>
          <w:lang w:val="en-US" w:eastAsia="zh-CN" w:bidi="ar-SA"/>
        </w:rPr>
        <w:t>表 3.1-</w:t>
      </w:r>
      <w:r>
        <w:rPr>
          <w:rFonts w:hint="eastAsia" w:eastAsia="宋体" w:cs="Times New Roman"/>
          <w:b/>
          <w:bCs/>
          <w:snapToGrid w:val="0"/>
          <w:color w:val="000000"/>
          <w:spacing w:val="0"/>
          <w:kern w:val="0"/>
          <w:sz w:val="21"/>
          <w:szCs w:val="21"/>
          <w:lang w:val="en-US" w:eastAsia="zh-CN" w:bidi="ar-SA"/>
        </w:rPr>
        <w:t>1</w:t>
      </w:r>
      <w:r>
        <w:rPr>
          <w:rFonts w:hint="eastAsia" w:ascii="Times New Roman" w:hAnsi="Times New Roman" w:eastAsia="宋体" w:cs="Times New Roman"/>
          <w:b/>
          <w:bCs/>
          <w:snapToGrid w:val="0"/>
          <w:color w:val="000000"/>
          <w:spacing w:val="0"/>
          <w:kern w:val="0"/>
          <w:sz w:val="21"/>
          <w:szCs w:val="21"/>
          <w:lang w:val="en-US" w:eastAsia="zh-CN" w:bidi="ar-SA"/>
        </w:rPr>
        <w:t xml:space="preserve"> 项目主要污染物产生及排放情况一览表</w:t>
      </w:r>
    </w:p>
    <w:tbl>
      <w:tblPr>
        <w:tblStyle w:val="25"/>
        <w:tblW w:w="4993" w:type="pct"/>
        <w:tblInd w:w="0" w:type="dxa"/>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shd w:val="clear" w:color="auto" w:fill="auto"/>
        <w:tblLayout w:type="fixed"/>
        <w:tblCellMar>
          <w:top w:w="0" w:type="dxa"/>
          <w:left w:w="108" w:type="dxa"/>
          <w:bottom w:w="0" w:type="dxa"/>
          <w:right w:w="108" w:type="dxa"/>
        </w:tblCellMar>
      </w:tblPr>
      <w:tblGrid>
        <w:gridCol w:w="426"/>
        <w:gridCol w:w="562"/>
        <w:gridCol w:w="1475"/>
        <w:gridCol w:w="1408"/>
        <w:gridCol w:w="1530"/>
        <w:gridCol w:w="1223"/>
        <w:gridCol w:w="67"/>
        <w:gridCol w:w="3258"/>
      </w:tblGrid>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496" w:type="pct"/>
            <w:gridSpan w:val="2"/>
            <w:tcBorders>
              <w:tl2br w:val="nil"/>
              <w:tr2bl w:val="nil"/>
            </w:tcBorders>
            <w:shd w:val="clear" w:color="auto" w:fill="FFFFFF"/>
            <w:vAlign w:val="center"/>
            <mc:AlternateContent>
              <mc:Choice Requires="wpsCustomData">
                <wpsCustomData:diagonals>
                  <wpsCustomData:diagonal from="10000" to="30000">
                    <wpsCustomData:border w:val="single" w:color="474747" w:sz="12" w:space="0"/>
                  </wpsCustomData:diagonal>
                </wpsCustomData:diagonals>
              </mc:Choice>
            </mc:AlternateContent>
          </w:tcPr>
          <w:p>
            <w:pPr>
              <w:keepNext w:val="0"/>
              <w:keepLines w:val="0"/>
              <w:widowControl/>
              <w:suppressLineNumbers w:val="0"/>
              <w:snapToGrid w:val="0"/>
              <w:spacing w:line="240" w:lineRule="auto"/>
              <w:jc w:val="center"/>
              <w:textAlignment w:val="center"/>
              <mc:AlternateContent>
                <mc:Choice Requires="wpsCustomData">
                  <wpsCustomData:diagonalParaType/>
                </mc:Choice>
              </mc:AlternateContent>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类型</w:t>
            </w:r>
          </w:p>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内容</w:t>
            </w:r>
          </w:p>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排放源</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污染物名称</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产生量</w:t>
            </w:r>
          </w:p>
        </w:tc>
        <w:tc>
          <w:tcPr>
            <w:tcW w:w="6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排放量</w:t>
            </w:r>
          </w:p>
        </w:tc>
        <w:tc>
          <w:tcPr>
            <w:tcW w:w="163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排放去向</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大气</w:t>
            </w:r>
          </w:p>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污染</w:t>
            </w:r>
          </w:p>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物</w:t>
            </w:r>
          </w:p>
        </w:tc>
        <w:tc>
          <w:tcPr>
            <w:tcW w:w="282"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运营期</w:t>
            </w:r>
          </w:p>
        </w:tc>
        <w:tc>
          <w:tcPr>
            <w:tcW w:w="741"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理化实验室废气</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硫酸雾</w:t>
            </w:r>
          </w:p>
        </w:tc>
        <w:tc>
          <w:tcPr>
            <w:tcW w:w="768"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48" w:type="pct"/>
            <w:gridSpan w:val="2"/>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637"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无组织排放</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NO</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x</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氯化氢</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有机废气</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90" w:hRule="atLeast"/>
        </w:trPr>
        <w:tc>
          <w:tcPr>
            <w:tcW w:w="214" w:type="pct"/>
            <w:vMerge w:val="continue"/>
            <w:tcBorders>
              <w:tl2br w:val="nil"/>
              <w:tr2bl w:val="nil"/>
            </w:tcBorders>
            <w:shd w:val="clear" w:color="auto" w:fill="auto"/>
            <w:noWrap/>
            <w:vAlign w:val="center"/>
          </w:tcPr>
          <w:p>
            <w:pPr>
              <w:jc w:val="both"/>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生物实验室废气</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含病原微生物的废气</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63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实验室安装消毒装置，涉及病原微生物的实验操作均在生物安全柜中进行，生物安全柜内和废气排风的总管末端、排风机负压段均安装高效空气过滤器，经消毒后的废气楼顶排放</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污水处理站废气</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NH</w:t>
            </w:r>
            <w:r>
              <w:rPr>
                <w:rFonts w:hint="default" w:ascii="Times New Roman" w:hAnsi="Times New Roman" w:eastAsia="宋体" w:cs="Times New Roman"/>
                <w:b w:val="0"/>
                <w:bCs w:val="0"/>
                <w:i w:val="0"/>
                <w:iCs w:val="0"/>
                <w:snapToGrid w:val="0"/>
                <w:color w:val="000000"/>
                <w:kern w:val="0"/>
                <w:sz w:val="21"/>
                <w:szCs w:val="21"/>
                <w:u w:val="none"/>
                <w:vertAlign w:val="subscript"/>
                <w:lang w:val="en-US" w:eastAsia="zh-CN" w:bidi="ar"/>
              </w:rPr>
              <w:t>3</w:t>
            </w:r>
          </w:p>
        </w:tc>
        <w:tc>
          <w:tcPr>
            <w:tcW w:w="768"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48" w:type="pct"/>
            <w:gridSpan w:val="2"/>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637"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污水处理站设于设备用房内，设备密闭，喷洒除臭剂，同时加强周边绿化</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H</w:t>
            </w:r>
            <w:r>
              <w:rPr>
                <w:rFonts w:hint="default" w:ascii="Times New Roman" w:hAnsi="Times New Roman" w:eastAsia="宋体" w:cs="Times New Roman"/>
                <w:b w:val="0"/>
                <w:bCs w:val="0"/>
                <w:i w:val="0"/>
                <w:iCs w:val="0"/>
                <w:snapToGrid w:val="0"/>
                <w:color w:val="000000"/>
                <w:kern w:val="0"/>
                <w:sz w:val="21"/>
                <w:szCs w:val="21"/>
                <w:u w:val="none"/>
                <w:vertAlign w:val="subscript"/>
                <w:lang w:val="en-US" w:eastAsia="zh-CN" w:bidi="ar"/>
              </w:rPr>
              <w:t>2</w:t>
            </w:r>
            <w:r>
              <w:rPr>
                <w:rFonts w:hint="default" w:ascii="Times New Roman" w:hAnsi="Times New Roman" w:eastAsia="宋体" w:cs="Times New Roman"/>
                <w:b w:val="0"/>
                <w:bCs w:val="0"/>
                <w:i w:val="0"/>
                <w:iCs w:val="0"/>
                <w:snapToGrid w:val="0"/>
                <w:color w:val="000000"/>
                <w:kern w:val="0"/>
                <w:sz w:val="21"/>
                <w:szCs w:val="21"/>
                <w:u w:val="none"/>
                <w:lang w:val="en-US" w:eastAsia="zh-CN" w:bidi="ar"/>
              </w:rPr>
              <w:t>S</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4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垃圾臭气</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63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垃圾及时清运，定时喷洒除臭剂</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汽车尾气</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CO</w:t>
            </w:r>
          </w:p>
        </w:tc>
        <w:tc>
          <w:tcPr>
            <w:tcW w:w="768"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48" w:type="pct"/>
            <w:gridSpan w:val="2"/>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637"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绿化</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THC</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auto"/>
            <w:noWrap/>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NO</w:t>
            </w:r>
            <w:r>
              <w:rPr>
                <w:rFonts w:hint="default" w:ascii="Times New Roman" w:hAnsi="Times New Roman" w:eastAsia="宋体" w:cs="Times New Roman"/>
                <w:b w:val="0"/>
                <w:bCs w:val="0"/>
                <w:i w:val="0"/>
                <w:iCs w:val="0"/>
                <w:snapToGrid w:val="0"/>
                <w:color w:val="000000"/>
                <w:kern w:val="0"/>
                <w:sz w:val="21"/>
                <w:szCs w:val="21"/>
                <w:u w:val="none"/>
                <w:vertAlign w:val="subscript"/>
                <w:lang w:val="en-US" w:eastAsia="zh-CN" w:bidi="ar"/>
              </w:rPr>
              <w:t>X</w:t>
            </w:r>
          </w:p>
        </w:tc>
        <w:tc>
          <w:tcPr>
            <w:tcW w:w="768"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648" w:type="pct"/>
            <w:gridSpan w:val="2"/>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1637"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水污</w:t>
            </w:r>
          </w:p>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染物</w:t>
            </w:r>
          </w:p>
        </w:tc>
        <w:tc>
          <w:tcPr>
            <w:tcW w:w="282"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运营期</w:t>
            </w:r>
          </w:p>
        </w:tc>
        <w:tc>
          <w:tcPr>
            <w:tcW w:w="741"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废水</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生活污水</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730m</w:t>
            </w:r>
            <w:r>
              <w:rPr>
                <w:rFonts w:hint="eastAsia" w:ascii="Times New Roman" w:hAnsi="Times New Roman" w:eastAsia="宋体" w:cs="Times New Roman"/>
                <w:b w:val="0"/>
                <w:bCs w:val="0"/>
                <w:i w:val="0"/>
                <w:iCs w:val="0"/>
                <w:snapToGrid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/a</w:t>
            </w:r>
          </w:p>
        </w:tc>
        <w:tc>
          <w:tcPr>
            <w:tcW w:w="6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730m</w:t>
            </w:r>
            <w:r>
              <w:rPr>
                <w:rFonts w:hint="eastAsia" w:ascii="Times New Roman" w:hAnsi="Times New Roman" w:eastAsia="宋体" w:cs="Times New Roman"/>
                <w:b w:val="0"/>
                <w:bCs w:val="0"/>
                <w:i w:val="0"/>
                <w:iCs w:val="0"/>
                <w:snapToGrid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/a</w:t>
            </w:r>
          </w:p>
        </w:tc>
        <w:tc>
          <w:tcPr>
            <w:tcW w:w="1637"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实验室废水进入污水处理设施处理，处理后与经过化粪池处理后的生活污水接入市政管网进入宁远县第二污水处理厂处理后排入泠江</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c>
          <w:tcPr>
            <w:tcW w:w="282" w:type="pct"/>
            <w:vMerge w:val="continue"/>
            <w:tcBorders>
              <w:tl2br w:val="nil"/>
              <w:tr2bl w:val="nil"/>
            </w:tcBorders>
            <w:shd w:val="clear" w:color="auto" w:fill="FFFFFF"/>
            <w:vAlign w:val="center"/>
          </w:tcPr>
          <w:p>
            <w:pPr>
              <w:jc w:val="center"/>
              <w:rPr>
                <w:rFonts w:hint="eastAsia" w:ascii="Times New Roman" w:hAnsi="Times New Roman" w:eastAsia="宋体" w:cs="Times New Roman"/>
                <w:b w:val="0"/>
                <w:bCs w:val="0"/>
                <w:i w:val="0"/>
                <w:iCs w:val="0"/>
                <w:color w:val="000000"/>
                <w:sz w:val="21"/>
                <w:szCs w:val="21"/>
                <w:u w:val="none"/>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1"/>
                <w:szCs w:val="21"/>
                <w:u w:val="none"/>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实验室废水</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FF"/>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686.375m</w:t>
            </w:r>
            <w:r>
              <w:rPr>
                <w:rFonts w:hint="eastAsia" w:ascii="Times New Roman" w:hAnsi="Times New Roman" w:eastAsia="宋体" w:cs="Times New Roman"/>
                <w:b w:val="0"/>
                <w:bCs w:val="0"/>
                <w:i w:val="0"/>
                <w:iCs w:val="0"/>
                <w:snapToGrid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/a</w:t>
            </w:r>
          </w:p>
        </w:tc>
        <w:tc>
          <w:tcPr>
            <w:tcW w:w="648" w:type="pct"/>
            <w:gridSpan w:val="2"/>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686.375m</w:t>
            </w:r>
            <w:r>
              <w:rPr>
                <w:rFonts w:hint="eastAsia" w:ascii="Times New Roman" w:hAnsi="Times New Roman" w:eastAsia="宋体" w:cs="Times New Roman"/>
                <w:b w:val="0"/>
                <w:bCs w:val="0"/>
                <w:i w:val="0"/>
                <w:iCs w:val="0"/>
                <w:snapToGrid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/a</w:t>
            </w:r>
          </w:p>
        </w:tc>
        <w:tc>
          <w:tcPr>
            <w:tcW w:w="1637"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固废</w:t>
            </w:r>
          </w:p>
        </w:tc>
        <w:tc>
          <w:tcPr>
            <w:tcW w:w="282"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运营期</w:t>
            </w: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生活区</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生活垃圾</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26.645</w:t>
            </w:r>
            <w:r>
              <w:rPr>
                <w:rFonts w:hint="default"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2285" w:type="pct"/>
            <w:gridSpan w:val="3"/>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委托环卫部门统一处理</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办公区</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医疗废物</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1.2</w:t>
            </w:r>
            <w:r>
              <w:rPr>
                <w:rFonts w:hint="default"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2285" w:type="pct"/>
            <w:gridSpan w:val="3"/>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分类处置后，暂存于医疗废物暂存间内，委托有资质单位处理</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纯水制备设备废过滤材料</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0.1t/a</w:t>
            </w:r>
          </w:p>
        </w:tc>
        <w:tc>
          <w:tcPr>
            <w:tcW w:w="2285" w:type="pct"/>
            <w:gridSpan w:val="3"/>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由厂家定期更换</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栅渣污泥</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1.5t/a</w:t>
            </w:r>
          </w:p>
        </w:tc>
        <w:tc>
          <w:tcPr>
            <w:tcW w:w="2285" w:type="pct"/>
            <w:gridSpan w:val="3"/>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分类处置后，暂存于危废暂存间内，委托有资质单位处理</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废紫外灯管</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0.1t/a</w:t>
            </w:r>
          </w:p>
        </w:tc>
        <w:tc>
          <w:tcPr>
            <w:tcW w:w="2285" w:type="pct"/>
            <w:gridSpan w:val="3"/>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废过滤介质</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0.01t/a</w:t>
            </w:r>
          </w:p>
        </w:tc>
        <w:tc>
          <w:tcPr>
            <w:tcW w:w="2285" w:type="pct"/>
            <w:gridSpan w:val="3"/>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危化品包装物</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0.01t/a</w:t>
            </w:r>
          </w:p>
        </w:tc>
        <w:tc>
          <w:tcPr>
            <w:tcW w:w="2285" w:type="pct"/>
            <w:gridSpan w:val="3"/>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CellMar>
            <w:top w:w="0" w:type="dxa"/>
            <w:left w:w="108" w:type="dxa"/>
            <w:bottom w:w="0" w:type="dxa"/>
            <w:right w:w="108" w:type="dxa"/>
          </w:tblCellMar>
        </w:tblPrEx>
        <w:trPr>
          <w:trHeight w:val="249" w:hRule="atLeast"/>
        </w:trPr>
        <w:tc>
          <w:tcPr>
            <w:tcW w:w="214"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282"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运营期</w:t>
            </w: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机械设备</w:t>
            </w:r>
          </w:p>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（中央空调等）</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75-90dB（A）</w:t>
            </w:r>
          </w:p>
        </w:tc>
        <w:tc>
          <w:tcPr>
            <w:tcW w:w="614" w:type="pct"/>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昼间：≤60dB（A）</w:t>
            </w:r>
          </w:p>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夜间：≤50dB（A）</w:t>
            </w:r>
          </w:p>
        </w:tc>
        <w:tc>
          <w:tcPr>
            <w:tcW w:w="1671" w:type="pct"/>
            <w:gridSpan w:val="2"/>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减震、隔声降噪措施</w:t>
            </w: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人群</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60-75dB（A）</w:t>
            </w:r>
          </w:p>
        </w:tc>
        <w:tc>
          <w:tcPr>
            <w:tcW w:w="614"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1671" w:type="pct"/>
            <w:gridSpan w:val="2"/>
            <w:vMerge w:val="continue"/>
            <w:tcBorders>
              <w:tl2br w:val="nil"/>
              <w:tr2bl w:val="nil"/>
            </w:tcBorders>
            <w:shd w:val="clear" w:color="auto" w:fill="FFFFFF"/>
            <w:vAlign w:val="center"/>
          </w:tcPr>
          <w:p>
            <w:pPr>
              <w:jc w:val="left"/>
              <w:rPr>
                <w:rFonts w:hint="eastAsia" w:ascii="宋体" w:hAnsi="宋体" w:eastAsia="宋体" w:cs="宋体"/>
                <w:i w:val="0"/>
                <w:iCs w:val="0"/>
                <w:color w:val="000000"/>
                <w:sz w:val="20"/>
                <w:szCs w:val="20"/>
                <w:u w:val="none"/>
              </w:rPr>
            </w:pPr>
          </w:p>
        </w:tc>
      </w:tr>
      <w:tr>
        <w:tblPrEx>
          <w:tblBorders>
            <w:top w:val="single" w:color="474747" w:sz="12" w:space="0"/>
            <w:left w:val="none" w:color="auto" w:sz="0" w:space="0"/>
            <w:bottom w:val="single" w:color="474747" w:sz="12" w:space="0"/>
            <w:right w:val="none" w:color="auto" w:sz="0" w:space="0"/>
            <w:insideH w:val="single" w:color="474747" w:sz="4" w:space="0"/>
            <w:insideV w:val="single" w:color="474747" w:sz="4" w:space="0"/>
          </w:tblBorders>
        </w:tblPrEx>
        <w:trPr>
          <w:trHeight w:val="454" w:hRule="atLeast"/>
        </w:trPr>
        <w:tc>
          <w:tcPr>
            <w:tcW w:w="214"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282" w:type="pct"/>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74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汽车</w:t>
            </w:r>
          </w:p>
        </w:tc>
        <w:tc>
          <w:tcPr>
            <w:tcW w:w="707"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768" w:type="pc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default" w:ascii="Times New Roman" w:hAnsi="Times New Roman" w:eastAsia="宋体" w:cs="Times New Roman"/>
                <w:b w:val="0"/>
                <w:bCs w:val="0"/>
                <w:i w:val="0"/>
                <w:iCs w:val="0"/>
                <w:snapToGrid w:val="0"/>
                <w:color w:val="000000"/>
                <w:kern w:val="0"/>
                <w:sz w:val="21"/>
                <w:szCs w:val="21"/>
                <w:u w:val="none"/>
                <w:lang w:val="en-US" w:eastAsia="zh-CN" w:bidi="ar"/>
              </w:rPr>
              <w:t>60-85dB（A）</w:t>
            </w:r>
          </w:p>
        </w:tc>
        <w:tc>
          <w:tcPr>
            <w:tcW w:w="614"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1671" w:type="pct"/>
            <w:gridSpan w:val="2"/>
            <w:vMerge w:val="continue"/>
            <w:tcBorders>
              <w:tl2br w:val="nil"/>
              <w:tr2bl w:val="nil"/>
            </w:tcBorders>
            <w:shd w:val="clear" w:color="auto" w:fill="FFFFFF"/>
            <w:vAlign w:val="center"/>
          </w:tcPr>
          <w:p>
            <w:pPr>
              <w:jc w:val="left"/>
              <w:rPr>
                <w:rFonts w:hint="eastAsia" w:ascii="宋体" w:hAnsi="宋体" w:eastAsia="宋体" w:cs="宋体"/>
                <w:i w:val="0"/>
                <w:iCs w:val="0"/>
                <w:color w:val="000000"/>
                <w:sz w:val="20"/>
                <w:szCs w:val="20"/>
                <w:u w:val="none"/>
              </w:rPr>
            </w:pP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hint="default" w:ascii="Arial" w:hAnsi="Arial" w:eastAsia="Arial" w:cs="Arial"/>
          <w:b/>
          <w:bCs/>
          <w:snapToGrid w:val="0"/>
          <w:color w:val="000000"/>
          <w:kern w:val="0"/>
          <w:sz w:val="28"/>
          <w:szCs w:val="28"/>
          <w:lang w:val="en-US" w:eastAsia="zh-CN"/>
        </w:rPr>
      </w:pPr>
      <w:r>
        <w:rPr>
          <w:rFonts w:hint="eastAsia" w:ascii="Arial" w:hAnsi="Arial" w:eastAsia="Arial" w:cs="Arial"/>
          <w:b/>
          <w:bCs/>
          <w:snapToGrid w:val="0"/>
          <w:color w:val="000000"/>
          <w:kern w:val="0"/>
          <w:sz w:val="28"/>
          <w:szCs w:val="28"/>
          <w:lang w:val="en-US" w:eastAsia="zh-CN"/>
        </w:rPr>
        <w:t>3.1.1.3</w:t>
      </w:r>
      <w:r>
        <w:rPr>
          <w:rFonts w:hint="default" w:ascii="Arial" w:hAnsi="Arial" w:eastAsia="Arial" w:cs="Arial"/>
          <w:b/>
          <w:bCs/>
          <w:snapToGrid w:val="0"/>
          <w:color w:val="000000"/>
          <w:kern w:val="0"/>
          <w:sz w:val="28"/>
          <w:szCs w:val="28"/>
          <w:lang w:val="en-US" w:eastAsia="zh-CN"/>
        </w:rPr>
        <w:t>现有工程存在的环境问题及整改要求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经核实，现有工程已建成多年，存在如下环境问题，本环评要求拟建项目应做到“以新带老”。</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（1）建设单位设置了专门的环保机构及相应的专职人员，但环保管理制度不完善。</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“以新带老”要求：建立完善的环境管理制度、环保机构，设置专职环保人员，设置环保装置运行记录等。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（2）现有工程部分废气未收集处置，无组织排放。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“以新带老”要求：拟建项目建成后，企业需要针对废气采取有效的收集、处置措施，以便达标排放。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（3）固体废物管理不完善</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现有工程危险废物暂存间、医疗废物贮存间等固体废物储存场环保标识不全、台账未上墙，环保管理制度未完善。</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（4）现有工程环办手续不完善</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新建项目需按照环保相关法律法规要求，及时完善所有环保手续，如环评、环保验收、突发环境事件应急预案、排污许可证申领等。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拟建工程建成投产后，采取“以新带老”措施，对拟建工程新建危废暂存间、医疗废物贮存场所、一般固废暂存场所进行防渗、防风、防雨等建设，确保其满足相关环保要求；及时签订危废及医疗废物处置协议；进一步健全环保管理和环保设施运行制度，加强企业危废、一般固废暂存库规划范建设，完善标志标识及台账记录。</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hint="default" w:ascii="Arial" w:hAnsi="Arial" w:eastAsia="Arial" w:cs="Arial"/>
          <w:b/>
          <w:bCs/>
          <w:snapToGrid w:val="0"/>
          <w:color w:val="000000"/>
          <w:kern w:val="0"/>
          <w:sz w:val="28"/>
          <w:szCs w:val="28"/>
          <w:lang w:val="en-US" w:eastAsia="zh-CN"/>
        </w:rPr>
      </w:pPr>
      <w:r>
        <w:rPr>
          <w:rFonts w:hint="default" w:ascii="Arial" w:hAnsi="Arial" w:eastAsia="Arial" w:cs="Arial"/>
          <w:b/>
          <w:bCs/>
          <w:snapToGrid w:val="0"/>
          <w:color w:val="000000"/>
          <w:kern w:val="0"/>
          <w:sz w:val="28"/>
          <w:szCs w:val="28"/>
          <w:lang w:val="en-US" w:eastAsia="zh-CN"/>
        </w:rPr>
        <w:t>3.</w:t>
      </w:r>
      <w:r>
        <w:rPr>
          <w:rFonts w:hint="eastAsia" w:ascii="Arial" w:hAnsi="Arial" w:eastAsia="Arial" w:cs="Arial"/>
          <w:b/>
          <w:bCs/>
          <w:snapToGrid w:val="0"/>
          <w:color w:val="000000"/>
          <w:kern w:val="0"/>
          <w:sz w:val="28"/>
          <w:szCs w:val="28"/>
          <w:lang w:val="en-US" w:eastAsia="zh-CN"/>
        </w:rPr>
        <w:t>1.1.4</w:t>
      </w:r>
      <w:r>
        <w:rPr>
          <w:rFonts w:hint="default" w:ascii="Arial" w:hAnsi="Arial" w:eastAsia="Arial" w:cs="Arial"/>
          <w:b/>
          <w:bCs/>
          <w:snapToGrid w:val="0"/>
          <w:color w:val="000000"/>
          <w:kern w:val="0"/>
          <w:sz w:val="28"/>
          <w:szCs w:val="28"/>
          <w:lang w:val="en-US" w:eastAsia="zh-CN"/>
        </w:rPr>
        <w:t xml:space="preserve"> 现有工程后续利用要求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业主提供的资料，本项目建设完成后，现有工程的设备设施将全部搬迁至新项目继续利用，现有项目涉及到的病毒等将采用高压灭菌（无害化处理）后按照医疗废物委托给有资质单位进行处置；废液全部委托有资质单位进行处置；废水处理系统进行清空，废水处理系统产生的污泥按照医疗废物进行委托处置；完成上述处理后，将不存在遗留环保问题，剩余资产将进行资产处理。</w:t>
      </w:r>
    </w:p>
    <w:p>
      <w:pPr>
        <w:pStyle w:val="4"/>
        <w:bidi w:val="0"/>
        <w:rPr>
          <w:rFonts w:hint="default"/>
          <w:lang w:val="en-US" w:eastAsia="zh-CN"/>
        </w:rPr>
      </w:pPr>
      <w:r>
        <w:rPr>
          <w:rFonts w:hint="eastAsia"/>
          <w:lang w:val="en-US" w:eastAsia="zh-CN"/>
        </w:rPr>
        <w:t>3.</w:t>
      </w:r>
      <w:r>
        <w:rPr>
          <w:rFonts w:hint="default"/>
          <w:lang w:val="en-US" w:eastAsia="zh-CN"/>
        </w:rPr>
        <w:t>1.</w:t>
      </w:r>
      <w:r>
        <w:rPr>
          <w:rFonts w:hint="eastAsia"/>
          <w:lang w:val="en-US" w:eastAsia="zh-CN"/>
        </w:rPr>
        <w:t>2</w:t>
      </w:r>
      <w:r>
        <w:rPr>
          <w:rFonts w:hint="default"/>
          <w:lang w:val="en-US" w:eastAsia="zh-CN"/>
        </w:rPr>
        <w:t xml:space="preserve"> </w:t>
      </w:r>
      <w:r>
        <w:rPr>
          <w:rFonts w:hint="eastAsia"/>
          <w:lang w:val="en-US" w:eastAsia="zh-CN"/>
        </w:rPr>
        <w:t>新建</w:t>
      </w:r>
      <w:r>
        <w:rPr>
          <w:rFonts w:hint="default"/>
          <w:lang w:val="en-US" w:eastAsia="zh-CN"/>
        </w:rPr>
        <w:t>项目基本情况</w:t>
      </w:r>
      <w:bookmarkEnd w:id="62"/>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、项目名称：</w:t>
      </w:r>
      <w:r>
        <w:rPr>
          <w:rFonts w:hint="eastAsia" w:eastAsia="宋体" w:cs="Times New Roman"/>
          <w:b w:val="0"/>
          <w:bCs w:val="0"/>
          <w:snapToGrid w:val="0"/>
          <w:color w:val="000000"/>
          <w:spacing w:val="11"/>
          <w:kern w:val="0"/>
          <w:sz w:val="24"/>
          <w:szCs w:val="24"/>
          <w:lang w:val="en-US" w:eastAsia="zh-CN"/>
        </w:rPr>
        <w:t>宁远</w:t>
      </w:r>
      <w:r>
        <w:rPr>
          <w:rFonts w:hint="eastAsia" w:ascii="Times New Roman" w:hAnsi="Times New Roman" w:eastAsia="宋体" w:cs="Times New Roman"/>
          <w:b w:val="0"/>
          <w:bCs w:val="0"/>
          <w:snapToGrid w:val="0"/>
          <w:color w:val="000000"/>
          <w:spacing w:val="11"/>
          <w:kern w:val="0"/>
          <w:sz w:val="24"/>
          <w:szCs w:val="24"/>
          <w:lang w:val="en-US" w:eastAsia="zh-CN"/>
        </w:rPr>
        <w:t>县</w:t>
      </w:r>
      <w:r>
        <w:rPr>
          <w:rFonts w:hint="eastAsia" w:eastAsia="宋体" w:cs="Times New Roman"/>
          <w:b w:val="0"/>
          <w:bCs w:val="0"/>
          <w:snapToGrid w:val="0"/>
          <w:color w:val="000000"/>
          <w:spacing w:val="11"/>
          <w:kern w:val="0"/>
          <w:sz w:val="24"/>
          <w:szCs w:val="24"/>
          <w:lang w:val="en-US" w:eastAsia="zh-CN"/>
        </w:rPr>
        <w:t>宁远县疾控中心公共卫生检验检测及突发公共卫生事件应急处置中心建设项目</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、建设单位：</w:t>
      </w:r>
      <w:r>
        <w:rPr>
          <w:rFonts w:hint="eastAsia" w:eastAsia="宋体" w:cs="Times New Roman"/>
          <w:b w:val="0"/>
          <w:bCs w:val="0"/>
          <w:snapToGrid w:val="0"/>
          <w:color w:val="000000"/>
          <w:spacing w:val="11"/>
          <w:kern w:val="0"/>
          <w:sz w:val="24"/>
          <w:szCs w:val="24"/>
          <w:lang w:val="en-US" w:eastAsia="zh-CN"/>
        </w:rPr>
        <w:t>宁远县疾病预防控制中心</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FF"/>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、建设地</w:t>
      </w:r>
      <w:r>
        <w:rPr>
          <w:rFonts w:hint="default" w:ascii="Times New Roman" w:hAnsi="Times New Roman" w:eastAsia="宋体" w:cs="Times New Roman"/>
          <w:b w:val="0"/>
          <w:bCs w:val="0"/>
          <w:snapToGrid w:val="0"/>
          <w:color w:val="auto"/>
          <w:spacing w:val="11"/>
          <w:kern w:val="0"/>
          <w:sz w:val="24"/>
          <w:szCs w:val="24"/>
          <w:lang w:val="en-US" w:eastAsia="zh-CN"/>
        </w:rPr>
        <w:t>点：</w:t>
      </w:r>
      <w:r>
        <w:rPr>
          <w:rFonts w:hint="eastAsia" w:eastAsia="宋体" w:cs="Times New Roman"/>
          <w:b w:val="0"/>
          <w:bCs w:val="0"/>
          <w:snapToGrid w:val="0"/>
          <w:color w:val="auto"/>
          <w:spacing w:val="11"/>
          <w:kern w:val="0"/>
          <w:sz w:val="24"/>
          <w:szCs w:val="24"/>
          <w:lang w:val="en-US" w:eastAsia="zh-CN"/>
        </w:rPr>
        <w:t>宁远</w:t>
      </w:r>
      <w:r>
        <w:rPr>
          <w:rFonts w:hint="eastAsia" w:ascii="Times New Roman" w:hAnsi="Times New Roman" w:eastAsia="宋体" w:cs="Times New Roman"/>
          <w:b w:val="0"/>
          <w:bCs w:val="0"/>
          <w:snapToGrid w:val="0"/>
          <w:color w:val="auto"/>
          <w:spacing w:val="11"/>
          <w:kern w:val="0"/>
          <w:sz w:val="24"/>
          <w:szCs w:val="24"/>
          <w:lang w:val="en-US" w:eastAsia="zh-CN"/>
        </w:rPr>
        <w:t>县</w:t>
      </w:r>
      <w:r>
        <w:rPr>
          <w:rFonts w:hint="eastAsia" w:eastAsia="宋体" w:cs="Times New Roman"/>
          <w:b w:val="0"/>
          <w:bCs w:val="0"/>
          <w:snapToGrid w:val="0"/>
          <w:color w:val="auto"/>
          <w:spacing w:val="11"/>
          <w:kern w:val="0"/>
          <w:sz w:val="24"/>
          <w:szCs w:val="24"/>
          <w:lang w:val="en-US" w:eastAsia="zh-CN"/>
        </w:rPr>
        <w:t>舜陵街道蔡家村原在建妇女儿童医院</w:t>
      </w:r>
      <w:r>
        <w:rPr>
          <w:rFonts w:hint="default" w:ascii="Times New Roman" w:hAnsi="Times New Roman" w:eastAsia="宋体" w:cs="Times New Roman"/>
          <w:b w:val="0"/>
          <w:bCs w:val="0"/>
          <w:snapToGrid w:val="0"/>
          <w:color w:val="auto"/>
          <w:spacing w:val="11"/>
          <w:kern w:val="0"/>
          <w:sz w:val="24"/>
          <w:szCs w:val="24"/>
          <w:lang w:val="en-US" w:eastAsia="zh-CN"/>
        </w:rPr>
        <w:t>，地块中心坐标为：</w:t>
      </w:r>
      <w:r>
        <w:rPr>
          <w:rFonts w:hint="eastAsia" w:eastAsia="宋体" w:cs="Times New Roman"/>
          <w:b w:val="0"/>
          <w:bCs w:val="0"/>
          <w:snapToGrid w:val="0"/>
          <w:color w:val="auto"/>
          <w:spacing w:val="11"/>
          <w:kern w:val="0"/>
          <w:sz w:val="24"/>
          <w:szCs w:val="24"/>
          <w:lang w:val="en-US" w:eastAsia="zh-CN"/>
        </w:rPr>
        <w:t>东经111.95042887°，北纬25.54481521°</w:t>
      </w:r>
      <w:r>
        <w:rPr>
          <w:rFonts w:hint="default" w:ascii="Times New Roman" w:hAnsi="Times New Roman" w:eastAsia="宋体" w:cs="Times New Roman"/>
          <w:b w:val="0"/>
          <w:bCs w:val="0"/>
          <w:snapToGrid w:val="0"/>
          <w:color w:val="auto"/>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 、项目性质：新建</w:t>
      </w:r>
      <w:r>
        <w:rPr>
          <w:rFonts w:hint="eastAsia" w:eastAsia="宋体" w:cs="Times New Roman"/>
          <w:b w:val="0"/>
          <w:bCs w:val="0"/>
          <w:snapToGrid w:val="0"/>
          <w:color w:val="000000"/>
          <w:spacing w:val="11"/>
          <w:kern w:val="0"/>
          <w:sz w:val="24"/>
          <w:szCs w:val="24"/>
          <w:lang w:val="en-US" w:eastAsia="zh-CN"/>
        </w:rPr>
        <w:t>（迁建）</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FF"/>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5 、建设内容及规模：</w:t>
      </w:r>
      <w:r>
        <w:rPr>
          <w:rFonts w:hint="default" w:ascii="Times New Roman" w:hAnsi="Times New Roman" w:eastAsia="宋体" w:cs="Times New Roman"/>
          <w:b w:val="0"/>
          <w:bCs w:val="0"/>
          <w:snapToGrid w:val="0"/>
          <w:color w:val="auto"/>
          <w:spacing w:val="11"/>
          <w:kern w:val="0"/>
          <w:sz w:val="24"/>
          <w:szCs w:val="24"/>
          <w:lang w:val="en-US" w:eastAsia="zh-CN"/>
        </w:rPr>
        <w:t>项目总占地面积</w:t>
      </w:r>
      <w:r>
        <w:rPr>
          <w:rFonts w:hint="eastAsia" w:eastAsia="宋体" w:cs="Times New Roman"/>
          <w:b w:val="0"/>
          <w:bCs w:val="0"/>
          <w:snapToGrid w:val="0"/>
          <w:color w:val="auto"/>
          <w:spacing w:val="11"/>
          <w:kern w:val="0"/>
          <w:sz w:val="24"/>
          <w:szCs w:val="24"/>
          <w:lang w:val="en-US" w:eastAsia="zh-CN"/>
        </w:rPr>
        <w:t>1640.25</w:t>
      </w:r>
      <w:r>
        <w:rPr>
          <w:rFonts w:hint="default" w:ascii="Times New Roman" w:hAnsi="Times New Roman" w:eastAsia="宋体" w:cs="Times New Roman"/>
          <w:b w:val="0"/>
          <w:bCs w:val="0"/>
          <w:snapToGrid w:val="0"/>
          <w:color w:val="auto"/>
          <w:spacing w:val="11"/>
          <w:kern w:val="0"/>
          <w:sz w:val="24"/>
          <w:szCs w:val="24"/>
          <w:lang w:val="en-US" w:eastAsia="zh-CN"/>
        </w:rPr>
        <w:t>m</w:t>
      </w:r>
      <w:r>
        <w:rPr>
          <w:rFonts w:hint="default" w:ascii="Times New Roman" w:hAnsi="Times New Roman" w:eastAsia="宋体" w:cs="Times New Roman"/>
          <w:b w:val="0"/>
          <w:bCs w:val="0"/>
          <w:snapToGrid w:val="0"/>
          <w:color w:val="auto"/>
          <w:spacing w:val="11"/>
          <w:kern w:val="0"/>
          <w:sz w:val="24"/>
          <w:szCs w:val="24"/>
          <w:vertAlign w:val="superscript"/>
          <w:lang w:val="en-US" w:eastAsia="zh-CN"/>
        </w:rPr>
        <w:t>2</w:t>
      </w:r>
      <w:r>
        <w:rPr>
          <w:rFonts w:hint="default" w:ascii="Times New Roman" w:hAnsi="Times New Roman" w:eastAsia="宋体" w:cs="Times New Roman"/>
          <w:b w:val="0"/>
          <w:bCs w:val="0"/>
          <w:snapToGrid w:val="0"/>
          <w:color w:val="auto"/>
          <w:spacing w:val="11"/>
          <w:kern w:val="0"/>
          <w:sz w:val="24"/>
          <w:szCs w:val="24"/>
          <w:lang w:val="en-US" w:eastAsia="zh-CN"/>
        </w:rPr>
        <w:t>，总建筑面积约</w:t>
      </w:r>
      <w:r>
        <w:rPr>
          <w:rFonts w:hint="eastAsia" w:eastAsia="宋体" w:cs="Times New Roman"/>
          <w:b w:val="0"/>
          <w:bCs w:val="0"/>
          <w:snapToGrid w:val="0"/>
          <w:color w:val="auto"/>
          <w:spacing w:val="11"/>
          <w:kern w:val="0"/>
          <w:sz w:val="24"/>
          <w:szCs w:val="24"/>
          <w:lang w:val="en-US" w:eastAsia="zh-CN"/>
        </w:rPr>
        <w:t>4622.7</w:t>
      </w:r>
      <w:r>
        <w:rPr>
          <w:rFonts w:hint="default" w:ascii="Times New Roman" w:hAnsi="Times New Roman" w:eastAsia="宋体" w:cs="Times New Roman"/>
          <w:b w:val="0"/>
          <w:bCs w:val="0"/>
          <w:snapToGrid w:val="0"/>
          <w:color w:val="auto"/>
          <w:spacing w:val="11"/>
          <w:kern w:val="0"/>
          <w:sz w:val="24"/>
          <w:szCs w:val="24"/>
          <w:lang w:val="en-US" w:eastAsia="zh-CN"/>
        </w:rPr>
        <w:t>m</w:t>
      </w:r>
      <w:r>
        <w:rPr>
          <w:rFonts w:hint="default" w:ascii="Times New Roman" w:hAnsi="Times New Roman" w:eastAsia="宋体" w:cs="Times New Roman"/>
          <w:b w:val="0"/>
          <w:bCs w:val="0"/>
          <w:snapToGrid w:val="0"/>
          <w:color w:val="auto"/>
          <w:spacing w:val="11"/>
          <w:kern w:val="0"/>
          <w:sz w:val="24"/>
          <w:szCs w:val="24"/>
          <w:vertAlign w:val="superscript"/>
          <w:lang w:val="en-US" w:eastAsia="zh-CN"/>
        </w:rPr>
        <w:t>2</w:t>
      </w:r>
      <w:r>
        <w:rPr>
          <w:rFonts w:hint="default" w:ascii="Times New Roman" w:hAnsi="Times New Roman" w:eastAsia="宋体" w:cs="Times New Roman"/>
          <w:b w:val="0"/>
          <w:bCs w:val="0"/>
          <w:snapToGrid w:val="0"/>
          <w:color w:val="auto"/>
          <w:spacing w:val="11"/>
          <w:kern w:val="0"/>
          <w:sz w:val="24"/>
          <w:szCs w:val="24"/>
          <w:lang w:val="en-US" w:eastAsia="zh-CN"/>
        </w:rPr>
        <w:t>。包括1 栋综合大楼，共</w:t>
      </w:r>
      <w:r>
        <w:rPr>
          <w:rFonts w:hint="eastAsia"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层（包括</w:t>
      </w:r>
      <w:r>
        <w:rPr>
          <w:rFonts w:hint="eastAsia" w:eastAsia="宋体" w:cs="Times New Roman"/>
          <w:b w:val="0"/>
          <w:bCs w:val="0"/>
          <w:snapToGrid w:val="0"/>
          <w:color w:val="auto"/>
          <w:spacing w:val="11"/>
          <w:kern w:val="0"/>
          <w:sz w:val="24"/>
          <w:szCs w:val="24"/>
          <w:lang w:val="en-US" w:eastAsia="zh-CN"/>
        </w:rPr>
        <w:t>检验室</w:t>
      </w:r>
      <w:r>
        <w:rPr>
          <w:rFonts w:hint="default" w:ascii="Times New Roman" w:hAnsi="Times New Roman" w:eastAsia="宋体" w:cs="Times New Roman"/>
          <w:b w:val="0"/>
          <w:bCs w:val="0"/>
          <w:snapToGrid w:val="0"/>
          <w:color w:val="auto"/>
          <w:spacing w:val="11"/>
          <w:kern w:val="0"/>
          <w:sz w:val="24"/>
          <w:szCs w:val="24"/>
          <w:lang w:val="en-US" w:eastAsia="zh-CN"/>
        </w:rPr>
        <w:t>、职业病健康检查等）；1栋</w:t>
      </w:r>
      <w:r>
        <w:rPr>
          <w:rFonts w:hint="eastAsia" w:eastAsia="宋体" w:cs="Times New Roman"/>
          <w:b w:val="0"/>
          <w:bCs w:val="0"/>
          <w:snapToGrid w:val="0"/>
          <w:color w:val="auto"/>
          <w:spacing w:val="11"/>
          <w:kern w:val="0"/>
          <w:sz w:val="24"/>
          <w:szCs w:val="24"/>
          <w:lang w:val="en-US" w:eastAsia="zh-CN"/>
        </w:rPr>
        <w:t>办公行政</w:t>
      </w:r>
      <w:r>
        <w:rPr>
          <w:rFonts w:hint="default" w:ascii="Times New Roman" w:hAnsi="Times New Roman" w:eastAsia="宋体" w:cs="Times New Roman"/>
          <w:b w:val="0"/>
          <w:bCs w:val="0"/>
          <w:snapToGrid w:val="0"/>
          <w:color w:val="auto"/>
          <w:spacing w:val="11"/>
          <w:kern w:val="0"/>
          <w:sz w:val="24"/>
          <w:szCs w:val="24"/>
          <w:lang w:val="en-US" w:eastAsia="zh-CN"/>
        </w:rPr>
        <w:t>楼，共</w:t>
      </w:r>
      <w:r>
        <w:rPr>
          <w:rFonts w:hint="eastAsia" w:eastAsia="宋体" w:cs="Times New Roman"/>
          <w:b w:val="0"/>
          <w:bCs w:val="0"/>
          <w:snapToGrid w:val="0"/>
          <w:color w:val="auto"/>
          <w:spacing w:val="11"/>
          <w:kern w:val="0"/>
          <w:sz w:val="24"/>
          <w:szCs w:val="24"/>
          <w:lang w:val="en-US" w:eastAsia="zh-CN"/>
        </w:rPr>
        <w:t>3</w:t>
      </w:r>
      <w:r>
        <w:rPr>
          <w:rFonts w:hint="default" w:ascii="Times New Roman" w:hAnsi="Times New Roman" w:eastAsia="宋体" w:cs="Times New Roman"/>
          <w:b w:val="0"/>
          <w:bCs w:val="0"/>
          <w:snapToGrid w:val="0"/>
          <w:color w:val="auto"/>
          <w:spacing w:val="11"/>
          <w:kern w:val="0"/>
          <w:sz w:val="24"/>
          <w:szCs w:val="24"/>
          <w:lang w:val="en-US" w:eastAsia="zh-CN"/>
        </w:rPr>
        <w:t>层（包括</w:t>
      </w:r>
      <w:r>
        <w:rPr>
          <w:rFonts w:hint="eastAsia" w:eastAsia="宋体" w:cs="Times New Roman"/>
          <w:b w:val="0"/>
          <w:bCs w:val="0"/>
          <w:snapToGrid w:val="0"/>
          <w:color w:val="auto"/>
          <w:spacing w:val="11"/>
          <w:kern w:val="0"/>
          <w:sz w:val="24"/>
          <w:szCs w:val="24"/>
          <w:lang w:val="en-US" w:eastAsia="zh-CN"/>
        </w:rPr>
        <w:t>办公</w:t>
      </w:r>
      <w:r>
        <w:rPr>
          <w:rFonts w:hint="default" w:ascii="Times New Roman" w:hAnsi="Times New Roman" w:eastAsia="宋体" w:cs="Times New Roman"/>
          <w:b w:val="0"/>
          <w:bCs w:val="0"/>
          <w:snapToGrid w:val="0"/>
          <w:color w:val="auto"/>
          <w:spacing w:val="11"/>
          <w:kern w:val="0"/>
          <w:sz w:val="24"/>
          <w:szCs w:val="24"/>
          <w:lang w:val="en-US" w:eastAsia="zh-CN"/>
        </w:rPr>
        <w:t>室、</w:t>
      </w:r>
      <w:r>
        <w:rPr>
          <w:rFonts w:hint="eastAsia" w:eastAsia="宋体" w:cs="Times New Roman"/>
          <w:b w:val="0"/>
          <w:bCs w:val="0"/>
          <w:snapToGrid w:val="0"/>
          <w:color w:val="auto"/>
          <w:spacing w:val="11"/>
          <w:kern w:val="0"/>
          <w:sz w:val="24"/>
          <w:szCs w:val="24"/>
          <w:lang w:val="en-US" w:eastAsia="zh-CN"/>
        </w:rPr>
        <w:t>财务</w:t>
      </w:r>
      <w:r>
        <w:rPr>
          <w:rFonts w:hint="default" w:ascii="Times New Roman" w:hAnsi="Times New Roman" w:eastAsia="宋体" w:cs="Times New Roman"/>
          <w:b w:val="0"/>
          <w:bCs w:val="0"/>
          <w:snapToGrid w:val="0"/>
          <w:color w:val="auto"/>
          <w:spacing w:val="11"/>
          <w:kern w:val="0"/>
          <w:sz w:val="24"/>
          <w:szCs w:val="24"/>
          <w:lang w:val="en-US" w:eastAsia="zh-CN"/>
        </w:rPr>
        <w:t>室等）；相关实验设备购置与安装及相关配套设施建设等，项目不涉及 P3、P4 生物安全实验室；</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6 、工作制度：年工作</w:t>
      </w:r>
      <w:r>
        <w:rPr>
          <w:rFonts w:hint="eastAsia" w:eastAsia="宋体" w:cs="Times New Roman"/>
          <w:b w:val="0"/>
          <w:bCs w:val="0"/>
          <w:snapToGrid w:val="0"/>
          <w:color w:val="auto"/>
          <w:spacing w:val="11"/>
          <w:kern w:val="0"/>
          <w:sz w:val="24"/>
          <w:szCs w:val="24"/>
          <w:lang w:val="en-US" w:eastAsia="zh-CN"/>
        </w:rPr>
        <w:t>250</w:t>
      </w:r>
      <w:r>
        <w:rPr>
          <w:rFonts w:hint="default" w:ascii="Times New Roman" w:hAnsi="Times New Roman" w:eastAsia="宋体" w:cs="Times New Roman"/>
          <w:b w:val="0"/>
          <w:bCs w:val="0"/>
          <w:snapToGrid w:val="0"/>
          <w:color w:val="auto"/>
          <w:spacing w:val="11"/>
          <w:kern w:val="0"/>
          <w:sz w:val="24"/>
          <w:szCs w:val="24"/>
          <w:lang w:val="en-US" w:eastAsia="zh-CN"/>
        </w:rPr>
        <w:t>天，每天8小时；</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auto"/>
          <w:spacing w:val="11"/>
          <w:kern w:val="0"/>
          <w:sz w:val="24"/>
          <w:szCs w:val="24"/>
          <w:lang w:val="en-US" w:eastAsia="zh-CN"/>
        </w:rPr>
      </w:pPr>
      <w:r>
        <w:rPr>
          <w:rFonts w:hint="eastAsia" w:eastAsia="宋体" w:cs="Times New Roman"/>
          <w:b w:val="0"/>
          <w:bCs w:val="0"/>
          <w:snapToGrid w:val="0"/>
          <w:color w:val="auto"/>
          <w:spacing w:val="11"/>
          <w:kern w:val="0"/>
          <w:sz w:val="24"/>
          <w:szCs w:val="24"/>
          <w:lang w:val="en-US" w:eastAsia="zh-CN"/>
        </w:rPr>
        <w:t>7</w:t>
      </w:r>
      <w:r>
        <w:rPr>
          <w:rFonts w:hint="default" w:ascii="Times New Roman" w:hAnsi="Times New Roman" w:eastAsia="宋体" w:cs="Times New Roman"/>
          <w:b w:val="0"/>
          <w:bCs w:val="0"/>
          <w:snapToGrid w:val="0"/>
          <w:color w:val="auto"/>
          <w:spacing w:val="11"/>
          <w:kern w:val="0"/>
          <w:sz w:val="24"/>
          <w:szCs w:val="24"/>
          <w:lang w:val="en-US" w:eastAsia="zh-CN"/>
        </w:rPr>
        <w:t xml:space="preserve"> 、劳动定员：</w:t>
      </w:r>
      <w:r>
        <w:rPr>
          <w:rFonts w:hint="eastAsia" w:eastAsia="宋体" w:cs="Times New Roman"/>
          <w:b w:val="0"/>
          <w:bCs w:val="0"/>
          <w:snapToGrid w:val="0"/>
          <w:color w:val="auto"/>
          <w:spacing w:val="11"/>
          <w:kern w:val="0"/>
          <w:sz w:val="24"/>
          <w:szCs w:val="24"/>
          <w:lang w:val="en-US" w:eastAsia="zh-CN"/>
        </w:rPr>
        <w:t>73</w:t>
      </w:r>
      <w:r>
        <w:rPr>
          <w:rFonts w:hint="default" w:ascii="Times New Roman" w:hAnsi="Times New Roman" w:eastAsia="宋体" w:cs="Times New Roman"/>
          <w:b w:val="0"/>
          <w:bCs w:val="0"/>
          <w:snapToGrid w:val="0"/>
          <w:color w:val="auto"/>
          <w:spacing w:val="11"/>
          <w:kern w:val="0"/>
          <w:sz w:val="24"/>
          <w:szCs w:val="24"/>
          <w:lang w:val="en-US" w:eastAsia="zh-CN"/>
        </w:rPr>
        <w:t>人，</w:t>
      </w:r>
      <w:r>
        <w:rPr>
          <w:rFonts w:hint="eastAsia" w:eastAsia="宋体" w:cs="Times New Roman"/>
          <w:b w:val="0"/>
          <w:bCs w:val="0"/>
          <w:snapToGrid w:val="0"/>
          <w:color w:val="auto"/>
          <w:spacing w:val="11"/>
          <w:kern w:val="0"/>
          <w:sz w:val="24"/>
          <w:szCs w:val="24"/>
          <w:lang w:val="en-US" w:eastAsia="zh-CN"/>
        </w:rPr>
        <w:t>不</w:t>
      </w:r>
      <w:r>
        <w:rPr>
          <w:rFonts w:hint="default" w:ascii="Times New Roman" w:hAnsi="Times New Roman" w:eastAsia="宋体" w:cs="Times New Roman"/>
          <w:b w:val="0"/>
          <w:bCs w:val="0"/>
          <w:snapToGrid w:val="0"/>
          <w:color w:val="auto"/>
          <w:spacing w:val="11"/>
          <w:kern w:val="0"/>
          <w:sz w:val="24"/>
          <w:szCs w:val="24"/>
          <w:lang w:val="en-US" w:eastAsia="zh-CN"/>
        </w:rPr>
        <w:t>在厂区内</w:t>
      </w:r>
      <w:r>
        <w:rPr>
          <w:rFonts w:hint="eastAsia" w:ascii="Times New Roman" w:hAnsi="Times New Roman" w:eastAsia="宋体" w:cs="Times New Roman"/>
          <w:b w:val="0"/>
          <w:bCs w:val="0"/>
          <w:snapToGrid w:val="0"/>
          <w:color w:val="auto"/>
          <w:spacing w:val="11"/>
          <w:kern w:val="0"/>
          <w:sz w:val="24"/>
          <w:szCs w:val="24"/>
          <w:lang w:val="en-US" w:eastAsia="zh-CN"/>
        </w:rPr>
        <w:t>食</w:t>
      </w:r>
      <w:r>
        <w:rPr>
          <w:rFonts w:hint="default" w:ascii="Times New Roman" w:hAnsi="Times New Roman" w:eastAsia="宋体" w:cs="Times New Roman"/>
          <w:b w:val="0"/>
          <w:bCs w:val="0"/>
          <w:snapToGrid w:val="0"/>
          <w:color w:val="auto"/>
          <w:spacing w:val="11"/>
          <w:kern w:val="0"/>
          <w:sz w:val="24"/>
          <w:szCs w:val="24"/>
          <w:lang w:val="en-US" w:eastAsia="zh-CN"/>
        </w:rPr>
        <w:t>宿；</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auto"/>
          <w:spacing w:val="11"/>
          <w:kern w:val="0"/>
          <w:sz w:val="24"/>
          <w:szCs w:val="24"/>
          <w:lang w:val="en-US" w:eastAsia="zh-CN"/>
        </w:rPr>
        <w:t>8</w:t>
      </w:r>
      <w:r>
        <w:rPr>
          <w:rFonts w:hint="default" w:ascii="Times New Roman" w:hAnsi="Times New Roman" w:eastAsia="宋体" w:cs="Times New Roman"/>
          <w:b w:val="0"/>
          <w:bCs w:val="0"/>
          <w:snapToGrid w:val="0"/>
          <w:color w:val="auto"/>
          <w:spacing w:val="11"/>
          <w:kern w:val="0"/>
          <w:sz w:val="24"/>
          <w:szCs w:val="24"/>
          <w:lang w:val="en-US" w:eastAsia="zh-CN"/>
        </w:rPr>
        <w:t xml:space="preserve"> 、项目总投资：</w:t>
      </w:r>
      <w:r>
        <w:rPr>
          <w:rFonts w:hint="eastAsia" w:eastAsia="宋体" w:cs="Times New Roman"/>
          <w:b w:val="0"/>
          <w:bCs w:val="0"/>
          <w:snapToGrid w:val="0"/>
          <w:color w:val="auto"/>
          <w:spacing w:val="11"/>
          <w:kern w:val="0"/>
          <w:sz w:val="24"/>
          <w:szCs w:val="24"/>
          <w:lang w:val="en-US" w:eastAsia="zh-CN"/>
        </w:rPr>
        <w:t>2164.83</w:t>
      </w:r>
      <w:r>
        <w:rPr>
          <w:rFonts w:hint="default" w:ascii="Times New Roman" w:hAnsi="Times New Roman" w:eastAsia="宋体" w:cs="Times New Roman"/>
          <w:b w:val="0"/>
          <w:bCs w:val="0"/>
          <w:snapToGrid w:val="0"/>
          <w:color w:val="auto"/>
          <w:spacing w:val="11"/>
          <w:kern w:val="0"/>
          <w:sz w:val="24"/>
          <w:szCs w:val="24"/>
          <w:lang w:val="en-US" w:eastAsia="zh-CN"/>
        </w:rPr>
        <w:t>万元，其中</w:t>
      </w:r>
      <w:r>
        <w:rPr>
          <w:rFonts w:hint="default" w:ascii="Times New Roman" w:hAnsi="Times New Roman" w:eastAsia="宋体" w:cs="Times New Roman"/>
          <w:b w:val="0"/>
          <w:bCs w:val="0"/>
          <w:snapToGrid w:val="0"/>
          <w:color w:val="000000"/>
          <w:spacing w:val="11"/>
          <w:kern w:val="0"/>
          <w:sz w:val="24"/>
          <w:szCs w:val="24"/>
          <w:lang w:val="en-US" w:eastAsia="zh-CN"/>
        </w:rPr>
        <w:t>环保投资</w:t>
      </w:r>
      <w:r>
        <w:rPr>
          <w:rFonts w:hint="eastAsia" w:ascii="Times New Roman" w:hAnsi="Times New Roman" w:eastAsia="宋体" w:cs="Times New Roman"/>
          <w:b w:val="0"/>
          <w:bCs w:val="0"/>
          <w:snapToGrid w:val="0"/>
          <w:color w:val="000000"/>
          <w:spacing w:val="11"/>
          <w:kern w:val="0"/>
          <w:sz w:val="24"/>
          <w:szCs w:val="24"/>
          <w:lang w:val="en-US" w:eastAsia="zh-CN"/>
        </w:rPr>
        <w:t>207</w:t>
      </w:r>
      <w:r>
        <w:rPr>
          <w:rFonts w:hint="default" w:ascii="Times New Roman" w:hAnsi="Times New Roman" w:eastAsia="宋体" w:cs="Times New Roman"/>
          <w:b w:val="0"/>
          <w:bCs w:val="0"/>
          <w:snapToGrid w:val="0"/>
          <w:color w:val="000000"/>
          <w:spacing w:val="11"/>
          <w:kern w:val="0"/>
          <w:sz w:val="24"/>
          <w:szCs w:val="24"/>
          <w:lang w:val="en-US" w:eastAsia="zh-CN"/>
        </w:rPr>
        <w:t>万元，占总投资的</w:t>
      </w:r>
      <w:r>
        <w:rPr>
          <w:rFonts w:hint="eastAsia" w:ascii="Times New Roman" w:hAnsi="Times New Roman" w:eastAsia="宋体" w:cs="Times New Roman"/>
          <w:b w:val="0"/>
          <w:bCs w:val="0"/>
          <w:snapToGrid w:val="0"/>
          <w:color w:val="000000"/>
          <w:spacing w:val="11"/>
          <w:kern w:val="0"/>
          <w:sz w:val="24"/>
          <w:szCs w:val="24"/>
          <w:lang w:val="en-US" w:eastAsia="zh-CN"/>
        </w:rPr>
        <w:t>9.56</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9、评价说明：本项目不设住院床位、不进行人体手术，不开展个人体检项目、疾病治疗等服务；本项目实验室最高等级</w:t>
      </w:r>
      <w:r>
        <w:rPr>
          <w:rFonts w:hint="eastAsia" w:eastAsia="宋体" w:cs="Times New Roman"/>
          <w:b w:val="0"/>
          <w:bCs w:val="0"/>
          <w:snapToGrid w:val="0"/>
          <w:color w:val="auto"/>
          <w:spacing w:val="11"/>
          <w:kern w:val="0"/>
          <w:sz w:val="24"/>
          <w:szCs w:val="24"/>
          <w:lang w:val="en-US" w:eastAsia="zh-CN"/>
        </w:rPr>
        <w:t>为P2，不含P3、P4生物安全实验室；PCR实验室、HIV初筛和确认实验室等特殊条件实验</w:t>
      </w:r>
      <w:r>
        <w:rPr>
          <w:rFonts w:hint="eastAsia" w:eastAsia="宋体" w:cs="Times New Roman"/>
          <w:b w:val="0"/>
          <w:bCs w:val="0"/>
          <w:snapToGrid w:val="0"/>
          <w:color w:val="000000"/>
          <w:spacing w:val="11"/>
          <w:kern w:val="0"/>
          <w:sz w:val="24"/>
          <w:szCs w:val="24"/>
          <w:lang w:val="en-US" w:eastAsia="zh-CN"/>
        </w:rPr>
        <w:t>室的建设按照国家有关规定及要求执行。涉及辐射和放射性污染的建设内容按规定另行申报，不纳入本次评价范围。</w:t>
      </w:r>
    </w:p>
    <w:p>
      <w:pPr>
        <w:pStyle w:val="4"/>
        <w:bidi w:val="0"/>
        <w:rPr>
          <w:rFonts w:hint="default"/>
          <w:lang w:val="en-US" w:eastAsia="zh-CN"/>
        </w:rPr>
      </w:pPr>
      <w:r>
        <w:rPr>
          <w:rFonts w:hint="eastAsia"/>
          <w:lang w:val="en-US" w:eastAsia="zh-CN"/>
        </w:rPr>
        <w:t>3.1.3</w:t>
      </w:r>
      <w:r>
        <w:rPr>
          <w:rFonts w:hint="default"/>
          <w:lang w:val="en-US" w:eastAsia="zh-CN"/>
        </w:rPr>
        <w:t>项目总平面布置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w:t>
      </w:r>
      <w:r>
        <w:rPr>
          <w:rFonts w:hint="default" w:ascii="Times New Roman" w:hAnsi="Times New Roman" w:eastAsia="宋体" w:cs="Times New Roman"/>
          <w:b w:val="0"/>
          <w:bCs w:val="0"/>
          <w:snapToGrid w:val="0"/>
          <w:color w:val="000000"/>
          <w:spacing w:val="11"/>
          <w:kern w:val="0"/>
          <w:sz w:val="24"/>
          <w:szCs w:val="24"/>
          <w:lang w:val="en-US" w:eastAsia="zh-CN"/>
        </w:rPr>
        <w:t>布局原则</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（1）平面布置应合理划分各功能区，正确处理内部与外部运输线路、供水管线等内容的联系，协调建筑物、功能布局等内容与总图布置的关系；</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（2）依据现有自然条件，因地制宜进行总图布置，并尽量节约用地；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（3）生产区总图按模块布置。布置力求流程顺畅，布局紧凑，符合安全卫生、环保、交通、运输、生产工艺流程、施工及检修等需求；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（4）总图布置注意做到系统分明，布置整齐，在适用、经济的前提下，使建筑群体的平面布置与空间景观相协调，并结合区域所在地的现状，提高环境质量，创造良好的生产条件和整齐的工作环境。</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2、布局方案</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根据本项目用地现状及周边道路情况，结合城市规划、交通组织、日照、通风、卫生、防火、环保等要求合理布置总平面。</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项目综合</w:t>
      </w:r>
      <w:r>
        <w:rPr>
          <w:rFonts w:hint="eastAsia" w:eastAsia="宋体" w:cs="Times New Roman"/>
          <w:b w:val="0"/>
          <w:bCs w:val="0"/>
          <w:snapToGrid w:val="0"/>
          <w:color w:val="auto"/>
          <w:spacing w:val="11"/>
          <w:kern w:val="0"/>
          <w:sz w:val="24"/>
          <w:szCs w:val="24"/>
          <w:lang w:val="en-US" w:eastAsia="zh-CN"/>
        </w:rPr>
        <w:t>大楼位于厂区北侧，临近道路；污水处理站位于检验室南侧；办公行政楼位于厂区南侧；项目主要出入口位于厂区北侧，临路布置；上班时间综合大楼可作为厂区人行出入口；厂区内设停车位、绿化。本项目平面布置图</w:t>
      </w:r>
      <w:r>
        <w:rPr>
          <w:rFonts w:hint="eastAsia"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auto"/>
          <w:spacing w:val="11"/>
          <w:kern w:val="0"/>
          <w:sz w:val="24"/>
          <w:szCs w:val="24"/>
          <w:lang w:val="en-US" w:eastAsia="zh-CN"/>
        </w:rPr>
        <w:t>见附图</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3.1.4</w:t>
      </w:r>
      <w:r>
        <w:rPr>
          <w:rFonts w:hint="default"/>
          <w:lang w:val="en-US" w:eastAsia="zh-CN"/>
        </w:rPr>
        <w:t>工程组成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pPr>
      <w:r>
        <w:rPr>
          <w:rFonts w:hint="default" w:ascii="Times New Roman" w:hAnsi="Times New Roman" w:eastAsia="宋体" w:cs="Times New Roman"/>
          <w:b w:val="0"/>
          <w:bCs w:val="0"/>
          <w:snapToGrid w:val="0"/>
          <w:color w:val="000000"/>
          <w:spacing w:val="11"/>
          <w:kern w:val="0"/>
          <w:sz w:val="24"/>
          <w:szCs w:val="24"/>
          <w:lang w:val="en-US" w:eastAsia="zh-CN"/>
        </w:rPr>
        <w:t>本项目工程组成主要包括主体工程、储运工程、辅助工程、公用工程、环保工程。 工程组成详见表</w:t>
      </w:r>
      <w:r>
        <w:rPr>
          <w:rFonts w:hint="eastAsia" w:eastAsia="宋体" w:cs="Times New Roman"/>
          <w:b w:val="0"/>
          <w:bCs w:val="0"/>
          <w:snapToGrid w:val="0"/>
          <w:color w:val="000000"/>
          <w:spacing w:val="11"/>
          <w:kern w:val="0"/>
          <w:sz w:val="24"/>
          <w:szCs w:val="24"/>
          <w:lang w:val="en-US" w:eastAsia="zh-CN"/>
        </w:rPr>
        <w:t>3.1</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 xml:space="preserve"> </w:t>
      </w:r>
    </w:p>
    <w:p>
      <w:pPr>
        <w:pStyle w:val="30"/>
        <w:jc w:val="center"/>
        <w:rPr>
          <w:rFonts w:hint="eastAsia"/>
          <w:b/>
          <w:bCs/>
          <w:sz w:val="21"/>
          <w:szCs w:val="21"/>
        </w:rPr>
      </w:pPr>
      <w:r>
        <w:rPr>
          <w:rFonts w:hint="eastAsia"/>
          <w:b/>
          <w:bCs/>
          <w:sz w:val="21"/>
          <w:szCs w:val="21"/>
        </w:rPr>
        <w:t>表</w:t>
      </w:r>
      <w:r>
        <w:rPr>
          <w:rFonts w:hint="default" w:ascii="Times New Roman" w:hAnsi="Times New Roman" w:eastAsia="宋体" w:cs="Times New Roman"/>
          <w:b/>
          <w:bCs/>
          <w:sz w:val="21"/>
          <w:szCs w:val="21"/>
          <w:lang w:val="en-US" w:eastAsia="zh-CN"/>
        </w:rPr>
        <w:t>3</w:t>
      </w:r>
      <w:r>
        <w:rPr>
          <w:rFonts w:hint="default" w:ascii="Times New Roman" w:hAnsi="Times New Roman" w:cs="Times New Roman"/>
          <w:b/>
          <w:bCs/>
          <w:sz w:val="21"/>
          <w:szCs w:val="21"/>
        </w:rPr>
        <w:t>.1-1</w:t>
      </w:r>
      <w:r>
        <w:rPr>
          <w:rFonts w:hint="eastAsia" w:eastAsia="宋体"/>
          <w:b/>
          <w:bCs/>
          <w:sz w:val="21"/>
          <w:szCs w:val="21"/>
          <w:lang w:val="en-US" w:eastAsia="zh-CN"/>
        </w:rPr>
        <w:t xml:space="preserve"> </w:t>
      </w:r>
      <w:r>
        <w:rPr>
          <w:rFonts w:hint="eastAsia"/>
          <w:b/>
          <w:bCs/>
          <w:sz w:val="21"/>
          <w:szCs w:val="21"/>
        </w:rPr>
        <w:t>主要建设内容一览表</w:t>
      </w:r>
    </w:p>
    <w:tbl>
      <w:tblPr>
        <w:tblStyle w:val="25"/>
        <w:tblW w:w="499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67"/>
        <w:gridCol w:w="1243"/>
        <w:gridCol w:w="6931"/>
        <w:gridCol w:w="88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8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项目</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建设内容</w:t>
            </w:r>
          </w:p>
        </w:tc>
        <w:tc>
          <w:tcPr>
            <w:tcW w:w="4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主体</w:t>
            </w:r>
            <w:r>
              <w:rPr>
                <w:rFonts w:hint="default" w:ascii="Times New Roman" w:hAnsi="Times New Roman" w:eastAsia="宋体" w:cs="Times New Roman"/>
                <w:b w:val="0"/>
                <w:sz w:val="21"/>
                <w:szCs w:val="21"/>
                <w:u w:val="none"/>
                <w:lang w:eastAsia="zh-CN"/>
              </w:rPr>
              <w:t>工程</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综合大楼</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1栋4层，建筑高度17m，</w:t>
            </w:r>
            <w:r>
              <w:rPr>
                <w:rFonts w:hint="eastAsia" w:eastAsia="宋体" w:cs="Times New Roman"/>
                <w:b w:val="0"/>
                <w:sz w:val="21"/>
                <w:szCs w:val="21"/>
                <w:u w:val="none"/>
                <w:lang w:val="en-US" w:eastAsia="zh-CN"/>
              </w:rPr>
              <w:t>建筑面积为2624.4</w:t>
            </w:r>
            <w:r>
              <w:rPr>
                <w:rFonts w:hint="eastAsia" w:ascii="Times New Roman" w:hAnsi="Times New Roman" w:eastAsia="宋体" w:cs="Times New Roman"/>
                <w:b w:val="0"/>
                <w:sz w:val="21"/>
                <w:szCs w:val="21"/>
                <w:u w:val="none"/>
                <w:lang w:val="en-US" w:eastAsia="zh-CN"/>
              </w:rPr>
              <w:t>m</w:t>
            </w:r>
            <w:r>
              <w:rPr>
                <w:rFonts w:hint="eastAsia" w:eastAsia="宋体" w:cs="Times New Roman"/>
                <w:b w:val="0"/>
                <w:sz w:val="21"/>
                <w:szCs w:val="21"/>
                <w:u w:val="none"/>
                <w:vertAlign w:val="superscript"/>
                <w:lang w:val="en-US" w:eastAsia="zh-CN"/>
              </w:rPr>
              <w:t>2</w:t>
            </w:r>
            <w:r>
              <w:rPr>
                <w:rFonts w:hint="eastAsia" w:eastAsia="宋体" w:cs="Times New Roman"/>
                <w:b w:val="0"/>
                <w:sz w:val="21"/>
                <w:szCs w:val="21"/>
                <w:u w:val="none"/>
                <w:lang w:val="en-US" w:eastAsia="zh-CN"/>
              </w:rPr>
              <w:t>，</w:t>
            </w:r>
            <w:r>
              <w:rPr>
                <w:rFonts w:hint="eastAsia" w:ascii="Times New Roman" w:hAnsi="Times New Roman" w:eastAsia="宋体" w:cs="Times New Roman"/>
                <w:b w:val="0"/>
                <w:sz w:val="21"/>
                <w:szCs w:val="21"/>
                <w:u w:val="none"/>
                <w:lang w:val="en-US" w:eastAsia="zh-CN"/>
              </w:rPr>
              <w:t>设计为地上4层，耐火等级二级，屋面防水等级二级。</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sz w:val="21"/>
                <w:szCs w:val="21"/>
                <w:u w:val="none"/>
                <w:lang w:val="en-US" w:eastAsia="zh-CN"/>
              </w:rPr>
            </w:pPr>
            <w:r>
              <w:rPr>
                <w:rFonts w:hint="default" w:ascii="Times New Roman" w:hAnsi="Times New Roman" w:eastAsia="宋体" w:cs="Times New Roman"/>
                <w:b w:val="0"/>
                <w:sz w:val="21"/>
                <w:szCs w:val="21"/>
                <w:u w:val="none"/>
                <w:lang w:val="en-US" w:eastAsia="zh-CN"/>
              </w:rPr>
              <w:t>一层建筑面积</w:t>
            </w:r>
            <w:r>
              <w:rPr>
                <w:rFonts w:hint="eastAsia" w:eastAsia="宋体" w:cs="Times New Roman"/>
                <w:b w:val="0"/>
                <w:sz w:val="21"/>
                <w:szCs w:val="21"/>
                <w:u w:val="none"/>
                <w:lang w:val="en-US" w:eastAsia="zh-CN"/>
              </w:rPr>
              <w:t>656.1</w:t>
            </w:r>
            <w:r>
              <w:rPr>
                <w:rFonts w:hint="default" w:ascii="Times New Roman" w:hAnsi="Times New Roman" w:eastAsia="宋体" w:cs="Times New Roman"/>
                <w:b w:val="0"/>
                <w:sz w:val="21"/>
                <w:szCs w:val="21"/>
                <w:u w:val="none"/>
                <w:lang w:val="en-US" w:eastAsia="zh-CN"/>
              </w:rPr>
              <w:t>m</w:t>
            </w:r>
            <w:r>
              <w:rPr>
                <w:rFonts w:hint="default" w:ascii="Times New Roman" w:hAnsi="Times New Roman" w:eastAsia="宋体" w:cs="Times New Roman"/>
                <w:b w:val="0"/>
                <w:sz w:val="21"/>
                <w:szCs w:val="21"/>
                <w:u w:val="none"/>
                <w:vertAlign w:val="superscript"/>
                <w:lang w:val="en-US" w:eastAsia="zh-CN"/>
              </w:rPr>
              <w:t>2</w:t>
            </w:r>
            <w:r>
              <w:rPr>
                <w:rFonts w:hint="default" w:ascii="Times New Roman" w:hAnsi="Times New Roman" w:eastAsia="宋体" w:cs="Times New Roman"/>
                <w:b w:val="0"/>
                <w:sz w:val="21"/>
                <w:szCs w:val="21"/>
                <w:u w:val="none"/>
                <w:lang w:val="en-US" w:eastAsia="zh-CN"/>
              </w:rPr>
              <w:t>，布置门诊大厅、</w:t>
            </w:r>
            <w:r>
              <w:rPr>
                <w:rFonts w:hint="eastAsia" w:eastAsia="宋体" w:cs="Times New Roman"/>
                <w:b w:val="0"/>
                <w:sz w:val="21"/>
                <w:szCs w:val="21"/>
                <w:u w:val="none"/>
                <w:lang w:val="en-US" w:eastAsia="zh-CN"/>
              </w:rPr>
              <w:t>观察室、就诊室、结防科、性艾科</w:t>
            </w:r>
            <w:r>
              <w:rPr>
                <w:rFonts w:hint="default" w:ascii="Times New Roman" w:hAnsi="Times New Roman" w:eastAsia="宋体" w:cs="Times New Roman"/>
                <w:b w:val="0"/>
                <w:sz w:val="21"/>
                <w:szCs w:val="21"/>
                <w:u w:val="none"/>
                <w:lang w:val="en-US" w:eastAsia="zh-CN"/>
              </w:rPr>
              <w:t>、</w:t>
            </w:r>
            <w:r>
              <w:rPr>
                <w:rFonts w:hint="eastAsia" w:eastAsia="宋体" w:cs="Times New Roman"/>
                <w:b w:val="0"/>
                <w:sz w:val="21"/>
                <w:szCs w:val="21"/>
                <w:u w:val="none"/>
                <w:lang w:val="en-US" w:eastAsia="zh-CN"/>
              </w:rPr>
              <w:t>免疫规划科、冷库药品存放处、</w:t>
            </w:r>
            <w:r>
              <w:rPr>
                <w:rFonts w:hint="default" w:ascii="Times New Roman" w:hAnsi="Times New Roman" w:eastAsia="宋体" w:cs="Times New Roman"/>
                <w:b w:val="0"/>
                <w:sz w:val="21"/>
                <w:szCs w:val="21"/>
                <w:u w:val="none"/>
                <w:lang w:val="en-US" w:eastAsia="zh-CN"/>
              </w:rPr>
              <w:t>导医台、</w:t>
            </w:r>
            <w:r>
              <w:rPr>
                <w:rFonts w:hint="eastAsia" w:eastAsia="宋体" w:cs="Times New Roman"/>
                <w:b w:val="0"/>
                <w:sz w:val="21"/>
                <w:szCs w:val="21"/>
                <w:u w:val="none"/>
                <w:lang w:val="en-US" w:eastAsia="zh-CN"/>
              </w:rPr>
              <w:t>注射室、收费室、药房</w:t>
            </w:r>
            <w:r>
              <w:rPr>
                <w:rFonts w:hint="default" w:ascii="Times New Roman" w:hAnsi="Times New Roman" w:eastAsia="宋体" w:cs="Times New Roman"/>
                <w:b w:val="0"/>
                <w:sz w:val="21"/>
                <w:szCs w:val="21"/>
                <w:u w:val="none"/>
                <w:lang w:val="en-US" w:eastAsia="zh-CN"/>
              </w:rPr>
              <w:t>、卫生间等。</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二</w:t>
            </w:r>
            <w:r>
              <w:rPr>
                <w:rFonts w:hint="default" w:ascii="Times New Roman" w:hAnsi="Times New Roman"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ascii="Times New Roman" w:hAnsi="Times New Roman" w:eastAsia="宋体" w:cs="Times New Roman"/>
                <w:b w:val="0"/>
                <w:sz w:val="21"/>
                <w:szCs w:val="21"/>
                <w:u w:val="none"/>
                <w:lang w:val="en-US" w:eastAsia="zh-CN"/>
              </w:rPr>
              <w:t>m</w:t>
            </w:r>
            <w:r>
              <w:rPr>
                <w:rFonts w:hint="default" w:ascii="Times New Roman" w:hAnsi="Times New Roman" w:eastAsia="宋体" w:cs="Times New Roman"/>
                <w:b w:val="0"/>
                <w:sz w:val="21"/>
                <w:szCs w:val="21"/>
                <w:u w:val="none"/>
                <w:vertAlign w:val="superscript"/>
                <w:lang w:val="en-US" w:eastAsia="zh-CN"/>
              </w:rPr>
              <w:t>2</w:t>
            </w:r>
            <w:r>
              <w:rPr>
                <w:rFonts w:hint="default" w:ascii="Times New Roman" w:hAnsi="Times New Roman" w:eastAsia="宋体" w:cs="Times New Roman"/>
                <w:b w:val="0"/>
                <w:sz w:val="21"/>
                <w:szCs w:val="21"/>
                <w:u w:val="none"/>
                <w:lang w:val="en-US" w:eastAsia="zh-CN"/>
              </w:rPr>
              <w:t>，布置</w:t>
            </w:r>
            <w:r>
              <w:rPr>
                <w:rFonts w:hint="eastAsia" w:eastAsia="宋体" w:cs="Times New Roman"/>
                <w:b w:val="0"/>
                <w:sz w:val="21"/>
                <w:szCs w:val="21"/>
                <w:u w:val="none"/>
                <w:lang w:val="en-US" w:eastAsia="zh-CN"/>
              </w:rPr>
              <w:t>值班休息室、主任室、办公室、质量管理科、会议室</w:t>
            </w:r>
            <w:r>
              <w:rPr>
                <w:rFonts w:hint="default" w:ascii="Times New Roman" w:hAnsi="Times New Roman" w:eastAsia="宋体" w:cs="Times New Roman"/>
                <w:b w:val="0"/>
                <w:sz w:val="21"/>
                <w:szCs w:val="21"/>
                <w:u w:val="none"/>
                <w:lang w:val="en-US" w:eastAsia="zh-CN"/>
              </w:rPr>
              <w:t>、卫生间等。</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三</w:t>
            </w:r>
            <w:r>
              <w:rPr>
                <w:rFonts w:hint="default" w:ascii="Times New Roman" w:hAnsi="Times New Roman"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ascii="Times New Roman" w:hAnsi="Times New Roman" w:eastAsia="宋体" w:cs="Times New Roman"/>
                <w:b w:val="0"/>
                <w:sz w:val="21"/>
                <w:szCs w:val="21"/>
                <w:u w:val="none"/>
                <w:lang w:val="en-US" w:eastAsia="zh-CN"/>
              </w:rPr>
              <w:t>m</w:t>
            </w:r>
            <w:r>
              <w:rPr>
                <w:rFonts w:hint="default" w:ascii="Times New Roman" w:hAnsi="Times New Roman" w:eastAsia="宋体" w:cs="Times New Roman"/>
                <w:b w:val="0"/>
                <w:sz w:val="21"/>
                <w:szCs w:val="21"/>
                <w:u w:val="none"/>
                <w:vertAlign w:val="superscript"/>
                <w:lang w:val="en-US" w:eastAsia="zh-CN"/>
              </w:rPr>
              <w:t>2</w:t>
            </w:r>
            <w:r>
              <w:rPr>
                <w:rFonts w:hint="default" w:ascii="Times New Roman" w:hAnsi="Times New Roman" w:eastAsia="宋体" w:cs="Times New Roman"/>
                <w:b w:val="0"/>
                <w:sz w:val="21"/>
                <w:szCs w:val="21"/>
                <w:u w:val="none"/>
                <w:lang w:val="en-US" w:eastAsia="zh-CN"/>
              </w:rPr>
              <w:t>，</w:t>
            </w:r>
            <w:r>
              <w:rPr>
                <w:rFonts w:hint="eastAsia" w:eastAsia="宋体" w:cs="Times New Roman"/>
                <w:b w:val="0"/>
                <w:sz w:val="21"/>
                <w:szCs w:val="21"/>
                <w:u w:val="none"/>
                <w:lang w:val="en-US" w:eastAsia="zh-CN"/>
              </w:rPr>
              <w:t>主要是检验室，</w:t>
            </w:r>
            <w:r>
              <w:rPr>
                <w:rFonts w:hint="default" w:ascii="Times New Roman" w:hAnsi="Times New Roman" w:eastAsia="宋体" w:cs="Times New Roman"/>
                <w:b w:val="0"/>
                <w:sz w:val="21"/>
                <w:szCs w:val="21"/>
                <w:u w:val="none"/>
                <w:lang w:val="en-US" w:eastAsia="zh-CN"/>
              </w:rPr>
              <w:t>布置</w:t>
            </w:r>
            <w:r>
              <w:rPr>
                <w:rFonts w:hint="eastAsia" w:eastAsia="宋体" w:cs="Times New Roman"/>
                <w:b w:val="0"/>
                <w:sz w:val="21"/>
                <w:szCs w:val="21"/>
                <w:u w:val="none"/>
                <w:lang w:val="en-US" w:eastAsia="zh-CN"/>
              </w:rPr>
              <w:t>有灭菌室、库房、样品室、洗消室、试剂室、生化室、PCR实验室、培养室、HIV室、微生物实验室、卫生间</w:t>
            </w:r>
            <w:r>
              <w:rPr>
                <w:rFonts w:hint="default" w:ascii="Times New Roman" w:hAnsi="Times New Roman" w:eastAsia="宋体" w:cs="Times New Roman"/>
                <w:b w:val="0"/>
                <w:sz w:val="21"/>
                <w:szCs w:val="21"/>
                <w:u w:val="none"/>
                <w:lang w:val="en-US" w:eastAsia="zh-CN"/>
              </w:rPr>
              <w:t>等。</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四</w:t>
            </w:r>
            <w:r>
              <w:rPr>
                <w:rFonts w:hint="default" w:ascii="Times New Roman" w:hAnsi="Times New Roman"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ascii="Times New Roman" w:hAnsi="Times New Roman" w:eastAsia="宋体" w:cs="Times New Roman"/>
                <w:b w:val="0"/>
                <w:sz w:val="21"/>
                <w:szCs w:val="21"/>
                <w:u w:val="none"/>
                <w:lang w:val="en-US" w:eastAsia="zh-CN"/>
              </w:rPr>
              <w:t>m</w:t>
            </w:r>
            <w:r>
              <w:rPr>
                <w:rFonts w:hint="default" w:ascii="Times New Roman" w:hAnsi="Times New Roman" w:eastAsia="宋体" w:cs="Times New Roman"/>
                <w:b w:val="0"/>
                <w:sz w:val="21"/>
                <w:szCs w:val="21"/>
                <w:u w:val="none"/>
                <w:vertAlign w:val="superscript"/>
                <w:lang w:val="en-US" w:eastAsia="zh-CN"/>
              </w:rPr>
              <w:t>2</w:t>
            </w:r>
            <w:r>
              <w:rPr>
                <w:rFonts w:hint="default" w:ascii="Times New Roman" w:hAnsi="Times New Roman" w:eastAsia="宋体" w:cs="Times New Roman"/>
                <w:b w:val="0"/>
                <w:sz w:val="21"/>
                <w:szCs w:val="21"/>
                <w:u w:val="none"/>
                <w:lang w:val="en-US" w:eastAsia="zh-CN"/>
              </w:rPr>
              <w:t>，</w:t>
            </w:r>
            <w:r>
              <w:rPr>
                <w:rFonts w:hint="eastAsia" w:eastAsia="宋体" w:cs="Times New Roman"/>
                <w:b w:val="0"/>
                <w:sz w:val="21"/>
                <w:szCs w:val="21"/>
                <w:u w:val="none"/>
                <w:lang w:val="en-US" w:eastAsia="zh-CN"/>
              </w:rPr>
              <w:t>主要是检验室，</w:t>
            </w:r>
            <w:r>
              <w:rPr>
                <w:rFonts w:hint="default" w:ascii="Times New Roman" w:hAnsi="Times New Roman" w:eastAsia="宋体" w:cs="Times New Roman"/>
                <w:b w:val="0"/>
                <w:sz w:val="21"/>
                <w:szCs w:val="21"/>
                <w:u w:val="none"/>
                <w:lang w:val="en-US" w:eastAsia="zh-CN"/>
              </w:rPr>
              <w:t>布置</w:t>
            </w:r>
            <w:r>
              <w:rPr>
                <w:rFonts w:hint="eastAsia" w:eastAsia="宋体" w:cs="Times New Roman"/>
                <w:b w:val="0"/>
                <w:sz w:val="21"/>
                <w:szCs w:val="21"/>
                <w:u w:val="none"/>
                <w:lang w:val="en-US" w:eastAsia="zh-CN"/>
              </w:rPr>
              <w:t>有毒品室、试剂室、理化实验室、高温室、蛋白质分析室、样品室、气瓶室、职业病实验室、消化室、天平室、色谱仪器室、光谱仪器室、</w:t>
            </w:r>
            <w:r>
              <w:rPr>
                <w:rFonts w:hint="default" w:ascii="Times New Roman" w:hAnsi="Times New Roman" w:eastAsia="宋体" w:cs="Times New Roman"/>
                <w:b w:val="0"/>
                <w:sz w:val="21"/>
                <w:szCs w:val="21"/>
                <w:u w:val="none"/>
                <w:lang w:val="en-US" w:eastAsia="zh-CN"/>
              </w:rPr>
              <w:t>卫生间等。</w:t>
            </w:r>
          </w:p>
        </w:tc>
        <w:tc>
          <w:tcPr>
            <w:tcW w:w="4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办公行政楼</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eastAsia="宋体" w:cs="Times New Roman"/>
                <w:b w:val="0"/>
                <w:sz w:val="21"/>
                <w:szCs w:val="21"/>
                <w:u w:val="none"/>
                <w:lang w:val="en-US" w:eastAsia="zh-CN"/>
              </w:rPr>
            </w:pPr>
            <w:r>
              <w:rPr>
                <w:rFonts w:hint="eastAsia" w:eastAsia="宋体" w:cs="Times New Roman"/>
                <w:b w:val="0"/>
                <w:sz w:val="21"/>
                <w:szCs w:val="21"/>
                <w:u w:val="none"/>
                <w:lang w:val="en-US" w:eastAsia="zh-CN"/>
              </w:rPr>
              <w:t>1栋共4层，建筑高度17m，本项目使用2~4层，建筑面积为1971m</w:t>
            </w:r>
            <w:r>
              <w:rPr>
                <w:rFonts w:hint="eastAsia" w:eastAsia="宋体" w:cs="Times New Roman"/>
                <w:b w:val="0"/>
                <w:sz w:val="21"/>
                <w:szCs w:val="21"/>
                <w:u w:val="none"/>
                <w:vertAlign w:val="superscript"/>
                <w:lang w:val="en-US" w:eastAsia="zh-CN"/>
              </w:rPr>
              <w:t>2</w:t>
            </w:r>
            <w:r>
              <w:rPr>
                <w:rFonts w:hint="eastAsia" w:eastAsia="宋体" w:cs="Times New Roman"/>
                <w:b w:val="0"/>
                <w:sz w:val="21"/>
                <w:szCs w:val="21"/>
                <w:u w:val="none"/>
                <w:lang w:val="en-US" w:eastAsia="zh-CN"/>
              </w:rPr>
              <w:t>。</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二</w:t>
            </w:r>
            <w:r>
              <w:rPr>
                <w:rFonts w:hint="default"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eastAsia="宋体" w:cs="Times New Roman"/>
                <w:b w:val="0"/>
                <w:sz w:val="21"/>
                <w:szCs w:val="21"/>
                <w:u w:val="none"/>
                <w:lang w:val="en-US" w:eastAsia="zh-CN"/>
              </w:rPr>
              <w:t>m</w:t>
            </w:r>
            <w:r>
              <w:rPr>
                <w:rFonts w:hint="default" w:eastAsia="宋体" w:cs="Times New Roman"/>
                <w:b w:val="0"/>
                <w:sz w:val="21"/>
                <w:szCs w:val="21"/>
                <w:u w:val="none"/>
                <w:vertAlign w:val="superscript"/>
                <w:lang w:val="en-US" w:eastAsia="zh-CN"/>
              </w:rPr>
              <w:t>2</w:t>
            </w:r>
            <w:r>
              <w:rPr>
                <w:rFonts w:hint="default" w:eastAsia="宋体" w:cs="Times New Roman"/>
                <w:b w:val="0"/>
                <w:sz w:val="21"/>
                <w:szCs w:val="21"/>
                <w:u w:val="none"/>
                <w:lang w:val="en-US" w:eastAsia="zh-CN"/>
              </w:rPr>
              <w:t>，布置</w:t>
            </w:r>
            <w:r>
              <w:rPr>
                <w:rFonts w:hint="eastAsia" w:eastAsia="宋体" w:cs="Times New Roman"/>
                <w:b w:val="0"/>
                <w:sz w:val="21"/>
                <w:szCs w:val="21"/>
                <w:u w:val="none"/>
                <w:lang w:val="en-US" w:eastAsia="zh-CN"/>
              </w:rPr>
              <w:t>资料室、党政工会会议室、办公室、卫生监测科、慢病科</w:t>
            </w:r>
            <w:r>
              <w:rPr>
                <w:rFonts w:hint="default" w:eastAsia="宋体" w:cs="Times New Roman"/>
                <w:b w:val="0"/>
                <w:sz w:val="21"/>
                <w:szCs w:val="21"/>
                <w:u w:val="none"/>
                <w:lang w:val="en-US" w:eastAsia="zh-CN"/>
              </w:rPr>
              <w:t>、</w:t>
            </w:r>
            <w:r>
              <w:rPr>
                <w:rFonts w:hint="eastAsia" w:eastAsia="宋体" w:cs="Times New Roman"/>
                <w:b w:val="0"/>
                <w:sz w:val="21"/>
                <w:szCs w:val="21"/>
                <w:u w:val="none"/>
                <w:lang w:val="en-US" w:eastAsia="zh-CN"/>
              </w:rPr>
              <w:t>健康教育科、</w:t>
            </w:r>
            <w:r>
              <w:rPr>
                <w:rFonts w:hint="default" w:eastAsia="宋体" w:cs="Times New Roman"/>
                <w:b w:val="0"/>
                <w:sz w:val="21"/>
                <w:szCs w:val="21"/>
                <w:u w:val="none"/>
                <w:lang w:val="en-US" w:eastAsia="zh-CN"/>
              </w:rPr>
              <w:t>卫生间等。</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三</w:t>
            </w:r>
            <w:r>
              <w:rPr>
                <w:rFonts w:hint="default"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eastAsia="宋体" w:cs="Times New Roman"/>
                <w:b w:val="0"/>
                <w:sz w:val="21"/>
                <w:szCs w:val="21"/>
                <w:u w:val="none"/>
                <w:lang w:val="en-US" w:eastAsia="zh-CN"/>
              </w:rPr>
              <w:t>m</w:t>
            </w:r>
            <w:r>
              <w:rPr>
                <w:rFonts w:hint="default" w:eastAsia="宋体" w:cs="Times New Roman"/>
                <w:b w:val="0"/>
                <w:sz w:val="21"/>
                <w:szCs w:val="21"/>
                <w:u w:val="none"/>
                <w:vertAlign w:val="superscript"/>
                <w:lang w:val="en-US" w:eastAsia="zh-CN"/>
              </w:rPr>
              <w:t>2</w:t>
            </w:r>
            <w:r>
              <w:rPr>
                <w:rFonts w:hint="default" w:eastAsia="宋体" w:cs="Times New Roman"/>
                <w:b w:val="0"/>
                <w:sz w:val="21"/>
                <w:szCs w:val="21"/>
                <w:u w:val="none"/>
                <w:lang w:val="en-US" w:eastAsia="zh-CN"/>
              </w:rPr>
              <w:t>，布置</w:t>
            </w:r>
            <w:r>
              <w:rPr>
                <w:rFonts w:hint="eastAsia" w:eastAsia="宋体" w:cs="Times New Roman"/>
                <w:b w:val="0"/>
                <w:sz w:val="21"/>
                <w:szCs w:val="21"/>
                <w:u w:val="none"/>
                <w:lang w:val="en-US" w:eastAsia="zh-CN"/>
              </w:rPr>
              <w:t>行政办公室、财务部、资料室、会议室、卫生间</w:t>
            </w:r>
            <w:r>
              <w:rPr>
                <w:rFonts w:hint="default" w:eastAsia="宋体" w:cs="Times New Roman"/>
                <w:b w:val="0"/>
                <w:sz w:val="21"/>
                <w:szCs w:val="21"/>
                <w:u w:val="none"/>
                <w:lang w:val="en-US" w:eastAsia="zh-CN"/>
              </w:rPr>
              <w:t>等。</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四</w:t>
            </w:r>
            <w:r>
              <w:rPr>
                <w:rFonts w:hint="default" w:eastAsia="宋体" w:cs="Times New Roman"/>
                <w:b w:val="0"/>
                <w:sz w:val="21"/>
                <w:szCs w:val="21"/>
                <w:u w:val="none"/>
                <w:lang w:val="en-US" w:eastAsia="zh-CN"/>
              </w:rPr>
              <w:t>层建筑面积</w:t>
            </w:r>
            <w:r>
              <w:rPr>
                <w:rFonts w:hint="eastAsia" w:eastAsia="宋体" w:cs="Times New Roman"/>
                <w:b w:val="0"/>
                <w:sz w:val="21"/>
                <w:szCs w:val="21"/>
                <w:u w:val="none"/>
                <w:lang w:val="en-US" w:eastAsia="zh-CN"/>
              </w:rPr>
              <w:t>656.1</w:t>
            </w:r>
            <w:r>
              <w:rPr>
                <w:rFonts w:hint="default" w:eastAsia="宋体" w:cs="Times New Roman"/>
                <w:b w:val="0"/>
                <w:sz w:val="21"/>
                <w:szCs w:val="21"/>
                <w:u w:val="none"/>
                <w:lang w:val="en-US" w:eastAsia="zh-CN"/>
              </w:rPr>
              <w:t>m</w:t>
            </w:r>
            <w:r>
              <w:rPr>
                <w:rFonts w:hint="default" w:eastAsia="宋体" w:cs="Times New Roman"/>
                <w:b w:val="0"/>
                <w:sz w:val="21"/>
                <w:szCs w:val="21"/>
                <w:u w:val="none"/>
                <w:vertAlign w:val="superscript"/>
                <w:lang w:val="en-US" w:eastAsia="zh-CN"/>
              </w:rPr>
              <w:t>2</w:t>
            </w:r>
            <w:r>
              <w:rPr>
                <w:rFonts w:hint="default" w:eastAsia="宋体" w:cs="Times New Roman"/>
                <w:b w:val="0"/>
                <w:sz w:val="21"/>
                <w:szCs w:val="21"/>
                <w:u w:val="none"/>
                <w:lang w:val="en-US" w:eastAsia="zh-CN"/>
              </w:rPr>
              <w:t>，</w:t>
            </w:r>
            <w:r>
              <w:rPr>
                <w:rFonts w:hint="eastAsia" w:eastAsia="宋体" w:cs="Times New Roman"/>
                <w:b w:val="0"/>
                <w:sz w:val="21"/>
                <w:szCs w:val="21"/>
                <w:u w:val="none"/>
                <w:lang w:val="en-US" w:eastAsia="zh-CN"/>
              </w:rPr>
              <w:t>主要为行政办公室、</w:t>
            </w:r>
            <w:r>
              <w:rPr>
                <w:rFonts w:hint="default" w:eastAsia="宋体" w:cs="Times New Roman"/>
                <w:b w:val="0"/>
                <w:sz w:val="21"/>
                <w:szCs w:val="21"/>
                <w:u w:val="none"/>
                <w:lang w:val="en-US" w:eastAsia="zh-CN"/>
              </w:rPr>
              <w:t>卫生间等。</w:t>
            </w:r>
          </w:p>
        </w:tc>
        <w:tc>
          <w:tcPr>
            <w:tcW w:w="4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jc w:val="center"/>
        </w:trPr>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辅助工程</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发电机房</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建筑面积30m</w:t>
            </w:r>
            <w:r>
              <w:rPr>
                <w:rFonts w:hint="eastAsia" w:eastAsia="宋体" w:cs="Times New Roman"/>
                <w:b w:val="0"/>
                <w:sz w:val="21"/>
                <w:szCs w:val="21"/>
                <w:u w:val="none"/>
                <w:vertAlign w:val="superscript"/>
                <w:lang w:val="en-US" w:eastAsia="zh-CN"/>
              </w:rPr>
              <w:t>2</w:t>
            </w:r>
            <w:r>
              <w:rPr>
                <w:rFonts w:hint="eastAsia" w:eastAsia="宋体" w:cs="Times New Roman"/>
                <w:b w:val="0"/>
                <w:sz w:val="21"/>
                <w:szCs w:val="21"/>
                <w:u w:val="none"/>
                <w:lang w:val="en-US" w:eastAsia="zh-CN"/>
              </w:rPr>
              <w:t>；用于存放备用柴油发电机</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eastAsia" w:ascii="Times New Roman" w:hAnsi="Times New Roman" w:eastAsia="宋体" w:cs="Times New Roman"/>
                <w:b w:val="0"/>
                <w:sz w:val="21"/>
                <w:szCs w:val="21"/>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公用工程</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供水</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eastAsia="zh-CN"/>
              </w:rPr>
            </w:pPr>
            <w:r>
              <w:rPr>
                <w:rFonts w:hint="default" w:ascii="Times New Roman" w:hAnsi="Times New Roman" w:eastAsia="宋体" w:cs="Times New Roman"/>
                <w:b w:val="0"/>
                <w:sz w:val="21"/>
                <w:szCs w:val="21"/>
                <w:u w:val="none"/>
                <w:lang w:val="en-US" w:eastAsia="zh-CN"/>
              </w:rPr>
              <w:t>市政给水网提供</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排水</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项目采用雨污分流，污污分流制；雨水就近排入</w:t>
            </w:r>
            <w:r>
              <w:rPr>
                <w:rFonts w:hint="eastAsia" w:eastAsia="宋体" w:cs="Times New Roman"/>
                <w:b w:val="0"/>
                <w:sz w:val="21"/>
                <w:szCs w:val="21"/>
                <w:u w:val="none"/>
                <w:lang w:val="en-US" w:eastAsia="zh-CN"/>
              </w:rPr>
              <w:t>厂区</w:t>
            </w:r>
            <w:r>
              <w:rPr>
                <w:rFonts w:hint="eastAsia" w:ascii="Times New Roman" w:hAnsi="Times New Roman" w:eastAsia="宋体" w:cs="Times New Roman"/>
                <w:b w:val="0"/>
                <w:sz w:val="21"/>
                <w:szCs w:val="21"/>
                <w:u w:val="none"/>
                <w:lang w:val="en-US" w:eastAsia="zh-CN"/>
              </w:rPr>
              <w:t>两侧雨水管网；新</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建污水处理站，</w:t>
            </w:r>
            <w:r>
              <w:rPr>
                <w:rFonts w:hint="eastAsia" w:eastAsia="宋体" w:cs="Times New Roman"/>
                <w:b w:val="0"/>
                <w:sz w:val="21"/>
                <w:szCs w:val="21"/>
                <w:u w:val="none"/>
                <w:lang w:val="en-US" w:eastAsia="zh-CN"/>
              </w:rPr>
              <w:t>实验室</w:t>
            </w:r>
            <w:r>
              <w:rPr>
                <w:rFonts w:hint="eastAsia" w:ascii="Times New Roman" w:hAnsi="Times New Roman" w:eastAsia="宋体" w:cs="Times New Roman"/>
                <w:b w:val="0"/>
                <w:sz w:val="21"/>
                <w:szCs w:val="21"/>
                <w:u w:val="none"/>
                <w:lang w:val="en-US" w:eastAsia="zh-CN"/>
              </w:rPr>
              <w:t>废水经“</w:t>
            </w:r>
            <w:r>
              <w:rPr>
                <w:rFonts w:hint="eastAsia" w:eastAsia="宋体" w:cs="Times New Roman"/>
                <w:b w:val="0"/>
                <w:sz w:val="21"/>
                <w:szCs w:val="21"/>
                <w:u w:val="none"/>
                <w:lang w:val="en-US" w:eastAsia="zh-CN"/>
              </w:rPr>
              <w:t>深度处理</w:t>
            </w:r>
            <w:r>
              <w:rPr>
                <w:rFonts w:hint="eastAsia" w:ascii="Times New Roman" w:hAnsi="Times New Roman" w:eastAsia="宋体" w:cs="Times New Roman"/>
                <w:b w:val="0"/>
                <w:sz w:val="21"/>
                <w:szCs w:val="21"/>
                <w:u w:val="none"/>
                <w:lang w:val="en-US" w:eastAsia="zh-CN"/>
              </w:rPr>
              <w:t>+消毒”</w:t>
            </w:r>
            <w:r>
              <w:rPr>
                <w:rFonts w:hint="eastAsia" w:eastAsia="宋体" w:cs="Times New Roman"/>
                <w:b w:val="0"/>
                <w:sz w:val="21"/>
                <w:szCs w:val="21"/>
                <w:u w:val="none"/>
                <w:lang w:val="en-US" w:eastAsia="zh-CN"/>
              </w:rPr>
              <w:t>处理</w:t>
            </w:r>
            <w:r>
              <w:rPr>
                <w:rFonts w:hint="eastAsia" w:ascii="Times New Roman" w:hAnsi="Times New Roman" w:eastAsia="宋体" w:cs="Times New Roman"/>
                <w:b w:val="0"/>
                <w:sz w:val="21"/>
                <w:szCs w:val="21"/>
                <w:u w:val="none"/>
                <w:lang w:val="en-US" w:eastAsia="zh-CN"/>
              </w:rPr>
              <w:t>后</w:t>
            </w:r>
            <w:r>
              <w:rPr>
                <w:rFonts w:hint="eastAsia" w:eastAsia="宋体" w:cs="Times New Roman"/>
                <w:b w:val="0"/>
                <w:sz w:val="21"/>
                <w:szCs w:val="21"/>
                <w:u w:val="none"/>
                <w:lang w:val="en-US" w:eastAsia="zh-CN"/>
              </w:rPr>
              <w:t>与经化粪池处理后的生活污水</w:t>
            </w:r>
            <w:r>
              <w:rPr>
                <w:rFonts w:hint="eastAsia" w:ascii="Times New Roman" w:hAnsi="Times New Roman" w:eastAsia="宋体" w:cs="Times New Roman"/>
                <w:b w:val="0"/>
                <w:sz w:val="21"/>
                <w:szCs w:val="21"/>
                <w:u w:val="none"/>
                <w:lang w:val="en-US" w:eastAsia="zh-CN"/>
              </w:rPr>
              <w:t>排入市政污水管网，最终进入污水处理厂</w:t>
            </w:r>
            <w:r>
              <w:rPr>
                <w:rFonts w:hint="eastAsia" w:eastAsia="宋体" w:cs="Times New Roman"/>
                <w:b w:val="0"/>
                <w:sz w:val="21"/>
                <w:szCs w:val="21"/>
                <w:u w:val="none"/>
                <w:lang w:val="en-US" w:eastAsia="zh-CN"/>
              </w:rPr>
              <w:t>深度</w:t>
            </w:r>
            <w:r>
              <w:rPr>
                <w:rFonts w:hint="eastAsia" w:ascii="Times New Roman" w:hAnsi="Times New Roman" w:eastAsia="宋体" w:cs="Times New Roman"/>
                <w:b w:val="0"/>
                <w:sz w:val="21"/>
                <w:szCs w:val="21"/>
                <w:u w:val="none"/>
                <w:lang w:val="en-US" w:eastAsia="zh-CN"/>
              </w:rPr>
              <w:t>处理</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sz w:val="21"/>
                <w:szCs w:val="21"/>
                <w:u w:val="none"/>
                <w:lang w:val="en-US" w:eastAsia="zh-CN"/>
              </w:rPr>
            </w:pPr>
            <w:r>
              <w:rPr>
                <w:rFonts w:hint="default" w:ascii="Times New Roman" w:hAnsi="Times New Roman" w:eastAsia="宋体" w:cs="Times New Roman"/>
                <w:b w:val="0"/>
                <w:sz w:val="21"/>
                <w:szCs w:val="21"/>
                <w:u w:val="none"/>
              </w:rPr>
              <w:t>供电</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市政供电系统</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jc w:val="center"/>
        </w:trPr>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val="en-US" w:eastAsia="zh-CN"/>
              </w:rPr>
            </w:pPr>
            <w:r>
              <w:rPr>
                <w:rFonts w:hint="eastAsia" w:eastAsia="宋体" w:cs="Times New Roman"/>
                <w:b w:val="0"/>
                <w:sz w:val="21"/>
                <w:szCs w:val="21"/>
                <w:u w:val="none"/>
                <w:lang w:val="en-US" w:eastAsia="zh-CN"/>
              </w:rPr>
              <w:t>通风</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sz w:val="21"/>
                <w:szCs w:val="21"/>
                <w:u w:val="none"/>
                <w:lang w:val="en-US" w:eastAsia="zh-CN"/>
              </w:rPr>
            </w:pPr>
            <w:r>
              <w:rPr>
                <w:rFonts w:hint="eastAsia" w:eastAsia="宋体" w:cs="Times New Roman"/>
                <w:b w:val="0"/>
                <w:sz w:val="21"/>
                <w:szCs w:val="21"/>
                <w:u w:val="none"/>
                <w:lang w:val="en-US" w:eastAsia="zh-CN"/>
              </w:rPr>
              <w:t>独立分体空调机；PCR 实验室、微生物实验室、理化实验室设置独立通风系统</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sz w:val="21"/>
                <w:szCs w:val="21"/>
                <w:u w:val="none"/>
                <w:lang w:val="en-US" w:eastAsia="zh-CN"/>
              </w:rPr>
            </w:pPr>
            <w:r>
              <w:rPr>
                <w:rFonts w:hint="eastAsia" w:eastAsia="宋体" w:cs="Times New Roman"/>
                <w:b w:val="0"/>
                <w:sz w:val="21"/>
                <w:szCs w:val="21"/>
                <w:u w:val="none"/>
                <w:lang w:val="en-US" w:eastAsia="zh-CN"/>
              </w:rPr>
              <w:t>供热</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无锅炉房，采用空气能热泵热水器供热，热水供应采用电能做热源</w:t>
            </w:r>
          </w:p>
        </w:tc>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lang w:eastAsia="zh-CN"/>
              </w:rPr>
              <w:t>环保工程</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废水治理</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lang w:val="en-US"/>
              </w:rPr>
            </w:pPr>
            <w:r>
              <w:rPr>
                <w:rFonts w:hint="eastAsia" w:eastAsia="宋体" w:cs="Times New Roman"/>
                <w:b w:val="0"/>
                <w:sz w:val="21"/>
                <w:szCs w:val="21"/>
                <w:u w:val="none"/>
                <w:lang w:val="en-US" w:eastAsia="zh-CN"/>
              </w:rPr>
              <w:t>实验室</w:t>
            </w:r>
            <w:r>
              <w:rPr>
                <w:rFonts w:hint="eastAsia" w:ascii="Times New Roman" w:hAnsi="Times New Roman" w:eastAsia="宋体" w:cs="Times New Roman"/>
                <w:b w:val="0"/>
                <w:sz w:val="21"/>
                <w:szCs w:val="21"/>
                <w:u w:val="none"/>
                <w:lang w:val="en-US" w:eastAsia="zh-CN"/>
              </w:rPr>
              <w:t>废水经“</w:t>
            </w:r>
            <w:r>
              <w:rPr>
                <w:rFonts w:hint="eastAsia" w:eastAsia="宋体" w:cs="Times New Roman"/>
                <w:b w:val="0"/>
                <w:sz w:val="21"/>
                <w:szCs w:val="21"/>
                <w:u w:val="none"/>
                <w:lang w:val="en-US" w:eastAsia="zh-CN"/>
              </w:rPr>
              <w:t>深度处理</w:t>
            </w:r>
            <w:r>
              <w:rPr>
                <w:rFonts w:hint="eastAsia" w:ascii="Times New Roman" w:hAnsi="Times New Roman" w:eastAsia="宋体" w:cs="Times New Roman"/>
                <w:b w:val="0"/>
                <w:sz w:val="21"/>
                <w:szCs w:val="21"/>
                <w:u w:val="none"/>
                <w:lang w:val="en-US" w:eastAsia="zh-CN"/>
              </w:rPr>
              <w:t>+消毒”</w:t>
            </w:r>
            <w:r>
              <w:rPr>
                <w:rFonts w:hint="eastAsia" w:eastAsia="宋体" w:cs="Times New Roman"/>
                <w:b w:val="0"/>
                <w:sz w:val="21"/>
                <w:szCs w:val="21"/>
                <w:u w:val="none"/>
                <w:lang w:val="en-US" w:eastAsia="zh-CN"/>
              </w:rPr>
              <w:t>处理</w:t>
            </w:r>
            <w:r>
              <w:rPr>
                <w:rFonts w:hint="eastAsia" w:ascii="Times New Roman" w:hAnsi="Times New Roman" w:eastAsia="宋体" w:cs="Times New Roman"/>
                <w:b w:val="0"/>
                <w:sz w:val="21"/>
                <w:szCs w:val="21"/>
                <w:u w:val="none"/>
                <w:lang w:val="en-US" w:eastAsia="zh-CN"/>
              </w:rPr>
              <w:t>后</w:t>
            </w:r>
            <w:r>
              <w:rPr>
                <w:rFonts w:hint="eastAsia" w:eastAsia="宋体" w:cs="Times New Roman"/>
                <w:b w:val="0"/>
                <w:sz w:val="21"/>
                <w:szCs w:val="21"/>
                <w:u w:val="none"/>
                <w:lang w:val="en-US" w:eastAsia="zh-CN"/>
              </w:rPr>
              <w:t>与经化粪池处理后的生活污水</w:t>
            </w:r>
            <w:r>
              <w:rPr>
                <w:rFonts w:hint="eastAsia" w:ascii="Times New Roman" w:hAnsi="Times New Roman" w:eastAsia="宋体" w:cs="Times New Roman"/>
                <w:b w:val="0"/>
                <w:sz w:val="21"/>
                <w:szCs w:val="21"/>
                <w:u w:val="none"/>
                <w:lang w:val="en-US" w:eastAsia="zh-CN"/>
              </w:rPr>
              <w:t>排入市政污水管网，最终进入污水处理厂</w:t>
            </w:r>
            <w:r>
              <w:rPr>
                <w:rFonts w:hint="eastAsia" w:eastAsia="宋体" w:cs="Times New Roman"/>
                <w:b w:val="0"/>
                <w:sz w:val="21"/>
                <w:szCs w:val="21"/>
                <w:u w:val="none"/>
                <w:lang w:val="en-US" w:eastAsia="zh-CN"/>
              </w:rPr>
              <w:t>深度</w:t>
            </w:r>
            <w:r>
              <w:rPr>
                <w:rFonts w:hint="eastAsia" w:ascii="Times New Roman" w:hAnsi="Times New Roman" w:eastAsia="宋体" w:cs="Times New Roman"/>
                <w:b w:val="0"/>
                <w:sz w:val="21"/>
                <w:szCs w:val="21"/>
                <w:u w:val="none"/>
                <w:lang w:val="en-US" w:eastAsia="zh-CN"/>
              </w:rPr>
              <w:t>处理</w:t>
            </w:r>
            <w:r>
              <w:rPr>
                <w:rFonts w:hint="default" w:ascii="Times New Roman" w:hAnsi="Times New Roman" w:eastAsia="宋体" w:cs="Times New Roman"/>
                <w:b w:val="0"/>
                <w:sz w:val="21"/>
                <w:szCs w:val="21"/>
                <w:u w:val="none"/>
                <w:lang w:val="en-US"/>
              </w:rPr>
              <w:t>。</w:t>
            </w:r>
          </w:p>
        </w:tc>
        <w:tc>
          <w:tcPr>
            <w:tcW w:w="4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噪声治理</w:t>
            </w:r>
          </w:p>
        </w:tc>
        <w:tc>
          <w:tcPr>
            <w:tcW w:w="35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sz w:val="21"/>
                <w:szCs w:val="21"/>
                <w:u w:val="none"/>
                <w:lang w:eastAsia="zh-CN"/>
              </w:rPr>
            </w:pPr>
            <w:r>
              <w:rPr>
                <w:rFonts w:hint="default" w:ascii="Times New Roman" w:hAnsi="Times New Roman" w:eastAsia="宋体" w:cs="Times New Roman"/>
                <w:b w:val="0"/>
                <w:sz w:val="21"/>
                <w:szCs w:val="21"/>
                <w:u w:val="none"/>
              </w:rPr>
              <w:t>选用低噪声设备，采取基座减振、</w:t>
            </w:r>
            <w:r>
              <w:rPr>
                <w:rFonts w:hint="eastAsia" w:eastAsia="宋体" w:cs="Times New Roman"/>
                <w:b w:val="0"/>
                <w:sz w:val="21"/>
                <w:szCs w:val="21"/>
                <w:u w:val="none"/>
                <w:lang w:val="en-US" w:eastAsia="zh-CN"/>
              </w:rPr>
              <w:t>隔声</w:t>
            </w:r>
            <w:r>
              <w:rPr>
                <w:rFonts w:hint="default" w:ascii="Times New Roman" w:hAnsi="Times New Roman" w:eastAsia="宋体" w:cs="Times New Roman"/>
                <w:b w:val="0"/>
                <w:sz w:val="21"/>
                <w:szCs w:val="21"/>
                <w:u w:val="none"/>
              </w:rPr>
              <w:t>等方式减少噪声污染</w:t>
            </w:r>
            <w:r>
              <w:rPr>
                <w:rFonts w:hint="eastAsia" w:ascii="Times New Roman" w:hAnsi="Times New Roman" w:eastAsia="宋体" w:cs="Times New Roman"/>
                <w:b w:val="0"/>
                <w:sz w:val="21"/>
                <w:szCs w:val="21"/>
                <w:u w:val="none"/>
                <w:lang w:eastAsia="zh-CN"/>
              </w:rPr>
              <w:t>；</w:t>
            </w:r>
          </w:p>
        </w:tc>
        <w:tc>
          <w:tcPr>
            <w:tcW w:w="4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restar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rPr>
            </w:pPr>
            <w:r>
              <w:rPr>
                <w:rFonts w:hint="default" w:ascii="Times New Roman" w:hAnsi="Times New Roman" w:eastAsia="宋体" w:cs="Times New Roman"/>
                <w:b w:val="0"/>
                <w:color w:val="auto"/>
                <w:sz w:val="21"/>
                <w:szCs w:val="21"/>
                <w:highlight w:val="none"/>
                <w:u w:val="none"/>
              </w:rPr>
              <w:t>固体废物</w:t>
            </w: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rPr>
            </w:pPr>
            <w:r>
              <w:rPr>
                <w:rFonts w:hint="default" w:ascii="Times New Roman" w:hAnsi="Times New Roman" w:eastAsia="宋体" w:cs="Times New Roman"/>
                <w:b w:val="0"/>
                <w:color w:val="auto"/>
                <w:sz w:val="21"/>
                <w:szCs w:val="21"/>
                <w:highlight w:val="none"/>
                <w:u w:val="none"/>
              </w:rPr>
              <w:t>生活垃圾委托环卫部门处理</w:t>
            </w:r>
          </w:p>
        </w:tc>
        <w:tc>
          <w:tcPr>
            <w:tcW w:w="455"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wave"/>
                <w:lang w:eastAsia="zh-CN"/>
              </w:rPr>
            </w:pPr>
            <w:r>
              <w:rPr>
                <w:rFonts w:hint="default" w:ascii="Times New Roman" w:hAnsi="Times New Roman" w:eastAsia="宋体" w:cs="Times New Roman"/>
                <w:b w:val="0"/>
                <w:sz w:val="21"/>
                <w:szCs w:val="21"/>
                <w:u w:val="none"/>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continue"/>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rPr>
            </w:pP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医疗废物存于医疗废物暂存间，交由有医疗废物资质单位处理</w:t>
            </w:r>
          </w:p>
        </w:tc>
        <w:tc>
          <w:tcPr>
            <w:tcW w:w="455"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continue"/>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rPr>
            </w:pP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污泥清掏后，交危废资质单位处理</w:t>
            </w:r>
            <w:r>
              <w:rPr>
                <w:rFonts w:hint="eastAsia" w:eastAsia="宋体" w:cs="Times New Roman"/>
                <w:b w:val="0"/>
                <w:color w:val="auto"/>
                <w:sz w:val="21"/>
                <w:szCs w:val="21"/>
                <w:highlight w:val="none"/>
                <w:u w:val="none"/>
                <w:lang w:val="en-US" w:eastAsia="zh-CN"/>
              </w:rPr>
              <w:t>；废紫外线灯管、废试剂瓶分类收集后，暂存于危废暂存间内，委托有资质单位处理</w:t>
            </w:r>
          </w:p>
        </w:tc>
        <w:tc>
          <w:tcPr>
            <w:tcW w:w="45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restar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废气治理</w:t>
            </w: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PCR 实验室、微生物实验室含菌废气：PCR 实验室、微生物实验室内设</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置生物安全柜。PCR 实验室、微生物实验室所有涉及病原微生物的操作</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均在生物安全柜中进行，生物安全柜内安装有高效空气过滤器（HEPA 过</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滤器）。生物安全柜废气经处理后通过楼顶排气筒（DA001）排放</w:t>
            </w:r>
          </w:p>
        </w:tc>
        <w:tc>
          <w:tcPr>
            <w:tcW w:w="45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continue"/>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理化实验采用自然通风或通过通风橱引至室外楼顶</w:t>
            </w:r>
            <w:r>
              <w:rPr>
                <w:rFonts w:hint="eastAsia" w:ascii="Times New Roman" w:hAnsi="Times New Roman" w:eastAsia="宋体" w:cs="Times New Roman"/>
                <w:b w:val="0"/>
                <w:color w:val="auto"/>
                <w:sz w:val="21"/>
                <w:szCs w:val="21"/>
                <w:highlight w:val="none"/>
                <w:u w:val="none"/>
                <w:lang w:val="en-US" w:eastAsia="zh-CN"/>
              </w:rPr>
              <w:t>（DA00</w:t>
            </w:r>
            <w:r>
              <w:rPr>
                <w:rFonts w:hint="eastAsia" w:eastAsia="宋体" w:cs="Times New Roman"/>
                <w:b w:val="0"/>
                <w:color w:val="auto"/>
                <w:sz w:val="21"/>
                <w:szCs w:val="21"/>
                <w:highlight w:val="none"/>
                <w:u w:val="none"/>
                <w:lang w:val="en-US" w:eastAsia="zh-CN"/>
              </w:rPr>
              <w:t>2</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排放</w:t>
            </w:r>
          </w:p>
        </w:tc>
        <w:tc>
          <w:tcPr>
            <w:tcW w:w="45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continue"/>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污水处理站</w:t>
            </w:r>
            <w:r>
              <w:rPr>
                <w:rFonts w:hint="eastAsia" w:eastAsia="宋体" w:cs="Times New Roman"/>
                <w:b w:val="0"/>
                <w:color w:val="auto"/>
                <w:sz w:val="21"/>
                <w:szCs w:val="21"/>
                <w:highlight w:val="none"/>
                <w:u w:val="none"/>
                <w:lang w:val="en-US" w:eastAsia="zh-CN"/>
              </w:rPr>
              <w:t>设施</w:t>
            </w:r>
            <w:r>
              <w:rPr>
                <w:rFonts w:hint="default" w:ascii="Times New Roman" w:hAnsi="Times New Roman" w:eastAsia="宋体" w:cs="Times New Roman"/>
                <w:b w:val="0"/>
                <w:color w:val="auto"/>
                <w:sz w:val="21"/>
                <w:szCs w:val="21"/>
                <w:highlight w:val="none"/>
                <w:u w:val="none"/>
                <w:lang w:val="en-US" w:eastAsia="zh-CN"/>
              </w:rPr>
              <w:t>采用</w:t>
            </w:r>
            <w:r>
              <w:rPr>
                <w:rFonts w:hint="eastAsia" w:eastAsia="宋体" w:cs="Times New Roman"/>
                <w:b w:val="0"/>
                <w:color w:val="auto"/>
                <w:sz w:val="21"/>
                <w:szCs w:val="21"/>
                <w:highlight w:val="none"/>
                <w:u w:val="none"/>
                <w:lang w:val="en-US" w:eastAsia="zh-CN"/>
              </w:rPr>
              <w:t>密封</w:t>
            </w:r>
            <w:r>
              <w:rPr>
                <w:rFonts w:hint="default" w:ascii="Times New Roman" w:hAnsi="Times New Roman" w:eastAsia="宋体" w:cs="Times New Roman"/>
                <w:b w:val="0"/>
                <w:color w:val="auto"/>
                <w:sz w:val="21"/>
                <w:szCs w:val="21"/>
                <w:highlight w:val="none"/>
                <w:u w:val="none"/>
                <w:lang w:val="en-US" w:eastAsia="zh-CN"/>
              </w:rPr>
              <w:t>式，喷洒除臭剂、加强四周绿化</w:t>
            </w:r>
            <w:r>
              <w:rPr>
                <w:rFonts w:hint="eastAsia" w:eastAsia="宋体" w:cs="Times New Roman"/>
                <w:b w:val="0"/>
                <w:color w:val="auto"/>
                <w:sz w:val="21"/>
                <w:szCs w:val="21"/>
                <w:highlight w:val="none"/>
                <w:u w:val="none"/>
                <w:lang w:val="en-US" w:eastAsia="zh-CN"/>
              </w:rPr>
              <w:t>，无组织排放</w:t>
            </w:r>
          </w:p>
        </w:tc>
        <w:tc>
          <w:tcPr>
            <w:tcW w:w="45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p>
        </w:tc>
        <w:tc>
          <w:tcPr>
            <w:tcW w:w="638" w:type="pct"/>
            <w:vMerge w:val="continue"/>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垃圾收集点恶臭：采用无组织排放，喷洒除臭剂、加强四周绿化</w:t>
            </w:r>
          </w:p>
        </w:tc>
        <w:tc>
          <w:tcPr>
            <w:tcW w:w="45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sz w:val="21"/>
                <w:szCs w:val="21"/>
                <w:u w:val="none"/>
              </w:rPr>
            </w:pPr>
            <w:bookmarkStart w:id="63" w:name="_Toc26874"/>
          </w:p>
        </w:tc>
        <w:tc>
          <w:tcPr>
            <w:tcW w:w="638"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环境风险</w:t>
            </w:r>
          </w:p>
        </w:tc>
        <w:tc>
          <w:tcPr>
            <w:tcW w:w="3562"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污水处理站构筑物、废弃物暂存间地面、墙面、化粪池均按照《危险废物贮存污染控制标准》（GB18597-20</w:t>
            </w:r>
            <w:r>
              <w:rPr>
                <w:rFonts w:hint="eastAsia" w:eastAsia="宋体" w:cs="Times New Roman"/>
                <w:b w:val="0"/>
                <w:color w:val="auto"/>
                <w:sz w:val="21"/>
                <w:szCs w:val="21"/>
                <w:highlight w:val="none"/>
                <w:u w:val="none"/>
                <w:lang w:val="en-US" w:eastAsia="zh-CN"/>
              </w:rPr>
              <w:t>23</w:t>
            </w:r>
            <w:r>
              <w:rPr>
                <w:rFonts w:hint="default" w:ascii="Times New Roman" w:hAnsi="Times New Roman" w:eastAsia="宋体" w:cs="Times New Roman"/>
                <w:b w:val="0"/>
                <w:color w:val="auto"/>
                <w:sz w:val="21"/>
                <w:szCs w:val="21"/>
                <w:highlight w:val="none"/>
                <w:u w:val="none"/>
                <w:lang w:val="en-US" w:eastAsia="zh-CN"/>
              </w:rPr>
              <w:t>）采取防渗处理，防渗能力为不小于 1.5m 厚渗透系数为 10</w:t>
            </w:r>
            <w:r>
              <w:rPr>
                <w:rFonts w:hint="default" w:ascii="Times New Roman" w:hAnsi="Times New Roman" w:eastAsia="宋体" w:cs="Times New Roman"/>
                <w:b w:val="0"/>
                <w:color w:val="auto"/>
                <w:sz w:val="21"/>
                <w:szCs w:val="21"/>
                <w:highlight w:val="none"/>
                <w:u w:val="none"/>
                <w:vertAlign w:val="superscript"/>
                <w:lang w:val="en-US" w:eastAsia="zh-CN"/>
              </w:rPr>
              <w:t>-7</w:t>
            </w:r>
            <w:r>
              <w:rPr>
                <w:rFonts w:hint="default" w:ascii="Times New Roman" w:hAnsi="Times New Roman" w:eastAsia="宋体" w:cs="Times New Roman"/>
                <w:b w:val="0"/>
                <w:color w:val="auto"/>
                <w:sz w:val="21"/>
                <w:szCs w:val="21"/>
                <w:highlight w:val="none"/>
                <w:u w:val="none"/>
                <w:lang w:val="en-US" w:eastAsia="zh-CN"/>
              </w:rPr>
              <w:t>cm/s 的黏土层的性能</w:t>
            </w:r>
          </w:p>
        </w:tc>
        <w:tc>
          <w:tcPr>
            <w:tcW w:w="455" w:type="pct"/>
            <w:tcBorders>
              <w:tl2br w:val="nil"/>
              <w:tr2bl w:val="nil"/>
            </w:tcBorders>
            <w:shd w:val="clear" w:color="auto" w:fill="auto"/>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新建</w:t>
            </w:r>
          </w:p>
        </w:tc>
      </w:tr>
    </w:tbl>
    <w:p>
      <w:pPr>
        <w:pStyle w:val="4"/>
        <w:bidi w:val="0"/>
        <w:rPr>
          <w:rFonts w:hint="eastAsia"/>
          <w:lang w:val="en-US" w:eastAsia="zh-CN"/>
        </w:rPr>
      </w:pPr>
      <w:r>
        <w:rPr>
          <w:rFonts w:hint="eastAsia"/>
          <w:lang w:val="en-US" w:eastAsia="zh-CN"/>
        </w:rPr>
        <w:t>3.</w:t>
      </w:r>
      <w:r>
        <w:rPr>
          <w:rFonts w:hint="default"/>
          <w:lang w:val="en-US" w:eastAsia="zh-CN"/>
        </w:rPr>
        <w:t xml:space="preserve">1.5 </w:t>
      </w:r>
      <w:r>
        <w:rPr>
          <w:rFonts w:hint="eastAsia"/>
          <w:lang w:val="en-US" w:eastAsia="zh-CN"/>
        </w:rPr>
        <w:t>项目原辅材料使用情况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rPr>
      </w:pPr>
      <w:r>
        <w:rPr>
          <w:rFonts w:hint="eastAsia" w:ascii="Times New Roman" w:hAnsi="Times New Roman" w:eastAsia="宋体" w:cs="Times New Roman"/>
          <w:b w:val="0"/>
          <w:bCs w:val="0"/>
          <w:snapToGrid w:val="0"/>
          <w:color w:val="000000"/>
          <w:spacing w:val="11"/>
          <w:kern w:val="0"/>
          <w:sz w:val="24"/>
          <w:szCs w:val="24"/>
          <w:lang w:val="en-US" w:eastAsia="zh-CN"/>
        </w:rPr>
        <w:t>本项目</w:t>
      </w:r>
      <w:r>
        <w:rPr>
          <w:rFonts w:hint="eastAsia" w:eastAsia="宋体" w:cs="Times New Roman"/>
          <w:b w:val="0"/>
          <w:bCs w:val="0"/>
          <w:snapToGrid w:val="0"/>
          <w:color w:val="000000"/>
          <w:spacing w:val="11"/>
          <w:kern w:val="0"/>
          <w:sz w:val="24"/>
          <w:szCs w:val="24"/>
          <w:lang w:val="en-US" w:eastAsia="zh-CN"/>
        </w:rPr>
        <w:t>检验科室</w:t>
      </w:r>
      <w:r>
        <w:rPr>
          <w:rFonts w:hint="eastAsia" w:ascii="Times New Roman" w:hAnsi="Times New Roman" w:eastAsia="宋体" w:cs="Times New Roman"/>
          <w:b w:val="0"/>
          <w:bCs w:val="0"/>
          <w:snapToGrid w:val="0"/>
          <w:color w:val="000000"/>
          <w:spacing w:val="11"/>
          <w:kern w:val="0"/>
          <w:sz w:val="24"/>
          <w:szCs w:val="24"/>
          <w:lang w:val="en-US" w:eastAsia="zh-CN"/>
        </w:rPr>
        <w:t>主要原辅材料及消耗情况见表</w:t>
      </w:r>
      <w:r>
        <w:rPr>
          <w:rFonts w:hint="eastAsia" w:eastAsia="宋体" w:cs="Times New Roman"/>
          <w:b w:val="0"/>
          <w:bCs w:val="0"/>
          <w:snapToGrid w:val="0"/>
          <w:color w:val="000000"/>
          <w:spacing w:val="11"/>
          <w:kern w:val="0"/>
          <w:sz w:val="24"/>
          <w:szCs w:val="24"/>
          <w:lang w:val="en-US" w:eastAsia="zh-CN"/>
        </w:rPr>
        <w:t>3.1</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2</w:t>
      </w:r>
      <w:r>
        <w:rPr>
          <w:rFonts w:hint="eastAsia"/>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ascii="宋体" w:hAnsi="Courier New" w:eastAsia="Arial" w:cs="宋体"/>
          <w:b/>
          <w:bCs/>
          <w:snapToGrid w:val="0"/>
          <w:color w:val="000000"/>
          <w:kern w:val="0"/>
          <w:sz w:val="21"/>
          <w:szCs w:val="21"/>
          <w:lang w:val="en-US" w:eastAsia="zh-CN" w:bidi="ar-SA"/>
        </w:rPr>
      </w:pPr>
      <w:r>
        <w:rPr>
          <w:rFonts w:hint="eastAsia" w:ascii="宋体" w:hAnsi="Courier New" w:eastAsia="Arial" w:cs="宋体"/>
          <w:b/>
          <w:bCs/>
          <w:snapToGrid w:val="0"/>
          <w:color w:val="000000"/>
          <w:kern w:val="0"/>
          <w:sz w:val="21"/>
          <w:szCs w:val="21"/>
          <w:lang w:val="en-US" w:eastAsia="zh-CN" w:bidi="ar-SA"/>
        </w:rPr>
        <w:t>表</w:t>
      </w:r>
      <w:r>
        <w:rPr>
          <w:rFonts w:hint="default" w:ascii="Times New Roman" w:hAnsi="Times New Roman" w:eastAsia="Arial" w:cs="Times New Roman"/>
          <w:b/>
          <w:bCs/>
          <w:snapToGrid w:val="0"/>
          <w:color w:val="000000"/>
          <w:kern w:val="0"/>
          <w:sz w:val="21"/>
          <w:szCs w:val="21"/>
          <w:lang w:val="en-US" w:eastAsia="zh-CN" w:bidi="ar-SA"/>
        </w:rPr>
        <w:t>3.1-</w:t>
      </w:r>
      <w:r>
        <w:rPr>
          <w:rFonts w:hint="eastAsia" w:eastAsia="Arial" w:cs="Times New Roman"/>
          <w:b/>
          <w:bCs/>
          <w:snapToGrid w:val="0"/>
          <w:color w:val="000000"/>
          <w:kern w:val="0"/>
          <w:sz w:val="21"/>
          <w:szCs w:val="21"/>
          <w:lang w:val="en-US" w:eastAsia="zh-CN" w:bidi="ar-SA"/>
        </w:rPr>
        <w:t>2</w:t>
      </w:r>
      <w:r>
        <w:rPr>
          <w:rFonts w:hint="default" w:ascii="Times New Roman" w:hAnsi="Times New Roman" w:eastAsia="Arial" w:cs="Times New Roman"/>
          <w:b/>
          <w:bCs/>
          <w:snapToGrid w:val="0"/>
          <w:color w:val="000000"/>
          <w:kern w:val="0"/>
          <w:sz w:val="21"/>
          <w:szCs w:val="21"/>
          <w:lang w:val="en-US" w:eastAsia="zh-CN" w:bidi="ar-SA"/>
        </w:rPr>
        <w:t xml:space="preserve"> </w:t>
      </w:r>
      <w:r>
        <w:rPr>
          <w:rFonts w:hint="eastAsia" w:ascii="宋体" w:hAnsi="Courier New" w:eastAsia="Arial" w:cs="宋体"/>
          <w:b/>
          <w:bCs/>
          <w:snapToGrid w:val="0"/>
          <w:color w:val="000000"/>
          <w:kern w:val="0"/>
          <w:sz w:val="21"/>
          <w:szCs w:val="21"/>
          <w:lang w:val="en-US" w:eastAsia="zh-CN" w:bidi="ar-SA"/>
        </w:rPr>
        <w:t xml:space="preserve"> 项目主要原辅材料消耗一览表</w:t>
      </w:r>
    </w:p>
    <w:tbl>
      <w:tblPr>
        <w:tblStyle w:val="34"/>
        <w:tblW w:w="499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2607"/>
        <w:gridCol w:w="1080"/>
        <w:gridCol w:w="975"/>
        <w:gridCol w:w="1201"/>
        <w:gridCol w:w="1260"/>
        <w:gridCol w:w="107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序号</w:t>
            </w:r>
          </w:p>
        </w:tc>
        <w:tc>
          <w:tcPr>
            <w:tcW w:w="13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物料名称</w:t>
            </w:r>
          </w:p>
        </w:tc>
        <w:tc>
          <w:tcPr>
            <w:tcW w:w="5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规格</w:t>
            </w:r>
          </w:p>
        </w:tc>
        <w:tc>
          <w:tcPr>
            <w:tcW w:w="50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年用量</w:t>
            </w:r>
          </w:p>
        </w:tc>
        <w:tc>
          <w:tcPr>
            <w:tcW w:w="6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最大储量</w:t>
            </w:r>
          </w:p>
        </w:tc>
        <w:tc>
          <w:tcPr>
            <w:tcW w:w="64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存储位置</w:t>
            </w:r>
          </w:p>
        </w:tc>
        <w:tc>
          <w:tcPr>
            <w:tcW w:w="55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来源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挥发酚标准品</w:t>
            </w:r>
          </w:p>
        </w:tc>
        <w:tc>
          <w:tcPr>
            <w:tcW w:w="55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PH试纸</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3</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全自动碘测定仪配套杯子</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5袋</w:t>
            </w:r>
          </w:p>
        </w:tc>
        <w:tc>
          <w:tcPr>
            <w:tcW w:w="617"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10袋</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尿碘试剂盒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5盒</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尿碘质控品</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3套</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一次性离心管</w:t>
            </w:r>
          </w:p>
        </w:tc>
        <w:tc>
          <w:tcPr>
            <w:tcW w:w="55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15ml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150支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一次性广口尿杯</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400个</w:t>
            </w:r>
          </w:p>
        </w:tc>
        <w:tc>
          <w:tcPr>
            <w:tcW w:w="617"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600个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w:t>
            </w:r>
          </w:p>
        </w:tc>
        <w:tc>
          <w:tcPr>
            <w:tcW w:w="1340"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氰化物标准品</w:t>
            </w:r>
          </w:p>
        </w:tc>
        <w:tc>
          <w:tcPr>
            <w:tcW w:w="555" w:type="pct"/>
            <w:tcBorders>
              <w:tl2br w:val="nil"/>
              <w:tr2bl w:val="nil"/>
            </w:tcBorders>
            <w:vAlign w:val="center"/>
          </w:tcPr>
          <w:p>
            <w:pPr>
              <w:jc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三氯甲烷标液</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1000ug/ml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二苯碳酰二肼</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25g/瓶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硝酸盐氮</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1000ug/ml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乙二胺四乙酸二钠</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硫代硫酸钠标准液</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0.1mol/L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碘酸钾碘盐（质控）</w:t>
            </w:r>
          </w:p>
        </w:tc>
        <w:tc>
          <w:tcPr>
            <w:tcW w:w="555" w:type="pct"/>
            <w:tcBorders>
              <w:tl2br w:val="nil"/>
              <w:tr2bl w:val="nil"/>
            </w:tcBorders>
            <w:vAlign w:val="center"/>
          </w:tcPr>
          <w:p>
            <w:pPr>
              <w:jc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PH试纸</w:t>
            </w:r>
          </w:p>
        </w:tc>
        <w:tc>
          <w:tcPr>
            <w:tcW w:w="555" w:type="pct"/>
            <w:tcBorders>
              <w:tl2br w:val="nil"/>
              <w:tr2bl w:val="nil"/>
            </w:tcBorders>
            <w:vAlign w:val="center"/>
          </w:tcPr>
          <w:p>
            <w:pPr>
              <w:jc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PH缓冲溶液4.0-9.18</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3包/套</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硝酸银</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100g/</w:t>
            </w:r>
            <w:r>
              <w:rPr>
                <w:rFonts w:hint="eastAsia" w:ascii="Times New Roman" w:hAnsi="Times New Roman" w:eastAsia="宋体" w:cs="Times New Roman"/>
                <w:i w:val="0"/>
                <w:iCs w:val="0"/>
                <w:snapToGrid w:val="0"/>
                <w:color w:val="000000"/>
                <w:kern w:val="0"/>
                <w:sz w:val="21"/>
                <w:szCs w:val="21"/>
                <w:u w:val="none"/>
                <w:lang w:val="en-US" w:eastAsia="zh-CN" w:bidi="ar"/>
              </w:rPr>
              <w:t>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沙门氏菌细菌微量生化鉴定管套装</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志贺氏菌细菌微量生化鉴定管套装</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致泻大肠埃希氏菌细菌微量生化鉴定管套装</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单增李斯特菌细菌微量生化鉴定管套装</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蜡样芽胞细菌微量生化鉴定管套装</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副溶血性弧菌细菌微量生化鉴定管套装</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变形杆菌细菌微量生化鉴定管套装</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平板计数琼脂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一次性使用吸管（无菌）</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700支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灭菌指示卡</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250pcs/盒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湿式大肠菌群检测纸片</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100份/盒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肠道侵袭性大肠艾希式诊断血清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肠道致病性大肠艾希式诊断血清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肠道产毒性大肠艾希式诊断血清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肠道侵袭性大肠埃艾希式诊断血清O157</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志贺氏诊断血清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沙门氏诊断血清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霍乱诊断血清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1ml×18瓶/盒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O1群霍乱（胶体金）</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250人份</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450人份</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O139群霍乱（胶体金）</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250人份</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450人份</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汉坦病毒抗体检测试剂盒（胶体金法）</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50人份/盒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1500个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2000个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HIV试剂盒（酶标法四代试剂）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50人份/盒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30盒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丙肝试剂盒（万泰）</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96人份/盒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梅毒试剂盒（不加热联苯胺红法）</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120</w:t>
            </w:r>
            <w:r>
              <w:rPr>
                <w:rFonts w:hint="default" w:ascii="Times New Roman" w:hAnsi="Times New Roman" w:eastAsia="宋体" w:cs="Times New Roman"/>
                <w:b w:val="0"/>
                <w:color w:val="auto"/>
                <w:sz w:val="21"/>
                <w:szCs w:val="21"/>
                <w:highlight w:val="none"/>
                <w:u w:val="none"/>
                <w:lang w:val="en-US" w:eastAsia="zh-CN"/>
              </w:rPr>
              <w:t>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30盒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43</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HIV质控血清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3.0ml/</w:t>
            </w:r>
            <w:r>
              <w:rPr>
                <w:rFonts w:hint="eastAsia"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手足口PCR通用检测试剂盒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手足口PCR(CA16.EV71）重检测试剂盒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诺如病毒PCR通用检测试剂盒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47</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甲型、乙型通用PCR检测试剂盒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48T</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H5/H7/H9三重PCR检测试剂盒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48T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N1PCR检测试剂盒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48T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N6PCR检测试剂盒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48T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N9PCR检测试剂盒   </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48T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登革热NS1检测试剂盒（胶体金法）</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25</w:t>
            </w:r>
            <w:r>
              <w:rPr>
                <w:rFonts w:hint="default" w:ascii="Times New Roman" w:hAnsi="Times New Roman" w:eastAsia="宋体" w:cs="Times New Roman"/>
                <w:b w:val="0"/>
                <w:color w:val="auto"/>
                <w:sz w:val="21"/>
                <w:szCs w:val="21"/>
                <w:highlight w:val="none"/>
                <w:u w:val="none"/>
                <w:lang w:val="en-US" w:eastAsia="zh-CN"/>
              </w:rPr>
              <w:t>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登革热IgG及IgM检测试剂盒（胶体金法）</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25</w:t>
            </w:r>
            <w:r>
              <w:rPr>
                <w:rFonts w:hint="default" w:ascii="Times New Roman" w:hAnsi="Times New Roman" w:eastAsia="宋体" w:cs="Times New Roman"/>
                <w:b w:val="0"/>
                <w:color w:val="auto"/>
                <w:sz w:val="21"/>
                <w:szCs w:val="21"/>
                <w:highlight w:val="none"/>
                <w:u w:val="none"/>
                <w:lang w:val="en-US" w:eastAsia="zh-CN"/>
              </w:rPr>
              <w:t>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采样管</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10支</w:t>
            </w:r>
            <w:r>
              <w:rPr>
                <w:rFonts w:hint="default" w:ascii="Times New Roman" w:hAnsi="Times New Roman" w:eastAsia="宋体" w:cs="Times New Roman"/>
                <w:b w:val="0"/>
                <w:color w:val="auto"/>
                <w:sz w:val="21"/>
                <w:szCs w:val="21"/>
                <w:highlight w:val="none"/>
                <w:u w:val="none"/>
                <w:lang w:val="en-US" w:eastAsia="zh-CN"/>
              </w:rPr>
              <w:t>/盒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单料（乳糖蛋白胨液）欧克</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8000支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9000支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56</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双料（乳糖蛋白胨液）欧克</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4000支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57</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三料（乳糖蛋白胨液）欧克</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EC-MUG肉汤</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EC肉汤</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无菌水质采集袋（含硫代硫酸钠）</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50只/件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甲乙流检测试剂盒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250g/</w:t>
            </w:r>
            <w:r>
              <w:rPr>
                <w:rFonts w:hint="eastAsia" w:ascii="Times New Roman" w:hAnsi="Times New Roman" w:eastAsia="宋体" w:cs="Times New Roman"/>
                <w:i w:val="0"/>
                <w:iCs w:val="0"/>
                <w:snapToGrid w:val="0"/>
                <w:color w:val="000000"/>
                <w:kern w:val="0"/>
                <w:sz w:val="21"/>
                <w:szCs w:val="21"/>
                <w:u w:val="none"/>
                <w:lang w:val="en-US" w:eastAsia="zh-CN" w:bidi="ar"/>
              </w:rPr>
              <w:t>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标记笔（黑色）</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5支/盒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一次性涂布棒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一次性灭菌胶头吸管</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一次性灭菌胶头吸管</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一次性灭菌胶头吸管</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水中氮氧化物质量控制样品</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ZW311-03/ZW312-03</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铅标准液1000ug/ml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69</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镉标准液1000ug/ml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多黏菌素</w:t>
            </w:r>
            <w:r>
              <w:rPr>
                <w:rFonts w:hint="default" w:ascii="Times New Roman" w:hAnsi="Times New Roman" w:eastAsia="宋体" w:cs="Times New Roman"/>
                <w:i w:val="0"/>
                <w:iCs w:val="0"/>
                <w:snapToGrid w:val="0"/>
                <w:color w:val="000000"/>
                <w:kern w:val="0"/>
                <w:sz w:val="21"/>
                <w:szCs w:val="21"/>
                <w:u w:val="none"/>
                <w:lang w:val="en-US" w:eastAsia="zh-CN" w:bidi="ar"/>
              </w:rPr>
              <w:t>B</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杆菌肽</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氧化酶试剂</w:t>
            </w:r>
          </w:p>
        </w:tc>
        <w:tc>
          <w:tcPr>
            <w:tcW w:w="555" w:type="pct"/>
            <w:tcBorders>
              <w:tl2br w:val="nil"/>
              <w:tr2bl w:val="nil"/>
            </w:tcBorders>
            <w:vAlign w:val="center"/>
          </w:tcPr>
          <w:p>
            <w:pPr>
              <w:jc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73</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奥普托欣纸片</w:t>
            </w:r>
          </w:p>
        </w:tc>
        <w:tc>
          <w:tcPr>
            <w:tcW w:w="555" w:type="pct"/>
            <w:tcBorders>
              <w:tl2br w:val="nil"/>
              <w:tr2bl w:val="nil"/>
            </w:tcBorders>
            <w:vAlign w:val="center"/>
          </w:tcPr>
          <w:p>
            <w:pPr>
              <w:jc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250片/瓶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兔血浆</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0.5ml×10支/盒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革兰氏染液</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4*100mL/盒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嗜热脂肪杆菌芽胞菌片</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50片/包</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六价铬标准液1000ug/ml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厌氧包</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w:t>
            </w:r>
            <w:r>
              <w:rPr>
                <w:rFonts w:ascii="Times New Roman" w:hAnsi="Times New Roman" w:eastAsia="宋体" w:cs="Times New Roman"/>
                <w:i w:val="0"/>
                <w:iCs w:val="0"/>
                <w:snapToGrid w:val="0"/>
                <w:color w:val="000000"/>
                <w:kern w:val="0"/>
                <w:sz w:val="21"/>
                <w:szCs w:val="21"/>
                <w:u w:val="none"/>
                <w:lang w:val="en-US" w:eastAsia="zh-CN" w:bidi="ar"/>
              </w:rPr>
              <w:t>％</w:t>
            </w:r>
            <w:r>
              <w:rPr>
                <w:rFonts w:hint="eastAsia" w:ascii="Times New Roman" w:hAnsi="Times New Roman" w:eastAsia="宋体" w:cs="Times New Roman"/>
                <w:i w:val="0"/>
                <w:iCs w:val="0"/>
                <w:snapToGrid w:val="0"/>
                <w:color w:val="000000"/>
                <w:kern w:val="0"/>
                <w:sz w:val="21"/>
                <w:szCs w:val="21"/>
                <w:u w:val="none"/>
                <w:lang w:val="en-US" w:eastAsia="zh-CN" w:bidi="ar"/>
              </w:rPr>
              <w:t>亚碲酸钾（庆大平板）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10ml×4</w:t>
            </w:r>
            <w:r>
              <w:rPr>
                <w:rFonts w:hint="eastAsia" w:ascii="Times New Roman" w:hAnsi="Times New Roman" w:eastAsia="宋体" w:cs="Times New Roman"/>
                <w:b w:val="0"/>
                <w:color w:val="auto"/>
                <w:sz w:val="21"/>
                <w:szCs w:val="21"/>
                <w:highlight w:val="none"/>
                <w:u w:val="none"/>
                <w:lang w:val="en-US" w:eastAsia="zh-CN"/>
              </w:rPr>
              <w:t>/盒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卵黄亚碲酸钾（BP平板）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25mL×6支/盒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20％碘液（TTP平板）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2ml*20支/盒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82</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0.1％煌绿（TTP平板）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w:t>
            </w:r>
            <w:r>
              <w:rPr>
                <w:rFonts w:hint="default" w:ascii="Times New Roman" w:hAnsi="Times New Roman" w:eastAsia="宋体" w:cs="Times New Roman"/>
                <w:b w:val="0"/>
                <w:color w:val="auto"/>
                <w:sz w:val="21"/>
                <w:szCs w:val="21"/>
                <w:highlight w:val="none"/>
                <w:u w:val="none"/>
                <w:lang w:val="en-US" w:eastAsia="zh-CN"/>
              </w:rPr>
              <w:t>ml*20支/盒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83</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Kovacs氏靛基质</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甲基红试剂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VP试剂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86</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硝酸盐还原试剂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氧化酶试纸</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药敏试纸</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乙脑IGM试剂盒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w:t>
            </w:r>
            <w:r>
              <w:rPr>
                <w:rFonts w:hint="default" w:ascii="Times New Roman" w:hAnsi="Times New Roman" w:eastAsia="宋体" w:cs="Times New Roman"/>
                <w:b w:val="0"/>
                <w:color w:val="auto"/>
                <w:sz w:val="21"/>
                <w:szCs w:val="21"/>
                <w:highlight w:val="none"/>
                <w:u w:val="none"/>
                <w:lang w:val="en-US" w:eastAsia="zh-CN"/>
              </w:rPr>
              <w:t>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甲肝IGM试剂盒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w:t>
            </w:r>
            <w:r>
              <w:rPr>
                <w:rFonts w:hint="default" w:ascii="Times New Roman" w:hAnsi="Times New Roman" w:eastAsia="宋体" w:cs="Times New Roman"/>
                <w:b w:val="0"/>
                <w:color w:val="auto"/>
                <w:sz w:val="21"/>
                <w:szCs w:val="21"/>
                <w:highlight w:val="none"/>
                <w:u w:val="none"/>
                <w:lang w:val="en-US" w:eastAsia="zh-CN"/>
              </w:rPr>
              <w:t>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乙肝表面抗体胶体金试剂盒</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诺如、轮状、腺病毒胶体金</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93</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新冠检测抗原胶体金试剂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新冠检测抗体胶体金试剂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95</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人感染H7亚型禽流感流感病毒抗原检测试纸（胶体金法）</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GBW(E)或</w:t>
            </w:r>
            <w:r>
              <w:rPr>
                <w:rFonts w:hint="default" w:ascii="Times New Roman" w:hAnsi="Times New Roman" w:eastAsia="宋体" w:cs="Times New Roman"/>
                <w:i w:val="0"/>
                <w:iCs w:val="0"/>
                <w:snapToGrid w:val="0"/>
                <w:color w:val="000000"/>
                <w:kern w:val="0"/>
                <w:sz w:val="21"/>
                <w:szCs w:val="21"/>
                <w:u w:val="none"/>
                <w:lang w:val="en-US" w:eastAsia="zh-CN" w:bidi="ar"/>
              </w:rPr>
              <w:t>GSB</w:t>
            </w:r>
            <w:r>
              <w:rPr>
                <w:rFonts w:hint="eastAsia" w:ascii="Times New Roman" w:hAnsi="Times New Roman" w:eastAsia="宋体" w:cs="Times New Roman"/>
                <w:i w:val="0"/>
                <w:iCs w:val="0"/>
                <w:snapToGrid w:val="0"/>
                <w:color w:val="000000"/>
                <w:kern w:val="0"/>
                <w:sz w:val="21"/>
                <w:szCs w:val="21"/>
                <w:u w:val="none"/>
                <w:lang w:val="en-US" w:eastAsia="zh-CN" w:bidi="ar"/>
              </w:rPr>
              <w:t>水中亚硝酸盐成分国家标准溶液</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0.10mg/ml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庆大琼脂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碱性胨水</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99</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麻疹试剂盒</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3盒</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沙门氏显色平板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志贺氏显色平板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单增李斯特菌显色平板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血平板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BP平板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游离二氧化硅质量控制样品（粉尘中）</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ZW501-01/ZW502-01各一只</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1套</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106</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肠道增菌液培养基</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结晶紫中性红胆盐琼脂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甘露醇卵黄多黏菌素平板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109</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TSSB平板</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90mm</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四号琼脂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二甲基甲酰胺（HCON(CH3)2）</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色谱纯 500ml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氯化钠（NaCl）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AR 500g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温度计（-50</w:t>
            </w:r>
            <w:r>
              <w:rPr>
                <w:rFonts w:ascii="Times New Roman" w:hAnsi="Times New Roman" w:eastAsia="宋体" w:cs="Times New Roman"/>
                <w:i w:val="0"/>
                <w:iCs w:val="0"/>
                <w:snapToGrid w:val="0"/>
                <w:color w:val="000000"/>
                <w:kern w:val="0"/>
                <w:sz w:val="21"/>
                <w:szCs w:val="21"/>
                <w:u w:val="none"/>
                <w:lang w:val="en-US" w:eastAsia="zh-CN" w:bidi="ar"/>
              </w:rPr>
              <w:t>℃</w:t>
            </w:r>
            <w:r>
              <w:rPr>
                <w:rFonts w:hint="eastAsia" w:ascii="Times New Roman" w:hAnsi="Times New Roman" w:eastAsia="宋体" w:cs="Times New Roman"/>
                <w:i w:val="0"/>
                <w:iCs w:val="0"/>
                <w:snapToGrid w:val="0"/>
                <w:color w:val="000000"/>
                <w:kern w:val="0"/>
                <w:sz w:val="21"/>
                <w:szCs w:val="21"/>
                <w:u w:val="none"/>
                <w:lang w:val="en-US" w:eastAsia="zh-CN" w:bidi="ar"/>
              </w:rPr>
              <w:t>-100℃）</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温度计（0</w:t>
            </w:r>
            <w:r>
              <w:rPr>
                <w:rFonts w:ascii="Times New Roman" w:hAnsi="Times New Roman" w:eastAsia="宋体" w:cs="Times New Roman"/>
                <w:i w:val="0"/>
                <w:iCs w:val="0"/>
                <w:snapToGrid w:val="0"/>
                <w:color w:val="000000"/>
                <w:kern w:val="0"/>
                <w:sz w:val="21"/>
                <w:szCs w:val="21"/>
                <w:u w:val="none"/>
                <w:lang w:val="en-US" w:eastAsia="zh-CN" w:bidi="ar"/>
              </w:rPr>
              <w:t>℃</w:t>
            </w:r>
            <w:r>
              <w:rPr>
                <w:rFonts w:hint="eastAsia" w:ascii="Times New Roman" w:hAnsi="Times New Roman" w:eastAsia="宋体" w:cs="Times New Roman"/>
                <w:i w:val="0"/>
                <w:iCs w:val="0"/>
                <w:snapToGrid w:val="0"/>
                <w:color w:val="000000"/>
                <w:kern w:val="0"/>
                <w:sz w:val="21"/>
                <w:szCs w:val="21"/>
                <w:u w:val="none"/>
                <w:lang w:val="en-US" w:eastAsia="zh-CN" w:bidi="ar"/>
              </w:rPr>
              <w:t>-250℃）</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封口袋（5号）</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400个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无菌食品采样袋</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100只/包</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标签纸（小号、中号）</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10包</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20包</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三氯甲烷、四氯化碳标液（非混合）</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1000ug/ml</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2套</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119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4,4-二硝基均二苯脲-D8（C13H2D8N4O5）</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纯度≥98%内标 1mg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洗脱液</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r>
              <w:rPr>
                <w:rFonts w:hint="default" w:ascii="Times New Roman" w:hAnsi="Times New Roman" w:eastAsia="宋体" w:cs="Times New Roman"/>
                <w:b w:val="0"/>
                <w:color w:val="auto"/>
                <w:sz w:val="21"/>
                <w:szCs w:val="21"/>
                <w:highlight w:val="none"/>
                <w:u w:val="none"/>
                <w:lang w:val="en-US" w:eastAsia="zh-CN"/>
              </w:rPr>
              <w:t>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80支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需-厌氧菌培养液</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r>
              <w:rPr>
                <w:rFonts w:hint="default" w:ascii="Times New Roman" w:hAnsi="Times New Roman" w:eastAsia="宋体" w:cs="Times New Roman"/>
                <w:b w:val="0"/>
                <w:color w:val="auto"/>
                <w:sz w:val="21"/>
                <w:szCs w:val="21"/>
                <w:highlight w:val="none"/>
                <w:u w:val="none"/>
                <w:lang w:val="en-US" w:eastAsia="zh-CN"/>
              </w:rPr>
              <w:t>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122</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中和剂（含醇、碘、酚）</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r>
              <w:rPr>
                <w:rFonts w:hint="default" w:ascii="Times New Roman" w:hAnsi="Times New Roman" w:eastAsia="宋体" w:cs="Times New Roman"/>
                <w:b w:val="0"/>
                <w:color w:val="auto"/>
                <w:sz w:val="21"/>
                <w:szCs w:val="21"/>
                <w:highlight w:val="none"/>
                <w:u w:val="none"/>
                <w:lang w:val="en-US" w:eastAsia="zh-CN"/>
              </w:rPr>
              <w:t>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60支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90支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碘化钾</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AR500g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甲醇中一氯二溴甲烷标准溶液1000ug/ml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125</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甲醇中二氯一溴甲烷标准溶液100ug/ml </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甲醇中三溴甲烷标准溶液1000ug/ml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水中二氯乙酸标准溶液1mg/ml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1ml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水中三氯乙酸标准溶液1mg/ml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1ml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甲醇中四种三卤甲烷混标1000ug/ml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 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水中二氯乙酸三氯乙酸标准溶液</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100ug/ml 1ml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营养琼脂</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132</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EC-MUG</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r>
              <w:rPr>
                <w:rFonts w:hint="default" w:ascii="Times New Roman" w:hAnsi="Times New Roman" w:eastAsia="宋体" w:cs="Times New Roman"/>
                <w:b w:val="0"/>
                <w:color w:val="auto"/>
                <w:sz w:val="21"/>
                <w:szCs w:val="21"/>
                <w:highlight w:val="none"/>
                <w:u w:val="none"/>
                <w:lang w:val="en-US" w:eastAsia="zh-CN"/>
              </w:rPr>
              <w:t>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8000支</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10000支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7号封口袋</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800个</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1000个</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余氯检测试剂</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135</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肾综合症出血热</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r>
              <w:rPr>
                <w:rFonts w:hint="default" w:ascii="Times New Roman" w:hAnsi="Times New Roman" w:eastAsia="宋体" w:cs="Times New Roman"/>
                <w:b w:val="0"/>
                <w:color w:val="auto"/>
                <w:sz w:val="21"/>
                <w:szCs w:val="21"/>
                <w:highlight w:val="none"/>
                <w:u w:val="none"/>
                <w:lang w:val="en-US" w:eastAsia="zh-CN"/>
              </w:rPr>
              <w:t>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米粉中鎘标准样品</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蔬菜中镉标准样品</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2ml</w:t>
            </w:r>
            <w:r>
              <w:rPr>
                <w:rFonts w:hint="eastAsia" w:ascii="Times New Roman" w:hAnsi="Times New Roman" w:eastAsia="宋体" w:cs="Times New Roman"/>
                <w:b w:val="0"/>
                <w:color w:val="auto"/>
                <w:sz w:val="21"/>
                <w:szCs w:val="21"/>
                <w:highlight w:val="none"/>
                <w:u w:val="none"/>
                <w:lang w:val="en-US" w:eastAsia="zh-CN"/>
              </w:rPr>
              <w:t>/</w:t>
            </w:r>
            <w:r>
              <w:rPr>
                <w:rFonts w:hint="default" w:ascii="Times New Roman" w:hAnsi="Times New Roman" w:eastAsia="宋体" w:cs="Times New Roman"/>
                <w:b w:val="0"/>
                <w:color w:val="auto"/>
                <w:sz w:val="21"/>
                <w:szCs w:val="21"/>
                <w:highlight w:val="none"/>
                <w:u w:val="none"/>
                <w:lang w:val="en-US" w:eastAsia="zh-CN"/>
              </w:rPr>
              <w:t>支</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风疹试剂盒</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139</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乙肝表面抗原胶体金试剂盒</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default" w:ascii="Times New Roman" w:hAnsi="Times New Roman" w:eastAsia="宋体" w:cs="Times New Roman"/>
                <w:b w:val="0"/>
                <w:color w:val="auto"/>
                <w:sz w:val="21"/>
                <w:szCs w:val="21"/>
                <w:highlight w:val="none"/>
                <w:u w:val="none"/>
                <w:lang w:val="en-US" w:eastAsia="zh-CN"/>
              </w:rPr>
              <w:t>100人份/盒</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1盒</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2盒</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甲基叔丁基醚</w:t>
            </w:r>
          </w:p>
        </w:tc>
        <w:tc>
          <w:tcPr>
            <w:tcW w:w="555"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500ml</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1000ml</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无水硫酸铜</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叔丁基甲醚中1,2-二溴丙烷 标准品</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氯化钾</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4,4-二硝基均二苯脲（C13H10N4O5）</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纯度≥98%标准品 1g</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1支</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2支</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145</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挥发酚标准品1000ug/ml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氟离子标准品1000ug/ml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147</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硫酸盐标准品1000ug/ml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高锰酸钾标准品1000ug/ml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草酸钠标准品1000ug/ml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阴离子标准品1000ug/ml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6瓶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6瓶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砷标准溶液1000ug/ml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铁氰化钾</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AR500g</w:t>
            </w:r>
          </w:p>
        </w:tc>
        <w:tc>
          <w:tcPr>
            <w:tcW w:w="501" w:type="pct"/>
            <w:tcBorders>
              <w:tl2br w:val="nil"/>
              <w:tr2bl w:val="nil"/>
            </w:tcBorders>
            <w:vAlign w:val="center"/>
          </w:tcPr>
          <w:p>
            <w:pPr>
              <w:jc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jc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硒标准溶液1000ug/ml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无水溴酸钾</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GR500g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溴化钾</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GR500g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盐酸羟胺</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AR100g</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汞标准溶液1000ug/ml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酒石酸钾钠</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159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纳氏试剂</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氨氮标准溶液1000ug/ml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161</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锌标准液1000ug/ml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锰标准液1000ug/ml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铜标准液1000ug/ml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164</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铁标准液1000ug/ml</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氨基磺酸铵</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250g/瓶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166</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麝香草酚</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硫酸银</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168</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硝酸盐氮标准溶液1000ug/ml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169</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铝标准液1000ug/ml</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170</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盐酸</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硫酸</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硝酸</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乙醇95%</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174</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无水乙醇</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175</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过氧化氢30%（优级纯）</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176</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次氯酸钠</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177</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冰乙酸(优级纯)</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500ml/瓶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178</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对氨基苯磺酸</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179</w:t>
            </w:r>
          </w:p>
        </w:tc>
        <w:tc>
          <w:tcPr>
            <w:tcW w:w="1340"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盐酸萘乙二胺</w:t>
            </w:r>
          </w:p>
        </w:tc>
        <w:tc>
          <w:tcPr>
            <w:tcW w:w="555"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10g/瓶</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180</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乙腈（CH</w:t>
            </w:r>
            <w:r>
              <w:rPr>
                <w:rFonts w:hint="eastAsia" w:ascii="Times New Roman" w:hAnsi="Times New Roman" w:eastAsia="宋体" w:cs="Times New Roman"/>
                <w:i w:val="0"/>
                <w:iCs w:val="0"/>
                <w:snapToGrid w:val="0"/>
                <w:color w:val="000000"/>
                <w:kern w:val="0"/>
                <w:sz w:val="21"/>
                <w:szCs w:val="21"/>
                <w:u w:val="none"/>
                <w:vertAlign w:val="subscript"/>
                <w:lang w:val="en-US" w:eastAsia="zh-CN" w:bidi="ar"/>
              </w:rPr>
              <w:t>3</w:t>
            </w:r>
            <w:r>
              <w:rPr>
                <w:rFonts w:hint="eastAsia" w:ascii="Times New Roman" w:hAnsi="Times New Roman" w:eastAsia="宋体" w:cs="Times New Roman"/>
                <w:i w:val="0"/>
                <w:iCs w:val="0"/>
                <w:snapToGrid w:val="0"/>
                <w:color w:val="000000"/>
                <w:kern w:val="0"/>
                <w:sz w:val="21"/>
                <w:szCs w:val="21"/>
                <w:u w:val="none"/>
                <w:lang w:val="en-US" w:eastAsia="zh-CN" w:bidi="ar"/>
              </w:rPr>
              <w:t>CN）</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色谱纯 500ml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4瓶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181</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甲醇（CH</w:t>
            </w:r>
            <w:r>
              <w:rPr>
                <w:rFonts w:hint="eastAsia" w:ascii="Times New Roman" w:hAnsi="Times New Roman" w:eastAsia="宋体" w:cs="Times New Roman"/>
                <w:i w:val="0"/>
                <w:iCs w:val="0"/>
                <w:snapToGrid w:val="0"/>
                <w:color w:val="000000"/>
                <w:kern w:val="0"/>
                <w:sz w:val="21"/>
                <w:szCs w:val="21"/>
                <w:u w:val="none"/>
                <w:vertAlign w:val="subscript"/>
                <w:lang w:val="en-US" w:eastAsia="zh-CN" w:bidi="ar"/>
              </w:rPr>
              <w:t>3</w:t>
            </w:r>
            <w:r>
              <w:rPr>
                <w:rFonts w:hint="eastAsia" w:ascii="Times New Roman" w:hAnsi="Times New Roman" w:eastAsia="宋体" w:cs="Times New Roman"/>
                <w:i w:val="0"/>
                <w:iCs w:val="0"/>
                <w:snapToGrid w:val="0"/>
                <w:color w:val="000000"/>
                <w:kern w:val="0"/>
                <w:sz w:val="21"/>
                <w:szCs w:val="21"/>
                <w:u w:val="none"/>
                <w:lang w:val="en-US" w:eastAsia="zh-CN" w:bidi="ar"/>
              </w:rPr>
              <w:t>OH）</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色谱纯 500ml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182</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甲酸（HCO</w:t>
            </w:r>
            <w:r>
              <w:rPr>
                <w:rFonts w:hint="eastAsia" w:ascii="Times New Roman" w:hAnsi="Times New Roman" w:eastAsia="宋体" w:cs="Times New Roman"/>
                <w:i w:val="0"/>
                <w:iCs w:val="0"/>
                <w:snapToGrid w:val="0"/>
                <w:color w:val="000000"/>
                <w:kern w:val="0"/>
                <w:sz w:val="21"/>
                <w:szCs w:val="21"/>
                <w:u w:val="none"/>
                <w:vertAlign w:val="subscript"/>
                <w:lang w:val="en-US" w:eastAsia="zh-CN" w:bidi="ar"/>
              </w:rPr>
              <w:t>2</w:t>
            </w:r>
            <w:r>
              <w:rPr>
                <w:rFonts w:hint="eastAsia" w:ascii="Times New Roman" w:hAnsi="Times New Roman" w:eastAsia="宋体" w:cs="Times New Roman"/>
                <w:i w:val="0"/>
                <w:iCs w:val="0"/>
                <w:snapToGrid w:val="0"/>
                <w:color w:val="000000"/>
                <w:kern w:val="0"/>
                <w:sz w:val="21"/>
                <w:szCs w:val="21"/>
                <w:u w:val="none"/>
                <w:lang w:val="en-US" w:eastAsia="zh-CN" w:bidi="ar"/>
              </w:rPr>
              <w:t>H）</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色谱纯 500ml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7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183</w:t>
            </w:r>
          </w:p>
        </w:tc>
        <w:tc>
          <w:tcPr>
            <w:tcW w:w="134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正己烷（C</w:t>
            </w:r>
            <w:r>
              <w:rPr>
                <w:rFonts w:hint="eastAsia" w:ascii="Times New Roman" w:hAnsi="Times New Roman" w:eastAsia="宋体" w:cs="Times New Roman"/>
                <w:i w:val="0"/>
                <w:iCs w:val="0"/>
                <w:snapToGrid w:val="0"/>
                <w:color w:val="000000"/>
                <w:kern w:val="0"/>
                <w:sz w:val="21"/>
                <w:szCs w:val="21"/>
                <w:u w:val="none"/>
                <w:vertAlign w:val="subscript"/>
                <w:lang w:val="en-US" w:eastAsia="zh-CN" w:bidi="ar"/>
              </w:rPr>
              <w:t>6</w:t>
            </w:r>
            <w:r>
              <w:rPr>
                <w:rFonts w:hint="eastAsia" w:ascii="Times New Roman" w:hAnsi="Times New Roman" w:eastAsia="宋体" w:cs="Times New Roman"/>
                <w:i w:val="0"/>
                <w:iCs w:val="0"/>
                <w:snapToGrid w:val="0"/>
                <w:color w:val="000000"/>
                <w:kern w:val="0"/>
                <w:sz w:val="21"/>
                <w:szCs w:val="21"/>
                <w:u w:val="none"/>
                <w:lang w:val="en-US" w:eastAsia="zh-CN" w:bidi="ar"/>
              </w:rPr>
              <w:t>H</w:t>
            </w:r>
            <w:r>
              <w:rPr>
                <w:rFonts w:hint="eastAsia" w:ascii="Times New Roman" w:hAnsi="Times New Roman" w:eastAsia="宋体" w:cs="Times New Roman"/>
                <w:i w:val="0"/>
                <w:iCs w:val="0"/>
                <w:snapToGrid w:val="0"/>
                <w:color w:val="000000"/>
                <w:kern w:val="0"/>
                <w:sz w:val="21"/>
                <w:szCs w:val="21"/>
                <w:u w:val="none"/>
                <w:vertAlign w:val="subscript"/>
                <w:lang w:val="en-US" w:eastAsia="zh-CN" w:bidi="ar"/>
              </w:rPr>
              <w:t>14</w:t>
            </w:r>
            <w:r>
              <w:rPr>
                <w:rFonts w:hint="eastAsia" w:ascii="Times New Roman" w:hAnsi="Times New Roman" w:eastAsia="宋体" w:cs="Times New Roman"/>
                <w:i w:val="0"/>
                <w:iCs w:val="0"/>
                <w:snapToGrid w:val="0"/>
                <w:color w:val="000000"/>
                <w:kern w:val="0"/>
                <w:sz w:val="21"/>
                <w:szCs w:val="21"/>
                <w:u w:val="none"/>
                <w:lang w:val="en-US" w:eastAsia="zh-CN" w:bidi="ar"/>
              </w:rPr>
              <w:t>）</w:t>
            </w:r>
          </w:p>
        </w:tc>
        <w:tc>
          <w:tcPr>
            <w:tcW w:w="5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色谱纯 500ml</w:t>
            </w:r>
          </w:p>
        </w:tc>
        <w:tc>
          <w:tcPr>
            <w:tcW w:w="50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1瓶</w:t>
            </w:r>
          </w:p>
        </w:tc>
        <w:tc>
          <w:tcPr>
            <w:tcW w:w="6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2瓶</w:t>
            </w:r>
          </w:p>
        </w:tc>
        <w:tc>
          <w:tcPr>
            <w:tcW w:w="6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检验科</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Arial" w:hAnsi="Arial" w:eastAsia="宋体" w:cs="Times New Roman"/>
                <w:b w:val="0"/>
                <w:snapToGrid w:val="0"/>
                <w:color w:val="auto"/>
                <w:kern w:val="0"/>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外购</w:t>
            </w:r>
          </w:p>
        </w:tc>
      </w:tr>
      <w:bookmarkEnd w:id="63"/>
    </w:tbl>
    <w:p>
      <w:pPr>
        <w:pStyle w:val="4"/>
        <w:bidi w:val="0"/>
        <w:rPr>
          <w:rFonts w:hint="eastAsia"/>
          <w:lang w:val="en-US" w:eastAsia="zh-CN"/>
        </w:rPr>
      </w:pPr>
      <w:r>
        <w:rPr>
          <w:rFonts w:hint="eastAsia"/>
          <w:lang w:val="en-US" w:eastAsia="zh-CN"/>
        </w:rPr>
        <w:t>3.1.6主要生产设备</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ascii="宋体" w:hAnsi="宋体" w:eastAsia="宋体" w:cs="宋体"/>
          <w:sz w:val="23"/>
          <w:szCs w:val="23"/>
        </w:rPr>
      </w:pPr>
      <w:r>
        <w:rPr>
          <w:rFonts w:hint="default" w:eastAsia="宋体" w:cs="Times New Roman"/>
          <w:b w:val="0"/>
          <w:bCs w:val="0"/>
          <w:snapToGrid w:val="0"/>
          <w:color w:val="000000"/>
          <w:spacing w:val="11"/>
          <w:kern w:val="0"/>
          <w:sz w:val="24"/>
          <w:szCs w:val="24"/>
          <w:lang w:val="en-US" w:eastAsia="zh-CN"/>
        </w:rPr>
        <w:t>本项目采用节能环保技术及生产装备，项目主要生产设备详见表</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4</w:t>
      </w:r>
      <w:r>
        <w:rPr>
          <w:rFonts w:ascii="宋体" w:hAnsi="宋体" w:eastAsia="宋体" w:cs="宋体"/>
          <w:spacing w:val="2"/>
          <w:sz w:val="23"/>
          <w:szCs w:val="23"/>
        </w:rPr>
        <w:t>。</w:t>
      </w:r>
    </w:p>
    <w:p>
      <w:pPr>
        <w:spacing w:before="181" w:line="228" w:lineRule="auto"/>
        <w:ind w:left="3226"/>
        <w:rPr>
          <w:rFonts w:hint="eastAsia" w:ascii="宋体" w:hAnsi="Courier New" w:eastAsia="Arial" w:cs="宋体"/>
          <w:b/>
          <w:bCs/>
          <w:snapToGrid w:val="0"/>
          <w:color w:val="000000"/>
          <w:kern w:val="0"/>
          <w:sz w:val="21"/>
          <w:szCs w:val="21"/>
          <w:lang w:val="en-US" w:eastAsia="zh-CN" w:bidi="ar-SA"/>
        </w:rPr>
      </w:pPr>
      <w:r>
        <w:rPr>
          <w:rFonts w:hint="eastAsia" w:ascii="宋体" w:hAnsi="Courier New" w:eastAsia="Arial" w:cs="宋体"/>
          <w:b/>
          <w:bCs/>
          <w:snapToGrid w:val="0"/>
          <w:color w:val="000000"/>
          <w:kern w:val="0"/>
          <w:sz w:val="21"/>
          <w:szCs w:val="21"/>
          <w:lang w:val="en-US" w:eastAsia="zh-CN" w:bidi="ar-SA"/>
        </w:rPr>
        <w:t>表</w:t>
      </w:r>
      <w:r>
        <w:rPr>
          <w:rFonts w:hint="default" w:ascii="Times New Roman" w:hAnsi="Times New Roman" w:cs="Times New Roman"/>
          <w:b/>
          <w:bCs/>
          <w:snapToGrid w:val="0"/>
          <w:color w:val="000000"/>
          <w:kern w:val="0"/>
          <w:sz w:val="21"/>
          <w:szCs w:val="21"/>
          <w:lang w:val="en-US" w:eastAsia="zh-CN" w:bidi="ar-SA"/>
        </w:rPr>
        <w:t>3.</w:t>
      </w:r>
      <w:r>
        <w:rPr>
          <w:rFonts w:hint="default" w:ascii="Times New Roman" w:hAnsi="Times New Roman" w:eastAsia="Arial" w:cs="Times New Roman"/>
          <w:b/>
          <w:bCs/>
          <w:snapToGrid w:val="0"/>
          <w:color w:val="000000"/>
          <w:kern w:val="0"/>
          <w:sz w:val="21"/>
          <w:szCs w:val="21"/>
          <w:lang w:val="en-US" w:eastAsia="zh-CN" w:bidi="ar-SA"/>
        </w:rPr>
        <w:t>1-</w:t>
      </w:r>
      <w:r>
        <w:rPr>
          <w:rFonts w:hint="default" w:ascii="Times New Roman" w:hAnsi="Times New Roman" w:cs="Times New Roman"/>
          <w:b/>
          <w:bCs/>
          <w:snapToGrid w:val="0"/>
          <w:color w:val="000000"/>
          <w:kern w:val="0"/>
          <w:sz w:val="21"/>
          <w:szCs w:val="21"/>
          <w:lang w:val="en-US" w:eastAsia="zh-CN" w:bidi="ar-SA"/>
        </w:rPr>
        <w:t>4</w:t>
      </w:r>
      <w:r>
        <w:rPr>
          <w:rFonts w:hint="default" w:ascii="Times New Roman" w:hAnsi="Times New Roman" w:eastAsia="Arial" w:cs="Times New Roman"/>
          <w:b/>
          <w:bCs/>
          <w:snapToGrid w:val="0"/>
          <w:color w:val="000000"/>
          <w:kern w:val="0"/>
          <w:sz w:val="21"/>
          <w:szCs w:val="21"/>
          <w:lang w:val="en-US" w:eastAsia="zh-CN" w:bidi="ar-SA"/>
        </w:rPr>
        <w:t xml:space="preserve"> </w:t>
      </w:r>
      <w:r>
        <w:rPr>
          <w:rFonts w:hint="eastAsia" w:ascii="宋体" w:hAnsi="Courier New" w:eastAsia="Arial" w:cs="宋体"/>
          <w:b/>
          <w:bCs/>
          <w:snapToGrid w:val="0"/>
          <w:color w:val="000000"/>
          <w:kern w:val="0"/>
          <w:sz w:val="21"/>
          <w:szCs w:val="21"/>
          <w:lang w:val="en-US" w:eastAsia="zh-CN" w:bidi="ar-SA"/>
        </w:rPr>
        <w:t xml:space="preserve">   项目主要</w:t>
      </w:r>
      <w:r>
        <w:rPr>
          <w:rFonts w:hint="eastAsia" w:ascii="宋体" w:hAnsi="Courier New" w:cs="宋体"/>
          <w:b/>
          <w:bCs/>
          <w:snapToGrid w:val="0"/>
          <w:color w:val="000000"/>
          <w:kern w:val="0"/>
          <w:sz w:val="21"/>
          <w:szCs w:val="21"/>
          <w:lang w:val="en-US" w:eastAsia="zh-CN" w:bidi="ar-SA"/>
        </w:rPr>
        <w:t>生产</w:t>
      </w:r>
      <w:r>
        <w:rPr>
          <w:rFonts w:hint="eastAsia" w:ascii="宋体" w:hAnsi="Courier New" w:eastAsia="Arial" w:cs="宋体"/>
          <w:b/>
          <w:bCs/>
          <w:snapToGrid w:val="0"/>
          <w:color w:val="000000"/>
          <w:kern w:val="0"/>
          <w:sz w:val="21"/>
          <w:szCs w:val="21"/>
          <w:lang w:val="en-US" w:eastAsia="zh-CN" w:bidi="ar-SA"/>
        </w:rPr>
        <w:t>设备一览表</w:t>
      </w:r>
    </w:p>
    <w:p>
      <w:pPr>
        <w:spacing w:line="130" w:lineRule="exact"/>
      </w:pPr>
    </w:p>
    <w:tbl>
      <w:tblPr>
        <w:tblStyle w:val="34"/>
        <w:tblW w:w="498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087"/>
        <w:gridCol w:w="3771"/>
        <w:gridCol w:w="3678"/>
        <w:gridCol w:w="118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序号</w:t>
            </w:r>
          </w:p>
        </w:tc>
        <w:tc>
          <w:tcPr>
            <w:tcW w:w="19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设备名称</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型号</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数量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电热恒温干燥箱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湘66-2</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2</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80-2</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3</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显微镜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XS-212-201</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4</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酸度计</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PHS-3C</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5</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生化培养箱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SPX—150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6</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药品保存箱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default" w:eastAsia="宋体" w:cs="Times New Roman"/>
                <w:b w:val="0"/>
                <w:color w:val="auto"/>
                <w:sz w:val="21"/>
                <w:szCs w:val="21"/>
                <w:highlight w:val="none"/>
                <w:u w:val="none"/>
                <w:lang w:val="en-US" w:eastAsia="zh-CN"/>
              </w:rPr>
              <w:t>HYC-940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7</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隔水恒温培养箱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HPX-150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8</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电热恒温鼓风干燥箱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GZX-9070MBE</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9</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1/千电子分析天平</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TMP—3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10</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粉碎机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1000Y</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11</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水平旋转仪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PPP-100D</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12</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电导率仪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DDSJ-308A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13</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1/万电子分析天平</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TB—214</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14</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1/千电子分析天平</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TB—403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15</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落地式自动平衡离心机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GL10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16</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无菌均质器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ZOLLO-13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17</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霉菌培养箱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MJX-1505</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18</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顶开式冷冻箱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BD-180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19</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冰箱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default" w:eastAsia="宋体" w:cs="Times New Roman"/>
                <w:b w:val="0"/>
                <w:color w:val="auto"/>
                <w:sz w:val="21"/>
                <w:szCs w:val="21"/>
                <w:highlight w:val="none"/>
                <w:u w:val="none"/>
                <w:lang w:val="en-US" w:eastAsia="zh-CN"/>
              </w:rPr>
              <w:t>BCD-196YHN</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20</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原子吸收分光光度计</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AA6880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21</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酶标仪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PHOMO</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22</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原子荧光光度计</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HGF-V2</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23</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II级生物安全柜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BSC-1500IIA2-X</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eastAsia="zh-CN"/>
              </w:rPr>
              <w:t>2</w:t>
            </w:r>
            <w:r>
              <w:rPr>
                <w:rFonts w:hint="eastAsia" w:eastAsia="宋体" w:cs="Times New Roman"/>
                <w:b w:val="0"/>
                <w:color w:val="auto"/>
                <w:sz w:val="21"/>
                <w:szCs w:val="21"/>
                <w:highlight w:val="none"/>
                <w:u w:val="none"/>
                <w:lang w:val="en-US" w:eastAsia="zh-CN"/>
              </w:rPr>
              <w:t>4</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电子分析天平</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MS 42/120R</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25</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碘元素检测仪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OTT-I-P50/DAT-50S</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26</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生化培养箱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LRH-150F</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27</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立式灭菌器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LMQ.C</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28</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微波消解仪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MWD-620型SPH-2</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29</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气相色谱仪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GC-2014C</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30</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鼓风干燥箱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DHG</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31</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电热恒温培养箱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DHP</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32</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366暗箱式紫外观察仪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BOT-IIIA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33</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color w:val="auto"/>
                <w:sz w:val="21"/>
                <w:szCs w:val="21"/>
                <w:highlight w:val="none"/>
                <w:u w:val="none"/>
                <w:lang w:eastAsia="zh-CN"/>
              </w:rPr>
            </w:pPr>
            <w:r>
              <w:rPr>
                <w:rFonts w:hint="eastAsia" w:ascii="宋体" w:hAnsi="宋体" w:eastAsia="宋体" w:cs="宋体"/>
                <w:i w:val="0"/>
                <w:iCs w:val="0"/>
                <w:snapToGrid w:val="0"/>
                <w:color w:val="000000"/>
                <w:kern w:val="0"/>
                <w:sz w:val="21"/>
                <w:szCs w:val="21"/>
                <w:u w:val="none"/>
                <w:lang w:val="en-US" w:eastAsia="zh-CN" w:bidi="ar"/>
              </w:rPr>
              <w:t>厌氧培养箱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YQX-II</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34</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顶空进样器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DK-300A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35</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洗板机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DEM-3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36</w:t>
            </w:r>
          </w:p>
        </w:tc>
        <w:tc>
          <w:tcPr>
            <w:tcW w:w="1938"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可见分光光度计</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SP-723P型</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37</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样品处理器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VB77</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38</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精密恒温水槽</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ST-RT-V50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39</w:t>
            </w:r>
          </w:p>
        </w:tc>
        <w:tc>
          <w:tcPr>
            <w:tcW w:w="1938"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电热恒温水浴箱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600-B</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40</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解剖镜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SZ61</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41</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实时荧光定量PCR仪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AGS8830-16</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42</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浊度仪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LH-XZ03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43</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低本底αβ测量仪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LB-1</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44</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医用冷藏箱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BYC-1000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45</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立式压力蒸汽灭菌器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BKQ-B75II</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46</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全自动核酸提取仪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NPA-96A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47</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医用低温保存箱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BDF-25</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48</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医用冷藏冷冻箱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265L</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49</w:t>
            </w:r>
          </w:p>
        </w:tc>
        <w:tc>
          <w:tcPr>
            <w:tcW w:w="1938"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生物安全柜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BSC-1100IIA2-X</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50</w:t>
            </w:r>
          </w:p>
        </w:tc>
        <w:tc>
          <w:tcPr>
            <w:tcW w:w="1938"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PCR核酸提取仪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NP968-C</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51</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紫外线光触媒空气消毒机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AirH-B1000N</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52</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医用冷藏箱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HYC-290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53</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涡旋混合仪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XK80-A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54</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掌上离心机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D1008</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55</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生物显微镜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CX23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56</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正置生物显微镜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CX33</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57</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MA-6000型实时荧光定量PCR仪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MA-6000型</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58</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超纯水机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SYS-III-20L</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59</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医用冷藏冷冻箱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HYCD-290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60</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WTL-4K/6K/10K离心机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WTL-4K</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61</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高速台式冷冻离心机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（H1750R）</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62</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干式恒温器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DH300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63</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涡旋振荡器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HVH1</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64</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生物安全柜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BSC-1500IIB2-X</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65</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PCR核酸扩增仪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ABI7500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66</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台式离心机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H1650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67</w:t>
            </w:r>
          </w:p>
        </w:tc>
        <w:tc>
          <w:tcPr>
            <w:tcW w:w="1938"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海尔超低温保存箱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default" w:eastAsia="宋体" w:cs="Times New Roman"/>
                <w:b w:val="0"/>
                <w:color w:val="auto"/>
                <w:sz w:val="21"/>
                <w:szCs w:val="21"/>
                <w:highlight w:val="none"/>
                <w:u w:val="none"/>
                <w:lang w:val="en-US" w:eastAsia="zh-CN"/>
              </w:rPr>
              <w:t>DW-86L386</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68</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医用冷藏冰箱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YC-260L</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69</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医用冰箱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BC160B</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70</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电热恒温干燥箱</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DHG-9050B</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71</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中温箱式电阻炉</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SX-8-10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72</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KSW型电炉温度控制器</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KSW-12-12</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73</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电热板</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SH-9A</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74</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1/十万电子分析天平</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FB1035</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75</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全钢通风柜</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YD-008</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76</w:t>
            </w:r>
          </w:p>
        </w:tc>
        <w:tc>
          <w:tcPr>
            <w:tcW w:w="19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0"/>
                <w:sz w:val="21"/>
                <w:szCs w:val="21"/>
                <w:highlight w:val="none"/>
                <w:u w:val="none"/>
                <w:lang w:val="en-US" w:eastAsia="zh-CN"/>
              </w:rPr>
            </w:pPr>
            <w:r>
              <w:rPr>
                <w:rFonts w:hint="eastAsia" w:ascii="宋体" w:hAnsi="宋体" w:eastAsia="宋体" w:cs="宋体"/>
                <w:i w:val="0"/>
                <w:iCs w:val="0"/>
                <w:snapToGrid w:val="0"/>
                <w:color w:val="000000"/>
                <w:kern w:val="0"/>
                <w:sz w:val="21"/>
                <w:szCs w:val="21"/>
                <w:u w:val="none"/>
                <w:lang w:val="en-US" w:eastAsia="zh-CN" w:bidi="ar"/>
              </w:rPr>
              <w:t>全自动核酸提取仪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EXM 6000</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77</w:t>
            </w:r>
          </w:p>
        </w:tc>
        <w:tc>
          <w:tcPr>
            <w:tcW w:w="19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点样仪</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N96</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78</w:t>
            </w:r>
          </w:p>
        </w:tc>
        <w:tc>
          <w:tcPr>
            <w:tcW w:w="19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备用柴油发动机</w:t>
            </w:r>
          </w:p>
        </w:tc>
        <w:tc>
          <w:tcPr>
            <w:tcW w:w="18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15KW</w:t>
            </w:r>
          </w:p>
        </w:tc>
        <w:tc>
          <w:tcPr>
            <w:tcW w:w="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79</w:t>
            </w:r>
          </w:p>
        </w:tc>
        <w:tc>
          <w:tcPr>
            <w:tcW w:w="1938"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采样箱</w:t>
            </w:r>
          </w:p>
        </w:tc>
        <w:tc>
          <w:tcPr>
            <w:tcW w:w="1890"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c>
          <w:tcPr>
            <w:tcW w:w="611"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80</w:t>
            </w:r>
          </w:p>
        </w:tc>
        <w:tc>
          <w:tcPr>
            <w:tcW w:w="1938"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自动吸液枪</w:t>
            </w:r>
          </w:p>
        </w:tc>
        <w:tc>
          <w:tcPr>
            <w:tcW w:w="1890" w:type="pct"/>
            <w:tcBorders>
              <w:tl2br w:val="nil"/>
              <w:tr2bl w:val="nil"/>
            </w:tcBorders>
            <w:vAlign w:val="center"/>
          </w:tcPr>
          <w:p>
            <w:pPr>
              <w:jc w:val="center"/>
              <w:rPr>
                <w:rFonts w:hint="eastAsia" w:ascii="Times New Roman" w:hAnsi="Times New Roman" w:eastAsia="宋体" w:cs="Times New Roman"/>
                <w:b w:val="0"/>
                <w:snapToGrid w:val="0"/>
                <w:color w:val="auto"/>
                <w:kern w:val="0"/>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w:t>
            </w:r>
          </w:p>
        </w:tc>
        <w:tc>
          <w:tcPr>
            <w:tcW w:w="611" w:type="pct"/>
            <w:tcBorders>
              <w:tl2br w:val="nil"/>
              <w:tr2bl w:val="nil"/>
            </w:tcBorders>
            <w:vAlign w:val="center"/>
          </w:tcPr>
          <w:p>
            <w:pPr>
              <w:keepNext w:val="0"/>
              <w:keepLines w:val="0"/>
              <w:widowControl/>
              <w:suppressLineNumbers w:val="0"/>
              <w:jc w:val="center"/>
              <w:textAlignment w:val="top"/>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3</w:t>
            </w:r>
          </w:p>
        </w:tc>
      </w:tr>
    </w:tbl>
    <w:p>
      <w:pPr>
        <w:pStyle w:val="4"/>
        <w:bidi w:val="0"/>
        <w:rPr>
          <w:rFonts w:hint="eastAsia"/>
          <w:lang w:val="en-US" w:eastAsia="zh-CN"/>
        </w:rPr>
      </w:pPr>
      <w:r>
        <w:rPr>
          <w:rFonts w:hint="eastAsia"/>
          <w:lang w:val="en-US" w:eastAsia="zh-CN"/>
        </w:rPr>
        <w:t>3.1.7公辅工程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 、供电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本项目电源接自市政电网，可满足项目用电需求。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 、供水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厂区用水主要来源于市政供水管网，可满足项目生产生活需求。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纯水制备：项目采用反渗透膜分离纯水制备系统，纯水制备方式详见图 3.1-1 。</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pPr>
      <w:r>
        <w:drawing>
          <wp:inline distT="0" distB="0" distL="114300" distR="114300">
            <wp:extent cx="6187440" cy="1423035"/>
            <wp:effectExtent l="0" t="0" r="3810" b="5715"/>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25"/>
                    <a:stretch>
                      <a:fillRect/>
                    </a:stretch>
                  </pic:blipFill>
                  <pic:spPr>
                    <a:xfrm>
                      <a:off x="0" y="0"/>
                      <a:ext cx="6187440" cy="1423035"/>
                    </a:xfrm>
                    <a:prstGeom prst="rect">
                      <a:avLst/>
                    </a:prstGeom>
                    <a:noFill/>
                    <a:ln>
                      <a:noFill/>
                    </a:ln>
                  </pic:spPr>
                </pic:pic>
              </a:graphicData>
            </a:graphic>
          </wp:inline>
        </w:drawing>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lang w:val="en-US" w:eastAsia="zh-CN"/>
        </w:rPr>
      </w:pPr>
      <w:r>
        <w:rPr>
          <w:rFonts w:hint="default"/>
          <w:b/>
          <w:bCs/>
          <w:lang w:val="en-US" w:eastAsia="zh-CN"/>
        </w:rPr>
        <w:t>图 3.</w:t>
      </w:r>
      <w:r>
        <w:rPr>
          <w:rFonts w:hint="eastAsia"/>
          <w:b/>
          <w:bCs/>
          <w:lang w:val="en-US" w:eastAsia="zh-CN"/>
        </w:rPr>
        <w:t>1</w:t>
      </w:r>
      <w:r>
        <w:rPr>
          <w:rFonts w:hint="default"/>
          <w:b/>
          <w:bCs/>
          <w:lang w:val="en-US" w:eastAsia="zh-CN"/>
        </w:rPr>
        <w:t>-1 纯水制备流程图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 、排水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auto"/>
          <w:spacing w:val="11"/>
          <w:kern w:val="0"/>
          <w:sz w:val="24"/>
          <w:szCs w:val="24"/>
          <w:lang w:val="en-US" w:eastAsia="zh-CN"/>
        </w:rPr>
      </w:pPr>
      <w:r>
        <w:rPr>
          <w:rFonts w:hint="eastAsia" w:eastAsia="宋体" w:cs="Times New Roman"/>
          <w:b w:val="0"/>
          <w:bCs w:val="0"/>
          <w:snapToGrid w:val="0"/>
          <w:color w:val="auto"/>
          <w:spacing w:val="11"/>
          <w:kern w:val="0"/>
          <w:sz w:val="24"/>
          <w:szCs w:val="24"/>
          <w:lang w:val="en-US" w:eastAsia="zh-CN"/>
        </w:rPr>
        <w:t>本项目实行雨污分流。雨水由南向北收集排至北侧市政雨水管道；</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auto"/>
          <w:spacing w:val="11"/>
          <w:kern w:val="0"/>
          <w:sz w:val="24"/>
          <w:szCs w:val="24"/>
          <w:lang w:val="en-US" w:eastAsia="zh-CN"/>
        </w:rPr>
      </w:pPr>
      <w:r>
        <w:rPr>
          <w:rFonts w:hint="eastAsia" w:eastAsia="宋体" w:cs="Times New Roman"/>
          <w:b w:val="0"/>
          <w:bCs w:val="0"/>
          <w:snapToGrid w:val="0"/>
          <w:color w:val="auto"/>
          <w:spacing w:val="11"/>
          <w:kern w:val="0"/>
          <w:sz w:val="24"/>
          <w:szCs w:val="24"/>
          <w:lang w:val="en-US" w:eastAsia="zh-CN"/>
        </w:rPr>
        <w:t>项目办公人员生活污水经化粪池处理达到《污水综合排放标准》（GB8978-1996）表 4 中三级标准，同时满足宁远县第二污水处理厂进水水质标准后，排入市政污水管网；实验室废水进入自建污水处理站处理，经污水处理站处理后达到《医疗机构水污染物排放标准》（GB18466-2005）表 2 预处理标准后排入市政污水管网；外排废水进入宁远县污水处理厂处理达《城镇污水处理厂污染物排放标准》（GB18918-2002）一级A标准后排入泠江。</w:t>
      </w:r>
    </w:p>
    <w:p>
      <w:pPr>
        <w:pStyle w:val="36"/>
        <w:keepNext w:val="0"/>
        <w:keepLines w:val="0"/>
        <w:pageBreakBefore w:val="0"/>
        <w:widowControl w:val="0"/>
        <w:numPr>
          <w:ilvl w:val="0"/>
          <w:numId w:val="4"/>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供热</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根据建设单位提供的资料，本项目无锅炉房，采用空气能热泵热水器供热，热水供应采用电能做热源，热水供应时间为24小时。</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5、通风</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本工程采用单体空调供热制冷，PCR 实验室、微生物实验室、理化实验室设置独立通风系统。</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6、 消防工程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消防通道、室外消火栓、消防水池、干式灭火器等。</w:t>
      </w:r>
    </w:p>
    <w:p>
      <w:pPr>
        <w:pStyle w:val="3"/>
        <w:bidi w:val="0"/>
        <w:rPr>
          <w:rFonts w:hint="eastAsia"/>
          <w:lang w:val="en-US" w:eastAsia="zh-CN"/>
        </w:rPr>
      </w:pPr>
      <w:bookmarkStart w:id="64" w:name="_Toc25567"/>
      <w:r>
        <w:rPr>
          <w:rFonts w:hint="eastAsia"/>
          <w:lang w:val="en-US" w:eastAsia="zh-CN"/>
        </w:rPr>
        <w:t>3.2 工程分析</w:t>
      </w:r>
      <w:bookmarkEnd w:id="64"/>
    </w:p>
    <w:p>
      <w:pPr>
        <w:pStyle w:val="4"/>
        <w:bidi w:val="0"/>
        <w:rPr>
          <w:rFonts w:hint="eastAsia"/>
          <w:lang w:val="en-US" w:eastAsia="zh-CN"/>
        </w:rPr>
      </w:pPr>
      <w:r>
        <w:rPr>
          <w:rFonts w:hint="eastAsia"/>
          <w:lang w:val="en-US" w:eastAsia="zh-CN"/>
        </w:rPr>
        <w:t>3.2.1</w:t>
      </w:r>
      <w:bookmarkStart w:id="65" w:name="_Toc16102"/>
      <w:r>
        <w:rPr>
          <w:rFonts w:hint="eastAsia"/>
          <w:lang w:val="en-US" w:eastAsia="zh-CN"/>
        </w:rPr>
        <w:t>施工期工程分析</w:t>
      </w:r>
      <w:bookmarkEnd w:id="65"/>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本项目施工期主要综合大楼、办公行政楼等进行装修，建设配套水电等附属设施，总建筑面积</w:t>
      </w:r>
      <w:r>
        <w:rPr>
          <w:rFonts w:hint="eastAsia" w:eastAsia="宋体" w:cs="Times New Roman"/>
          <w:b w:val="0"/>
          <w:bCs w:val="0"/>
          <w:snapToGrid w:val="0"/>
          <w:color w:val="auto"/>
          <w:spacing w:val="11"/>
          <w:kern w:val="0"/>
          <w:sz w:val="24"/>
          <w:szCs w:val="24"/>
          <w:lang w:val="en-US" w:eastAsia="zh-CN"/>
        </w:rPr>
        <w:t>4592.7</w:t>
      </w:r>
      <w:r>
        <w:rPr>
          <w:rFonts w:hint="eastAsia" w:eastAsia="宋体" w:cs="Times New Roman"/>
          <w:b w:val="0"/>
          <w:bCs w:val="0"/>
          <w:snapToGrid w:val="0"/>
          <w:color w:val="000000"/>
          <w:spacing w:val="11"/>
          <w:kern w:val="0"/>
          <w:sz w:val="24"/>
          <w:szCs w:val="24"/>
          <w:lang w:val="en-US" w:eastAsia="zh-CN"/>
        </w:rPr>
        <w:t>m</w:t>
      </w:r>
      <w:r>
        <w:rPr>
          <w:rFonts w:hint="eastAsia" w:eastAsia="宋体" w:cs="Times New Roman"/>
          <w:b w:val="0"/>
          <w:bCs w:val="0"/>
          <w:snapToGrid w:val="0"/>
          <w:color w:val="000000"/>
          <w:spacing w:val="11"/>
          <w:kern w:val="0"/>
          <w:sz w:val="24"/>
          <w:szCs w:val="24"/>
          <w:vertAlign w:val="superscript"/>
          <w:lang w:val="en-US" w:eastAsia="zh-CN"/>
        </w:rPr>
        <w:t>2</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施工期产生的主要环境问题为扬尘、废水、噪声、固体废物影响。但这种环境影响是短期的，随着施工结束，其影响随之消失。施工期工艺流程及排污节点见图 3.2-1。</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20" w:firstLineChars="200"/>
        <w:jc w:val="center"/>
        <w:textAlignment w:val="auto"/>
        <w:rPr>
          <w:rFonts w:hint="eastAsia" w:eastAsia="宋体"/>
          <w:lang w:eastAsia="zh-CN"/>
        </w:rPr>
      </w:pPr>
      <w:r>
        <w:drawing>
          <wp:inline distT="0" distB="0" distL="114300" distR="114300">
            <wp:extent cx="6182995" cy="2672715"/>
            <wp:effectExtent l="0" t="0" r="8255" b="13335"/>
            <wp:docPr id="1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true"/>
                    </pic:cNvPicPr>
                  </pic:nvPicPr>
                  <pic:blipFill>
                    <a:blip r:embed="rId26"/>
                    <a:stretch>
                      <a:fillRect/>
                    </a:stretch>
                  </pic:blipFill>
                  <pic:spPr>
                    <a:xfrm>
                      <a:off x="0" y="0"/>
                      <a:ext cx="6182995" cy="2672715"/>
                    </a:xfrm>
                    <a:prstGeom prst="rect">
                      <a:avLst/>
                    </a:prstGeom>
                    <a:noFill/>
                    <a:ln>
                      <a:noFill/>
                    </a:ln>
                  </pic:spPr>
                </pic:pic>
              </a:graphicData>
            </a:graphic>
          </wp:inline>
        </w:drawing>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20" w:firstLineChars="200"/>
        <w:jc w:val="center"/>
        <w:textAlignment w:val="auto"/>
        <w:rPr>
          <w:rFonts w:hint="default"/>
          <w:lang w:val="en-US" w:eastAsia="zh-CN"/>
        </w:rPr>
      </w:pPr>
      <w:r>
        <w:rPr>
          <w:rFonts w:hint="default"/>
          <w:lang w:val="en-US" w:eastAsia="zh-CN"/>
        </w:rPr>
        <w:t>图 3.2-1 施工期工艺流程及产排污节点图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3.2.1.1</w:t>
      </w:r>
      <w:r>
        <w:rPr>
          <w:rFonts w:hint="default" w:eastAsia="宋体" w:cs="Times New Roman"/>
          <w:b w:val="0"/>
          <w:bCs w:val="0"/>
          <w:snapToGrid w:val="0"/>
          <w:color w:val="000000"/>
          <w:spacing w:val="11"/>
          <w:kern w:val="0"/>
          <w:sz w:val="24"/>
          <w:szCs w:val="24"/>
          <w:lang w:val="en-US" w:eastAsia="zh-CN"/>
        </w:rPr>
        <w:t>施工期废气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本项目不设施工营地，施工人员为居住在附近的居民，施工期不产生食堂油烟，项目施工过程中废气主要为施工扬尘、</w:t>
      </w:r>
      <w:r>
        <w:rPr>
          <w:rFonts w:hint="eastAsia" w:eastAsia="宋体" w:cs="Times New Roman"/>
          <w:b w:val="0"/>
          <w:bCs w:val="0"/>
          <w:snapToGrid w:val="0"/>
          <w:color w:val="000000"/>
          <w:spacing w:val="11"/>
          <w:kern w:val="0"/>
          <w:sz w:val="24"/>
          <w:szCs w:val="24"/>
          <w:lang w:val="en-US" w:eastAsia="zh-CN"/>
        </w:rPr>
        <w:t>装修废气、</w:t>
      </w:r>
      <w:r>
        <w:rPr>
          <w:rFonts w:hint="default" w:eastAsia="宋体" w:cs="Times New Roman"/>
          <w:b w:val="0"/>
          <w:bCs w:val="0"/>
          <w:snapToGrid w:val="0"/>
          <w:color w:val="000000"/>
          <w:spacing w:val="11"/>
          <w:kern w:val="0"/>
          <w:sz w:val="24"/>
          <w:szCs w:val="24"/>
          <w:lang w:val="en-US" w:eastAsia="zh-CN"/>
        </w:rPr>
        <w:t>施工机械及运输车辆尾气。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（1）施工扬尘</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扬尘主要为施工车辆行驶过程中动力起尘、建筑材料装卸扬尘及施工场地裸露地面因风蚀而产生的扬尘。这些扬尘的产生与地面干燥程度和风速大小有关，地面越干燥，风速越大，产生扬尘越大。据类比资料显示，在装卸处下风向5～10m处，TSP浓度可达500～1000mg/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（2）装修有机废气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油漆废气主要来自于楼体外墙装饰和房屋装修阶段，该废气的排放属无组织排放，其主要污染因子为甲苯和二甲苯，此外还有极少量的汽油、丁醇和丙醇等。根据相关资料，每150m</w:t>
      </w:r>
      <w:r>
        <w:rPr>
          <w:rFonts w:hint="default" w:eastAsia="宋体" w:cs="Times New Roman"/>
          <w:b w:val="0"/>
          <w:bCs w:val="0"/>
          <w:snapToGrid w:val="0"/>
          <w:color w:val="000000"/>
          <w:spacing w:val="11"/>
          <w:kern w:val="0"/>
          <w:sz w:val="24"/>
          <w:szCs w:val="24"/>
          <w:vertAlign w:val="superscript"/>
          <w:lang w:val="en-US" w:eastAsia="zh-CN"/>
        </w:rPr>
        <w:t>2</w:t>
      </w:r>
      <w:r>
        <w:rPr>
          <w:rFonts w:hint="default" w:eastAsia="宋体" w:cs="Times New Roman"/>
          <w:b w:val="0"/>
          <w:bCs w:val="0"/>
          <w:snapToGrid w:val="0"/>
          <w:color w:val="000000"/>
          <w:spacing w:val="11"/>
          <w:kern w:val="0"/>
          <w:sz w:val="24"/>
          <w:szCs w:val="24"/>
          <w:lang w:val="en-US" w:eastAsia="zh-CN"/>
        </w:rPr>
        <w:t>建筑面积，内墙总面积450m</w:t>
      </w:r>
      <w:r>
        <w:rPr>
          <w:rFonts w:hint="default" w:eastAsia="宋体" w:cs="Times New Roman"/>
          <w:b w:val="0"/>
          <w:bCs w:val="0"/>
          <w:snapToGrid w:val="0"/>
          <w:color w:val="000000"/>
          <w:spacing w:val="11"/>
          <w:kern w:val="0"/>
          <w:sz w:val="24"/>
          <w:szCs w:val="24"/>
          <w:vertAlign w:val="superscript"/>
          <w:lang w:val="en-US" w:eastAsia="zh-CN"/>
        </w:rPr>
        <w:t>2</w:t>
      </w:r>
      <w:r>
        <w:rPr>
          <w:rFonts w:hint="default" w:eastAsia="宋体" w:cs="Times New Roman"/>
          <w:b w:val="0"/>
          <w:bCs w:val="0"/>
          <w:snapToGrid w:val="0"/>
          <w:color w:val="000000"/>
          <w:spacing w:val="11"/>
          <w:kern w:val="0"/>
          <w:sz w:val="24"/>
          <w:szCs w:val="24"/>
          <w:lang w:val="en-US" w:eastAsia="zh-CN"/>
        </w:rPr>
        <w:t>，容积330m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的房屋装修最大需耗15个组分的涂料（包括地板漆、墙面漆和内墙涂料等），每组分涂料约为10kg，即为150kg。以居多常用硝基漆（如酚醛硝基漆）和硝基稀释剂为例</w:t>
      </w:r>
      <w:r>
        <w:rPr>
          <w:rFonts w:hint="eastAsia" w:eastAsia="宋体" w:cs="Times New Roman"/>
          <w:b w:val="0"/>
          <w:bCs w:val="0"/>
          <w:snapToGrid w:val="0"/>
          <w:color w:val="000000"/>
          <w:spacing w:val="11"/>
          <w:kern w:val="0"/>
          <w:sz w:val="24"/>
          <w:szCs w:val="24"/>
          <w:lang w:val="en-US" w:eastAsia="zh-CN"/>
        </w:rPr>
        <w:t>。两者成分如表 3.2-1。</w:t>
      </w:r>
    </w:p>
    <w:p>
      <w:pPr>
        <w:spacing w:beforeAutospacing="0" w:line="228" w:lineRule="auto"/>
        <w:ind w:left="3226"/>
        <w:rPr>
          <w:rFonts w:hint="eastAsia" w:ascii="Times New Roman" w:hAnsi="Times New Roman" w:eastAsia="Arial" w:cs="Times New Roman"/>
          <w:b/>
          <w:bCs/>
          <w:snapToGrid w:val="0"/>
          <w:color w:val="000000"/>
          <w:kern w:val="0"/>
          <w:sz w:val="21"/>
          <w:szCs w:val="21"/>
          <w:lang w:val="en-US" w:eastAsia="zh-CN" w:bidi="ar-SA"/>
        </w:rPr>
      </w:pPr>
      <w:r>
        <w:rPr>
          <w:rFonts w:hint="eastAsia" w:ascii="Times New Roman" w:hAnsi="Times New Roman" w:eastAsia="Arial" w:cs="Times New Roman"/>
          <w:b/>
          <w:bCs/>
          <w:snapToGrid w:val="0"/>
          <w:color w:val="000000"/>
          <w:kern w:val="0"/>
          <w:sz w:val="21"/>
          <w:szCs w:val="21"/>
          <w:lang w:val="en-US" w:eastAsia="zh-CN" w:bidi="ar-SA"/>
        </w:rPr>
        <w:t>表3.2-1 常用面漆和稀释剂成分配比表（%）</w:t>
      </w:r>
    </w:p>
    <w:tbl>
      <w:tblPr>
        <w:tblStyle w:val="25"/>
        <w:tblW w:w="4994"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732"/>
        <w:gridCol w:w="1538"/>
        <w:gridCol w:w="1931"/>
        <w:gridCol w:w="1511"/>
        <w:gridCol w:w="1511"/>
        <w:gridCol w:w="15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原料名称</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酚醛硝基漆</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硝基稀释剂</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原料名称</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酚醛硝基漆</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硝基稀释剂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硝化棉(醇酸树脂)</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聚氰胺树脂液</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3.2</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颜料</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14</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甲苯</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4.4</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醇酸树脂液</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33</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二甲苯</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3</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醋酸丁酯</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13.5</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25</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丙酮</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2.4</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醋酸乙酯</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5.7</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22</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其他</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1.2</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73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丁醇</w:t>
            </w:r>
          </w:p>
        </w:tc>
        <w:tc>
          <w:tcPr>
            <w:tcW w:w="153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9.6</w:t>
            </w:r>
          </w:p>
        </w:tc>
        <w:tc>
          <w:tcPr>
            <w:tcW w:w="193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20</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c>
          <w:tcPr>
            <w:tcW w:w="1511"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eastAsia="宋体" w:cs="Times New Roman"/>
                <w:b w:val="0"/>
                <w:color w:val="auto"/>
                <w:sz w:val="21"/>
                <w:szCs w:val="21"/>
                <w:highlight w:val="none"/>
                <w:u w:val="none"/>
                <w:lang w:val="en-US" w:eastAsia="zh-CN"/>
              </w:rPr>
              <w:t>/</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酚醛硝基漆与硝基稀释剂配比按3</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1的比例，每喷漆一套房子消耗酚醛硝基漆112.5kg，硝基稀释剂37.5kg。喷漆时间约为4小时。甲苯和二甲苯在喷漆时挥发30%；其余70%在晾晒时逐步排出，其排放浓度较低，忽略不计。采用物料衡算法，由上述参数计算甲苯和二甲苯喷漆时初始质量浓度和排放量见表3.2-2。</w:t>
      </w:r>
    </w:p>
    <w:p>
      <w:pPr>
        <w:spacing w:beforeAutospacing="0" w:line="228" w:lineRule="auto"/>
        <w:ind w:left="3226"/>
        <w:rPr>
          <w:rFonts w:hint="eastAsia" w:ascii="Times New Roman" w:hAnsi="Times New Roman" w:eastAsia="Arial" w:cs="Times New Roman"/>
          <w:b/>
          <w:bCs/>
          <w:snapToGrid w:val="0"/>
          <w:color w:val="000000"/>
          <w:kern w:val="0"/>
          <w:sz w:val="21"/>
          <w:szCs w:val="21"/>
          <w:lang w:val="en-US" w:eastAsia="zh-CN" w:bidi="ar-SA"/>
        </w:rPr>
      </w:pPr>
      <w:r>
        <w:rPr>
          <w:rFonts w:hint="eastAsia" w:ascii="Times New Roman" w:hAnsi="Times New Roman" w:eastAsia="Arial" w:cs="Times New Roman"/>
          <w:b/>
          <w:bCs/>
          <w:snapToGrid w:val="0"/>
          <w:color w:val="000000"/>
          <w:kern w:val="0"/>
          <w:sz w:val="21"/>
          <w:szCs w:val="21"/>
          <w:lang w:val="en-US" w:eastAsia="zh-CN" w:bidi="ar-SA"/>
        </w:rPr>
        <w:t>表3.2-</w:t>
      </w:r>
      <w:r>
        <w:rPr>
          <w:rFonts w:hint="eastAsia" w:ascii="Times New Roman" w:hAnsi="Times New Roman" w:cs="Times New Roman"/>
          <w:b/>
          <w:bCs/>
          <w:snapToGrid w:val="0"/>
          <w:color w:val="000000"/>
          <w:kern w:val="0"/>
          <w:sz w:val="21"/>
          <w:szCs w:val="21"/>
          <w:lang w:val="en-US" w:eastAsia="zh-CN" w:bidi="ar-SA"/>
        </w:rPr>
        <w:t>2</w:t>
      </w:r>
      <w:r>
        <w:rPr>
          <w:rFonts w:hint="eastAsia" w:ascii="Times New Roman" w:hAnsi="Times New Roman" w:eastAsia="Arial" w:cs="Times New Roman"/>
          <w:b/>
          <w:bCs/>
          <w:snapToGrid w:val="0"/>
          <w:color w:val="000000"/>
          <w:kern w:val="0"/>
          <w:sz w:val="21"/>
          <w:szCs w:val="21"/>
          <w:lang w:val="en-US" w:eastAsia="zh-CN" w:bidi="ar-SA"/>
        </w:rPr>
        <w:t xml:space="preserve"> 苯和二甲苯源强和排放量</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317"/>
        <w:gridCol w:w="1137"/>
        <w:gridCol w:w="1063"/>
        <w:gridCol w:w="1359"/>
        <w:gridCol w:w="1421"/>
        <w:gridCol w:w="1119"/>
        <w:gridCol w:w="132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8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工序</w:t>
            </w:r>
          </w:p>
        </w:tc>
        <w:tc>
          <w:tcPr>
            <w:tcW w:w="1128"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初始质量浓度的</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(mg/m</w:t>
            </w:r>
            <w:r>
              <w:rPr>
                <w:rFonts w:hint="eastAsia" w:eastAsia="宋体" w:cs="Times New Roman"/>
                <w:b/>
                <w:bCs/>
                <w:color w:val="auto"/>
                <w:sz w:val="21"/>
                <w:szCs w:val="21"/>
                <w:highlight w:val="none"/>
                <w:u w:val="none"/>
                <w:vertAlign w:val="superscript"/>
                <w:lang w:val="en-US" w:eastAsia="zh-CN"/>
              </w:rPr>
              <w:t>3</w:t>
            </w:r>
            <w:r>
              <w:rPr>
                <w:rFonts w:hint="eastAsia" w:ascii="Times New Roman" w:hAnsi="Times New Roman" w:eastAsia="宋体" w:cs="Times New Roman"/>
                <w:b/>
                <w:bCs/>
                <w:color w:val="auto"/>
                <w:sz w:val="21"/>
                <w:szCs w:val="21"/>
                <w:highlight w:val="none"/>
                <w:u w:val="none"/>
                <w:lang w:val="en-US" w:eastAsia="zh-CN"/>
              </w:rPr>
              <w:t>)</w:t>
            </w:r>
          </w:p>
        </w:tc>
        <w:tc>
          <w:tcPr>
            <w:tcW w:w="142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排放速率(kg/h)</w:t>
            </w:r>
          </w:p>
        </w:tc>
        <w:tc>
          <w:tcPr>
            <w:tcW w:w="1255"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排放量(kg/每套房)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jc w:val="center"/>
        </w:trPr>
        <w:tc>
          <w:tcPr>
            <w:tcW w:w="118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喷漆</w:t>
            </w:r>
          </w:p>
        </w:tc>
        <w:tc>
          <w:tcPr>
            <w:tcW w:w="5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甲苯</w:t>
            </w:r>
          </w:p>
        </w:tc>
        <w:tc>
          <w:tcPr>
            <w:tcW w:w="54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二甲苯</w:t>
            </w:r>
          </w:p>
        </w:tc>
        <w:tc>
          <w:tcPr>
            <w:tcW w:w="6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甲苯</w:t>
            </w:r>
          </w:p>
        </w:tc>
        <w:tc>
          <w:tcPr>
            <w:tcW w:w="7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二甲苯</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甲苯</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二甲苯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8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p>
        </w:tc>
        <w:tc>
          <w:tcPr>
            <w:tcW w:w="5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9613</w:t>
            </w:r>
          </w:p>
        </w:tc>
        <w:tc>
          <w:tcPr>
            <w:tcW w:w="54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3750</w:t>
            </w:r>
          </w:p>
        </w:tc>
        <w:tc>
          <w:tcPr>
            <w:tcW w:w="6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0.793</w:t>
            </w:r>
          </w:p>
        </w:tc>
        <w:tc>
          <w:tcPr>
            <w:tcW w:w="72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0.3093</w:t>
            </w:r>
          </w:p>
        </w:tc>
        <w:tc>
          <w:tcPr>
            <w:tcW w:w="57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3.172</w:t>
            </w:r>
          </w:p>
        </w:tc>
        <w:tc>
          <w:tcPr>
            <w:tcW w:w="6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1.237</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施工期总装修</w:t>
      </w:r>
      <w:r>
        <w:rPr>
          <w:rFonts w:hint="default" w:eastAsia="宋体" w:cs="Times New Roman"/>
          <w:b w:val="0"/>
          <w:bCs w:val="0"/>
          <w:snapToGrid w:val="0"/>
          <w:color w:val="auto"/>
          <w:spacing w:val="11"/>
          <w:kern w:val="0"/>
          <w:sz w:val="24"/>
          <w:szCs w:val="24"/>
          <w:lang w:val="en-US" w:eastAsia="zh-CN"/>
        </w:rPr>
        <w:t>面积</w:t>
      </w:r>
      <w:r>
        <w:rPr>
          <w:rFonts w:hint="eastAsia" w:eastAsia="宋体" w:cs="Times New Roman"/>
          <w:b w:val="0"/>
          <w:bCs w:val="0"/>
          <w:snapToGrid w:val="0"/>
          <w:color w:val="auto"/>
          <w:spacing w:val="11"/>
          <w:kern w:val="0"/>
          <w:sz w:val="24"/>
          <w:szCs w:val="24"/>
          <w:lang w:val="en-US" w:eastAsia="zh-CN"/>
        </w:rPr>
        <w:t>5360</w:t>
      </w:r>
      <w:r>
        <w:rPr>
          <w:rFonts w:hint="default" w:eastAsia="宋体" w:cs="Times New Roman"/>
          <w:b w:val="0"/>
          <w:bCs w:val="0"/>
          <w:snapToGrid w:val="0"/>
          <w:color w:val="auto"/>
          <w:spacing w:val="11"/>
          <w:kern w:val="0"/>
          <w:sz w:val="24"/>
          <w:szCs w:val="24"/>
          <w:lang w:val="en-US" w:eastAsia="zh-CN"/>
        </w:rPr>
        <w:t>m</w:t>
      </w:r>
      <w:r>
        <w:rPr>
          <w:rFonts w:hint="default" w:eastAsia="宋体" w:cs="Times New Roman"/>
          <w:b w:val="0"/>
          <w:bCs w:val="0"/>
          <w:snapToGrid w:val="0"/>
          <w:color w:val="auto"/>
          <w:spacing w:val="11"/>
          <w:kern w:val="0"/>
          <w:sz w:val="24"/>
          <w:szCs w:val="24"/>
          <w:vertAlign w:val="superscript"/>
          <w:lang w:val="en-US" w:eastAsia="zh-CN"/>
        </w:rPr>
        <w:t>2</w:t>
      </w:r>
      <w:r>
        <w:rPr>
          <w:rFonts w:hint="default" w:eastAsia="宋体" w:cs="Times New Roman"/>
          <w:b w:val="0"/>
          <w:bCs w:val="0"/>
          <w:snapToGrid w:val="0"/>
          <w:color w:val="auto"/>
          <w:spacing w:val="11"/>
          <w:kern w:val="0"/>
          <w:sz w:val="24"/>
          <w:szCs w:val="24"/>
          <w:lang w:val="en-US" w:eastAsia="zh-CN"/>
        </w:rPr>
        <w:t>，折合</w:t>
      </w:r>
      <w:r>
        <w:rPr>
          <w:rFonts w:hint="eastAsia" w:eastAsia="宋体" w:cs="Times New Roman"/>
          <w:b w:val="0"/>
          <w:bCs w:val="0"/>
          <w:snapToGrid w:val="0"/>
          <w:color w:val="auto"/>
          <w:spacing w:val="11"/>
          <w:kern w:val="0"/>
          <w:sz w:val="24"/>
          <w:szCs w:val="24"/>
          <w:lang w:val="en-US" w:eastAsia="zh-CN"/>
        </w:rPr>
        <w:t>11.9</w:t>
      </w:r>
      <w:r>
        <w:rPr>
          <w:rFonts w:hint="default" w:eastAsia="宋体" w:cs="Times New Roman"/>
          <w:b w:val="0"/>
          <w:bCs w:val="0"/>
          <w:snapToGrid w:val="0"/>
          <w:color w:val="auto"/>
          <w:spacing w:val="11"/>
          <w:kern w:val="0"/>
          <w:sz w:val="24"/>
          <w:szCs w:val="24"/>
          <w:lang w:val="en-US" w:eastAsia="zh-CN"/>
        </w:rPr>
        <w:t>个房单元，涂料耗量约为</w:t>
      </w:r>
      <w:r>
        <w:rPr>
          <w:rFonts w:hint="eastAsia" w:eastAsia="宋体" w:cs="Times New Roman"/>
          <w:b w:val="0"/>
          <w:bCs w:val="0"/>
          <w:snapToGrid w:val="0"/>
          <w:color w:val="auto"/>
          <w:spacing w:val="11"/>
          <w:kern w:val="0"/>
          <w:sz w:val="24"/>
          <w:szCs w:val="24"/>
          <w:lang w:val="en-US" w:eastAsia="zh-CN"/>
        </w:rPr>
        <w:t>1785</w:t>
      </w:r>
      <w:r>
        <w:rPr>
          <w:rFonts w:hint="default" w:eastAsia="宋体" w:cs="Times New Roman"/>
          <w:b w:val="0"/>
          <w:bCs w:val="0"/>
          <w:snapToGrid w:val="0"/>
          <w:color w:val="auto"/>
          <w:spacing w:val="11"/>
          <w:kern w:val="0"/>
          <w:sz w:val="24"/>
          <w:szCs w:val="24"/>
          <w:lang w:val="en-US" w:eastAsia="zh-CN"/>
        </w:rPr>
        <w:t>kg，向周围大气环境排放甲苯0.</w:t>
      </w:r>
      <w:r>
        <w:rPr>
          <w:rFonts w:hint="eastAsia" w:eastAsia="宋体" w:cs="Times New Roman"/>
          <w:b w:val="0"/>
          <w:bCs w:val="0"/>
          <w:snapToGrid w:val="0"/>
          <w:color w:val="auto"/>
          <w:spacing w:val="11"/>
          <w:kern w:val="0"/>
          <w:sz w:val="24"/>
          <w:szCs w:val="24"/>
          <w:lang w:val="en-US" w:eastAsia="zh-CN"/>
        </w:rPr>
        <w:t>038</w:t>
      </w:r>
      <w:r>
        <w:rPr>
          <w:rFonts w:hint="default" w:eastAsia="宋体" w:cs="Times New Roman"/>
          <w:b w:val="0"/>
          <w:bCs w:val="0"/>
          <w:snapToGrid w:val="0"/>
          <w:color w:val="auto"/>
          <w:spacing w:val="11"/>
          <w:kern w:val="0"/>
          <w:sz w:val="24"/>
          <w:szCs w:val="24"/>
          <w:lang w:val="en-US" w:eastAsia="zh-CN"/>
        </w:rPr>
        <w:t>t，二甲苯0.0</w:t>
      </w:r>
      <w:r>
        <w:rPr>
          <w:rFonts w:hint="eastAsia" w:eastAsia="宋体" w:cs="Times New Roman"/>
          <w:b w:val="0"/>
          <w:bCs w:val="0"/>
          <w:snapToGrid w:val="0"/>
          <w:color w:val="auto"/>
          <w:spacing w:val="11"/>
          <w:kern w:val="0"/>
          <w:sz w:val="24"/>
          <w:szCs w:val="24"/>
          <w:lang w:val="en-US" w:eastAsia="zh-CN"/>
        </w:rPr>
        <w:t>0</w:t>
      </w:r>
      <w:r>
        <w:rPr>
          <w:rFonts w:hint="default" w:eastAsia="宋体" w:cs="Times New Roman"/>
          <w:b w:val="0"/>
          <w:bCs w:val="0"/>
          <w:snapToGrid w:val="0"/>
          <w:color w:val="auto"/>
          <w:spacing w:val="11"/>
          <w:kern w:val="0"/>
          <w:sz w:val="24"/>
          <w:szCs w:val="24"/>
          <w:lang w:val="en-US" w:eastAsia="zh-CN"/>
        </w:rPr>
        <w:t>3t</w:t>
      </w:r>
      <w:r>
        <w:rPr>
          <w:rFonts w:hint="eastAsia" w:eastAsia="宋体" w:cs="Times New Roman"/>
          <w:b w:val="0"/>
          <w:bCs w:val="0"/>
          <w:snapToGrid w:val="0"/>
          <w:color w:val="auto"/>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施工机械及运输车辆尾气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筑工地上使用的施工机械和建筑材料运输车辆一般以柴油为燃料。由柴油燃烧产生的废气中主要含有CO、THC和NOx，对环境造成污染。一般大型车辆废气污染物排放量为CO：5.25g/辆·km，THC：20.8g/辆·km，NOx：10.44g/辆·k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3.2.1.2</w:t>
      </w:r>
      <w:r>
        <w:rPr>
          <w:rFonts w:hint="default" w:eastAsia="宋体" w:cs="Times New Roman"/>
          <w:b w:val="0"/>
          <w:bCs w:val="0"/>
          <w:snapToGrid w:val="0"/>
          <w:color w:val="000000"/>
          <w:spacing w:val="11"/>
          <w:kern w:val="0"/>
          <w:sz w:val="24"/>
          <w:szCs w:val="24"/>
          <w:lang w:val="en-US" w:eastAsia="zh-CN"/>
        </w:rPr>
        <w:t>施工期废水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本项目施工过程中废水主要为施工</w:t>
      </w:r>
      <w:r>
        <w:rPr>
          <w:rFonts w:hint="eastAsia" w:eastAsia="宋体" w:cs="Times New Roman"/>
          <w:b w:val="0"/>
          <w:bCs w:val="0"/>
          <w:snapToGrid w:val="0"/>
          <w:color w:val="000000"/>
          <w:spacing w:val="11"/>
          <w:kern w:val="0"/>
          <w:sz w:val="24"/>
          <w:szCs w:val="24"/>
          <w:lang w:val="en-US" w:eastAsia="zh-CN"/>
        </w:rPr>
        <w:t>人员生活污水</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施工期作业高峰</w:t>
      </w:r>
      <w:r>
        <w:rPr>
          <w:rFonts w:hint="default" w:eastAsia="宋体" w:cs="Times New Roman"/>
          <w:b w:val="0"/>
          <w:bCs w:val="0"/>
          <w:snapToGrid w:val="0"/>
          <w:color w:val="auto"/>
          <w:spacing w:val="11"/>
          <w:kern w:val="0"/>
          <w:sz w:val="24"/>
          <w:szCs w:val="24"/>
          <w:lang w:val="en-US" w:eastAsia="zh-CN"/>
        </w:rPr>
        <w:t xml:space="preserve">人数为 </w:t>
      </w:r>
      <w:r>
        <w:rPr>
          <w:rFonts w:hint="eastAsia" w:eastAsia="宋体" w:cs="Times New Roman"/>
          <w:b w:val="0"/>
          <w:bCs w:val="0"/>
          <w:snapToGrid w:val="0"/>
          <w:color w:val="auto"/>
          <w:spacing w:val="11"/>
          <w:kern w:val="0"/>
          <w:sz w:val="24"/>
          <w:szCs w:val="24"/>
          <w:lang w:val="en-US" w:eastAsia="zh-CN"/>
        </w:rPr>
        <w:t>1</w:t>
      </w:r>
      <w:r>
        <w:rPr>
          <w:rFonts w:hint="default" w:eastAsia="宋体" w:cs="Times New Roman"/>
          <w:b w:val="0"/>
          <w:bCs w:val="0"/>
          <w:snapToGrid w:val="0"/>
          <w:color w:val="auto"/>
          <w:spacing w:val="11"/>
          <w:kern w:val="0"/>
          <w:sz w:val="24"/>
          <w:szCs w:val="24"/>
          <w:lang w:val="en-US" w:eastAsia="zh-CN"/>
        </w:rPr>
        <w:t xml:space="preserve">0 人/天，施工期约 </w:t>
      </w:r>
      <w:r>
        <w:rPr>
          <w:rFonts w:hint="eastAsia" w:eastAsia="宋体" w:cs="Times New Roman"/>
          <w:b w:val="0"/>
          <w:bCs w:val="0"/>
          <w:snapToGrid w:val="0"/>
          <w:color w:val="auto"/>
          <w:spacing w:val="11"/>
          <w:kern w:val="0"/>
          <w:sz w:val="24"/>
          <w:szCs w:val="24"/>
          <w:lang w:val="en-US" w:eastAsia="zh-CN"/>
        </w:rPr>
        <w:t>3</w:t>
      </w:r>
      <w:r>
        <w:rPr>
          <w:rFonts w:hint="default" w:eastAsia="宋体" w:cs="Times New Roman"/>
          <w:b w:val="0"/>
          <w:bCs w:val="0"/>
          <w:snapToGrid w:val="0"/>
          <w:color w:val="auto"/>
          <w:spacing w:val="11"/>
          <w:kern w:val="0"/>
          <w:sz w:val="24"/>
          <w:szCs w:val="24"/>
          <w:lang w:val="en-US" w:eastAsia="zh-CN"/>
        </w:rPr>
        <w:t xml:space="preserve"> 个月。施工人员生活日用水定额按 150L计，排污系数按 0.85 计，则施工人员生活污水产生量为 </w:t>
      </w:r>
      <w:r>
        <w:rPr>
          <w:rFonts w:hint="eastAsia" w:eastAsia="宋体" w:cs="Times New Roman"/>
          <w:b w:val="0"/>
          <w:bCs w:val="0"/>
          <w:snapToGrid w:val="0"/>
          <w:color w:val="auto"/>
          <w:spacing w:val="11"/>
          <w:kern w:val="0"/>
          <w:sz w:val="24"/>
          <w:szCs w:val="24"/>
          <w:lang w:val="en-US" w:eastAsia="zh-CN"/>
        </w:rPr>
        <w:t>1.27</w:t>
      </w:r>
      <w:r>
        <w:rPr>
          <w:rFonts w:hint="default" w:eastAsia="宋体" w:cs="Times New Roman"/>
          <w:b w:val="0"/>
          <w:bCs w:val="0"/>
          <w:snapToGrid w:val="0"/>
          <w:color w:val="auto"/>
          <w:spacing w:val="11"/>
          <w:kern w:val="0"/>
          <w:sz w:val="24"/>
          <w:szCs w:val="24"/>
          <w:lang w:val="en-US" w:eastAsia="zh-CN"/>
        </w:rPr>
        <w:t>5m</w:t>
      </w:r>
      <w:r>
        <w:rPr>
          <w:rFonts w:hint="default" w:eastAsia="宋体" w:cs="Times New Roman"/>
          <w:b w:val="0"/>
          <w:bCs w:val="0"/>
          <w:snapToGrid w:val="0"/>
          <w:color w:val="auto"/>
          <w:spacing w:val="11"/>
          <w:kern w:val="0"/>
          <w:sz w:val="24"/>
          <w:szCs w:val="24"/>
          <w:vertAlign w:val="superscript"/>
          <w:lang w:val="en-US" w:eastAsia="zh-CN"/>
        </w:rPr>
        <w:t>3</w:t>
      </w:r>
      <w:r>
        <w:rPr>
          <w:rFonts w:hint="default" w:eastAsia="宋体" w:cs="Times New Roman"/>
          <w:b w:val="0"/>
          <w:bCs w:val="0"/>
          <w:snapToGrid w:val="0"/>
          <w:color w:val="auto"/>
          <w:spacing w:val="11"/>
          <w:kern w:val="0"/>
          <w:sz w:val="24"/>
          <w:szCs w:val="24"/>
          <w:lang w:val="en-US" w:eastAsia="zh-CN"/>
        </w:rPr>
        <w:t>/d。施工期生活污水收集后经三级化粪池处理，经污水管道排入</w:t>
      </w:r>
      <w:r>
        <w:rPr>
          <w:rFonts w:hint="default" w:eastAsia="宋体" w:cs="Times New Roman"/>
          <w:b w:val="0"/>
          <w:bCs w:val="0"/>
          <w:snapToGrid w:val="0"/>
          <w:color w:val="000000"/>
          <w:spacing w:val="11"/>
          <w:kern w:val="0"/>
          <w:sz w:val="24"/>
          <w:szCs w:val="24"/>
          <w:lang w:val="en-US" w:eastAsia="zh-CN"/>
        </w:rPr>
        <w:t>市政污水管网，最终进入</w:t>
      </w:r>
      <w:r>
        <w:rPr>
          <w:rFonts w:hint="eastAsia" w:eastAsia="宋体" w:cs="Times New Roman"/>
          <w:b w:val="0"/>
          <w:bCs w:val="0"/>
          <w:snapToGrid w:val="0"/>
          <w:color w:val="000000"/>
          <w:spacing w:val="11"/>
          <w:kern w:val="0"/>
          <w:sz w:val="24"/>
          <w:szCs w:val="24"/>
          <w:lang w:val="en-US" w:eastAsia="zh-CN"/>
        </w:rPr>
        <w:t>宁远县</w:t>
      </w:r>
      <w:r>
        <w:rPr>
          <w:rFonts w:hint="default" w:eastAsia="宋体" w:cs="Times New Roman"/>
          <w:b w:val="0"/>
          <w:bCs w:val="0"/>
          <w:snapToGrid w:val="0"/>
          <w:color w:val="000000"/>
          <w:spacing w:val="11"/>
          <w:kern w:val="0"/>
          <w:sz w:val="24"/>
          <w:szCs w:val="24"/>
          <w:lang w:val="en-US" w:eastAsia="zh-CN"/>
        </w:rPr>
        <w:t>污水处理厂</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3.2.1.3</w:t>
      </w:r>
      <w:r>
        <w:rPr>
          <w:rFonts w:hint="default" w:eastAsia="宋体" w:cs="Times New Roman"/>
          <w:b w:val="0"/>
          <w:bCs w:val="0"/>
          <w:snapToGrid w:val="0"/>
          <w:color w:val="000000"/>
          <w:spacing w:val="11"/>
          <w:kern w:val="0"/>
          <w:sz w:val="24"/>
          <w:szCs w:val="24"/>
          <w:lang w:val="en-US" w:eastAsia="zh-CN"/>
        </w:rPr>
        <w:t>施工期噪声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建设期噪声主要来自施工作业噪声。施工作业噪声主要指一些零星的敲打声、装卸建材的撞击声、施工人员的吆喝声、拆装模板的撞击声等，多为瞬间噪声。各类施工噪声源</w:t>
      </w:r>
      <w:r>
        <w:rPr>
          <w:rFonts w:hint="eastAsia" w:eastAsia="宋体" w:cs="Times New Roman"/>
          <w:b w:val="0"/>
          <w:bCs w:val="0"/>
          <w:snapToGrid w:val="0"/>
          <w:color w:val="000000"/>
          <w:spacing w:val="11"/>
          <w:kern w:val="0"/>
          <w:sz w:val="24"/>
          <w:szCs w:val="24"/>
          <w:lang w:val="en-US" w:eastAsia="zh-CN"/>
        </w:rPr>
        <w:t>强度</w:t>
      </w:r>
      <w:r>
        <w:rPr>
          <w:rFonts w:hint="default" w:eastAsia="宋体" w:cs="Times New Roman"/>
          <w:b w:val="0"/>
          <w:bCs w:val="0"/>
          <w:snapToGrid w:val="0"/>
          <w:color w:val="000000"/>
          <w:spacing w:val="11"/>
          <w:kern w:val="0"/>
          <w:sz w:val="24"/>
          <w:szCs w:val="24"/>
          <w:lang w:val="en-US" w:eastAsia="zh-CN"/>
        </w:rPr>
        <w:t>见下表。</w:t>
      </w:r>
    </w:p>
    <w:p>
      <w:pPr>
        <w:spacing w:before="181" w:line="228" w:lineRule="auto"/>
        <w:ind w:left="3226"/>
        <w:rPr>
          <w:rFonts w:hint="eastAsia" w:ascii="Times New Roman" w:hAnsi="Times New Roman" w:eastAsia="Arial" w:cs="Times New Roman"/>
          <w:b/>
          <w:bCs/>
          <w:snapToGrid w:val="0"/>
          <w:color w:val="000000"/>
          <w:kern w:val="0"/>
          <w:sz w:val="21"/>
          <w:szCs w:val="21"/>
          <w:lang w:val="en-US" w:eastAsia="zh-CN" w:bidi="ar-SA"/>
        </w:rPr>
      </w:pPr>
      <w:r>
        <w:rPr>
          <w:rFonts w:hint="eastAsia" w:ascii="Times New Roman" w:hAnsi="Times New Roman" w:eastAsia="Arial" w:cs="Times New Roman"/>
          <w:b/>
          <w:bCs/>
          <w:snapToGrid w:val="0"/>
          <w:color w:val="000000"/>
          <w:kern w:val="0"/>
          <w:sz w:val="21"/>
          <w:szCs w:val="21"/>
          <w:lang w:val="en-US" w:eastAsia="zh-CN" w:bidi="ar-SA"/>
        </w:rPr>
        <w:t>表3.2-</w:t>
      </w:r>
      <w:r>
        <w:rPr>
          <w:rFonts w:hint="eastAsia" w:ascii="Times New Roman" w:hAnsi="Times New Roman" w:cs="Times New Roman"/>
          <w:b/>
          <w:bCs/>
          <w:snapToGrid w:val="0"/>
          <w:color w:val="000000"/>
          <w:kern w:val="0"/>
          <w:sz w:val="21"/>
          <w:szCs w:val="21"/>
          <w:lang w:val="en-US" w:eastAsia="zh-CN" w:bidi="ar-SA"/>
        </w:rPr>
        <w:t>3</w:t>
      </w:r>
      <w:r>
        <w:rPr>
          <w:rFonts w:hint="eastAsia" w:ascii="Times New Roman" w:hAnsi="Times New Roman" w:eastAsia="Arial" w:cs="Times New Roman"/>
          <w:b/>
          <w:bCs/>
          <w:snapToGrid w:val="0"/>
          <w:color w:val="000000"/>
          <w:kern w:val="0"/>
          <w:sz w:val="21"/>
          <w:szCs w:val="21"/>
          <w:lang w:val="en-US" w:eastAsia="zh-CN" w:bidi="ar-SA"/>
        </w:rPr>
        <w:t xml:space="preserve">  各种施工机械噪声值</w:t>
      </w:r>
      <w:r>
        <w:rPr>
          <w:rFonts w:hint="eastAsia" w:ascii="Times New Roman" w:hAnsi="Times New Roman" w:eastAsia="Arial" w:cs="Times New Roman"/>
          <w:b/>
          <w:bCs/>
          <w:snapToGrid w:val="0"/>
          <w:color w:val="000000"/>
          <w:kern w:val="0"/>
          <w:sz w:val="21"/>
          <w:szCs w:val="21"/>
          <w:lang w:val="en-US" w:eastAsia="zh-CN" w:bidi="ar-SA"/>
        </w:rPr>
        <w:tab/>
      </w:r>
      <w:r>
        <w:rPr>
          <w:rFonts w:hint="eastAsia" w:ascii="Times New Roman" w:hAnsi="Times New Roman" w:eastAsia="Arial" w:cs="Times New Roman"/>
          <w:b/>
          <w:bCs/>
          <w:snapToGrid w:val="0"/>
          <w:color w:val="000000"/>
          <w:kern w:val="0"/>
          <w:sz w:val="21"/>
          <w:szCs w:val="21"/>
          <w:lang w:val="en-US" w:eastAsia="zh-CN" w:bidi="ar-SA"/>
        </w:rPr>
        <w:t>单位：Leq dB(A)</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74"/>
        <w:gridCol w:w="4052"/>
        <w:gridCol w:w="361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6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eastAsia="zh-CN"/>
              </w:rPr>
            </w:pPr>
            <w:r>
              <w:rPr>
                <w:rFonts w:hint="eastAsia" w:ascii="Times New Roman" w:hAnsi="Times New Roman" w:eastAsia="宋体" w:cs="Times New Roman"/>
                <w:b/>
                <w:bCs/>
                <w:color w:val="auto"/>
                <w:sz w:val="21"/>
                <w:szCs w:val="21"/>
                <w:highlight w:val="none"/>
                <w:u w:val="none"/>
                <w:lang w:val="en-US" w:eastAsia="zh-CN"/>
              </w:rPr>
              <w:t>施工阶段</w:t>
            </w:r>
          </w:p>
        </w:tc>
        <w:tc>
          <w:tcPr>
            <w:tcW w:w="20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eastAsia="zh-CN"/>
              </w:rPr>
            </w:pPr>
            <w:r>
              <w:rPr>
                <w:rFonts w:hint="eastAsia" w:ascii="Times New Roman" w:hAnsi="Times New Roman" w:eastAsia="宋体" w:cs="Times New Roman"/>
                <w:b/>
                <w:bCs/>
                <w:color w:val="auto"/>
                <w:sz w:val="21"/>
                <w:szCs w:val="21"/>
                <w:highlight w:val="none"/>
                <w:u w:val="none"/>
                <w:lang w:val="en-US" w:eastAsia="zh-CN"/>
              </w:rPr>
              <w:t>设备名称</w:t>
            </w:r>
          </w:p>
        </w:tc>
        <w:tc>
          <w:tcPr>
            <w:tcW w:w="18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声源强度</w:t>
            </w:r>
          </w:p>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u w:val="none"/>
                <w:lang w:eastAsia="zh-CN"/>
              </w:rPr>
            </w:pPr>
            <w:r>
              <w:rPr>
                <w:rFonts w:hint="eastAsia" w:ascii="Times New Roman" w:hAnsi="Times New Roman" w:eastAsia="宋体" w:cs="Times New Roman"/>
                <w:b/>
                <w:bCs/>
                <w:color w:val="auto"/>
                <w:sz w:val="21"/>
                <w:szCs w:val="21"/>
                <w:highlight w:val="none"/>
                <w:u w:val="none"/>
                <w:lang w:val="en-US" w:eastAsia="zh-CN"/>
              </w:rPr>
              <w:t>dB(A)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6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val="en-US" w:eastAsia="zh-CN"/>
              </w:rPr>
              <w:t>装饰工程</w:t>
            </w:r>
          </w:p>
        </w:tc>
        <w:tc>
          <w:tcPr>
            <w:tcW w:w="20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val="en-US" w:eastAsia="zh-CN"/>
              </w:rPr>
              <w:t>砂轮机</w:t>
            </w:r>
          </w:p>
        </w:tc>
        <w:tc>
          <w:tcPr>
            <w:tcW w:w="18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eastAsia="zh-CN"/>
              </w:rPr>
            </w:pPr>
            <w:r>
              <w:rPr>
                <w:rFonts w:hint="eastAsia" w:ascii="Times New Roman" w:hAnsi="Times New Roman" w:eastAsia="宋体" w:cs="Times New Roman"/>
                <w:b w:val="0"/>
                <w:color w:val="auto"/>
                <w:sz w:val="21"/>
                <w:szCs w:val="21"/>
                <w:highlight w:val="none"/>
                <w:u w:val="none"/>
                <w:lang w:val="en-US" w:eastAsia="zh-CN"/>
              </w:rPr>
              <w:t>87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6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p>
        </w:tc>
        <w:tc>
          <w:tcPr>
            <w:tcW w:w="20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吊车</w:t>
            </w:r>
          </w:p>
        </w:tc>
        <w:tc>
          <w:tcPr>
            <w:tcW w:w="18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6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p>
        </w:tc>
        <w:tc>
          <w:tcPr>
            <w:tcW w:w="20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切割机</w:t>
            </w:r>
          </w:p>
        </w:tc>
        <w:tc>
          <w:tcPr>
            <w:tcW w:w="18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6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p>
        </w:tc>
        <w:tc>
          <w:tcPr>
            <w:tcW w:w="20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电钻</w:t>
            </w:r>
          </w:p>
        </w:tc>
        <w:tc>
          <w:tcPr>
            <w:tcW w:w="18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auto"/>
                <w:sz w:val="21"/>
                <w:szCs w:val="21"/>
                <w:highlight w:val="none"/>
                <w:u w:val="none"/>
                <w:lang w:val="en-US" w:eastAsia="zh-CN"/>
              </w:rPr>
            </w:pPr>
            <w:r>
              <w:rPr>
                <w:rFonts w:hint="eastAsia" w:ascii="Times New Roman" w:hAnsi="Times New Roman" w:eastAsia="宋体" w:cs="Times New Roman"/>
                <w:b w:val="0"/>
                <w:color w:val="auto"/>
                <w:sz w:val="21"/>
                <w:szCs w:val="21"/>
                <w:highlight w:val="none"/>
                <w:u w:val="none"/>
                <w:lang w:val="en-US" w:eastAsia="zh-CN"/>
              </w:rPr>
              <w:t>100</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施工建设单位可通过采取安装减震垫片、消声器、设置建筑物隔音等措施来降低施工噪声，减小对外环境的影响。此外工作人员平时需要加强施工设备的维护，使施工设备运行在良好状态。对环境影响较小。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3.2.1.4</w:t>
      </w:r>
      <w:r>
        <w:rPr>
          <w:rFonts w:hint="default" w:eastAsia="宋体" w:cs="Times New Roman"/>
          <w:b w:val="0"/>
          <w:bCs w:val="0"/>
          <w:snapToGrid w:val="0"/>
          <w:color w:val="000000"/>
          <w:spacing w:val="11"/>
          <w:kern w:val="0"/>
          <w:sz w:val="24"/>
          <w:szCs w:val="24"/>
          <w:lang w:val="en-US" w:eastAsia="zh-CN"/>
        </w:rPr>
        <w:t>施工期固废</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项目施工期产生的固废主要为施工建筑垃圾。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本项目施工过程中产生的建筑垃圾主要包括建筑物建造产生的混凝土、废砖、碎木块、废包装材料等。依据《建筑垃圾的产生与循环利用管理》（环境卫生工程，2006年 8月，第1</w:t>
      </w:r>
      <w:r>
        <w:rPr>
          <w:rFonts w:hint="eastAsia" w:eastAsia="宋体" w:cs="Times New Roman"/>
          <w:b w:val="0"/>
          <w:bCs w:val="0"/>
          <w:snapToGrid w:val="0"/>
          <w:color w:val="000000"/>
          <w:spacing w:val="11"/>
          <w:kern w:val="0"/>
          <w:sz w:val="24"/>
          <w:szCs w:val="24"/>
          <w:lang w:val="en-US" w:eastAsia="zh-CN"/>
        </w:rPr>
        <w:t>4</w:t>
      </w:r>
      <w:r>
        <w:rPr>
          <w:rFonts w:hint="default" w:eastAsia="宋体" w:cs="Times New Roman"/>
          <w:b w:val="0"/>
          <w:bCs w:val="0"/>
          <w:snapToGrid w:val="0"/>
          <w:color w:val="000000"/>
          <w:spacing w:val="11"/>
          <w:kern w:val="0"/>
          <w:sz w:val="24"/>
          <w:szCs w:val="24"/>
          <w:lang w:val="en-US" w:eastAsia="zh-CN"/>
        </w:rPr>
        <w:t>卷第4期，陈军、何品晶等），在单幢建筑物的建造过程中，单位建筑面积的建筑垃圾产生量为20～50kg/m</w:t>
      </w:r>
      <w:r>
        <w:rPr>
          <w:rFonts w:hint="default" w:eastAsia="宋体" w:cs="Times New Roman"/>
          <w:b w:val="0"/>
          <w:bCs w:val="0"/>
          <w:snapToGrid w:val="0"/>
          <w:color w:val="000000"/>
          <w:spacing w:val="11"/>
          <w:kern w:val="0"/>
          <w:sz w:val="24"/>
          <w:szCs w:val="24"/>
          <w:vertAlign w:val="superscript"/>
          <w:lang w:val="en-US" w:eastAsia="zh-CN"/>
        </w:rPr>
        <w:t>2</w:t>
      </w:r>
      <w:r>
        <w:rPr>
          <w:rFonts w:hint="default" w:eastAsia="宋体" w:cs="Times New Roman"/>
          <w:b w:val="0"/>
          <w:bCs w:val="0"/>
          <w:snapToGrid w:val="0"/>
          <w:color w:val="000000"/>
          <w:spacing w:val="11"/>
          <w:kern w:val="0"/>
          <w:sz w:val="24"/>
          <w:szCs w:val="24"/>
          <w:lang w:val="en-US" w:eastAsia="zh-CN"/>
        </w:rPr>
        <w:t>。本项目建筑面积为</w:t>
      </w:r>
      <w:r>
        <w:rPr>
          <w:rFonts w:hint="eastAsia" w:eastAsia="宋体" w:cs="Times New Roman"/>
          <w:b w:val="0"/>
          <w:bCs w:val="0"/>
          <w:snapToGrid w:val="0"/>
          <w:color w:val="000000"/>
          <w:spacing w:val="11"/>
          <w:kern w:val="0"/>
          <w:sz w:val="24"/>
          <w:szCs w:val="24"/>
          <w:lang w:val="en-US" w:eastAsia="zh-CN"/>
        </w:rPr>
        <w:t>4592.7</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2</w:t>
      </w:r>
      <w:r>
        <w:rPr>
          <w:rFonts w:hint="default" w:eastAsia="宋体" w:cs="Times New Roman"/>
          <w:b w:val="0"/>
          <w:bCs w:val="0"/>
          <w:snapToGrid w:val="0"/>
          <w:color w:val="000000"/>
          <w:spacing w:val="11"/>
          <w:kern w:val="0"/>
          <w:sz w:val="24"/>
          <w:szCs w:val="24"/>
          <w:lang w:val="en-US" w:eastAsia="zh-CN"/>
        </w:rPr>
        <w:t>，建筑垃圾产生量取 35kg/m</w:t>
      </w:r>
      <w:r>
        <w:rPr>
          <w:rFonts w:hint="default" w:eastAsia="宋体" w:cs="Times New Roman"/>
          <w:b w:val="0"/>
          <w:bCs w:val="0"/>
          <w:snapToGrid w:val="0"/>
          <w:color w:val="000000"/>
          <w:spacing w:val="11"/>
          <w:kern w:val="0"/>
          <w:sz w:val="24"/>
          <w:szCs w:val="24"/>
          <w:vertAlign w:val="superscript"/>
          <w:lang w:val="en-US" w:eastAsia="zh-CN"/>
        </w:rPr>
        <w:t>2</w:t>
      </w:r>
      <w:r>
        <w:rPr>
          <w:rFonts w:hint="default" w:eastAsia="宋体" w:cs="Times New Roman"/>
          <w:b w:val="0"/>
          <w:bCs w:val="0"/>
          <w:snapToGrid w:val="0"/>
          <w:color w:val="000000"/>
          <w:spacing w:val="11"/>
          <w:kern w:val="0"/>
          <w:sz w:val="24"/>
          <w:szCs w:val="24"/>
          <w:lang w:val="en-US" w:eastAsia="zh-CN"/>
        </w:rPr>
        <w:t>计算，则本项目在施工期将产生建筑垃圾约</w:t>
      </w:r>
      <w:r>
        <w:rPr>
          <w:rFonts w:hint="eastAsia" w:eastAsia="宋体" w:cs="Times New Roman"/>
          <w:b w:val="0"/>
          <w:bCs w:val="0"/>
          <w:snapToGrid w:val="0"/>
          <w:color w:val="000000"/>
          <w:spacing w:val="11"/>
          <w:kern w:val="0"/>
          <w:sz w:val="24"/>
          <w:szCs w:val="24"/>
          <w:lang w:val="en-US" w:eastAsia="zh-CN"/>
        </w:rPr>
        <w:t>160.745</w:t>
      </w:r>
      <w:r>
        <w:rPr>
          <w:rFonts w:hint="default" w:eastAsia="宋体" w:cs="Times New Roman"/>
          <w:b w:val="0"/>
          <w:bCs w:val="0"/>
          <w:snapToGrid w:val="0"/>
          <w:color w:val="000000"/>
          <w:spacing w:val="11"/>
          <w:kern w:val="0"/>
          <w:sz w:val="24"/>
          <w:szCs w:val="24"/>
          <w:lang w:val="en-US" w:eastAsia="zh-CN"/>
        </w:rPr>
        <w:t>t。</w:t>
      </w:r>
    </w:p>
    <w:p>
      <w:pPr>
        <w:pStyle w:val="4"/>
        <w:bidi w:val="0"/>
        <w:rPr>
          <w:rFonts w:hint="default"/>
          <w:lang w:val="en-US" w:eastAsia="zh-CN"/>
        </w:rPr>
      </w:pPr>
      <w:r>
        <w:rPr>
          <w:rFonts w:hint="eastAsia"/>
          <w:lang w:val="en-US" w:eastAsia="zh-CN"/>
        </w:rPr>
        <w:t>3.2.2营运期工程分析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本项目承担着全县疾病预防与控制、突发公共卫生事件应急处置、疫情报告及健康相关因素信息管理、健康危害因素监测与干预、实验室检测分析与评价、健康教育与健康促进、技术管理与应用研究指导等任务。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根据《关于疾病预防控制体系建设的若干规定》（中华人民共和国卫生部令第 40号）第十五条县级疾病预防控制机构主要职责为：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①完成上级下达的疾病预防控制任务，负责辖区内疾病预防控制具体工作的管理和落实；负责辖区内疫苗使用管理，组织实施免疫、消毒、控制病媒生物的危害；</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②负责辖区内突发公共卫生事件的监测调查与信息收集、报告，落实具体控制措施；</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③开展病原微生物常规检验和常见污染物的检验；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④承担卫生行政部门委托的与卫生监督执法相关的检验检测任务；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⑤指导辖区内医疗卫生机构、城市社区卫生组织和农村乡（镇）卫生院开展卫生防病工作，负责考核和评价，对从事疾病预防相关工作人员进行培训；</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⑥负责人疫情和公共卫生健康危害因素监测、报告，指导乡、村和有关部门收集报告疫情；</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⑦开展卫生宣传教育与健康促进活动，普及卫生防病知识。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主要为实验室检验、试验（二级生物安全实验室）：开展传染性疾病病原微生物的检测检验，开展中毒事件的毒物分析，开展疾病和健康危害因素的生物、物理、化学因子的检测、检定和评价，为突发公共卫生事件的应急处置、传染性疾病的诊断、疾病和健康相关危害因素的预防控制等提供技术支撑。</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运营期的工艺流程可分为以下 3 个方面：</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微生物实验室工艺流程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pPr>
      <w:r>
        <w:drawing>
          <wp:inline distT="0" distB="0" distL="114300" distR="114300">
            <wp:extent cx="6184265" cy="2906395"/>
            <wp:effectExtent l="0" t="0" r="6985" b="8255"/>
            <wp:docPr id="1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true"/>
                    </pic:cNvPicPr>
                  </pic:nvPicPr>
                  <pic:blipFill>
                    <a:blip r:embed="rId27"/>
                    <a:stretch>
                      <a:fillRect/>
                    </a:stretch>
                  </pic:blipFill>
                  <pic:spPr>
                    <a:xfrm>
                      <a:off x="0" y="0"/>
                      <a:ext cx="6184265" cy="2906395"/>
                    </a:xfrm>
                    <a:prstGeom prst="rect">
                      <a:avLst/>
                    </a:prstGeom>
                    <a:noFill/>
                    <a:ln>
                      <a:noFill/>
                    </a:ln>
                  </pic:spPr>
                </pic:pic>
              </a:graphicData>
            </a:graphic>
          </wp:inline>
        </w:drawing>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lang w:val="en-US" w:eastAsia="zh-CN"/>
        </w:rPr>
      </w:pPr>
      <w:r>
        <w:rPr>
          <w:rFonts w:hint="eastAsia"/>
          <w:lang w:val="en-US" w:eastAsia="zh-CN"/>
        </w:rPr>
        <w:t>图3.2-2 微生物实验室工艺流程及产污环节图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各送检单位将样品送至实验室，由工作人员接样，样品包括：痰液、大便、尿和血液等；待任务下达实验室后，中心相关工作人员开始进行生物实验检验。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进行细菌检验时，先取样然后进行培养基制备，接种后再进行细菌分离培养，最后在仪器室对细节进行鉴定，出具结果后将实验过程的试验器皿、试验台进行清洗、消毒，并将多余样品、废培养基等废弃物放置在特定容器内，在灭菌室灭菌后运送至医疗废物暂存间，不留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生物实验室主要污染物为含菌气溶胶，仪器清洗环节主要污染物为清洗废水和废培养基、废标本、废一次性用品、多余样品等。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理化实验室工艺流程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pPr>
      <w:r>
        <w:drawing>
          <wp:inline distT="0" distB="0" distL="114300" distR="114300">
            <wp:extent cx="6182995" cy="2485390"/>
            <wp:effectExtent l="0" t="0" r="8255" b="10160"/>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28"/>
                    <a:stretch>
                      <a:fillRect/>
                    </a:stretch>
                  </pic:blipFill>
                  <pic:spPr>
                    <a:xfrm>
                      <a:off x="0" y="0"/>
                      <a:ext cx="6182995" cy="2485390"/>
                    </a:xfrm>
                    <a:prstGeom prst="rect">
                      <a:avLst/>
                    </a:prstGeom>
                    <a:noFill/>
                    <a:ln>
                      <a:noFill/>
                    </a:ln>
                  </pic:spPr>
                </pic:pic>
              </a:graphicData>
            </a:graphic>
          </wp:inline>
        </w:drawing>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pPr>
      <w:r>
        <w:rPr>
          <w:rFonts w:hint="eastAsia"/>
        </w:rPr>
        <w:t>图</w:t>
      </w:r>
      <w:r>
        <w:rPr>
          <w:rFonts w:hint="eastAsia" w:eastAsia="宋体"/>
          <w:lang w:val="en-US" w:eastAsia="zh-CN"/>
        </w:rPr>
        <w:t>3.2-3</w:t>
      </w:r>
      <w:r>
        <w:rPr>
          <w:rFonts w:hint="eastAsia"/>
        </w:rPr>
        <w:t xml:space="preserve"> 理化实验室工艺流程图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各送检单位将样品送至样品暂存室，由工作人员接样，待任务下达实验室后，相关工作人员将样品送至理化实验室，开始进行理化实验的检验。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进行实验前，工作人员对送检样品进行前处理（如通过盐酸、硝酸等消解）后经稀释得到样品溶液，使用标准物质配置标准溶液，溶液配置好后，通过原子吸收分光光度计、紫外可见分光光度计、离子色谱仪等仪器进行上机操作，出具结果（配置样品与标准溶液进行结果对比）；最后对使用过的仪器、器皿和试验台进行清洁。配制样品和标准溶液时主要污染物为试剂废气，仪器清洗环节主要污染物为配置的试剂废液、酸碱废液、清洗废水、废一次性用品、多余样品、废样品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PCR 实验室工艺流程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PCR 实验室又叫基因扩增实验室。PCR 是聚合酶链式反应（Polymerase Chain</w:t>
      </w:r>
      <w:r>
        <w:rPr>
          <w:rFonts w:hint="eastAsia" w:eastAsia="宋体" w:cs="Times New Roman"/>
          <w:b w:val="0"/>
          <w:bCs w:val="0"/>
          <w:snapToGrid w:val="0"/>
          <w:color w:val="000000"/>
          <w:spacing w:val="11"/>
          <w:kern w:val="0"/>
          <w:sz w:val="24"/>
          <w:szCs w:val="24"/>
          <w:lang w:val="en-US" w:eastAsia="zh-CN"/>
        </w:rPr>
        <w:t xml:space="preserve"> </w:t>
      </w:r>
      <w:r>
        <w:rPr>
          <w:rFonts w:hint="default" w:eastAsia="宋体" w:cs="Times New Roman"/>
          <w:b w:val="0"/>
          <w:bCs w:val="0"/>
          <w:snapToGrid w:val="0"/>
          <w:color w:val="000000"/>
          <w:spacing w:val="11"/>
          <w:kern w:val="0"/>
          <w:sz w:val="24"/>
          <w:szCs w:val="24"/>
          <w:lang w:val="en-US" w:eastAsia="zh-CN"/>
        </w:rPr>
        <w:t>Reaction）的简称，是专门用来检验艾滋病、乙型肝炎、禽疫病等病毒感染性疾病的一种检测手段。它可以通过将病毒体内所含的基因进行扩增的方法，测出一些病毒含量不高的感染者体内是否含有特定的病毒。</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eastAsia="宋体" w:cs="Times New Roman"/>
          <w:b w:val="0"/>
          <w:bCs w:val="0"/>
          <w:snapToGrid w:val="0"/>
          <w:color w:val="000000"/>
          <w:spacing w:val="11"/>
          <w:kern w:val="0"/>
          <w:sz w:val="24"/>
          <w:szCs w:val="24"/>
          <w:lang w:val="en-US" w:eastAsia="zh-CN"/>
        </w:rPr>
      </w:pPr>
      <w:r>
        <w:drawing>
          <wp:inline distT="0" distB="0" distL="114300" distR="114300">
            <wp:extent cx="6182995" cy="1365250"/>
            <wp:effectExtent l="0" t="0" r="8255" b="6350"/>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29"/>
                    <a:stretch>
                      <a:fillRect/>
                    </a:stretch>
                  </pic:blipFill>
                  <pic:spPr>
                    <a:xfrm>
                      <a:off x="0" y="0"/>
                      <a:ext cx="6182995" cy="1365250"/>
                    </a:xfrm>
                    <a:prstGeom prst="rect">
                      <a:avLst/>
                    </a:prstGeom>
                    <a:noFill/>
                    <a:ln>
                      <a:noFill/>
                    </a:ln>
                  </pic:spPr>
                </pic:pic>
              </a:graphicData>
            </a:graphic>
          </wp:inline>
        </w:drawing>
      </w:r>
      <w:r>
        <w:rPr>
          <w:rFonts w:hint="eastAsia"/>
        </w:rPr>
        <w:t xml:space="preserve">图 </w:t>
      </w:r>
      <w:r>
        <w:rPr>
          <w:rFonts w:hint="eastAsia" w:eastAsia="宋体"/>
          <w:lang w:val="en-US" w:eastAsia="zh-CN"/>
        </w:rPr>
        <w:t>3.2-4</w:t>
      </w:r>
      <w:r>
        <w:rPr>
          <w:rFonts w:hint="eastAsia"/>
        </w:rPr>
        <w:t xml:space="preserve"> PCR 实验室工艺流程及产污环节图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进行病菌检验时，工作人员先取样然后根据病菌检验项目进行试剂的配置，再进行样品制备，对样品进行扩增后，对产物进行分析，出具结果后将实验过程的试验器皿、试验台进行清洗、消毒，并将多余样品、废产物等废弃物放置在特定容器内，在灭菌室灭菌后运送至医疗废物暂存间暂存，不留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产污环节：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1、废气：实验废气（微生物实验室的废气、PCR 实验室的废气、理化实验室产生的无机废气、有机废气）、污水处理站（臭气浓度、H</w:t>
      </w:r>
      <w:r>
        <w:rPr>
          <w:rFonts w:hint="eastAsia" w:eastAsia="宋体" w:cs="Times New Roman"/>
          <w:b w:val="0"/>
          <w:bCs w:val="0"/>
          <w:snapToGrid w:val="0"/>
          <w:color w:val="000000"/>
          <w:spacing w:val="11"/>
          <w:kern w:val="0"/>
          <w:sz w:val="24"/>
          <w:szCs w:val="24"/>
          <w:vertAlign w:val="subscript"/>
          <w:lang w:val="en-US" w:eastAsia="zh-CN"/>
        </w:rPr>
        <w:t>2</w:t>
      </w:r>
      <w:r>
        <w:rPr>
          <w:rFonts w:hint="eastAsia" w:eastAsia="宋体" w:cs="Times New Roman"/>
          <w:b w:val="0"/>
          <w:bCs w:val="0"/>
          <w:snapToGrid w:val="0"/>
          <w:color w:val="000000"/>
          <w:spacing w:val="11"/>
          <w:kern w:val="0"/>
          <w:sz w:val="24"/>
          <w:szCs w:val="24"/>
          <w:lang w:val="en-US" w:eastAsia="zh-CN"/>
        </w:rPr>
        <w:t>S、NH</w:t>
      </w:r>
      <w:r>
        <w:rPr>
          <w:rFonts w:hint="eastAsia" w:eastAsia="宋体" w:cs="Times New Roman"/>
          <w:b w:val="0"/>
          <w:bCs w:val="0"/>
          <w:snapToGrid w:val="0"/>
          <w:color w:val="000000"/>
          <w:spacing w:val="11"/>
          <w:kern w:val="0"/>
          <w:sz w:val="24"/>
          <w:szCs w:val="24"/>
          <w:vertAlign w:val="subscript"/>
          <w:lang w:val="en-US" w:eastAsia="zh-CN"/>
        </w:rPr>
        <w:t>3</w:t>
      </w:r>
      <w:r>
        <w:rPr>
          <w:rFonts w:hint="eastAsia" w:eastAsia="宋体" w:cs="Times New Roman"/>
          <w:b w:val="0"/>
          <w:bCs w:val="0"/>
          <w:snapToGrid w:val="0"/>
          <w:color w:val="000000"/>
          <w:spacing w:val="11"/>
          <w:kern w:val="0"/>
          <w:sz w:val="24"/>
          <w:szCs w:val="24"/>
          <w:lang w:val="en-US" w:eastAsia="zh-CN"/>
        </w:rPr>
        <w:t>）、汽车尾气（NOx、CO、THC）、柴油发电机尾气、生活垃圾及医疗垃圾暂存间恶臭等；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2、废水：实验室废水（理化实验室、微生物实验室、洗消、高压蒸汽灭菌）、生活污水等。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3、噪声：本项目主要噪声源为风机、水泵、通风设施等设备运行时产生的噪声。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sz w:val="21"/>
          <w:szCs w:val="21"/>
          <w:lang w:val="en-US" w:eastAsia="zh-CN"/>
        </w:rPr>
      </w:pPr>
      <w:r>
        <w:rPr>
          <w:rFonts w:hint="eastAsia" w:eastAsia="宋体" w:cs="Times New Roman"/>
          <w:b w:val="0"/>
          <w:bCs w:val="0"/>
          <w:snapToGrid w:val="0"/>
          <w:color w:val="000000"/>
          <w:spacing w:val="11"/>
          <w:kern w:val="0"/>
          <w:sz w:val="24"/>
          <w:szCs w:val="24"/>
          <w:lang w:val="en-US" w:eastAsia="zh-CN"/>
        </w:rPr>
        <w:t>4、固废：本项目产生的固体废物主要是一般固废、危险废物和生活垃圾。一般固废为纯水制备产生的废活性炭和废反渗透膜；危险废物主要为医疗废物，污水处理站栅格及污泥、废紫外线灯管、废危化品包装物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3.2.2.1废水污染源分析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 xml:space="preserve">1、污水种类及污水水量 </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本项目废水类型主要为实验室废水（理化实验室、 微生物实验室、洗消、高压蒸汽灭菌）、生活污水等</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5"/>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生活污水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项目劳动定员</w:t>
      </w:r>
      <w:r>
        <w:rPr>
          <w:rFonts w:hint="eastAsia" w:eastAsia="宋体" w:cs="Times New Roman"/>
          <w:b w:val="0"/>
          <w:bCs w:val="0"/>
          <w:snapToGrid w:val="0"/>
          <w:color w:val="000000"/>
          <w:spacing w:val="11"/>
          <w:kern w:val="0"/>
          <w:sz w:val="24"/>
          <w:szCs w:val="24"/>
          <w:lang w:val="en-US" w:eastAsia="zh-CN"/>
        </w:rPr>
        <w:t>73</w:t>
      </w:r>
      <w:r>
        <w:rPr>
          <w:rFonts w:hint="default" w:eastAsia="宋体" w:cs="Times New Roman"/>
          <w:b w:val="0"/>
          <w:bCs w:val="0"/>
          <w:snapToGrid w:val="0"/>
          <w:color w:val="000000"/>
          <w:spacing w:val="11"/>
          <w:kern w:val="0"/>
          <w:sz w:val="24"/>
          <w:szCs w:val="24"/>
          <w:lang w:val="en-US" w:eastAsia="zh-CN"/>
        </w:rPr>
        <w:t xml:space="preserve"> 人，厂内</w:t>
      </w:r>
      <w:r>
        <w:rPr>
          <w:rFonts w:hint="eastAsia" w:eastAsia="宋体" w:cs="Times New Roman"/>
          <w:b w:val="0"/>
          <w:bCs w:val="0"/>
          <w:snapToGrid w:val="0"/>
          <w:color w:val="000000"/>
          <w:spacing w:val="11"/>
          <w:kern w:val="0"/>
          <w:sz w:val="24"/>
          <w:szCs w:val="24"/>
          <w:lang w:val="en-US" w:eastAsia="zh-CN"/>
        </w:rPr>
        <w:t>不设</w:t>
      </w:r>
      <w:r>
        <w:rPr>
          <w:rFonts w:hint="default" w:eastAsia="宋体" w:cs="Times New Roman"/>
          <w:b w:val="0"/>
          <w:bCs w:val="0"/>
          <w:snapToGrid w:val="0"/>
          <w:color w:val="000000"/>
          <w:spacing w:val="11"/>
          <w:kern w:val="0"/>
          <w:sz w:val="24"/>
          <w:szCs w:val="24"/>
          <w:lang w:val="en-US" w:eastAsia="zh-CN"/>
        </w:rPr>
        <w:t>食堂，住宿。</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参考《疾病预防控制中心建筑技术规范》（GB50881-2013），办公人员用水取50L/</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人·班</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，则生活用水量为</w:t>
      </w:r>
      <w:r>
        <w:rPr>
          <w:rFonts w:hint="eastAsia" w:eastAsia="宋体" w:cs="Times New Roman"/>
          <w:b w:val="0"/>
          <w:bCs w:val="0"/>
          <w:snapToGrid w:val="0"/>
          <w:color w:val="000000"/>
          <w:spacing w:val="11"/>
          <w:kern w:val="0"/>
          <w:sz w:val="24"/>
          <w:szCs w:val="24"/>
          <w:lang w:val="en-US" w:eastAsia="zh-CN"/>
        </w:rPr>
        <w:t>3.65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912</w:t>
      </w:r>
      <w:r>
        <w:rPr>
          <w:rFonts w:hint="default" w:eastAsia="宋体" w:cs="Times New Roman"/>
          <w:b w:val="0"/>
          <w:bCs w:val="0"/>
          <w:snapToGrid w:val="0"/>
          <w:color w:val="000000"/>
          <w:spacing w:val="11"/>
          <w:kern w:val="0"/>
          <w:sz w:val="24"/>
          <w:szCs w:val="24"/>
          <w:lang w:val="en-US" w:eastAsia="zh-CN"/>
        </w:rPr>
        <w:t>.5m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/a）。废水产生系数取0.8，则生活污水排放量为</w:t>
      </w:r>
      <w:r>
        <w:rPr>
          <w:rFonts w:hint="eastAsia" w:eastAsia="宋体" w:cs="Times New Roman"/>
          <w:b w:val="0"/>
          <w:bCs w:val="0"/>
          <w:snapToGrid w:val="0"/>
          <w:color w:val="000000"/>
          <w:spacing w:val="11"/>
          <w:kern w:val="0"/>
          <w:sz w:val="24"/>
          <w:szCs w:val="24"/>
          <w:lang w:val="en-US" w:eastAsia="zh-CN"/>
        </w:rPr>
        <w:t>2.92</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730</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w:t>
      </w:r>
    </w:p>
    <w:p>
      <w:pPr>
        <w:pStyle w:val="36"/>
        <w:keepNext w:val="0"/>
        <w:keepLines w:val="0"/>
        <w:pageBreakBefore w:val="0"/>
        <w:widowControl w:val="0"/>
        <w:numPr>
          <w:ilvl w:val="0"/>
          <w:numId w:val="5"/>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实验室废水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200" w:right="0" w:rightChars="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项目微生物实验室废水、理化实验室废水统称为实验废水。具体情况分析如下：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200" w:right="0" w:rightChars="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1）微生物实验室废水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微生物实验室废水主要产生于实验结束后的清理冲刷过程。对于具有传染性的器皿经实验室内高压蒸汽灭菌器消毒后，再洗刷。实验室配有高压蒸汽灭菌锅，对有感染性的器具先进行灭菌消毒，后进行洗刷。灭菌时采用高压蒸汽 121℃，102.9kPa，30min灭菌处理，有效灭活病原微生物，高压蒸汽灭菌，不仅可杀死一般的细菌、真菌等微生物，对芽胞、孢子也有杀灭效果，是最可靠、应用最普遍的物理灭菌法。具有传染性的器皿先进行灭菌消毒，再用水进行洗刷产生的废水不具有传染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根据《疾病预防控制中心建筑技术规范》 (GB50881-2013）表6.2.2的规定，生物实验室用水量定额（最高用水量）为 310L/（人·班），本项目微生物实验室职工</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人，每天一班，一班8小时，年工作天数为2</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0天，则微生物实验室用水量为</w:t>
      </w:r>
      <w:r>
        <w:rPr>
          <w:rFonts w:hint="eastAsia" w:eastAsia="宋体" w:cs="Times New Roman"/>
          <w:b w:val="0"/>
          <w:bCs w:val="0"/>
          <w:snapToGrid w:val="0"/>
          <w:color w:val="000000"/>
          <w:spacing w:val="11"/>
          <w:kern w:val="0"/>
          <w:sz w:val="24"/>
          <w:szCs w:val="24"/>
          <w:lang w:val="en-US" w:eastAsia="zh-CN"/>
        </w:rPr>
        <w:t>0.93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232.5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/a。废水量按用水量的85%计，微生物实验室废水量为</w:t>
      </w:r>
      <w:r>
        <w:rPr>
          <w:rFonts w:hint="eastAsia" w:eastAsia="宋体" w:cs="Times New Roman"/>
          <w:b w:val="0"/>
          <w:bCs w:val="0"/>
          <w:snapToGrid w:val="0"/>
          <w:color w:val="000000"/>
          <w:spacing w:val="11"/>
          <w:kern w:val="0"/>
          <w:sz w:val="24"/>
          <w:szCs w:val="24"/>
          <w:lang w:val="en-US" w:eastAsia="zh-CN"/>
        </w:rPr>
        <w:t>0.791</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197.625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理化实验室废水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理化实验室废水主要为检验分析过程产生少量的含酸碱废水以及清洗废水等，主要含硫酸、硝酸、盐酸、烧碱等酸、碱、盐及少量有机溶剂，根据《疾病预防控制中心建筑技术规范》(GB50881-2013)表6.2.2的规定，化学实验室用水量定额(最高用水量)460L/(人·班)，本项目理化实验室职工</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 xml:space="preserve">人，每天一班，一班 8 小时，年工作天数为 </w:t>
      </w:r>
      <w:r>
        <w:rPr>
          <w:rFonts w:hint="default" w:eastAsia="宋体" w:cs="Times New Roman"/>
          <w:b w:val="0"/>
          <w:bCs w:val="0"/>
          <w:snapToGrid w:val="0"/>
          <w:color w:val="auto"/>
          <w:spacing w:val="11"/>
          <w:kern w:val="0"/>
          <w:sz w:val="24"/>
          <w:szCs w:val="24"/>
          <w:lang w:val="en-US" w:eastAsia="zh-CN"/>
        </w:rPr>
        <w:t>2</w:t>
      </w:r>
      <w:r>
        <w:rPr>
          <w:rFonts w:hint="eastAsia" w:eastAsia="宋体" w:cs="Times New Roman"/>
          <w:b w:val="0"/>
          <w:bCs w:val="0"/>
          <w:snapToGrid w:val="0"/>
          <w:color w:val="auto"/>
          <w:spacing w:val="11"/>
          <w:kern w:val="0"/>
          <w:sz w:val="24"/>
          <w:szCs w:val="24"/>
          <w:lang w:val="en-US" w:eastAsia="zh-CN"/>
        </w:rPr>
        <w:t>5</w:t>
      </w:r>
      <w:r>
        <w:rPr>
          <w:rFonts w:hint="default" w:eastAsia="宋体" w:cs="Times New Roman"/>
          <w:b w:val="0"/>
          <w:bCs w:val="0"/>
          <w:snapToGrid w:val="0"/>
          <w:color w:val="auto"/>
          <w:spacing w:val="11"/>
          <w:kern w:val="0"/>
          <w:sz w:val="24"/>
          <w:szCs w:val="24"/>
          <w:lang w:val="en-US" w:eastAsia="zh-CN"/>
        </w:rPr>
        <w:t>0</w:t>
      </w:r>
      <w:r>
        <w:rPr>
          <w:rFonts w:hint="default" w:eastAsia="宋体" w:cs="Times New Roman"/>
          <w:b w:val="0"/>
          <w:bCs w:val="0"/>
          <w:snapToGrid w:val="0"/>
          <w:color w:val="0000FF"/>
          <w:spacing w:val="11"/>
          <w:kern w:val="0"/>
          <w:sz w:val="24"/>
          <w:szCs w:val="24"/>
          <w:lang w:val="en-US" w:eastAsia="zh-CN"/>
        </w:rPr>
        <w:t xml:space="preserve"> </w:t>
      </w:r>
      <w:r>
        <w:rPr>
          <w:rFonts w:hint="default" w:eastAsia="宋体" w:cs="Times New Roman"/>
          <w:b w:val="0"/>
          <w:bCs w:val="0"/>
          <w:snapToGrid w:val="0"/>
          <w:color w:val="000000"/>
          <w:spacing w:val="11"/>
          <w:kern w:val="0"/>
          <w:sz w:val="24"/>
          <w:szCs w:val="24"/>
          <w:lang w:val="en-US" w:eastAsia="zh-CN"/>
        </w:rPr>
        <w:t>天，则理化实验室用水量为</w:t>
      </w:r>
      <w:r>
        <w:rPr>
          <w:rFonts w:hint="eastAsia" w:eastAsia="宋体" w:cs="Times New Roman"/>
          <w:b w:val="0"/>
          <w:bCs w:val="0"/>
          <w:snapToGrid w:val="0"/>
          <w:color w:val="000000"/>
          <w:spacing w:val="11"/>
          <w:kern w:val="0"/>
          <w:sz w:val="24"/>
          <w:szCs w:val="24"/>
          <w:lang w:val="en-US" w:eastAsia="zh-CN"/>
        </w:rPr>
        <w:t>2.3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575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/a，废水量按用水量的 85%计，理化实验室医疗废水量为</w:t>
      </w:r>
      <w:r>
        <w:rPr>
          <w:rFonts w:hint="eastAsia" w:eastAsia="宋体" w:cs="Times New Roman"/>
          <w:b w:val="0"/>
          <w:bCs w:val="0"/>
          <w:snapToGrid w:val="0"/>
          <w:color w:val="000000"/>
          <w:spacing w:val="11"/>
          <w:kern w:val="0"/>
          <w:sz w:val="24"/>
          <w:szCs w:val="24"/>
          <w:lang w:val="en-US" w:eastAsia="zh-CN"/>
        </w:rPr>
        <w:t>1.955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488.75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5"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bCs/>
          <w:snapToGrid w:val="0"/>
          <w:color w:val="000000"/>
          <w:spacing w:val="11"/>
          <w:kern w:val="0"/>
          <w:sz w:val="24"/>
          <w:szCs w:val="24"/>
          <w:lang w:val="en-US" w:eastAsia="zh-CN"/>
        </w:rPr>
        <w:t>高浓度</w:t>
      </w:r>
      <w:r>
        <w:rPr>
          <w:rFonts w:hint="default" w:eastAsia="宋体" w:cs="Times New Roman"/>
          <w:b/>
          <w:bCs/>
          <w:snapToGrid w:val="0"/>
          <w:color w:val="000000"/>
          <w:spacing w:val="11"/>
          <w:kern w:val="0"/>
          <w:sz w:val="24"/>
          <w:szCs w:val="24"/>
          <w:lang w:val="en-US" w:eastAsia="zh-CN"/>
        </w:rPr>
        <w:t>废液</w:t>
      </w:r>
      <w:r>
        <w:rPr>
          <w:rFonts w:hint="default" w:eastAsia="宋体" w:cs="Times New Roman"/>
          <w:b w:val="0"/>
          <w:bCs w:val="0"/>
          <w:snapToGrid w:val="0"/>
          <w:color w:val="000000"/>
          <w:spacing w:val="11"/>
          <w:kern w:val="0"/>
          <w:sz w:val="24"/>
          <w:szCs w:val="24"/>
          <w:lang w:val="en-US" w:eastAsia="zh-CN"/>
        </w:rPr>
        <w:t>：理化实验室会产生</w:t>
      </w:r>
      <w:r>
        <w:rPr>
          <w:rFonts w:hint="eastAsia" w:eastAsia="宋体" w:cs="Times New Roman"/>
          <w:b w:val="0"/>
          <w:bCs w:val="0"/>
          <w:snapToGrid w:val="0"/>
          <w:color w:val="000000"/>
          <w:spacing w:val="11"/>
          <w:kern w:val="0"/>
          <w:sz w:val="24"/>
          <w:szCs w:val="24"/>
          <w:lang w:val="en-US" w:eastAsia="zh-CN"/>
        </w:rPr>
        <w:t>部分</w:t>
      </w:r>
      <w:r>
        <w:rPr>
          <w:rFonts w:hint="default" w:eastAsia="宋体" w:cs="Times New Roman"/>
          <w:b w:val="0"/>
          <w:bCs w:val="0"/>
          <w:snapToGrid w:val="0"/>
          <w:color w:val="000000"/>
          <w:spacing w:val="11"/>
          <w:kern w:val="0"/>
          <w:sz w:val="24"/>
          <w:szCs w:val="24"/>
          <w:lang w:val="en-US" w:eastAsia="zh-CN"/>
        </w:rPr>
        <w:t>试剂废液，这部分废液主要含</w:t>
      </w:r>
      <w:r>
        <w:rPr>
          <w:rFonts w:hint="eastAsia" w:eastAsia="宋体" w:cs="Times New Roman"/>
          <w:b w:val="0"/>
          <w:bCs w:val="0"/>
          <w:snapToGrid w:val="0"/>
          <w:color w:val="000000"/>
          <w:spacing w:val="11"/>
          <w:kern w:val="0"/>
          <w:sz w:val="24"/>
          <w:szCs w:val="24"/>
          <w:lang w:val="en-US" w:eastAsia="zh-CN"/>
        </w:rPr>
        <w:t>有机溶剂、</w:t>
      </w:r>
      <w:r>
        <w:rPr>
          <w:rFonts w:hint="default" w:eastAsia="宋体" w:cs="Times New Roman"/>
          <w:b w:val="0"/>
          <w:bCs w:val="0"/>
          <w:snapToGrid w:val="0"/>
          <w:color w:val="000000"/>
          <w:spacing w:val="11"/>
          <w:kern w:val="0"/>
          <w:sz w:val="24"/>
          <w:szCs w:val="24"/>
          <w:lang w:val="en-US" w:eastAsia="zh-CN"/>
        </w:rPr>
        <w:t>重金属、含氰、含铬，废液产生量小但是单独处理难度较大，成本也高，因此特殊废液直接按危险废物管理，在理化实验室产生特殊废液区域设置有防渗、防腐专用收集桶，收集后作为危险废物暂存于危险废物暂存间内，定期交由有资质的单位处理</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不计入项目污水。根据建设单位提供资料，现有工程实验室废液约为0.2t/a。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C、</w:t>
      </w:r>
      <w:r>
        <w:rPr>
          <w:rFonts w:hint="default" w:eastAsia="宋体" w:cs="Times New Roman"/>
          <w:b w:val="0"/>
          <w:bCs w:val="0"/>
          <w:snapToGrid w:val="0"/>
          <w:color w:val="000000"/>
          <w:spacing w:val="11"/>
          <w:kern w:val="0"/>
          <w:sz w:val="24"/>
          <w:szCs w:val="24"/>
          <w:lang w:val="en-US" w:eastAsia="zh-CN"/>
        </w:rPr>
        <w:t>纯水制备</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项目理化实验室配套一套纯水制备系统，产生的纯水主要用于理化试验和微生物实验。实验室使用纯水量约 2m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500</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 xml:space="preserve">/a。纯水制备系统纯水产水率约为60%，年工作 </w:t>
      </w:r>
      <w:r>
        <w:rPr>
          <w:rFonts w:hint="eastAsia" w:eastAsia="宋体" w:cs="Times New Roman"/>
          <w:b w:val="0"/>
          <w:bCs w:val="0"/>
          <w:snapToGrid w:val="0"/>
          <w:color w:val="000000"/>
          <w:spacing w:val="11"/>
          <w:kern w:val="0"/>
          <w:sz w:val="24"/>
          <w:szCs w:val="24"/>
          <w:lang w:val="en-US" w:eastAsia="zh-CN"/>
        </w:rPr>
        <w:t>250</w:t>
      </w:r>
      <w:r>
        <w:rPr>
          <w:rFonts w:hint="default" w:eastAsia="宋体" w:cs="Times New Roman"/>
          <w:b w:val="0"/>
          <w:bCs w:val="0"/>
          <w:snapToGrid w:val="0"/>
          <w:color w:val="000000"/>
          <w:spacing w:val="11"/>
          <w:kern w:val="0"/>
          <w:sz w:val="24"/>
          <w:szCs w:val="24"/>
          <w:lang w:val="en-US" w:eastAsia="zh-CN"/>
        </w:rPr>
        <w:t>天，则自来水用水量约为3.3</w:t>
      </w:r>
      <w:r>
        <w:rPr>
          <w:rFonts w:hint="eastAsia" w:eastAsia="宋体" w:cs="Times New Roman"/>
          <w:b w:val="0"/>
          <w:bCs w:val="0"/>
          <w:snapToGrid w:val="0"/>
          <w:color w:val="000000"/>
          <w:spacing w:val="11"/>
          <w:kern w:val="0"/>
          <w:sz w:val="24"/>
          <w:szCs w:val="24"/>
          <w:lang w:val="en-US" w:eastAsia="zh-CN"/>
        </w:rPr>
        <w:t>33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833.25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/a。其浓盐水产生量为自来水用水量的40%计，则浓盐水产生量为1.3</w:t>
      </w:r>
      <w:r>
        <w:rPr>
          <w:rFonts w:hint="eastAsia" w:eastAsia="宋体" w:cs="Times New Roman"/>
          <w:b w:val="0"/>
          <w:bCs w:val="0"/>
          <w:snapToGrid w:val="0"/>
          <w:color w:val="000000"/>
          <w:spacing w:val="11"/>
          <w:kern w:val="0"/>
          <w:sz w:val="24"/>
          <w:szCs w:val="24"/>
          <w:lang w:val="en-US" w:eastAsia="zh-CN"/>
        </w:rPr>
        <w:t>33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333.25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 xml:space="preserve">项目水平衡如图 </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.2-</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 xml:space="preserve"> 所示</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both"/>
        <w:textAlignment w:val="auto"/>
        <w:rPr>
          <w:rFonts w:eastAsia="宋体"/>
          <w:color w:val="000000"/>
          <w:sz w:val="21"/>
        </w:rPr>
      </w:pPr>
      <w:r>
        <w:rPr>
          <w:rFonts w:eastAsia="宋体"/>
          <w:color w:val="000000"/>
          <w:sz w:val="21"/>
        </w:rPr>
        <mc:AlternateContent>
          <mc:Choice Requires="wpc">
            <w:drawing>
              <wp:inline distT="0" distB="0" distL="114300" distR="114300">
                <wp:extent cx="6198235" cy="2976245"/>
                <wp:effectExtent l="0" t="0" r="12065" b="0"/>
                <wp:docPr id="192" name="画布 192"/>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2" name="文本框 2"/>
                        <wps:cNvSpPr txBox="true"/>
                        <wps:spPr>
                          <a:xfrm>
                            <a:off x="20320" y="1776730"/>
                            <a:ext cx="614680" cy="301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新</w:t>
                              </w:r>
                              <w:r>
                                <w:rPr>
                                  <w:rFonts w:hint="eastAsia" w:eastAsia="宋体"/>
                                  <w:lang w:val="en-US" w:eastAsia="zh-CN"/>
                                </w:rPr>
                                <w:t>鲜</w:t>
                              </w:r>
                              <w:r>
                                <w:rPr>
                                  <w:rFonts w:hint="eastAsia"/>
                                </w:rPr>
                                <w:t>水</w:t>
                              </w:r>
                            </w:p>
                          </w:txbxContent>
                        </wps:txbx>
                        <wps:bodyPr upright="true"/>
                      </wps:wsp>
                      <wps:wsp>
                        <wps:cNvPr id="145" name="文本框 145"/>
                        <wps:cNvSpPr txBox="true"/>
                        <wps:spPr>
                          <a:xfrm>
                            <a:off x="1521811" y="358775"/>
                            <a:ext cx="779960" cy="300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生活用水</w:t>
                              </w:r>
                            </w:p>
                          </w:txbxContent>
                        </wps:txbx>
                        <wps:bodyPr upright="true"/>
                      </wps:wsp>
                      <wps:wsp>
                        <wps:cNvPr id="146" name="文本框 146"/>
                        <wps:cNvSpPr txBox="true"/>
                        <wps:spPr>
                          <a:xfrm>
                            <a:off x="2771140" y="358775"/>
                            <a:ext cx="610235" cy="300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化粪池</w:t>
                              </w:r>
                            </w:p>
                          </w:txbxContent>
                        </wps:txbx>
                        <wps:bodyPr upright="true"/>
                      </wps:wsp>
                      <wps:wsp>
                        <wps:cNvPr id="147" name="文本框 147"/>
                        <wps:cNvSpPr txBox="true"/>
                        <wps:spPr>
                          <a:xfrm>
                            <a:off x="1521811" y="987425"/>
                            <a:ext cx="1076574" cy="300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rPr>
                              </w:pPr>
                              <w:r>
                                <w:rPr>
                                  <w:rFonts w:hint="eastAsia" w:eastAsia="宋体"/>
                                  <w:lang w:val="en-US" w:eastAsia="zh-CN"/>
                                </w:rPr>
                                <w:t>生物实验室</w:t>
                              </w:r>
                            </w:p>
                          </w:txbxContent>
                        </wps:txbx>
                        <wps:bodyPr upright="true"/>
                      </wps:wsp>
                      <wps:wsp>
                        <wps:cNvPr id="148" name="文本框 148"/>
                        <wps:cNvSpPr txBox="true"/>
                        <wps:spPr>
                          <a:xfrm>
                            <a:off x="3663950" y="987425"/>
                            <a:ext cx="141287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eastAsia="宋体"/>
                                  <w:lang w:val="en-US" w:eastAsia="zh-CN"/>
                                </w:rPr>
                                <w:t>污水处理设施</w:t>
                              </w:r>
                            </w:p>
                          </w:txbxContent>
                        </wps:txbx>
                        <wps:bodyPr upright="true"/>
                      </wps:wsp>
                      <wps:wsp>
                        <wps:cNvPr id="149" name="文本框 149"/>
                        <wps:cNvSpPr txBox="true"/>
                        <wps:spPr>
                          <a:xfrm>
                            <a:off x="1520825" y="2467610"/>
                            <a:ext cx="93027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eastAsia="宋体"/>
                                  <w:lang w:val="en-US" w:eastAsia="zh-CN"/>
                                </w:rPr>
                                <w:t>理化实验室</w:t>
                              </w:r>
                            </w:p>
                          </w:txbxContent>
                        </wps:txbx>
                        <wps:bodyPr upright="true"/>
                      </wps:wsp>
                      <wps:wsp>
                        <wps:cNvPr id="151" name="直接箭头连接符 151"/>
                        <wps:cNvCnPr/>
                        <wps:spPr>
                          <a:xfrm>
                            <a:off x="2301772" y="509270"/>
                            <a:ext cx="507482" cy="635"/>
                          </a:xfrm>
                          <a:prstGeom prst="straightConnector1">
                            <a:avLst/>
                          </a:prstGeom>
                          <a:ln w="9525" cap="flat" cmpd="sng">
                            <a:solidFill>
                              <a:srgbClr val="000000"/>
                            </a:solidFill>
                            <a:prstDash val="solid"/>
                            <a:headEnd type="none" w="med" len="med"/>
                            <a:tailEnd type="triangle" w="med" len="med"/>
                          </a:ln>
                          <a:effectLst/>
                        </wps:spPr>
                        <wps:bodyPr/>
                      </wps:wsp>
                      <wps:wsp>
                        <wps:cNvPr id="152" name="文本框 152"/>
                        <wps:cNvSpPr txBox="true"/>
                        <wps:spPr>
                          <a:xfrm>
                            <a:off x="3728085" y="344805"/>
                            <a:ext cx="1276350" cy="318770"/>
                          </a:xfrm>
                          <a:prstGeom prst="rect">
                            <a:avLst/>
                          </a:prstGeom>
                          <a:solidFill>
                            <a:srgbClr val="FFFFFF"/>
                          </a:solidFill>
                          <a:ln>
                            <a:solidFill>
                              <a:schemeClr val="tx1"/>
                            </a:solidFill>
                          </a:ln>
                          <a:effectLst/>
                        </wps:spPr>
                        <wps:txbx>
                          <w:txbxContent>
                            <w:p>
                              <w:pPr>
                                <w:jc w:val="center"/>
                                <w:rPr>
                                  <w:rFonts w:hint="default" w:eastAsia="宋体"/>
                                  <w:lang w:val="en-US" w:eastAsia="zh-CN"/>
                                </w:rPr>
                              </w:pPr>
                              <w:r>
                                <w:rPr>
                                  <w:rFonts w:hint="eastAsia" w:eastAsia="宋体"/>
                                  <w:lang w:val="en-US" w:eastAsia="zh-CN"/>
                                </w:rPr>
                                <w:t>宁远县污水处理厂</w:t>
                              </w:r>
                            </w:p>
                          </w:txbxContent>
                        </wps:txbx>
                        <wps:bodyPr upright="true"/>
                      </wps:wsp>
                      <wps:wsp>
                        <wps:cNvPr id="153" name="直接箭头连接符 153"/>
                        <wps:cNvCnPr>
                          <a:stCxn id="146" idx="3"/>
                          <a:endCxn id="152" idx="1"/>
                        </wps:cNvCnPr>
                        <wps:spPr>
                          <a:xfrm flipV="true">
                            <a:off x="3381569" y="504190"/>
                            <a:ext cx="346710" cy="5080"/>
                          </a:xfrm>
                          <a:prstGeom prst="straightConnector1">
                            <a:avLst/>
                          </a:prstGeom>
                          <a:ln w="9525" cap="flat" cmpd="sng">
                            <a:solidFill>
                              <a:srgbClr val="000000"/>
                            </a:solidFill>
                            <a:prstDash val="solid"/>
                            <a:headEnd type="none" w="med" len="med"/>
                            <a:tailEnd type="triangle" w="med" len="med"/>
                          </a:ln>
                          <a:effectLst/>
                        </wps:spPr>
                        <wps:bodyPr/>
                      </wps:wsp>
                      <wps:wsp>
                        <wps:cNvPr id="154" name="文本框 154"/>
                        <wps:cNvSpPr txBox="true"/>
                        <wps:spPr>
                          <a:xfrm>
                            <a:off x="2111228" y="0"/>
                            <a:ext cx="487158" cy="253365"/>
                          </a:xfrm>
                          <a:prstGeom prst="rect">
                            <a:avLst/>
                          </a:prstGeom>
                          <a:noFill/>
                          <a:ln>
                            <a:noFill/>
                          </a:ln>
                          <a:effectLst/>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182.5</w:t>
                              </w:r>
                            </w:p>
                          </w:txbxContent>
                        </wps:txbx>
                        <wps:bodyPr upright="true"/>
                      </wps:wsp>
                      <wps:wsp>
                        <wps:cNvPr id="155" name="曲线连接符 155"/>
                        <wps:cNvCnPr/>
                        <wps:spPr>
                          <a:xfrm rot="-5400000">
                            <a:off x="1885110" y="133345"/>
                            <a:ext cx="231829" cy="199390"/>
                          </a:xfrm>
                          <a:prstGeom prst="curvedConnector2">
                            <a:avLst/>
                          </a:prstGeom>
                          <a:ln w="9525" cap="flat" cmpd="sng">
                            <a:solidFill>
                              <a:srgbClr val="000000"/>
                            </a:solidFill>
                            <a:prstDash val="solid"/>
                            <a:headEnd type="none" w="med" len="med"/>
                            <a:tailEnd type="triangle" w="med" len="med"/>
                          </a:ln>
                        </wps:spPr>
                        <wps:bodyPr/>
                      </wps:wsp>
                      <wps:wsp>
                        <wps:cNvPr id="156" name="文本框 156"/>
                        <wps:cNvSpPr txBox="true"/>
                        <wps:spPr>
                          <a:xfrm>
                            <a:off x="2301772" y="256540"/>
                            <a:ext cx="487158"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730</w:t>
                              </w:r>
                            </w:p>
                          </w:txbxContent>
                        </wps:txbx>
                        <wps:bodyPr upright="true"/>
                      </wps:wsp>
                      <wps:wsp>
                        <wps:cNvPr id="157" name="文本框 157"/>
                        <wps:cNvSpPr txBox="true"/>
                        <wps:spPr>
                          <a:xfrm>
                            <a:off x="3345815" y="304165"/>
                            <a:ext cx="487680"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730</w:t>
                              </w:r>
                            </w:p>
                          </w:txbxContent>
                        </wps:txbx>
                        <wps:bodyPr upright="true"/>
                      </wps:wsp>
                      <wps:wsp>
                        <wps:cNvPr id="158" name="文本框 158"/>
                        <wps:cNvSpPr txBox="true"/>
                        <wps:spPr>
                          <a:xfrm>
                            <a:off x="1034654" y="296545"/>
                            <a:ext cx="487158"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912.5</w:t>
                              </w:r>
                            </w:p>
                          </w:txbxContent>
                        </wps:txbx>
                        <wps:bodyPr upright="true"/>
                      </wps:wsp>
                      <wps:wsp>
                        <wps:cNvPr id="159" name="文本框 159"/>
                        <wps:cNvSpPr txBox="true"/>
                        <wps:spPr>
                          <a:xfrm>
                            <a:off x="2664460" y="884555"/>
                            <a:ext cx="715010"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197.625</w:t>
                              </w:r>
                            </w:p>
                          </w:txbxContent>
                        </wps:txbx>
                        <wps:bodyPr upright="true"/>
                      </wps:wsp>
                      <wps:wsp>
                        <wps:cNvPr id="160" name="文本框 160"/>
                        <wps:cNvSpPr txBox="true"/>
                        <wps:spPr>
                          <a:xfrm>
                            <a:off x="2177415" y="628650"/>
                            <a:ext cx="657860"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34.875</w:t>
                              </w:r>
                            </w:p>
                          </w:txbxContent>
                        </wps:txbx>
                        <wps:bodyPr upright="true"/>
                      </wps:wsp>
                      <wps:wsp>
                        <wps:cNvPr id="161" name="曲线连接符 161"/>
                        <wps:cNvCnPr/>
                        <wps:spPr>
                          <a:xfrm rot="-5400000">
                            <a:off x="1951166" y="761995"/>
                            <a:ext cx="231829" cy="199390"/>
                          </a:xfrm>
                          <a:prstGeom prst="curvedConnector2">
                            <a:avLst/>
                          </a:prstGeom>
                          <a:ln w="9525" cap="flat" cmpd="sng">
                            <a:solidFill>
                              <a:srgbClr val="000000"/>
                            </a:solidFill>
                            <a:prstDash val="solid"/>
                            <a:headEnd type="none" w="med" len="med"/>
                            <a:tailEnd type="triangle" w="med" len="med"/>
                          </a:ln>
                        </wps:spPr>
                        <wps:bodyPr/>
                      </wps:wsp>
                      <wps:wsp>
                        <wps:cNvPr id="162" name="直接箭头连接符 162"/>
                        <wps:cNvCnPr>
                          <a:stCxn id="147" idx="3"/>
                          <a:endCxn id="148" idx="1"/>
                        </wps:cNvCnPr>
                        <wps:spPr>
                          <a:xfrm flipV="true">
                            <a:off x="2598387" y="1137285"/>
                            <a:ext cx="1065530" cy="635"/>
                          </a:xfrm>
                          <a:prstGeom prst="straightConnector1">
                            <a:avLst/>
                          </a:prstGeom>
                          <a:ln w="9525" cap="flat" cmpd="sng">
                            <a:solidFill>
                              <a:srgbClr val="000000"/>
                            </a:solidFill>
                            <a:prstDash val="solid"/>
                            <a:headEnd type="none" w="med" len="med"/>
                            <a:tailEnd type="triangle" w="med" len="med"/>
                          </a:ln>
                          <a:effectLst/>
                        </wps:spPr>
                        <wps:bodyPr/>
                      </wps:wsp>
                      <wps:wsp>
                        <wps:cNvPr id="164" name="文本框 164"/>
                        <wps:cNvSpPr txBox="true"/>
                        <wps:spPr>
                          <a:xfrm>
                            <a:off x="2228215" y="1682115"/>
                            <a:ext cx="591820" cy="253365"/>
                          </a:xfrm>
                          <a:prstGeom prst="rect">
                            <a:avLst/>
                          </a:prstGeom>
                          <a:noFill/>
                          <a:ln>
                            <a:noFill/>
                          </a:ln>
                          <a:effectLst/>
                        </wps:spPr>
                        <wps:txbx>
                          <w:txbxContent>
                            <w:p>
                              <w:pPr>
                                <w:rPr>
                                  <w:rFonts w:hint="default" w:eastAsia="宋体"/>
                                  <w:lang w:val="en-US" w:eastAsia="zh-CN"/>
                                </w:rPr>
                              </w:pPr>
                              <w:r>
                                <w:rPr>
                                  <w:rFonts w:hint="eastAsia" w:ascii="Times New Roman" w:hAnsi="Times New Roman" w:eastAsia="宋体" w:cs="Times New Roman"/>
                                  <w:lang w:val="en-US" w:eastAsia="zh-CN"/>
                                </w:rPr>
                                <w:t>333.25</w:t>
                              </w:r>
                            </w:p>
                          </w:txbxContent>
                        </wps:txbx>
                        <wps:bodyPr upright="true"/>
                      </wps:wsp>
                      <wps:wsp>
                        <wps:cNvPr id="165" name="文本框 165"/>
                        <wps:cNvSpPr txBox="true"/>
                        <wps:spPr>
                          <a:xfrm>
                            <a:off x="1034415" y="884555"/>
                            <a:ext cx="553085"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107.5</w:t>
                              </w:r>
                            </w:p>
                          </w:txbxContent>
                        </wps:txbx>
                        <wps:bodyPr upright="true"/>
                      </wps:wsp>
                      <wps:wsp>
                        <wps:cNvPr id="169" name="文本框 169"/>
                        <wps:cNvSpPr txBox="true"/>
                        <wps:spPr>
                          <a:xfrm>
                            <a:off x="2987040" y="2418080"/>
                            <a:ext cx="800100"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488.75</w:t>
                              </w:r>
                            </w:p>
                          </w:txbxContent>
                        </wps:txbx>
                        <wps:bodyPr upright="true"/>
                      </wps:wsp>
                      <wps:wsp>
                        <wps:cNvPr id="173" name="文本框 173"/>
                        <wps:cNvSpPr txBox="true"/>
                        <wps:spPr>
                          <a:xfrm>
                            <a:off x="1873250" y="1400175"/>
                            <a:ext cx="694690"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125</w:t>
                              </w:r>
                            </w:p>
                          </w:txbxContent>
                        </wps:txbx>
                        <wps:bodyPr upright="true"/>
                      </wps:wsp>
                      <wps:wsp>
                        <wps:cNvPr id="174" name="文本框 174"/>
                        <wps:cNvSpPr txBox="true"/>
                        <wps:spPr>
                          <a:xfrm>
                            <a:off x="1035050" y="2402205"/>
                            <a:ext cx="762635"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w:t>
                              </w:r>
                            </w:p>
                          </w:txbxContent>
                        </wps:txbx>
                        <wps:bodyPr upright="true"/>
                      </wps:wsp>
                      <wps:wsp>
                        <wps:cNvPr id="175" name="文本框 175"/>
                        <wps:cNvSpPr txBox="true"/>
                        <wps:spPr>
                          <a:xfrm>
                            <a:off x="508000" y="1589405"/>
                            <a:ext cx="548640" cy="20383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2053.25</w:t>
                              </w:r>
                            </w:p>
                          </w:txbxContent>
                        </wps:txbx>
                        <wps:bodyPr lIns="0" tIns="0" rIns="0" bIns="0" upright="true"/>
                      </wps:wsp>
                      <wps:wsp>
                        <wps:cNvPr id="176" name="直接箭头连接符 176"/>
                        <wps:cNvCnPr/>
                        <wps:spPr>
                          <a:xfrm>
                            <a:off x="1088641" y="1149985"/>
                            <a:ext cx="442697" cy="4445"/>
                          </a:xfrm>
                          <a:prstGeom prst="straightConnector1">
                            <a:avLst/>
                          </a:prstGeom>
                          <a:ln w="9525" cap="flat" cmpd="sng">
                            <a:solidFill>
                              <a:srgbClr val="000000"/>
                            </a:solidFill>
                            <a:prstDash val="solid"/>
                            <a:headEnd type="none" w="med" len="med"/>
                            <a:tailEnd type="triangle" w="med" len="med"/>
                          </a:ln>
                          <a:effectLst/>
                        </wps:spPr>
                        <wps:bodyPr/>
                      </wps:wsp>
                      <wps:wsp>
                        <wps:cNvPr id="177" name="直接箭头连接符 177"/>
                        <wps:cNvCnPr/>
                        <wps:spPr>
                          <a:xfrm>
                            <a:off x="1087120" y="2622550"/>
                            <a:ext cx="443230" cy="4445"/>
                          </a:xfrm>
                          <a:prstGeom prst="straightConnector1">
                            <a:avLst/>
                          </a:prstGeom>
                          <a:ln w="9525" cap="flat" cmpd="sng">
                            <a:solidFill>
                              <a:srgbClr val="000000"/>
                            </a:solidFill>
                            <a:prstDash val="solid"/>
                            <a:headEnd type="none" w="med" len="med"/>
                            <a:tailEnd type="triangle" w="med" len="med"/>
                          </a:ln>
                          <a:effectLst/>
                        </wps:spPr>
                        <wps:bodyPr/>
                      </wps:wsp>
                      <wps:wsp>
                        <wps:cNvPr id="178" name="直接箭头连接符 178"/>
                        <wps:cNvCnPr/>
                        <wps:spPr>
                          <a:xfrm>
                            <a:off x="1077844" y="557530"/>
                            <a:ext cx="442697" cy="4445"/>
                          </a:xfrm>
                          <a:prstGeom prst="straightConnector1">
                            <a:avLst/>
                          </a:prstGeom>
                          <a:ln w="9525" cap="flat" cmpd="sng">
                            <a:solidFill>
                              <a:srgbClr val="000000"/>
                            </a:solidFill>
                            <a:prstDash val="solid"/>
                            <a:headEnd type="none" w="med" len="med"/>
                            <a:tailEnd type="triangle" w="med" len="med"/>
                          </a:ln>
                          <a:effectLst/>
                        </wps:spPr>
                        <wps:bodyPr/>
                      </wps:wsp>
                      <wps:wsp>
                        <wps:cNvPr id="179" name="直接箭头连接符 179"/>
                        <wps:cNvCnPr/>
                        <wps:spPr>
                          <a:xfrm>
                            <a:off x="658495" y="1961515"/>
                            <a:ext cx="368935" cy="8890"/>
                          </a:xfrm>
                          <a:prstGeom prst="straightConnector1">
                            <a:avLst/>
                          </a:prstGeom>
                          <a:ln w="9525" cap="flat" cmpd="sng">
                            <a:solidFill>
                              <a:srgbClr val="000000"/>
                            </a:solidFill>
                            <a:prstDash val="solid"/>
                            <a:headEnd type="none" w="med" len="med"/>
                            <a:tailEnd type="triangle" w="med" len="med"/>
                          </a:ln>
                          <a:effectLst/>
                        </wps:spPr>
                        <wps:bodyPr/>
                      </wps:wsp>
                      <wps:wsp>
                        <wps:cNvPr id="180" name="直接箭头连接符 180"/>
                        <wps:cNvCnPr/>
                        <wps:spPr>
                          <a:xfrm>
                            <a:off x="1034654" y="423545"/>
                            <a:ext cx="20960" cy="1429386"/>
                          </a:xfrm>
                          <a:prstGeom prst="straightConnector1">
                            <a:avLst/>
                          </a:prstGeom>
                          <a:ln>
                            <a:noFill/>
                          </a:ln>
                          <a:effectLst/>
                        </wps:spPr>
                        <wps:bodyPr/>
                      </wps:wsp>
                      <wps:wsp>
                        <wps:cNvPr id="181" name="直接箭头连接符 181"/>
                        <wps:cNvCnPr/>
                        <wps:spPr>
                          <a:xfrm>
                            <a:off x="1034654" y="423545"/>
                            <a:ext cx="20960" cy="1429386"/>
                          </a:xfrm>
                          <a:prstGeom prst="straightConnector1">
                            <a:avLst/>
                          </a:prstGeom>
                          <a:ln>
                            <a:noFill/>
                          </a:ln>
                          <a:effectLst/>
                        </wps:spPr>
                        <wps:bodyPr/>
                      </wps:wsp>
                      <wps:wsp>
                        <wps:cNvPr id="182" name="直接箭头连接符 182"/>
                        <wps:cNvCnPr/>
                        <wps:spPr>
                          <a:xfrm flipH="true">
                            <a:off x="1065777" y="541020"/>
                            <a:ext cx="2540" cy="2085975"/>
                          </a:xfrm>
                          <a:prstGeom prst="straightConnector1">
                            <a:avLst/>
                          </a:prstGeom>
                          <a:ln w="9525" cap="flat" cmpd="sng">
                            <a:solidFill>
                              <a:srgbClr val="000000"/>
                            </a:solidFill>
                            <a:prstDash val="solid"/>
                            <a:headEnd type="none" w="med" len="med"/>
                            <a:tailEnd type="none" w="med" len="med"/>
                          </a:ln>
                          <a:effectLst/>
                        </wps:spPr>
                        <wps:bodyPr/>
                      </wps:wsp>
                      <wps:wsp>
                        <wps:cNvPr id="187" name="曲线连接符 187"/>
                        <wps:cNvCnPr/>
                        <wps:spPr>
                          <a:xfrm rot="-5400000">
                            <a:off x="2237105" y="2265680"/>
                            <a:ext cx="231775" cy="199390"/>
                          </a:xfrm>
                          <a:prstGeom prst="curvedConnector2">
                            <a:avLst/>
                          </a:prstGeom>
                          <a:ln w="9525" cap="flat" cmpd="sng">
                            <a:solidFill>
                              <a:srgbClr val="000000"/>
                            </a:solidFill>
                            <a:prstDash val="solid"/>
                            <a:headEnd type="none" w="med" len="med"/>
                            <a:tailEnd type="triangle" w="med" len="med"/>
                          </a:ln>
                        </wps:spPr>
                        <wps:bodyPr/>
                      </wps:wsp>
                      <wps:wsp>
                        <wps:cNvPr id="188" name="肘形连接符 188"/>
                        <wps:cNvCnPr>
                          <a:stCxn id="149" idx="3"/>
                          <a:endCxn id="148" idx="2"/>
                        </wps:cNvCnPr>
                        <wps:spPr>
                          <a:xfrm flipV="true">
                            <a:off x="2451100" y="1287145"/>
                            <a:ext cx="1919605" cy="1330325"/>
                          </a:xfrm>
                          <a:prstGeom prst="bentConnector2">
                            <a:avLst/>
                          </a:prstGeom>
                          <a:ln w="9525" cap="flat" cmpd="sng">
                            <a:solidFill>
                              <a:srgbClr val="000000"/>
                            </a:solidFill>
                            <a:prstDash val="solid"/>
                            <a:miter/>
                            <a:headEnd type="none" w="med" len="med"/>
                            <a:tailEnd type="triangle" w="med" len="med"/>
                          </a:ln>
                          <a:effectLst/>
                        </wps:spPr>
                        <wps:bodyPr/>
                      </wps:wsp>
                      <wps:wsp>
                        <wps:cNvPr id="189" name="文本框 189"/>
                        <wps:cNvSpPr txBox="true"/>
                        <wps:spPr>
                          <a:xfrm>
                            <a:off x="2389505" y="2132330"/>
                            <a:ext cx="535305"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86.25</w:t>
                              </w:r>
                            </w:p>
                          </w:txbxContent>
                        </wps:txbx>
                        <wps:bodyPr upright="true"/>
                      </wps:wsp>
                      <wps:wsp>
                        <wps:cNvPr id="190" name="文本框 190"/>
                        <wps:cNvSpPr txBox="true"/>
                        <wps:spPr>
                          <a:xfrm>
                            <a:off x="1875155" y="2075180"/>
                            <a:ext cx="544195" cy="253365"/>
                          </a:xfrm>
                          <a:prstGeom prst="rect">
                            <a:avLst/>
                          </a:prstGeom>
                          <a:noFill/>
                          <a:ln>
                            <a:noFill/>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375</w:t>
                              </w:r>
                            </w:p>
                          </w:txbxContent>
                        </wps:txbx>
                        <wps:bodyPr upright="true"/>
                      </wps:wsp>
                      <wps:wsp>
                        <wps:cNvPr id="191" name="文本框 191"/>
                        <wps:cNvSpPr txBox="true"/>
                        <wps:spPr>
                          <a:xfrm>
                            <a:off x="989330" y="1665605"/>
                            <a:ext cx="592455" cy="253365"/>
                          </a:xfrm>
                          <a:prstGeom prst="rect">
                            <a:avLst/>
                          </a:prstGeom>
                          <a:noFill/>
                          <a:ln>
                            <a:noFill/>
                          </a:ln>
                          <a:effectLst/>
                        </wps:spPr>
                        <wps:txbx>
                          <w:txbxContent>
                            <w:p>
                              <w:pPr>
                                <w:rPr>
                                  <w:rFonts w:hint="default" w:eastAsia="宋体"/>
                                  <w:lang w:val="en-US" w:eastAsia="zh-CN"/>
                                </w:rPr>
                              </w:pPr>
                              <w:r>
                                <w:rPr>
                                  <w:rFonts w:hint="eastAsia" w:ascii="Times New Roman" w:hAnsi="Times New Roman" w:eastAsia="宋体" w:cs="Times New Roman"/>
                                  <w:lang w:val="en-US" w:eastAsia="zh-CN"/>
                                </w:rPr>
                                <w:t>833.25</w:t>
                              </w:r>
                            </w:p>
                          </w:txbxContent>
                        </wps:txbx>
                        <wps:bodyPr upright="true"/>
                      </wps:wsp>
                      <wps:wsp>
                        <wps:cNvPr id="193" name="文本框 193"/>
                        <wps:cNvSpPr txBox="true"/>
                        <wps:spPr>
                          <a:xfrm>
                            <a:off x="1522730" y="1760855"/>
                            <a:ext cx="778510"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rPr>
                              </w:pPr>
                              <w:r>
                                <w:rPr>
                                  <w:rFonts w:hint="eastAsia" w:eastAsia="宋体"/>
                                  <w:lang w:val="en-US" w:eastAsia="zh-CN"/>
                                </w:rPr>
                                <w:t>纯水制备</w:t>
                              </w:r>
                            </w:p>
                          </w:txbxContent>
                        </wps:txbx>
                        <wps:bodyPr upright="true"/>
                      </wps:wsp>
                      <wps:wsp>
                        <wps:cNvPr id="194" name="直接箭头连接符 194"/>
                        <wps:cNvCnPr>
                          <a:endCxn id="193" idx="1"/>
                        </wps:cNvCnPr>
                        <wps:spPr>
                          <a:xfrm>
                            <a:off x="1103630" y="1906905"/>
                            <a:ext cx="419100" cy="3810"/>
                          </a:xfrm>
                          <a:prstGeom prst="straightConnector1">
                            <a:avLst/>
                          </a:prstGeom>
                          <a:ln w="9525" cap="flat" cmpd="sng">
                            <a:solidFill>
                              <a:srgbClr val="000000"/>
                            </a:solidFill>
                            <a:prstDash val="solid"/>
                            <a:headEnd type="none" w="med" len="med"/>
                            <a:tailEnd type="triangle" w="med" len="med"/>
                          </a:ln>
                          <a:effectLst/>
                        </wps:spPr>
                        <wps:bodyPr/>
                      </wps:wsp>
                      <wps:wsp>
                        <wps:cNvPr id="195" name="直接箭头连接符 195"/>
                        <wps:cNvCnPr/>
                        <wps:spPr>
                          <a:xfrm flipH="true" flipV="true">
                            <a:off x="1936750" y="1278255"/>
                            <a:ext cx="3810" cy="473075"/>
                          </a:xfrm>
                          <a:prstGeom prst="straightConnector1">
                            <a:avLst/>
                          </a:prstGeom>
                          <a:ln w="9525" cap="flat" cmpd="sng">
                            <a:solidFill>
                              <a:srgbClr val="000000"/>
                            </a:solidFill>
                            <a:prstDash val="solid"/>
                            <a:headEnd type="none" w="med" len="med"/>
                            <a:tailEnd type="triangle" w="med" len="med"/>
                          </a:ln>
                          <a:effectLst/>
                        </wps:spPr>
                        <wps:bodyPr/>
                      </wps:wsp>
                      <wps:wsp>
                        <wps:cNvPr id="12" name="直接箭头连接符 12"/>
                        <wps:cNvCnPr/>
                        <wps:spPr>
                          <a:xfrm>
                            <a:off x="2294255" y="1922780"/>
                            <a:ext cx="419100" cy="3810"/>
                          </a:xfrm>
                          <a:prstGeom prst="straightConnector1">
                            <a:avLst/>
                          </a:prstGeom>
                          <a:ln w="9525" cap="flat" cmpd="sng">
                            <a:solidFill>
                              <a:srgbClr val="000000"/>
                            </a:solidFill>
                            <a:prstDash val="solid"/>
                            <a:headEnd type="none" w="med" len="med"/>
                            <a:tailEnd type="triangle" w="med" len="med"/>
                          </a:ln>
                          <a:effectLst/>
                        </wps:spPr>
                        <wps:bodyPr/>
                      </wps:wsp>
                      <wps:wsp>
                        <wps:cNvPr id="14" name="直接箭头连接符 14"/>
                        <wps:cNvCnPr/>
                        <wps:spPr>
                          <a:xfrm>
                            <a:off x="1931035" y="2088515"/>
                            <a:ext cx="1270" cy="304165"/>
                          </a:xfrm>
                          <a:prstGeom prst="straightConnector1">
                            <a:avLst/>
                          </a:prstGeom>
                          <a:ln w="9525" cap="flat" cmpd="sng">
                            <a:solidFill>
                              <a:srgbClr val="000000"/>
                            </a:solidFill>
                            <a:prstDash val="solid"/>
                            <a:headEnd type="none" w="med" len="med"/>
                            <a:tailEnd type="triangle" w="med" len="med"/>
                          </a:ln>
                          <a:effectLst/>
                        </wps:spPr>
                        <wps:bodyPr/>
                      </wps:wsp>
                      <wps:wsp>
                        <wps:cNvPr id="17" name="文本框 17"/>
                        <wps:cNvSpPr txBox="true"/>
                        <wps:spPr>
                          <a:xfrm>
                            <a:off x="5589270" y="351155"/>
                            <a:ext cx="608965" cy="318770"/>
                          </a:xfrm>
                          <a:prstGeom prst="rect">
                            <a:avLst/>
                          </a:prstGeom>
                          <a:solidFill>
                            <a:srgbClr val="FFFFFF"/>
                          </a:solidFill>
                          <a:ln>
                            <a:noFill/>
                          </a:ln>
                          <a:effectLst/>
                        </wps:spPr>
                        <wps:txbx>
                          <w:txbxContent>
                            <w:p>
                              <w:pPr>
                                <w:jc w:val="center"/>
                                <w:rPr>
                                  <w:rFonts w:hint="default" w:eastAsia="宋体"/>
                                  <w:lang w:val="en-US" w:eastAsia="zh-CN"/>
                                </w:rPr>
                              </w:pPr>
                              <w:r>
                                <w:rPr>
                                  <w:rFonts w:hint="eastAsia" w:eastAsia="宋体"/>
                                  <w:lang w:val="en-US" w:eastAsia="zh-CN"/>
                                </w:rPr>
                                <w:t>泠江</w:t>
                              </w:r>
                            </w:p>
                          </w:txbxContent>
                        </wps:txbx>
                        <wps:bodyPr upright="true"/>
                      </wps:wsp>
                      <wps:wsp>
                        <wps:cNvPr id="18" name="文本框 18"/>
                        <wps:cNvSpPr txBox="true"/>
                        <wps:spPr>
                          <a:xfrm>
                            <a:off x="2732405" y="1703705"/>
                            <a:ext cx="1209675" cy="441960"/>
                          </a:xfrm>
                          <a:prstGeom prst="rect">
                            <a:avLst/>
                          </a:prstGeom>
                          <a:solidFill>
                            <a:srgbClr val="FFFFFF"/>
                          </a:solidFill>
                          <a:ln>
                            <a:noFill/>
                          </a:ln>
                          <a:effectLst/>
                        </wps:spPr>
                        <wps:txbx>
                          <w:txbxContent>
                            <w:p>
                              <w:pPr>
                                <w:jc w:val="center"/>
                                <w:rPr>
                                  <w:rFonts w:hint="default" w:eastAsia="宋体"/>
                                  <w:lang w:val="en-US" w:eastAsia="zh-CN"/>
                                </w:rPr>
                              </w:pPr>
                              <w:r>
                                <w:rPr>
                                  <w:rFonts w:hint="eastAsia" w:eastAsia="宋体"/>
                                  <w:lang w:val="en-US" w:eastAsia="zh-CN"/>
                                </w:rPr>
                                <w:t>作为清净下水排入市政管网</w:t>
                              </w:r>
                            </w:p>
                          </w:txbxContent>
                        </wps:txbx>
                        <wps:bodyPr upright="true"/>
                      </wps:wsp>
                      <wps:wsp>
                        <wps:cNvPr id="20" name="直接箭头连接符 20"/>
                        <wps:cNvCnPr>
                          <a:stCxn id="152" idx="3"/>
                          <a:endCxn id="17" idx="1"/>
                        </wps:cNvCnPr>
                        <wps:spPr>
                          <a:xfrm>
                            <a:off x="5004435" y="504190"/>
                            <a:ext cx="584835" cy="6350"/>
                          </a:xfrm>
                          <a:prstGeom prst="straightConnector1">
                            <a:avLst/>
                          </a:prstGeom>
                          <a:ln w="9525" cap="flat" cmpd="sng">
                            <a:solidFill>
                              <a:srgbClr val="000000"/>
                            </a:solidFill>
                            <a:prstDash val="solid"/>
                            <a:headEnd type="none" w="med" len="med"/>
                            <a:tailEnd type="triangle" w="med" len="med"/>
                          </a:ln>
                          <a:effectLst/>
                        </wps:spPr>
                        <wps:bodyPr/>
                      </wps:wsp>
                      <wps:wsp>
                        <wps:cNvPr id="21" name="直接箭头连接符 21"/>
                        <wps:cNvCnPr>
                          <a:stCxn id="148" idx="0"/>
                          <a:endCxn id="152" idx="2"/>
                        </wps:cNvCnPr>
                        <wps:spPr>
                          <a:xfrm flipH="true" flipV="true">
                            <a:off x="4366260" y="663575"/>
                            <a:ext cx="4445" cy="323850"/>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234.35pt;width:488.05pt;" coordsize="6198235,2976245" editas="canvas" o:gfxdata="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">
                <o:lock v:ext="edit" aspectratio="f"/>
                <v:shape id="_x0000_s1026" o:spid="_x0000_s1026" style="position:absolute;left:0;top:0;height:2976245;width:6198235;" filled="f" stroked="f" coordsize="21600,21600" o:gfxdata="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WAAAAZHJzL1BLAQIUABQAAAAIAIdO4kBHO4Q41wAAAAUBAAAPAAAAAAAAAAEAIAAA&#10;ADgAAABkcnMvZG93bnJldi54bWxQSwECFAAUAAAACACHTuJA5azmWjQKAADbXAAADgAAAAAAAAAB&#10;ACAAAAA8AQAAZHJzL2Uyb0RvYy54bWxQSwUGAAAAAAYABgBZAQAA4g0AAAAA&#10;">
                  <v:fill on="f" focussize="0,0"/>
                  <v:stroke on="f"/>
                  <v:imagedata o:title=""/>
                  <o:lock v:ext="edit" aspectratio="t"/>
                </v:shape>
                <v:shape id="_x0000_s1026" o:spid="_x0000_s1026" o:spt="202" type="#_x0000_t202" style="position:absolute;left:20320;top:1776730;height:301625;width:614680;"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16FH1gAAAAUBAAAPAAAA&#10;AAAAAAEAIAAAADgAAABkcnMvZG93bnJldi54bWxQSwECFAAUAAAACACHTuJAG8jl0QECAAAFBAAA&#10;DgAAAAAAAAABACAAAAA7AQAAZHJzL2Uyb0RvYy54bWxQSwUGAAAAAAYABgBZAQAArgUAAAAA&#10;">
                  <v:fill on="t" focussize="0,0"/>
                  <v:stroke color="#000000" joinstyle="miter"/>
                  <v:imagedata o:title=""/>
                  <o:lock v:ext="edit" aspectratio="f"/>
                  <v:textbox>
                    <w:txbxContent>
                      <w:p>
                        <w:pPr>
                          <w:jc w:val="center"/>
                        </w:pPr>
                        <w:r>
                          <w:rPr>
                            <w:rFonts w:hint="eastAsia"/>
                          </w:rPr>
                          <w:t>新</w:t>
                        </w:r>
                        <w:r>
                          <w:rPr>
                            <w:rFonts w:hint="eastAsia" w:eastAsia="宋体"/>
                            <w:lang w:val="en-US" w:eastAsia="zh-CN"/>
                          </w:rPr>
                          <w:t>鲜</w:t>
                        </w:r>
                        <w:r>
                          <w:rPr>
                            <w:rFonts w:hint="eastAsia"/>
                          </w:rPr>
                          <w:t>水</w:t>
                        </w:r>
                      </w:p>
                    </w:txbxContent>
                  </v:textbox>
                </v:shape>
                <v:shape id="_x0000_s1026" o:spid="_x0000_s1026" o:spt="202" type="#_x0000_t202" style="position:absolute;left:1521811;top:358775;height:300355;width:779960;"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Y16FH1gAAAAUB&#10;AAAPAAAAAAAAAAEAIAAAADgAAABkcnMvZG93bnJldi54bWxQSwECFAAUAAAACACHTuJAnVl60QcC&#10;AAAKBAAADgAAAAAAAAABACAAAAA7AQAAZHJzL2Uyb0RvYy54bWxQSwUGAAAAAAYABgBZAQAAtAUA&#10;AAAA&#10;">
                  <v:fill on="t" focussize="0,0"/>
                  <v:stroke color="#000000" joinstyle="miter"/>
                  <v:imagedata o:title=""/>
                  <o:lock v:ext="edit" aspectratio="f"/>
                  <v:textbox>
                    <w:txbxContent>
                      <w:p>
                        <w:pPr>
                          <w:jc w:val="center"/>
                        </w:pPr>
                        <w:r>
                          <w:rPr>
                            <w:rFonts w:hint="eastAsia"/>
                          </w:rPr>
                          <w:t>生活用水</w:t>
                        </w:r>
                      </w:p>
                    </w:txbxContent>
                  </v:textbox>
                </v:shape>
                <v:shape id="_x0000_s1026" o:spid="_x0000_s1026" o:spt="202" type="#_x0000_t202" style="position:absolute;left:2771140;top:358775;height:300355;width:610235;"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jXoUfWAAAABQEA&#10;AA8AAAAAAAAAAQAgAAAAOAAAAGRycy9kb3ducmV2LnhtbFBLAQIUABQAAAAIAIdO4kAhzGavBgIA&#10;AAoEAAAOAAAAAAAAAAEAIAAAADsBAABkcnMvZTJvRG9jLnhtbFBLBQYAAAAABgAGAFkBAACzBQAA&#10;AAA=&#10;">
                  <v:fill on="t" focussize="0,0"/>
                  <v:stroke color="#000000" joinstyle="miter"/>
                  <v:imagedata o:title=""/>
                  <o:lock v:ext="edit" aspectratio="f"/>
                  <v:textbox>
                    <w:txbxContent>
                      <w:p>
                        <w:pPr>
                          <w:jc w:val="center"/>
                        </w:pPr>
                        <w:r>
                          <w:rPr>
                            <w:rFonts w:hint="eastAsia"/>
                          </w:rPr>
                          <w:t>化粪池</w:t>
                        </w:r>
                      </w:p>
                    </w:txbxContent>
                  </v:textbox>
                </v:shape>
                <v:shape id="_x0000_s1026" o:spid="_x0000_s1026" o:spt="202" type="#_x0000_t202" style="position:absolute;left:1521811;top:987425;height:300355;width:1076574;"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Y16FH1gAAAAUB&#10;AAAPAAAAAAAAAAEAIAAAADgAAABkcnMvZG93bnJldi54bWxQSwECFAAUAAAACACHTuJAKjQTJwcC&#10;AAALBAAADgAAAAAAAAABACAAAAA7AQAAZHJzL2Uyb0RvYy54bWxQSwUGAAAAAAYABgBZAQAAtAUA&#10;AAAA&#10;">
                  <v:fill on="t" focussize="0,0"/>
                  <v:stroke color="#000000" joinstyle="miter"/>
                  <v:imagedata o:title=""/>
                  <o:lock v:ext="edit" aspectratio="f"/>
                  <v:textbox>
                    <w:txbxContent>
                      <w:p>
                        <w:pPr>
                          <w:jc w:val="center"/>
                          <w:rPr>
                            <w:rFonts w:hint="default"/>
                            <w:lang w:val="en-US"/>
                          </w:rPr>
                        </w:pPr>
                        <w:r>
                          <w:rPr>
                            <w:rFonts w:hint="eastAsia" w:eastAsia="宋体"/>
                            <w:lang w:val="en-US" w:eastAsia="zh-CN"/>
                          </w:rPr>
                          <w:t>生物实验室</w:t>
                        </w:r>
                      </w:p>
                    </w:txbxContent>
                  </v:textbox>
                </v:shape>
                <v:shape id="_x0000_s1026" o:spid="_x0000_s1026" o:spt="202" type="#_x0000_t202" style="position:absolute;left:3663950;top:987425;height:299720;width:1412875;"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GNehR9YAAAAF&#10;AQAADwAAAAAAAAABACAAAAA4AAAAZHJzL2Rvd25yZXYueG1sUEsBAhQAFAAAAAgAh07iQCzRAT8I&#10;AgAACwQAAA4AAAAAAAAAAQAgAAAAOwEAAGRycy9lMm9Eb2MueG1sUEsFBgAAAAAGAAYAWQEAALUF&#10;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污水处理设施</w:t>
                        </w:r>
                      </w:p>
                    </w:txbxContent>
                  </v:textbox>
                </v:shape>
                <v:shape id="_x0000_s1026" o:spid="_x0000_s1026" o:spt="202" type="#_x0000_t202" style="position:absolute;left:1520825;top:2467610;height:299085;width:930275;"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XoUfWAAAABQEAAA8A&#10;AAAAAAAAAQAgAAAAOAAAAGRycy9kb3ducmV2LnhtbFBLAQIUABQAAAAIAIdO4kC41asyAwIAAAsE&#10;AAAOAAAAAAAAAAEAIAAAADsBAABkcnMvZTJvRG9jLnhtbFBLBQYAAAAABgAGAFkBAACwBQ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理化实验室</w:t>
                        </w:r>
                      </w:p>
                    </w:txbxContent>
                  </v:textbox>
                </v:shape>
                <v:shape id="_x0000_s1026" o:spid="_x0000_s1026" o:spt="32" type="#_x0000_t32" style="position:absolute;left:2301772;top:509270;height:635;width:507482;"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wJ2Nd1wAAAAUBAAAPAAAAAAAA&#10;AAEAIAAAADgAAABkcnMvZG93bnJldi54bWxQSwECFAAUAAAACACHTuJAADw9Af0BAADAAwAADgAA&#10;AAAAAAABACAAAAA8AQAAZHJzL2Uyb0RvYy54bWxQSwUGAAAAAAYABgBZAQAAqwUAAAAA&#10;">
                  <v:fill on="f" focussize="0,0"/>
                  <v:stroke color="#000000" joinstyle="round" endarrow="block"/>
                  <v:imagedata o:title=""/>
                  <o:lock v:ext="edit" aspectratio="f"/>
                </v:shape>
                <v:shape id="_x0000_s1026" o:spid="_x0000_s1026" o:spt="202" type="#_x0000_t202" style="position:absolute;left:3728085;top:344805;height:318770;width:1276350;"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GNehR9YAAAAFAQAADwAAAAAAAAABACAA&#10;AAA4AAAAZHJzL2Rvd25yZXYueG1sUEsBAhQAFAAAAAgAh07iQIbKCM7AAQAAdQMAAA4AAAAAAAAA&#10;AQAgAAAAOwEAAGRycy9lMm9Eb2MueG1sUEsFBgAAAAAGAAYAWQEAAG0FAAAAAA==&#10;">
                  <v:fill on="t" focussize="0,0"/>
                  <v:stroke color="#000000 [3213]" joinstyle="round"/>
                  <v:imagedata o:title=""/>
                  <o:lock v:ext="edit" aspectratio="f"/>
                  <v:textbox>
                    <w:txbxContent>
                      <w:p>
                        <w:pPr>
                          <w:jc w:val="center"/>
                          <w:rPr>
                            <w:rFonts w:hint="default" w:eastAsia="宋体"/>
                            <w:lang w:val="en-US" w:eastAsia="zh-CN"/>
                          </w:rPr>
                        </w:pPr>
                        <w:r>
                          <w:rPr>
                            <w:rFonts w:hint="eastAsia" w:eastAsia="宋体"/>
                            <w:lang w:val="en-US" w:eastAsia="zh-CN"/>
                          </w:rPr>
                          <w:t>宁远县污水处理厂</w:t>
                        </w:r>
                      </w:p>
                    </w:txbxContent>
                  </v:textbox>
                </v:shape>
                <v:shape id="_x0000_s1026" o:spid="_x0000_s1026" o:spt="32" type="#_x0000_t32" style="position:absolute;left:3381569;top:504190;flip:y;height:5080;width:346710;" filled="f" stroked="t" coordsize="21600,21600" o:gfxdata="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C7SyPXAAAABQEAAA8AAAAAAAAAAQAgAAAAOAAAAGRycy9kb3ducmV2&#10;LnhtbFBLAQIUABQAAAAIAIdO4kC3bzZZIAIAABIEAAAOAAAAAAAAAAEAIAAAADwBAABkcnMvZTJv&#10;RG9jLnhtbFBLBQYAAAAABgAGAFkBAADOBQAAAAA=&#10;">
                  <v:fill on="f" focussize="0,0"/>
                  <v:stroke color="#000000" joinstyle="round" endarrow="block"/>
                  <v:imagedata o:title=""/>
                  <o:lock v:ext="edit" aspectratio="f"/>
                </v:shape>
                <v:shape id="_x0000_s1026" o:spid="_x0000_s1026" o:spt="202" type="#_x0000_t202" style="position:absolute;left:2111228;top:0;height:253365;width:487158;"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BYAAABkcnMvUEsBAhQAFAAAAAgAh07iQKvk&#10;/frUAAAABQEAAA8AAAAAAAAAAQAgAAAAOAAAAGRycy9kb3ducmV2LnhtbFBLAQIUABQAAAAIAIdO&#10;4kAVxqpZnwEAAB0DAAAOAAAAAAAAAAEAIAAAADkBAABkcnMvZTJvRG9jLnhtbFBLBQYAAAAABgAG&#10;AFkBAABKBQ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182.5</w:t>
                        </w:r>
                      </w:p>
                    </w:txbxContent>
                  </v:textbox>
                </v:shape>
                <v:shape id="_x0000_s1026" o:spid="_x0000_s1026" o:spt="37" type="#_x0000_t37" style="position:absolute;left:1885110;top:133345;height:199390;width:231829;rotation:-5898240f;" filled="f" stroked="t" coordsize="21600,21600" o:gfxdata="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ddDUY1wAAAAUBAAAPAAAA&#10;AAAAAAEAIAAAADgAAABkcnMvZG93bnJldi54bWxQSwECFAAUAAAACACHTuJAZ9b+CQACAAC8AwAA&#10;DgAAAAAAAAABACAAAAA8AQAAZHJzL2Uyb0RvYy54bWxQSwUGAAAAAAYABgBZAQAArgUAAAAA&#10;">
                  <v:fill on="f" focussize="0,0"/>
                  <v:stroke color="#000000" joinstyle="round" endarrow="block"/>
                  <v:imagedata o:title=""/>
                  <o:lock v:ext="edit" aspectratio="f"/>
                </v:shape>
                <v:shape id="_x0000_s1026" o:spid="_x0000_s1026" o:spt="202" type="#_x0000_t202" style="position:absolute;left:2301772;top:256540;height:253365;width:487158;"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Cr5P361AAAAAUBAAAPAAAAAAAAAAEAIAAAADgAAABkcnMvZG93bnJldi54bWxQSwECFAAUAAAA&#10;CACHTuJAjRLvCaMBAAAiAwAADgAAAAAAAAABACAAAAA5AQAAZHJzL2Uyb0RvYy54bWxQSwUGAAAA&#10;AAYABgBZAQAATgU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730</w:t>
                        </w:r>
                      </w:p>
                    </w:txbxContent>
                  </v:textbox>
                </v:shape>
                <v:shape id="_x0000_s1026" o:spid="_x0000_s1026" o:spt="202" type="#_x0000_t202" style="position:absolute;left:3345815;top:304165;height:253365;width:48768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Kvk/frUAAAABQEAAA8AAAAAAAAAAQAgAAAAOAAAAGRycy9kb3ducmV2LnhtbFBLAQIUABQA&#10;AAAIAIdO4kC6jLa3pQEAACIDAAAOAAAAAAAAAAEAIAAAADkBAABkcnMvZTJvRG9jLnhtbFBLBQYA&#10;AAAABgAGAFkBAABQBQ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730</w:t>
                        </w:r>
                      </w:p>
                    </w:txbxContent>
                  </v:textbox>
                </v:shape>
                <v:shape id="_x0000_s1026" o:spid="_x0000_s1026" o:spt="202" type="#_x0000_t202" style="position:absolute;left:1034654;top:296545;height:253365;width:487158;"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FgAAAGRycy9QSwECFAAUAAAACACHTuJA&#10;q+T9+tQAAAAFAQAADwAAAAAAAAABACAAAAA4AAAAZHJzL2Rvd25yZXYueG1sUEsBAhQAFAAAAAgA&#10;h07iQDX4WOShAQAAIgMAAA4AAAAAAAAAAQAgAAAAOQEAAGRycy9lMm9Eb2MueG1sUEsFBgAAAAAG&#10;AAYAWQEAAEwF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912.5</w:t>
                        </w:r>
                      </w:p>
                    </w:txbxContent>
                  </v:textbox>
                </v:shape>
                <v:shape id="_x0000_s1026" o:spid="_x0000_s1026" o:spt="202" type="#_x0000_t202" style="position:absolute;left:2664460;top:884555;height:253365;width:71501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Cr5P361AAAAAUBAAAPAAAAAAAAAAEAIAAAADgAAABkcnMvZG93bnJldi54bWxQSwECFAAU&#10;AAAACACHTuJAxIIVpqYBAAAiAwAADgAAAAAAAAABACAAAAA5AQAAZHJzL2Uyb0RvYy54bWxQSwUG&#10;AAAAAAYABgBZAQAAUQU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197.625</w:t>
                        </w:r>
                      </w:p>
                    </w:txbxContent>
                  </v:textbox>
                </v:shape>
                <v:shape id="_x0000_s1026" o:spid="_x0000_s1026" o:spt="202" type="#_x0000_t202" style="position:absolute;left:2177415;top:628650;height:253365;width:65786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Kvk/frUAAAABQEAAA8AAAAAAAAAAQAgAAAAOAAAAGRycy9kb3ducmV2LnhtbFBLAQIUABQA&#10;AAAIAIdO4kANPdkgpQEAACIDAAAOAAAAAAAAAAEAIAAAADkBAABkcnMvZTJvRG9jLnhtbFBLBQYA&#10;AAAABgAGAFkBAABQBQ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34.875</w:t>
                        </w:r>
                      </w:p>
                    </w:txbxContent>
                  </v:textbox>
                </v:shape>
                <v:shape id="_x0000_s1026" o:spid="_x0000_s1026" o:spt="37" type="#_x0000_t37" style="position:absolute;left:1951166;top:761995;height:199390;width:231829;rotation:-5898240f;" filled="f" stroked="t" coordsize="21600,21600" o:gfxdata="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HXQ1GNcAAAAFAQAADwAA&#10;AAAAAAABACAAAAA4AAAAZHJzL2Rvd25yZXYueG1sUEsBAhQAFAAAAAgAh07iQMUD1xABAgAAvAMA&#10;AA4AAAAAAAAAAQAgAAAAPAEAAGRycy9lMm9Eb2MueG1sUEsFBgAAAAAGAAYAWQEAAK8FAAAAAA==&#10;">
                  <v:fill on="f" focussize="0,0"/>
                  <v:stroke color="#000000" joinstyle="round" endarrow="block"/>
                  <v:imagedata o:title=""/>
                  <o:lock v:ext="edit" aspectratio="f"/>
                </v:shape>
                <v:shape id="_x0000_s1026" o:spid="_x0000_s1026" o:spt="32" type="#_x0000_t32" style="position:absolute;left:2598387;top:1137285;flip:y;height:635;width:1065530;" filled="f" stroked="t" coordsize="21600,21600" o:gfxdata="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AAu0sj1wAAAAUBAAAPAAAAAAAAAAEAIAAAADgAAABkcnMvZG93&#10;bnJldi54bWxQSwECFAAUAAAACACHTuJAYzAO8CQCAAATBAAADgAAAAAAAAABACAAAAA8AQAAZHJz&#10;L2Uyb0RvYy54bWxQSwUGAAAAAAYABgBZAQAA0gUAAAAA&#10;">
                  <v:fill on="f" focussize="0,0"/>
                  <v:stroke color="#000000" joinstyle="round" endarrow="block"/>
                  <v:imagedata o:title=""/>
                  <o:lock v:ext="edit" aspectratio="f"/>
                </v:shape>
                <v:shape id="_x0000_s1026" o:spid="_x0000_s1026" o:spt="202" type="#_x0000_t202" style="position:absolute;left:2228215;top:1682115;height:253365;width:59182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Cr5P361AAAAAUBAAAPAAAAAAAAAAEAIAAAADgAAABkcnMvZG93bnJldi54bWxQSwECFAAUAAAA&#10;CACHTuJAkVGaGaMBAAAjAwAADgAAAAAAAAABACAAAAA5AQAAZHJzL2Uyb0RvYy54bWxQSwUGAAAA&#10;AAYABgBZAQAATgUAAAAA&#10;">
                  <v:fill on="f" focussize="0,0"/>
                  <v:stroke on="f"/>
                  <v:imagedata o:title=""/>
                  <o:lock v:ext="edit" aspectratio="f"/>
                  <v:textbox>
                    <w:txbxContent>
                      <w:p>
                        <w:pPr>
                          <w:rPr>
                            <w:rFonts w:hint="default" w:eastAsia="宋体"/>
                            <w:lang w:val="en-US" w:eastAsia="zh-CN"/>
                          </w:rPr>
                        </w:pPr>
                        <w:r>
                          <w:rPr>
                            <w:rFonts w:hint="eastAsia" w:ascii="Times New Roman" w:hAnsi="Times New Roman" w:eastAsia="宋体" w:cs="Times New Roman"/>
                            <w:lang w:val="en-US" w:eastAsia="zh-CN"/>
                          </w:rPr>
                          <w:t>333.25</w:t>
                        </w:r>
                      </w:p>
                    </w:txbxContent>
                  </v:textbox>
                </v:shape>
                <v:shape id="_x0000_s1026" o:spid="_x0000_s1026" o:spt="202" type="#_x0000_t202" style="position:absolute;left:1034415;top:884555;height:253365;width:553085;"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Kvk/frUAAAABQEAAA8AAAAAAAAAAQAgAAAAOAAAAGRycy9kb3ducmV2LnhtbFBLAQIUABQA&#10;AAAIAIdO4kDHKZxYpQEAACIDAAAOAAAAAAAAAAEAIAAAADkBAABkcnMvZTJvRG9jLnhtbFBLBQYA&#10;AAAABgAGAFkBAABQBQ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107.5</w:t>
                        </w:r>
                      </w:p>
                    </w:txbxContent>
                  </v:textbox>
                </v:shape>
                <v:shape id="_x0000_s1026" o:spid="_x0000_s1026" o:spt="202" type="#_x0000_t202" style="position:absolute;left:2987040;top:2418080;height:253365;width:80010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q+T9+tQAAAAFAQAADwAAAAAAAAABACAAAAA4AAAAZHJzL2Rvd25yZXYueG1sUEsBAhQAFAAA&#10;AAgAh07iQFfA716kAQAAIwMAAA4AAAAAAAAAAQAgAAAAOQEAAGRycy9lMm9Eb2MueG1sUEsFBgAA&#10;AAAGAAYAWQEAAE8F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488.75</w:t>
                        </w:r>
                      </w:p>
                    </w:txbxContent>
                  </v:textbox>
                </v:shape>
                <v:shape id="_x0000_s1026" o:spid="_x0000_s1026" o:spt="202" type="#_x0000_t202" style="position:absolute;left:1873250;top:1400175;height:253365;width:694690;"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q+T9+tQAAAAFAQAADwAAAAAAAAABACAAAAA4AAAAZHJzL2Rvd25yZXYueG1sUEsBAhQA&#10;FAAAAAgAh07iQHx8OGCnAQAAIwMAAA4AAAAAAAAAAQAgAAAAOQEAAGRycy9lMm9Eb2MueG1sUEsF&#10;BgAAAAAGAAYAWQEAAFIF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125</w:t>
                        </w:r>
                      </w:p>
                    </w:txbxContent>
                  </v:textbox>
                </v:shape>
                <v:shape id="_x0000_s1026" o:spid="_x0000_s1026" o:spt="202" type="#_x0000_t202" style="position:absolute;left:1035050;top:2402205;height:253365;width:762635;"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q+T9+tQAAAAFAQAADwAAAAAAAAABACAAAAA4AAAAZHJzL2Rvd25yZXYueG1sUEsBAhQA&#10;FAAAAAgAh07iQHbpM/unAQAAIwMAAA4AAAAAAAAAAQAgAAAAOQEAAGRycy9lMm9Eb2MueG1sUEsF&#10;BgAAAAAGAAYAWQEAAFIF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w:t>
                        </w:r>
                      </w:p>
                    </w:txbxContent>
                  </v:textbox>
                </v:shape>
                <v:shape id="_x0000_s1026" o:spid="_x0000_s1026" o:spt="202" type="#_x0000_t202" style="position:absolute;left:508000;top:1589405;height:203835;width:548640;" filled="f" stroked="f" coordsize="21600,21600" o:gfxdata="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xlm9fNUAAAAFAQAADwAAAAAAAAABACAAAAA4AAAAZHJzL2Rvd25y&#10;ZXYueG1sUEsBAhQAFAAAAAgAh07iQJHOpquyAQAARgMAAA4AAAAAAAAAAQAgAAAAOgEAAGRycy9l&#10;Mm9Eb2MueG1sUEsFBgAAAAAGAAYAWQEAAF4FAAAAAA==&#10;">
                  <v:fill on="f" focussize="0,0"/>
                  <v:stroke on="f"/>
                  <v:imagedata o:title=""/>
                  <o:lock v:ext="edit" aspectratio="f"/>
                  <v:textbox inset="0mm,0mm,0mm,0mm">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2053.25</w:t>
                        </w:r>
                      </w:p>
                    </w:txbxContent>
                  </v:textbox>
                </v:shape>
                <v:shape id="_x0000_s1026" o:spid="_x0000_s1026" o:spt="32" type="#_x0000_t32" style="position:absolute;left:1088641;top:1149985;height:4445;width:442697;"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MCdjXdcAAAAFAQAADwAA&#10;AAAAAAABACAAAAA4AAAAZHJzL2Rvd25yZXYueG1sUEsBAhQAFAAAAAgAh07iQHBWbtQBAgAAwgMA&#10;AA4AAAAAAAAAAQAgAAAAPAEAAGRycy9lMm9Eb2MueG1sUEsFBgAAAAAGAAYAWQEAAK8FAAAAAA==&#10;">
                  <v:fill on="f" focussize="0,0"/>
                  <v:stroke color="#000000" joinstyle="round" endarrow="block"/>
                  <v:imagedata o:title=""/>
                  <o:lock v:ext="edit" aspectratio="f"/>
                </v:shape>
                <v:shape id="_x0000_s1026" o:spid="_x0000_s1026" o:spt="32" type="#_x0000_t32" style="position:absolute;left:1087120;top:2622550;height:4445;width:443230;"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MCdjXdcAAAAFAQAADwAAAAAA&#10;AAABACAAAAA4AAAAZHJzL2Rvd25yZXYueG1sUEsBAhQAFAAAAAgAh07iQL2ucp3+AQAAwgMAAA4A&#10;AAAAAAAAAQAgAAAAPAEAAGRycy9lMm9Eb2MueG1sUEsFBgAAAAAGAAYAWQEAAKwFAAAAAA==&#10;">
                  <v:fill on="f" focussize="0,0"/>
                  <v:stroke color="#000000" joinstyle="round" endarrow="block"/>
                  <v:imagedata o:title=""/>
                  <o:lock v:ext="edit" aspectratio="f"/>
                </v:shape>
                <v:shape id="_x0000_s1026" o:spid="_x0000_s1026" o:spt="32" type="#_x0000_t32" style="position:absolute;left:1077844;top:557530;height:4445;width:442697;"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MCdjXdcAAAAFAQAADwAAAAAA&#10;AAABACAAAAA4AAAAZHJzL2Rvd25yZXYueG1sUEsBAhQAFAAAAAgAh07iQMqF6wv+AQAAwQMAAA4A&#10;AAAAAAAAAQAgAAAAPAEAAGRycy9lMm9Eb2MueG1sUEsFBgAAAAAGAAYAWQEAAKwFAAAAAA==&#10;">
                  <v:fill on="f" focussize="0,0"/>
                  <v:stroke color="#000000" joinstyle="round" endarrow="block"/>
                  <v:imagedata o:title=""/>
                  <o:lock v:ext="edit" aspectratio="f"/>
                </v:shape>
                <v:shape id="_x0000_s1026" o:spid="_x0000_s1026" o:spt="32" type="#_x0000_t32" style="position:absolute;left:658495;top:1961515;height:8890;width:368935;"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wJ2Nd1wAAAAUBAAAPAAAA&#10;AAAAAAEAIAAAADgAAABkcnMvZG93bnJldi54bWxQSwECFAAUAAAACACHTuJA+FiTAgACAADBAwAA&#10;DgAAAAAAAAABACAAAAA8AQAAZHJzL2Uyb0RvYy54bWxQSwUGAAAAAAYABgBZAQAArgUAAAAA&#10;">
                  <v:fill on="f" focussize="0,0"/>
                  <v:stroke color="#000000" joinstyle="round" endarrow="block"/>
                  <v:imagedata o:title=""/>
                  <o:lock v:ext="edit" aspectratio="f"/>
                </v:shape>
                <v:shape id="_x0000_s1026" o:spid="_x0000_s1026" o:spt="32" type="#_x0000_t32" style="position:absolute;left:1034654;top:423545;height:1429386;width:20960;" filled="f" stroked="f" coordsize="21600,21600" o:gfxdata="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Hm7yYnVAAAABQEAAA8AAAAAAAAAAQAgAAAAOAAAAGRycy9kb3ducmV2LnhtbFBLAQIU&#10;ABQAAAAIAIdO4kCud9NGpwEAAAoDAAAOAAAAAAAAAAEAIAAAADoBAABkcnMvZTJvRG9jLnhtbFBL&#10;BQYAAAAABgAGAFkBAABTBQAAAAA=&#10;">
                  <v:fill on="f" focussize="0,0"/>
                  <v:stroke on="f"/>
                  <v:imagedata o:title=""/>
                  <o:lock v:ext="edit" aspectratio="f"/>
                </v:shape>
                <v:shape id="_x0000_s1026" o:spid="_x0000_s1026" o:spt="32" type="#_x0000_t32" style="position:absolute;left:1034654;top:423545;height:1429386;width:20960;" filled="f" stroked="f" coordsize="21600,21600" o:gfxdata="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Hm7yYnVAAAABQEAAA8AAAAAAAAAAQAgAAAAOAAAAGRycy9kb3ducmV2LnhtbFBLAQIU&#10;ABQAAAAIAIdO4kA2ZAyrpwEAAAoDAAAOAAAAAAAAAAEAIAAAADoBAABkcnMvZTJvRG9jLnhtbFBL&#10;BQYAAAAABgAGAFkBAABTBQAAAAA=&#10;">
                  <v:fill on="f" focussize="0,0"/>
                  <v:stroke on="f"/>
                  <v:imagedata o:title=""/>
                  <o:lock v:ext="edit" aspectratio="f"/>
                </v:shape>
                <v:shape id="_x0000_s1026" o:spid="_x0000_s1026" o:spt="32" type="#_x0000_t32" style="position:absolute;left:1065777;top:541020;flip:x;height:2085975;width:2540;" filled="f" stroked="t" coordsize="21600,21600" o:gfxdata="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kznabVAAAABQEAAA8A&#10;AAAAAAAAAQAgAAAAOAAAAGRycy9kb3ducmV2LnhtbFBLAQIUABQAAAAIAIdO4kC6M4VGBAIAAMsD&#10;AAAOAAAAAAAAAAEAIAAAADoBAABkcnMvZTJvRG9jLnhtbFBLBQYAAAAABgAGAFkBAACwBQAAAAA=&#10;">
                  <v:fill on="f" focussize="0,0"/>
                  <v:stroke color="#000000" joinstyle="round"/>
                  <v:imagedata o:title=""/>
                  <o:lock v:ext="edit" aspectratio="f"/>
                </v:shape>
                <v:shape id="_x0000_s1026" o:spid="_x0000_s1026" o:spt="37" type="#_x0000_t37" style="position:absolute;left:2237105;top:2265680;height:199390;width:231775;rotation:-5898240f;" filled="f" stroked="t" coordsize="21600,21600" o:gfxdata="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10NRjXAAAABQEAAA8AAAAA&#10;AAAAAQAgAAAAOAAAAGRycy9kb3ducmV2LnhtbFBLAQIUABQAAAAIAIdO4kClNqXX/wEAAL0DAAAO&#10;AAAAAAAAAAEAIAAAADwBAABkcnMvZTJvRG9jLnhtbFBLBQYAAAAABgAGAFkBAACtBQAAAAA=&#10;">
                  <v:fill on="f" focussize="0,0"/>
                  <v:stroke color="#000000" joinstyle="round" endarrow="block"/>
                  <v:imagedata o:title=""/>
                  <o:lock v:ext="edit" aspectratio="f"/>
                </v:shape>
                <v:shape id="_x0000_s1026" o:spid="_x0000_s1026" o:spt="33" type="#_x0000_t33" style="position:absolute;left:2451100;top:1287145;flip:y;height:1330325;width:1919605;" filled="f" stroked="t" coordsize="21600,21600" o:gfxdata="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ORbbYdYAAAAFAQAADwAAAAAAAAABACAAAAA4AAAAZHJzL2Rvd25y&#10;ZXYueG1sUEsBAhQAFAAAAAgAh07iQMATqY8jAgAAFwQAAA4AAAAAAAAAAQAgAAAAOwEAAGRycy9l&#10;Mm9Eb2MueG1sUEsFBgAAAAAGAAYAWQEAANAFAAAAAA==&#10;">
                  <v:fill on="f" focussize="0,0"/>
                  <v:stroke color="#000000" joinstyle="miter" endarrow="block"/>
                  <v:imagedata o:title=""/>
                  <o:lock v:ext="edit" aspectratio="f"/>
                </v:shape>
                <v:shape id="_x0000_s1026" o:spid="_x0000_s1026" o:spt="202" type="#_x0000_t202" style="position:absolute;left:2389505;top:2132330;height:253365;width:535305;"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Cr5P361AAAAAUBAAAPAAAAAAAAAAEAIAAAADgAAABkcnMvZG93bnJldi54bWxQSwECFAAUAAAA&#10;CACHTuJA7BA3LKMBAAAjAwAADgAAAAAAAAABACAAAAA5AQAAZHJzL2Uyb0RvYy54bWxQSwUGAAAA&#10;AAYABgBZAQAATgU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86.25</w:t>
                        </w:r>
                      </w:p>
                    </w:txbxContent>
                  </v:textbox>
                </v:shape>
                <v:shape id="_x0000_s1026" o:spid="_x0000_s1026" o:spt="202" type="#_x0000_t202" style="position:absolute;left:1875155;top:2075180;height:253365;width:544195;"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q+T9+tQAAAAFAQAADwAAAAAAAAABACAAAAA4AAAAZHJzL2Rvd25yZXYueG1sUEsBAhQAFAAA&#10;AAgAh07iQPljWP+kAQAAIwMAAA4AAAAAAAAAAQAgAAAAOQEAAGRycy9lMm9Eb2MueG1sUEsFBgAA&#10;AAAGAAYAWQEAAE8F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375</w:t>
                        </w:r>
                      </w:p>
                    </w:txbxContent>
                  </v:textbox>
                </v:shape>
                <v:shape id="_x0000_s1026" o:spid="_x0000_s1026" o:spt="202" type="#_x0000_t202" style="position:absolute;left:989330;top:1665605;height:253365;width:592455;" filled="f" stroked="f" coordsize="21600,21600" o:gfxdata="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Cr5P361AAAAAUBAAAPAAAAAAAAAAEAIAAAADgAAABkcnMvZG93bnJldi54bWxQSwECFAAU&#10;AAAACACHTuJAK4t3jaYBAAAiAwAADgAAAAAAAAABACAAAAA5AQAAZHJzL2Uyb0RvYy54bWxQSwUG&#10;AAAAAAYABgBZAQAAUQUAAAAA&#10;">
                  <v:fill on="f" focussize="0,0"/>
                  <v:stroke on="f"/>
                  <v:imagedata o:title=""/>
                  <o:lock v:ext="edit" aspectratio="f"/>
                  <v:textbox>
                    <w:txbxContent>
                      <w:p>
                        <w:pPr>
                          <w:rPr>
                            <w:rFonts w:hint="default" w:eastAsia="宋体"/>
                            <w:lang w:val="en-US" w:eastAsia="zh-CN"/>
                          </w:rPr>
                        </w:pPr>
                        <w:r>
                          <w:rPr>
                            <w:rFonts w:hint="eastAsia" w:ascii="Times New Roman" w:hAnsi="Times New Roman" w:eastAsia="宋体" w:cs="Times New Roman"/>
                            <w:lang w:val="en-US" w:eastAsia="zh-CN"/>
                          </w:rPr>
                          <w:t>833.25</w:t>
                        </w:r>
                      </w:p>
                    </w:txbxContent>
                  </v:textbox>
                </v:shape>
                <v:shape id="_x0000_s1026" o:spid="_x0000_s1026" o:spt="202" type="#_x0000_t202" style="position:absolute;left:1522730;top:1760855;height:299085;width:778510;" fillcolor="#FFFFFF" filled="t" stroked="t" coordsize="21600,21600" o:gfxdata="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XoUfWAAAABQEAAA8A&#10;AAAAAAAAAQAgAAAAOAAAAGRycy9kb3ducmV2LnhtbFBLAQIUABQAAAAIAIdO4kCbRU77AwIAAAsE&#10;AAAOAAAAAAAAAAEAIAAAADsBAABkcnMvZTJvRG9jLnhtbFBLBQYAAAAABgAGAFkBAACwBQAAAAA=&#10;">
                  <v:fill on="t" focussize="0,0"/>
                  <v:stroke color="#000000" joinstyle="miter"/>
                  <v:imagedata o:title=""/>
                  <o:lock v:ext="edit" aspectratio="f"/>
                  <v:textbox>
                    <w:txbxContent>
                      <w:p>
                        <w:pPr>
                          <w:jc w:val="center"/>
                          <w:rPr>
                            <w:rFonts w:hint="default"/>
                            <w:lang w:val="en-US"/>
                          </w:rPr>
                        </w:pPr>
                        <w:r>
                          <w:rPr>
                            <w:rFonts w:hint="eastAsia" w:eastAsia="宋体"/>
                            <w:lang w:val="en-US" w:eastAsia="zh-CN"/>
                          </w:rPr>
                          <w:t>纯水制备</w:t>
                        </w:r>
                      </w:p>
                    </w:txbxContent>
                  </v:textbox>
                </v:shape>
                <v:shape id="_x0000_s1026" o:spid="_x0000_s1026" o:spt="32" type="#_x0000_t32" style="position:absolute;left:1103630;top:1906905;height:3810;width:419100;"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MCdj&#10;XdcAAAAFAQAADwAAAAAAAAABACAAAAA4AAAAZHJzL2Rvd25yZXYueG1sUEsBAhQAFAAAAAgAh07i&#10;QINqmwwNAgAA6wMAAA4AAAAAAAAAAQAgAAAAPAEAAGRycy9lMm9Eb2MueG1sUEsFBgAAAAAGAAYA&#10;WQEAALsFAAAAAA==&#10;">
                  <v:fill on="f" focussize="0,0"/>
                  <v:stroke color="#000000" joinstyle="round" endarrow="block"/>
                  <v:imagedata o:title=""/>
                  <o:lock v:ext="edit" aspectratio="f"/>
                </v:shape>
                <v:shape id="_x0000_s1026" o:spid="_x0000_s1026" o:spt="32" type="#_x0000_t32" style="position:absolute;left:1936750;top:1278255;flip:x y;height:473075;width:3810;" filled="f" stroked="t" coordsize="21600,21600" o:gfxdata="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0eFz&#10;TtYAAAAFAQAADwAAAAAAAAABACAAAAA4AAAAZHJzL2Rvd25yZXYueG1sUEsBAhQAFAAAAAgAh07i&#10;QLPaXJQOAgAA3AMAAA4AAAAAAAAAAQAgAAAAOwEAAGRycy9lMm9Eb2MueG1sUEsFBgAAAAAGAAYA&#10;WQEAALsFAAAAAA==&#10;">
                  <v:fill on="f" focussize="0,0"/>
                  <v:stroke color="#000000" joinstyle="round" endarrow="block"/>
                  <v:imagedata o:title=""/>
                  <o:lock v:ext="edit" aspectratio="f"/>
                </v:shape>
                <v:shape id="_x0000_s1026" o:spid="_x0000_s1026" o:spt="32" type="#_x0000_t32" style="position:absolute;left:2294255;top:1922780;height:3810;width:419100;"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DAnY13XAAAABQEAAA8AAAAA&#10;AAAAAQAgAAAAOAAAAGRycy9kb3ducmV2LnhtbFBLAQIUABQAAAAIAIdO4kBQbYJq/wEAAMADAAAO&#10;AAAAAAAAAAEAIAAAADwBAABkcnMvZTJvRG9jLnhtbFBLBQYAAAAABgAGAFkBAACtBQAAAAA=&#10;">
                  <v:fill on="f" focussize="0,0"/>
                  <v:stroke color="#000000" joinstyle="round" endarrow="block"/>
                  <v:imagedata o:title=""/>
                  <o:lock v:ext="edit" aspectratio="f"/>
                </v:shape>
                <v:shape id="_x0000_s1026" o:spid="_x0000_s1026" o:spt="32" type="#_x0000_t32" style="position:absolute;left:1931035;top:2088515;height:304165;width:1270;"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wJ2Nd1wAAAAUBAAAPAAAA&#10;AAAAAAEAIAAAADgAAABkcnMvZG93bnJldi54bWxQSwECFAAUAAAACACHTuJA/5Q3zQACAADAAwAA&#10;DgAAAAAAAAABACAAAAA8AQAAZHJzL2Uyb0RvYy54bWxQSwUGAAAAAAYABgBZAQAArgUAAAAA&#10;">
                  <v:fill on="f" focussize="0,0"/>
                  <v:stroke color="#000000" joinstyle="round" endarrow="block"/>
                  <v:imagedata o:title=""/>
                  <o:lock v:ext="edit" aspectratio="f"/>
                </v:shape>
                <v:shape id="_x0000_s1026" o:spid="_x0000_s1026" o:spt="202" type="#_x0000_t202" style="position:absolute;left:5589270;top:351155;height:318770;width:608965;" fillcolor="#FFFFFF" filled="t" stroked="f" coordsize="21600,21600" o:gfxdata="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AWnOZw1AAAAAUBAAAPAAAAAAAAAAEAIAAAADgAAABkcnMv&#10;ZG93bnJldi54bWxQSwECFAAUAAAACACHTuJApw/CgrgBAABJAwAADgAAAAAAAAABACAAAAA5AQAA&#10;ZHJzL2Uyb0RvYy54bWxQSwUGAAAAAAYABgBZAQAAYwUAAAAA&#10;">
                  <v:fill on="t" focussize="0,0"/>
                  <v:stroke on="f"/>
                  <v:imagedata o:title=""/>
                  <o:lock v:ext="edit" aspectratio="f"/>
                  <v:textbox>
                    <w:txbxContent>
                      <w:p>
                        <w:pPr>
                          <w:jc w:val="center"/>
                          <w:rPr>
                            <w:rFonts w:hint="default" w:eastAsia="宋体"/>
                            <w:lang w:val="en-US" w:eastAsia="zh-CN"/>
                          </w:rPr>
                        </w:pPr>
                        <w:r>
                          <w:rPr>
                            <w:rFonts w:hint="eastAsia" w:eastAsia="宋体"/>
                            <w:lang w:val="en-US" w:eastAsia="zh-CN"/>
                          </w:rPr>
                          <w:t>泠江</w:t>
                        </w:r>
                      </w:p>
                    </w:txbxContent>
                  </v:textbox>
                </v:shape>
                <v:shape id="_x0000_s1026" o:spid="_x0000_s1026" o:spt="202" type="#_x0000_t202" style="position:absolute;left:2732405;top:1703705;height:441960;width:1209675;" fillcolor="#FFFFFF" filled="t" stroked="f" coordsize="21600,21600" o:gfxdata="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Bac5nDUAAAABQEAAA8AAAAAAAAAAQAgAAAAOAAA&#10;AGRycy9kb3ducmV2LnhtbFBLAQIUABQAAAAIAIdO4kCyLuMYvQEAAEsDAAAOAAAAAAAAAAEAIAAA&#10;ADkBAABkcnMvZTJvRG9jLnhtbFBLBQYAAAAABgAGAFkBAABoBQAAAAA=&#10;">
                  <v:fill on="t" focussize="0,0"/>
                  <v:stroke on="f"/>
                  <v:imagedata o:title=""/>
                  <o:lock v:ext="edit" aspectratio="f"/>
                  <v:textbox>
                    <w:txbxContent>
                      <w:p>
                        <w:pPr>
                          <w:jc w:val="center"/>
                          <w:rPr>
                            <w:rFonts w:hint="default" w:eastAsia="宋体"/>
                            <w:lang w:val="en-US" w:eastAsia="zh-CN"/>
                          </w:rPr>
                        </w:pPr>
                        <w:r>
                          <w:rPr>
                            <w:rFonts w:hint="eastAsia" w:eastAsia="宋体"/>
                            <w:lang w:val="en-US" w:eastAsia="zh-CN"/>
                          </w:rPr>
                          <w:t>作为清净下水排入市政管网</w:t>
                        </w:r>
                      </w:p>
                    </w:txbxContent>
                  </v:textbox>
                </v:shape>
                <v:shape id="_x0000_s1026" o:spid="_x0000_s1026" o:spt="32" type="#_x0000_t32" style="position:absolute;left:5004435;top:504190;height:6350;width:584835;" filled="f" stroked="t" coordsize="21600,21600" o:gfxdata="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AnY13XAAAABQEAAA8AAAAAAAAAAQAgAAAAOAAAAGRycy9kb3ducmV2LnhtbFBLAQIUABQA&#10;AAAIAIdO4kARCcMJFAIAAAIEAAAOAAAAAAAAAAEAIAAAADwBAABkcnMvZTJvRG9jLnhtbFBLBQYA&#10;AAAABgAGAFkBAADCBQAAAAA=&#10;">
                  <v:fill on="f" focussize="0,0"/>
                  <v:stroke color="#000000" joinstyle="round" endarrow="block"/>
                  <v:imagedata o:title=""/>
                  <o:lock v:ext="edit" aspectratio="f"/>
                </v:shape>
                <v:shape id="_x0000_s1026" o:spid="_x0000_s1026" o:spt="32" type="#_x0000_t32" style="position:absolute;left:4366260;top:663575;flip:x y;height:323850;width:4445;" filled="f" stroked="t" coordsize="21600,21600" o:gfxdata="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0eFzTtYAAAAFAQAADwAAAAAAAAABACAAAAA4AAAAZHJzL2Rv&#10;d25yZXYueG1sUEsBAhQAFAAAAAgAh07iQHgbqOgmAgAAHQQAAA4AAAAAAAAAAQAgAAAAOwEAAGRy&#10;cy9lMm9Eb2MueG1sUEsFBgAAAAAGAAYAWQEAANMFAAAAAA==&#10;">
                  <v:fill on="f" focussize="0,0"/>
                  <v:stroke color="#000000" joinstyle="round" endarrow="block"/>
                  <v:imagedata o:title=""/>
                  <o:lock v:ext="edit" aspectratio="f"/>
                </v:shape>
                <w10:wrap type="none"/>
                <w10:anchorlock/>
              </v:group>
            </w:pict>
          </mc:Fallback>
        </mc:AlternateConten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eastAsia="宋体"/>
          <w:color w:val="000000"/>
          <w:sz w:val="21"/>
          <w:lang w:val="en-US" w:eastAsia="zh-CN"/>
        </w:rPr>
      </w:pPr>
      <w:r>
        <w:rPr>
          <w:rFonts w:hint="default" w:eastAsia="宋体"/>
          <w:color w:val="000000"/>
          <w:sz w:val="21"/>
          <w:lang w:val="en-US" w:eastAsia="zh-CN"/>
        </w:rPr>
        <w:t xml:space="preserve">图 </w:t>
      </w:r>
      <w:r>
        <w:rPr>
          <w:rFonts w:hint="eastAsia" w:eastAsia="宋体"/>
          <w:color w:val="000000"/>
          <w:sz w:val="21"/>
          <w:lang w:val="en-US" w:eastAsia="zh-CN"/>
        </w:rPr>
        <w:t>3</w:t>
      </w:r>
      <w:r>
        <w:rPr>
          <w:rFonts w:hint="default" w:eastAsia="宋体"/>
          <w:color w:val="000000"/>
          <w:sz w:val="21"/>
          <w:lang w:val="en-US" w:eastAsia="zh-CN"/>
        </w:rPr>
        <w:t>.2-</w:t>
      </w:r>
      <w:r>
        <w:rPr>
          <w:rFonts w:hint="eastAsia" w:eastAsia="宋体"/>
          <w:color w:val="000000"/>
          <w:sz w:val="21"/>
          <w:lang w:val="en-US" w:eastAsia="zh-CN"/>
        </w:rPr>
        <w:t>5</w:t>
      </w:r>
      <w:r>
        <w:rPr>
          <w:rFonts w:hint="default" w:eastAsia="宋体"/>
          <w:color w:val="000000"/>
          <w:sz w:val="21"/>
          <w:lang w:val="en-US" w:eastAsia="zh-CN"/>
        </w:rPr>
        <w:t xml:space="preserve">     项目水平衡图 ( m</w:t>
      </w:r>
      <w:r>
        <w:rPr>
          <w:rFonts w:hint="default" w:eastAsia="宋体"/>
          <w:color w:val="000000"/>
          <w:sz w:val="21"/>
          <w:vertAlign w:val="superscript"/>
          <w:lang w:val="en-US" w:eastAsia="zh-CN"/>
        </w:rPr>
        <w:t>3</w:t>
      </w:r>
      <w:r>
        <w:rPr>
          <w:rFonts w:hint="default" w:eastAsia="宋体"/>
          <w:color w:val="000000"/>
          <w:sz w:val="21"/>
          <w:lang w:val="en-US" w:eastAsia="zh-CN"/>
        </w:rPr>
        <w:t>/</w:t>
      </w:r>
      <w:r>
        <w:rPr>
          <w:rFonts w:hint="eastAsia" w:eastAsia="宋体"/>
          <w:color w:val="000000"/>
          <w:sz w:val="21"/>
          <w:lang w:val="en-US" w:eastAsia="zh-CN"/>
        </w:rPr>
        <w:t>a</w:t>
      </w:r>
      <w:r>
        <w:rPr>
          <w:rFonts w:hint="default" w:eastAsia="宋体"/>
          <w:color w:val="000000"/>
          <w:sz w:val="21"/>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、污水水质浓度分析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本项目理化试验室、PCR 实验室、微生物实验室属于医学检验机构实验室，根据建设单位提供的资料，项目实验室废水经收集后进入自建污水处理站进行处理；生活污水进入化粪池处理。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实验室废水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实验室废水污染物浓度通过参考论文《物化+生化+消毒工艺处理疾病预防控制中心废水的研究》（王榕，南昌大学）中对景德镇疾病预防控制中心 2、3、4、5 月份实验室废水试验的研究结果，以及论文《疾病预防控制中心废水处理技术工程实例》（王榕等，2010）的研究结果，本项目废水中主要污染物浓度为：pH：5~7、COD：400mg/L、BOD</w:t>
      </w:r>
      <w:r>
        <w:rPr>
          <w:rFonts w:hint="default" w:eastAsia="宋体" w:cs="Times New Roman"/>
          <w:b w:val="0"/>
          <w:bCs w:val="0"/>
          <w:snapToGrid w:val="0"/>
          <w:color w:val="000000"/>
          <w:spacing w:val="11"/>
          <w:kern w:val="0"/>
          <w:sz w:val="24"/>
          <w:szCs w:val="24"/>
          <w:vertAlign w:val="subscript"/>
          <w:lang w:val="en-US" w:eastAsia="zh-CN"/>
        </w:rPr>
        <w:t>5</w:t>
      </w:r>
      <w:r>
        <w:rPr>
          <w:rFonts w:hint="default" w:eastAsia="宋体" w:cs="Times New Roman"/>
          <w:b w:val="0"/>
          <w:bCs w:val="0"/>
          <w:snapToGrid w:val="0"/>
          <w:color w:val="000000"/>
          <w:spacing w:val="11"/>
          <w:kern w:val="0"/>
          <w:sz w:val="24"/>
          <w:szCs w:val="24"/>
          <w:lang w:val="en-US" w:eastAsia="zh-CN"/>
        </w:rPr>
        <w:t>：150mg/L、NH</w:t>
      </w:r>
      <w:r>
        <w:rPr>
          <w:rFonts w:hint="default" w:eastAsia="宋体" w:cs="Times New Roman"/>
          <w:b w:val="0"/>
          <w:bCs w:val="0"/>
          <w:snapToGrid w:val="0"/>
          <w:color w:val="000000"/>
          <w:spacing w:val="11"/>
          <w:kern w:val="0"/>
          <w:sz w:val="24"/>
          <w:szCs w:val="24"/>
          <w:vertAlign w:val="subscript"/>
          <w:lang w:val="en-US" w:eastAsia="zh-CN"/>
        </w:rPr>
        <w:t>3</w:t>
      </w:r>
      <w:r>
        <w:rPr>
          <w:rFonts w:hint="default" w:eastAsia="宋体" w:cs="Times New Roman"/>
          <w:b w:val="0"/>
          <w:bCs w:val="0"/>
          <w:snapToGrid w:val="0"/>
          <w:color w:val="000000"/>
          <w:spacing w:val="11"/>
          <w:kern w:val="0"/>
          <w:sz w:val="24"/>
          <w:szCs w:val="24"/>
          <w:lang w:val="en-US" w:eastAsia="zh-CN"/>
        </w:rPr>
        <w:t>-N：45mg/L、SS：150mg/L、粪大肠菌群：1.8×10</w:t>
      </w:r>
      <w:r>
        <w:rPr>
          <w:rFonts w:hint="default" w:eastAsia="宋体" w:cs="Times New Roman"/>
          <w:b w:val="0"/>
          <w:bCs w:val="0"/>
          <w:snapToGrid w:val="0"/>
          <w:color w:val="000000"/>
          <w:spacing w:val="11"/>
          <w:kern w:val="0"/>
          <w:sz w:val="24"/>
          <w:szCs w:val="24"/>
          <w:vertAlign w:val="superscript"/>
          <w:lang w:val="en-US" w:eastAsia="zh-CN"/>
        </w:rPr>
        <w:t>7</w:t>
      </w:r>
      <w:r>
        <w:rPr>
          <w:rFonts w:hint="default" w:eastAsia="宋体" w:cs="Times New Roman"/>
          <w:b w:val="0"/>
          <w:bCs w:val="0"/>
          <w:snapToGrid w:val="0"/>
          <w:color w:val="000000"/>
          <w:spacing w:val="11"/>
          <w:kern w:val="0"/>
          <w:sz w:val="24"/>
          <w:szCs w:val="24"/>
          <w:lang w:val="en-US" w:eastAsia="zh-CN"/>
        </w:rPr>
        <w:t>个/L。</w:t>
      </w:r>
      <w:r>
        <w:rPr>
          <w:rFonts w:hint="eastAsia" w:eastAsia="宋体" w:cs="Times New Roman"/>
          <w:b w:val="0"/>
          <w:bCs w:val="0"/>
          <w:snapToGrid w:val="0"/>
          <w:color w:val="000000"/>
          <w:spacing w:val="11"/>
          <w:kern w:val="0"/>
          <w:sz w:val="24"/>
          <w:szCs w:val="24"/>
          <w:lang w:val="en-US" w:eastAsia="zh-CN"/>
        </w:rPr>
        <w:t>废水经自建污水处理设施处理达到《医疗机构水污染物排放标准》（</w:t>
      </w:r>
      <w:r>
        <w:rPr>
          <w:rFonts w:hint="default" w:eastAsia="宋体" w:cs="Times New Roman"/>
          <w:b w:val="0"/>
          <w:bCs w:val="0"/>
          <w:snapToGrid w:val="0"/>
          <w:color w:val="000000"/>
          <w:spacing w:val="11"/>
          <w:kern w:val="0"/>
          <w:sz w:val="24"/>
          <w:szCs w:val="24"/>
          <w:lang w:val="en-US" w:eastAsia="zh-CN"/>
        </w:rPr>
        <w:t>GB18466-2005</w:t>
      </w:r>
      <w:r>
        <w:rPr>
          <w:rFonts w:hint="eastAsia" w:eastAsia="宋体" w:cs="Times New Roman"/>
          <w:b w:val="0"/>
          <w:bCs w:val="0"/>
          <w:snapToGrid w:val="0"/>
          <w:color w:val="000000"/>
          <w:spacing w:val="11"/>
          <w:kern w:val="0"/>
          <w:sz w:val="24"/>
          <w:szCs w:val="24"/>
          <w:lang w:val="en-US" w:eastAsia="zh-CN"/>
        </w:rPr>
        <w:t>）表</w:t>
      </w:r>
      <w:r>
        <w:rPr>
          <w:rFonts w:hint="default" w:eastAsia="宋体" w:cs="Times New Roman"/>
          <w:b w:val="0"/>
          <w:bCs w:val="0"/>
          <w:snapToGrid w:val="0"/>
          <w:color w:val="000000"/>
          <w:spacing w:val="11"/>
          <w:kern w:val="0"/>
          <w:sz w:val="24"/>
          <w:szCs w:val="24"/>
          <w:lang w:val="en-US" w:eastAsia="zh-CN"/>
        </w:rPr>
        <w:t xml:space="preserve">2 </w:t>
      </w:r>
      <w:r>
        <w:rPr>
          <w:rFonts w:hint="eastAsia" w:eastAsia="宋体" w:cs="Times New Roman"/>
          <w:b w:val="0"/>
          <w:bCs w:val="0"/>
          <w:snapToGrid w:val="0"/>
          <w:color w:val="000000"/>
          <w:spacing w:val="11"/>
          <w:kern w:val="0"/>
          <w:sz w:val="24"/>
          <w:szCs w:val="24"/>
          <w:lang w:val="en-US" w:eastAsia="zh-CN"/>
        </w:rPr>
        <w:t>预处理标准及宁远县污水处理厂进水水质标准较严值后排入宁远县污水处理厂。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eastAsia="宋体" w:cs="Times New Roman"/>
          <w:b w:val="0"/>
          <w:bCs w:val="0"/>
          <w:snapToGrid w:val="0"/>
          <w:color w:val="000000"/>
          <w:spacing w:val="11"/>
          <w:kern w:val="0"/>
          <w:sz w:val="24"/>
          <w:szCs w:val="24"/>
          <w:lang w:val="en-US" w:eastAsia="zh-CN"/>
        </w:rPr>
        <w:t>生活污水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主要污染物是CODcr、BOD</w:t>
      </w:r>
      <w:r>
        <w:rPr>
          <w:rFonts w:hint="default" w:eastAsia="宋体" w:cs="Times New Roman"/>
          <w:b w:val="0"/>
          <w:bCs w:val="0"/>
          <w:snapToGrid w:val="0"/>
          <w:color w:val="000000"/>
          <w:spacing w:val="11"/>
          <w:kern w:val="0"/>
          <w:sz w:val="24"/>
          <w:szCs w:val="24"/>
          <w:vertAlign w:val="subscript"/>
          <w:lang w:val="en-US" w:eastAsia="zh-CN"/>
        </w:rPr>
        <w:t>5</w:t>
      </w:r>
      <w:r>
        <w:rPr>
          <w:rFonts w:hint="default" w:eastAsia="宋体" w:cs="Times New Roman"/>
          <w:b w:val="0"/>
          <w:bCs w:val="0"/>
          <w:snapToGrid w:val="0"/>
          <w:color w:val="000000"/>
          <w:spacing w:val="11"/>
          <w:kern w:val="0"/>
          <w:sz w:val="24"/>
          <w:szCs w:val="24"/>
          <w:lang w:val="en-US" w:eastAsia="zh-CN"/>
        </w:rPr>
        <w:t>、NH</w:t>
      </w:r>
      <w:r>
        <w:rPr>
          <w:rFonts w:hint="default" w:eastAsia="宋体" w:cs="Times New Roman"/>
          <w:b w:val="0"/>
          <w:bCs w:val="0"/>
          <w:snapToGrid w:val="0"/>
          <w:color w:val="000000"/>
          <w:spacing w:val="11"/>
          <w:kern w:val="0"/>
          <w:sz w:val="24"/>
          <w:szCs w:val="24"/>
          <w:vertAlign w:val="subscript"/>
          <w:lang w:val="en-US" w:eastAsia="zh-CN"/>
        </w:rPr>
        <w:t>3</w:t>
      </w:r>
      <w:r>
        <w:rPr>
          <w:rFonts w:hint="default" w:eastAsia="宋体" w:cs="Times New Roman"/>
          <w:b w:val="0"/>
          <w:bCs w:val="0"/>
          <w:snapToGrid w:val="0"/>
          <w:color w:val="000000"/>
          <w:spacing w:val="11"/>
          <w:kern w:val="0"/>
          <w:sz w:val="24"/>
          <w:szCs w:val="24"/>
          <w:lang w:val="en-US" w:eastAsia="zh-CN"/>
        </w:rPr>
        <w:t>-N、SS等。该类污水的主要污染物为COD</w:t>
      </w:r>
      <w:r>
        <w:rPr>
          <w:rFonts w:hint="eastAsia" w:eastAsia="宋体" w:cs="Times New Roman"/>
          <w:b w:val="0"/>
          <w:bCs w:val="0"/>
          <w:snapToGrid w:val="0"/>
          <w:color w:val="000000"/>
          <w:spacing w:val="11"/>
          <w:kern w:val="0"/>
          <w:sz w:val="24"/>
          <w:szCs w:val="24"/>
          <w:lang w:val="en-US" w:eastAsia="zh-CN"/>
        </w:rPr>
        <w:t>cr</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0mg/L）、BOD</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（150mg/L）、SS（200mg/L）、NH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-N（</w:t>
      </w:r>
      <w:r>
        <w:rPr>
          <w:rFonts w:hint="eastAsia" w:ascii="Times New Roman" w:hAnsi="Times New Roman" w:eastAsia="宋体" w:cs="Times New Roman"/>
          <w:b w:val="0"/>
          <w:bCs w:val="0"/>
          <w:snapToGrid w:val="0"/>
          <w:color w:val="000000"/>
          <w:spacing w:val="11"/>
          <w:kern w:val="0"/>
          <w:sz w:val="24"/>
          <w:szCs w:val="24"/>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5mg/L）</w:t>
      </w:r>
      <w:r>
        <w:rPr>
          <w:rFonts w:hint="default" w:eastAsia="宋体" w:cs="Times New Roman"/>
          <w:b w:val="0"/>
          <w:bCs w:val="0"/>
          <w:snapToGrid w:val="0"/>
          <w:color w:val="000000"/>
          <w:spacing w:val="11"/>
          <w:kern w:val="0"/>
          <w:sz w:val="24"/>
          <w:szCs w:val="24"/>
          <w:lang w:val="en-US" w:eastAsia="zh-CN"/>
        </w:rPr>
        <w:t>等。生活污水经化粪池</w:t>
      </w:r>
      <w:r>
        <w:rPr>
          <w:rFonts w:hint="eastAsia" w:eastAsia="宋体" w:cs="Times New Roman"/>
          <w:b w:val="0"/>
          <w:bCs w:val="0"/>
          <w:snapToGrid w:val="0"/>
          <w:color w:val="000000"/>
          <w:spacing w:val="11"/>
          <w:kern w:val="0"/>
          <w:sz w:val="24"/>
          <w:szCs w:val="24"/>
          <w:lang w:val="en-US" w:eastAsia="zh-CN"/>
        </w:rPr>
        <w:t>预处理</w:t>
      </w:r>
      <w:r>
        <w:rPr>
          <w:rFonts w:hint="default" w:eastAsia="宋体" w:cs="Times New Roman"/>
          <w:b w:val="0"/>
          <w:bCs w:val="0"/>
          <w:snapToGrid w:val="0"/>
          <w:color w:val="000000"/>
          <w:spacing w:val="11"/>
          <w:kern w:val="0"/>
          <w:sz w:val="24"/>
          <w:szCs w:val="24"/>
          <w:lang w:val="en-US" w:eastAsia="zh-CN"/>
        </w:rPr>
        <w:t>后</w:t>
      </w:r>
      <w:r>
        <w:rPr>
          <w:rFonts w:hint="eastAsia" w:eastAsia="宋体" w:cs="Times New Roman"/>
          <w:b w:val="0"/>
          <w:bCs w:val="0"/>
          <w:snapToGrid w:val="0"/>
          <w:color w:val="000000"/>
          <w:spacing w:val="11"/>
          <w:kern w:val="0"/>
          <w:sz w:val="24"/>
          <w:szCs w:val="24"/>
          <w:lang w:val="en-US" w:eastAsia="zh-CN"/>
        </w:rPr>
        <w:t>达到《污水综合排放标准》（GB8978-1996）表 4 中三级标准及宁远县污水处理厂进水水质标准较严值</w:t>
      </w:r>
      <w:r>
        <w:rPr>
          <w:rFonts w:hint="default" w:eastAsia="宋体" w:cs="Times New Roman"/>
          <w:b w:val="0"/>
          <w:bCs w:val="0"/>
          <w:snapToGrid w:val="0"/>
          <w:color w:val="000000"/>
          <w:spacing w:val="11"/>
          <w:kern w:val="0"/>
          <w:sz w:val="24"/>
          <w:szCs w:val="24"/>
          <w:lang w:val="en-US" w:eastAsia="zh-CN"/>
        </w:rPr>
        <w:t>接入市政污水管网。</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综上所述，本项目外排废水主要污染物产生及排放情况详见下表3.2-4。</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eastAsia="宋体" w:cs="Times New Roman"/>
          <w:b w:val="0"/>
          <w:bCs w:val="0"/>
          <w:snapToGrid w:val="0"/>
          <w:color w:val="000000"/>
          <w:spacing w:val="11"/>
          <w:kern w:val="0"/>
          <w:sz w:val="24"/>
          <w:szCs w:val="24"/>
          <w:lang w:val="en-US" w:eastAsia="zh-CN"/>
        </w:rPr>
      </w:pPr>
      <w:r>
        <w:rPr>
          <w:rFonts w:hint="eastAsia" w:ascii="宋体" w:hAnsi="宋体" w:eastAsia="宋体" w:cs="宋体"/>
          <w:b/>
          <w:bCs/>
          <w:snapToGrid w:val="0"/>
          <w:color w:val="000000"/>
          <w:kern w:val="0"/>
          <w:sz w:val="20"/>
          <w:szCs w:val="20"/>
          <w:lang w:val="en-US" w:eastAsia="zh-CN" w:bidi="ar"/>
        </w:rPr>
        <w:t>表</w:t>
      </w:r>
      <w:r>
        <w:rPr>
          <w:rFonts w:hint="default" w:ascii="Times New Roman" w:hAnsi="Times New Roman" w:eastAsia="宋体" w:cs="Times New Roman"/>
          <w:b/>
          <w:bCs/>
          <w:snapToGrid w:val="0"/>
          <w:color w:val="000000"/>
          <w:kern w:val="0"/>
          <w:sz w:val="20"/>
          <w:szCs w:val="20"/>
          <w:lang w:val="en-US" w:eastAsia="zh-CN" w:bidi="ar"/>
        </w:rPr>
        <w:t>3.2-</w:t>
      </w:r>
      <w:r>
        <w:rPr>
          <w:rFonts w:hint="eastAsia" w:ascii="Times New Roman" w:hAnsi="Times New Roman" w:eastAsia="宋体" w:cs="Times New Roman"/>
          <w:b/>
          <w:bCs/>
          <w:snapToGrid w:val="0"/>
          <w:color w:val="000000"/>
          <w:kern w:val="0"/>
          <w:sz w:val="20"/>
          <w:szCs w:val="20"/>
          <w:lang w:val="en-US" w:eastAsia="zh-CN" w:bidi="ar"/>
        </w:rPr>
        <w:t>4</w:t>
      </w:r>
      <w:r>
        <w:rPr>
          <w:rFonts w:hint="default" w:ascii="Times New Roman" w:hAnsi="Times New Roman" w:eastAsia="宋体" w:cs="Times New Roman"/>
          <w:b/>
          <w:bCs/>
          <w:snapToGrid w:val="0"/>
          <w:color w:val="000000"/>
          <w:kern w:val="0"/>
          <w:sz w:val="20"/>
          <w:szCs w:val="20"/>
          <w:lang w:val="en-US" w:eastAsia="zh-CN" w:bidi="ar"/>
        </w:rPr>
        <w:t xml:space="preserve"> </w:t>
      </w:r>
      <w:r>
        <w:rPr>
          <w:rFonts w:hint="eastAsia" w:ascii="宋体" w:hAnsi="宋体" w:eastAsia="宋体" w:cs="宋体"/>
          <w:b/>
          <w:bCs/>
          <w:snapToGrid w:val="0"/>
          <w:color w:val="000000"/>
          <w:kern w:val="0"/>
          <w:sz w:val="20"/>
          <w:szCs w:val="20"/>
          <w:lang w:val="en-US" w:eastAsia="zh-CN" w:bidi="ar"/>
        </w:rPr>
        <w:t>拟建项目主要污染物产生及排放一览</w:t>
      </w:r>
    </w:p>
    <w:tbl>
      <w:tblPr>
        <w:tblStyle w:val="26"/>
        <w:tblpPr w:leftFromText="180" w:rightFromText="180" w:vertAnchor="text" w:horzAnchor="page" w:tblpX="1052" w:tblpY="248"/>
        <w:tblOverlap w:val="never"/>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21"/>
        <w:gridCol w:w="1422"/>
        <w:gridCol w:w="1422"/>
        <w:gridCol w:w="1422"/>
        <w:gridCol w:w="1422"/>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污染源名称</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污染物</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 xml:space="preserve">废水排放量 </w:t>
            </w:r>
            <w:r>
              <w:rPr>
                <w:rFonts w:hint="default" w:ascii="Times New Roman" w:hAnsi="Times New Roman" w:eastAsia="宋体" w:cs="Times New Roman"/>
                <w:snapToGrid w:val="0"/>
                <w:color w:val="000000"/>
                <w:kern w:val="0"/>
                <w:sz w:val="21"/>
                <w:szCs w:val="21"/>
                <w:lang w:val="en-US" w:eastAsia="zh-CN" w:bidi="ar"/>
              </w:rPr>
              <w:t>t/a</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hint="eastAsia" w:ascii="Times New Roman" w:hAnsi="Times New Roman" w:eastAsia="宋体" w:cs="Times New Roman"/>
                <w:snapToGrid w:val="0"/>
                <w:color w:val="000000"/>
                <w:kern w:val="0"/>
                <w:sz w:val="21"/>
                <w:szCs w:val="21"/>
                <w:lang w:val="en-US" w:eastAsia="zh-CN" w:bidi="ar"/>
              </w:rPr>
            </w:pPr>
            <w:r>
              <w:rPr>
                <w:rFonts w:hint="eastAsia" w:ascii="Times New Roman" w:hAnsi="Times New Roman" w:eastAsia="宋体" w:cs="Times New Roman"/>
                <w:snapToGrid w:val="0"/>
                <w:color w:val="000000"/>
                <w:kern w:val="0"/>
                <w:sz w:val="21"/>
                <w:szCs w:val="21"/>
                <w:lang w:val="en-US" w:eastAsia="zh-CN" w:bidi="ar"/>
              </w:rPr>
              <w:t>进口浓度</w:t>
            </w:r>
          </w:p>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mg</w:t>
            </w:r>
            <w:r>
              <w:rPr>
                <w:rFonts w:hint="default" w:ascii="Times New Roman" w:hAnsi="Times New Roman" w:eastAsia="宋体" w:cs="Times New Roman"/>
                <w:snapToGrid w:val="0"/>
                <w:color w:val="000000"/>
                <w:kern w:val="0"/>
                <w:sz w:val="21"/>
                <w:szCs w:val="21"/>
                <w:lang w:val="en-US" w:eastAsia="zh-CN" w:bidi="ar"/>
              </w:rPr>
              <w:t>/L</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污染物产生量</w:t>
            </w:r>
            <w:r>
              <w:rPr>
                <w:rFonts w:hint="default" w:ascii="Times New Roman" w:hAnsi="Times New Roman" w:eastAsia="宋体" w:cs="Times New Roman"/>
                <w:snapToGrid w:val="0"/>
                <w:color w:val="000000"/>
                <w:kern w:val="0"/>
                <w:sz w:val="21"/>
                <w:szCs w:val="21"/>
                <w:lang w:val="en-US" w:eastAsia="zh-CN" w:bidi="ar"/>
              </w:rPr>
              <w:t>t/a</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napToGrid w:val="0"/>
                <w:color w:val="000000"/>
                <w:kern w:val="0"/>
                <w:sz w:val="21"/>
                <w:szCs w:val="21"/>
                <w:lang w:val="en-US" w:eastAsia="zh-CN" w:bidi="ar"/>
              </w:rPr>
              <w:t>出口浓度</w:t>
            </w:r>
          </w:p>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mg</w:t>
            </w:r>
            <w:r>
              <w:rPr>
                <w:rFonts w:hint="default" w:ascii="Times New Roman" w:hAnsi="Times New Roman" w:eastAsia="宋体" w:cs="Times New Roman"/>
                <w:snapToGrid w:val="0"/>
                <w:color w:val="000000"/>
                <w:kern w:val="0"/>
                <w:sz w:val="21"/>
                <w:szCs w:val="21"/>
                <w:lang w:val="en-US" w:eastAsia="zh-CN" w:bidi="ar"/>
              </w:rPr>
              <w:t>/L</w:t>
            </w:r>
          </w:p>
        </w:tc>
        <w:tc>
          <w:tcPr>
            <w:tcW w:w="714" w:type="pct"/>
            <w:tcBorders>
              <w:tl2br w:val="nil"/>
              <w:tr2bl w:val="nil"/>
            </w:tcBorders>
            <w:vAlign w:val="center"/>
          </w:tcPr>
          <w:p>
            <w:pPr>
              <w:keepNext w:val="0"/>
              <w:keepLines w:val="0"/>
              <w:pageBreakBefore w:val="0"/>
              <w:widowControl/>
              <w:suppressLineNumbers w:val="0"/>
              <w:wordWrap/>
              <w:overflowPunct/>
              <w:topLinePunct w:val="0"/>
              <w:bidi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lang w:val="en-US" w:eastAsia="zh-CN" w:bidi="ar"/>
              </w:rPr>
              <w:t>污染量物排放量</w:t>
            </w:r>
            <w:r>
              <w:rPr>
                <w:rFonts w:hint="default" w:ascii="Times New Roman" w:hAnsi="Times New Roman" w:eastAsia="宋体" w:cs="Times New Roman"/>
                <w:snapToGrid w:val="0"/>
                <w:color w:val="000000"/>
                <w:kern w:val="0"/>
                <w:sz w:val="21"/>
                <w:szCs w:val="21"/>
                <w:lang w:val="en-US" w:eastAsia="zh-CN" w:bidi="ar"/>
              </w:rPr>
              <w:t>t /a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生活污水</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CODcr</w:t>
            </w:r>
          </w:p>
        </w:tc>
        <w:tc>
          <w:tcPr>
            <w:tcW w:w="714" w:type="pct"/>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730</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350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0.256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300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0.219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BOD</w:t>
            </w:r>
            <w:r>
              <w:rPr>
                <w:rFonts w:hint="default" w:eastAsia="宋体" w:cs="Times New Roman"/>
                <w:b w:val="0"/>
                <w:bCs w:val="0"/>
                <w:snapToGrid w:val="0"/>
                <w:color w:val="000000"/>
                <w:spacing w:val="11"/>
                <w:kern w:val="0"/>
                <w:sz w:val="21"/>
                <w:szCs w:val="21"/>
                <w:vertAlign w:val="subscript"/>
                <w:lang w:val="en-US" w:eastAsia="zh-CN"/>
              </w:rPr>
              <w:t>5</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150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0.110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150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NH</w:t>
            </w:r>
            <w:r>
              <w:rPr>
                <w:rFonts w:hint="default" w:eastAsia="宋体" w:cs="Times New Roman"/>
                <w:b w:val="0"/>
                <w:bCs w:val="0"/>
                <w:snapToGrid w:val="0"/>
                <w:color w:val="000000"/>
                <w:spacing w:val="11"/>
                <w:kern w:val="0"/>
                <w:sz w:val="21"/>
                <w:szCs w:val="21"/>
                <w:vertAlign w:val="subscript"/>
                <w:lang w:val="en-US" w:eastAsia="zh-CN"/>
              </w:rPr>
              <w:t>3</w:t>
            </w:r>
            <w:r>
              <w:rPr>
                <w:rFonts w:hint="default" w:eastAsia="宋体" w:cs="Times New Roman"/>
                <w:b w:val="0"/>
                <w:bCs w:val="0"/>
                <w:snapToGrid w:val="0"/>
                <w:color w:val="000000"/>
                <w:spacing w:val="11"/>
                <w:kern w:val="0"/>
                <w:sz w:val="21"/>
                <w:szCs w:val="21"/>
                <w:lang w:val="en-US" w:eastAsia="zh-CN"/>
              </w:rPr>
              <w:t>-N</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35</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0.026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30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SS</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200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0.146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200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实验室废水</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CODcr</w:t>
            </w:r>
          </w:p>
        </w:tc>
        <w:tc>
          <w:tcPr>
            <w:tcW w:w="714" w:type="pct"/>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686.375</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400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0.275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250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BOD</w:t>
            </w:r>
            <w:r>
              <w:rPr>
                <w:rFonts w:hint="default" w:eastAsia="宋体" w:cs="Times New Roman"/>
                <w:b w:val="0"/>
                <w:bCs w:val="0"/>
                <w:snapToGrid w:val="0"/>
                <w:color w:val="000000"/>
                <w:spacing w:val="11"/>
                <w:kern w:val="0"/>
                <w:sz w:val="21"/>
                <w:szCs w:val="21"/>
                <w:vertAlign w:val="subscript"/>
                <w:lang w:val="en-US" w:eastAsia="zh-CN"/>
              </w:rPr>
              <w:t>5</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150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0.103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100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0.069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NH</w:t>
            </w:r>
            <w:r>
              <w:rPr>
                <w:rFonts w:hint="default" w:eastAsia="宋体" w:cs="Times New Roman"/>
                <w:b w:val="0"/>
                <w:bCs w:val="0"/>
                <w:snapToGrid w:val="0"/>
                <w:color w:val="000000"/>
                <w:spacing w:val="11"/>
                <w:kern w:val="0"/>
                <w:sz w:val="21"/>
                <w:szCs w:val="21"/>
                <w:vertAlign w:val="subscript"/>
                <w:lang w:val="en-US" w:eastAsia="zh-CN"/>
              </w:rPr>
              <w:t>3</w:t>
            </w:r>
            <w:r>
              <w:rPr>
                <w:rFonts w:hint="default" w:eastAsia="宋体" w:cs="Times New Roman"/>
                <w:b w:val="0"/>
                <w:bCs w:val="0"/>
                <w:snapToGrid w:val="0"/>
                <w:color w:val="000000"/>
                <w:spacing w:val="11"/>
                <w:kern w:val="0"/>
                <w:sz w:val="21"/>
                <w:szCs w:val="21"/>
                <w:lang w:val="en-US" w:eastAsia="zh-CN"/>
              </w:rPr>
              <w:t>-N</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45</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0.031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30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2"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lang w:val="en-US" w:eastAsia="zh-CN"/>
              </w:rPr>
              <w:t>SS</w:t>
            </w:r>
          </w:p>
        </w:tc>
        <w:tc>
          <w:tcPr>
            <w:tcW w:w="714" w:type="pct"/>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150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0.103 </w:t>
            </w:r>
          </w:p>
        </w:tc>
        <w:tc>
          <w:tcPr>
            <w:tcW w:w="714" w:type="pc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eastAsia" w:eastAsia="宋体" w:cs="Times New Roman"/>
                <w:b w:val="0"/>
                <w:bCs w:val="0"/>
                <w:snapToGrid w:val="0"/>
                <w:color w:val="000000"/>
                <w:spacing w:val="11"/>
                <w:kern w:val="0"/>
                <w:sz w:val="21"/>
                <w:szCs w:val="21"/>
                <w:vertAlign w:val="baseline"/>
                <w:lang w:val="en-US" w:eastAsia="zh-CN"/>
              </w:rPr>
              <w:t>60</w:t>
            </w:r>
          </w:p>
        </w:tc>
        <w:tc>
          <w:tcPr>
            <w:tcW w:w="142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240" w:lineRule="auto"/>
              <w:ind w:right="0" w:rightChars="0"/>
              <w:jc w:val="center"/>
              <w:textAlignment w:val="auto"/>
              <w:rPr>
                <w:rFonts w:hint="default" w:eastAsia="宋体" w:cs="Times New Roman"/>
                <w:b w:val="0"/>
                <w:bCs w:val="0"/>
                <w:snapToGrid w:val="0"/>
                <w:color w:val="000000"/>
                <w:spacing w:val="11"/>
                <w:kern w:val="0"/>
                <w:sz w:val="21"/>
                <w:szCs w:val="21"/>
                <w:vertAlign w:val="baseline"/>
                <w:lang w:val="en-US" w:eastAsia="zh-CN"/>
              </w:rPr>
            </w:pPr>
            <w:r>
              <w:rPr>
                <w:rFonts w:hint="default" w:eastAsia="宋体" w:cs="Times New Roman"/>
                <w:b w:val="0"/>
                <w:bCs w:val="0"/>
                <w:snapToGrid w:val="0"/>
                <w:color w:val="000000"/>
                <w:spacing w:val="11"/>
                <w:kern w:val="0"/>
                <w:sz w:val="21"/>
                <w:szCs w:val="21"/>
                <w:vertAlign w:val="baseline"/>
                <w:lang w:val="en-US" w:eastAsia="zh-CN"/>
              </w:rPr>
              <w:t xml:space="preserve">0.041 </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非正常排放污染源分析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可能出现的非正常污染物排放情况是拟建污水处理站设备非正常运行时，可能会使处理出水水质不合格。事故或非正常工况排水时，首先污水站立即启动人工加药的方式，在废水处理系统中人工投加消毒剂，以达到杀菌目的，使外排的废水不会对外环境产生有害影响。因此应在污水处理站旁建设应急事故池，且保证污水在事故状态下重力自流入事故水池。参照《医院污水处理工程技术规范》（HJ2029-2013）</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医院污水处理工程应设事故池，以贮存处理系统事故或其他突发事件污水，污水处理工程应急事故池容积不小于日排放量的</w:t>
      </w:r>
      <w:r>
        <w:rPr>
          <w:rFonts w:hint="eastAsia" w:eastAsia="宋体" w:cs="Times New Roman"/>
          <w:b w:val="0"/>
          <w:bCs w:val="0"/>
          <w:snapToGrid w:val="0"/>
          <w:color w:val="000000"/>
          <w:spacing w:val="11"/>
          <w:kern w:val="0"/>
          <w:sz w:val="24"/>
          <w:szCs w:val="24"/>
          <w:lang w:val="en-US" w:eastAsia="zh-CN"/>
        </w:rPr>
        <w:t>10</w:t>
      </w:r>
      <w:r>
        <w:rPr>
          <w:rFonts w:hint="default" w:eastAsia="宋体" w:cs="Times New Roman"/>
          <w:b w:val="0"/>
          <w:bCs w:val="0"/>
          <w:snapToGrid w:val="0"/>
          <w:color w:val="000000"/>
          <w:spacing w:val="11"/>
          <w:kern w:val="0"/>
          <w:sz w:val="24"/>
          <w:szCs w:val="24"/>
          <w:lang w:val="en-US" w:eastAsia="zh-CN"/>
        </w:rPr>
        <w:t>0%。本项目污水处理量</w:t>
      </w:r>
      <w:r>
        <w:rPr>
          <w:rFonts w:hint="eastAsia" w:eastAsia="宋体" w:cs="Times New Roman"/>
          <w:b w:val="0"/>
          <w:bCs w:val="0"/>
          <w:snapToGrid w:val="0"/>
          <w:color w:val="000000"/>
          <w:spacing w:val="11"/>
          <w:kern w:val="0"/>
          <w:sz w:val="24"/>
          <w:szCs w:val="24"/>
          <w:lang w:val="en-US" w:eastAsia="zh-CN"/>
        </w:rPr>
        <w:t>2.746</w:t>
      </w:r>
      <w:r>
        <w:rPr>
          <w:rFonts w:hint="default" w:eastAsia="宋体" w:cs="Times New Roman"/>
          <w:b w:val="0"/>
          <w:bCs w:val="0"/>
          <w:snapToGrid w:val="0"/>
          <w:color w:val="000000"/>
          <w:spacing w:val="11"/>
          <w:kern w:val="0"/>
          <w:sz w:val="24"/>
          <w:szCs w:val="24"/>
          <w:lang w:val="en-US" w:eastAsia="zh-CN"/>
        </w:rPr>
        <w:t>t/d，则应急事故池容积定为</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。事故排水情况下废水可储存在应急池内，并经消毒剂灭菌处理后排放</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.2.2.</w:t>
      </w: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 xml:space="preserve"> 废气污染源分析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本项目废气污染源主要为实验室废气（微生物实验室和理化实验室废气）、污水处理设施废气、机动车尾气、柴油发电机废气、生活垃圾及医疗垃圾暂存间恶臭等。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w:t>
      </w:r>
      <w:r>
        <w:rPr>
          <w:rFonts w:hint="default" w:eastAsia="宋体" w:cs="Times New Roman"/>
          <w:b w:val="0"/>
          <w:bCs w:val="0"/>
          <w:snapToGrid w:val="0"/>
          <w:color w:val="000000"/>
          <w:spacing w:val="11"/>
          <w:kern w:val="0"/>
          <w:sz w:val="24"/>
          <w:szCs w:val="24"/>
          <w:lang w:val="en-US" w:eastAsia="zh-CN"/>
        </w:rPr>
        <w:t>实验废气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1）生物实验室废气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生物实验室废气主要是实验室排风废气，废气中可能含病原微生物（气溶胶），废气主要来源于生物安全柜排气。为了防止实验过程中有害病菌的逃逸，要求所有涉及病原微生物的操作均在生物安全柜中进行，柜里的实验平台相对实验室内环境处于负压状态，气流在生物安全柜内得到有效控制，可减少实验过程中产生的气溶胶从操作窗口外逸。通过生物安全柜的紫外灭菌灯管灭菌后，再经过滤棉安全柜安装有高效空气过滤器（HEPA过滤器），对粒径0.3μm以上的气溶胶去除效率不低于99.97%，实验室废气中的致病细菌可彻底除去。</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为保证病原微生物在事故状态仍不外排至大气中，在废气排风的总管末端、排风机负压段安装第二道高效过滤器，日常使用中保持开启。即实验室含菌气溶胶将经过生物安全柜内置高效过滤器和排风总管末端高效过滤器共 2 次过滤后排放到外环境中。生物安全柜废气经处理后引至楼顶排放，目前国家尚未制定微生物实验室废气排放标准，因此不对生物实验室废气进行达标性评价</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2）理化实验室废气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①无机废气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项目检测化验过程中使用的药品大多为常规化学药品，以酸碱盐为主。项目在检验和表面处理的过程中会产生酸雾，酸雾主要为盐酸、硫酸等气体。产生废气的实验步骤均在操作柜中进行，操作柜自带抽风系统连接至废气处理装置处理。盐酸、硫酸产生的酸雾按照用量的100%计算</w:t>
      </w:r>
      <w:r>
        <w:rPr>
          <w:rFonts w:hint="eastAsia" w:eastAsia="宋体" w:cs="Times New Roman"/>
          <w:b w:val="0"/>
          <w:bCs w:val="0"/>
          <w:snapToGrid w:val="0"/>
          <w:color w:val="000000"/>
          <w:spacing w:val="11"/>
          <w:kern w:val="0"/>
          <w:sz w:val="24"/>
          <w:szCs w:val="24"/>
          <w:lang w:val="en-US" w:eastAsia="zh-CN"/>
        </w:rPr>
        <w:t>（最不利情况）</w:t>
      </w:r>
      <w:r>
        <w:rPr>
          <w:rFonts w:hint="default" w:ascii="Times New Roman" w:hAnsi="Times New Roman" w:eastAsia="宋体" w:cs="Times New Roman"/>
          <w:b w:val="0"/>
          <w:bCs w:val="0"/>
          <w:snapToGrid w:val="0"/>
          <w:color w:val="000000"/>
          <w:spacing w:val="11"/>
          <w:kern w:val="0"/>
          <w:sz w:val="24"/>
          <w:szCs w:val="24"/>
          <w:lang w:val="en-US" w:eastAsia="zh-CN"/>
        </w:rPr>
        <w:t>，本项目盐酸、硫酸年用量分别</w:t>
      </w:r>
      <w:r>
        <w:rPr>
          <w:rFonts w:hint="eastAsia" w:eastAsia="宋体" w:cs="Times New Roman"/>
          <w:b w:val="0"/>
          <w:bCs w:val="0"/>
          <w:snapToGrid w:val="0"/>
          <w:color w:val="000000"/>
          <w:spacing w:val="11"/>
          <w:kern w:val="0"/>
          <w:sz w:val="24"/>
          <w:szCs w:val="24"/>
          <w:lang w:val="en-US" w:eastAsia="zh-CN"/>
        </w:rPr>
        <w:t>6</w:t>
      </w:r>
      <w:r>
        <w:rPr>
          <w:rFonts w:hint="default" w:ascii="Times New Roman" w:hAnsi="Times New Roman" w:eastAsia="宋体" w:cs="Times New Roman"/>
          <w:b w:val="0"/>
          <w:bCs w:val="0"/>
          <w:snapToGrid w:val="0"/>
          <w:color w:val="000000"/>
          <w:spacing w:val="11"/>
          <w:kern w:val="0"/>
          <w:sz w:val="24"/>
          <w:szCs w:val="24"/>
          <w:lang w:val="en-US" w:eastAsia="zh-CN"/>
        </w:rPr>
        <w:t>L（</w:t>
      </w:r>
      <w:r>
        <w:rPr>
          <w:rFonts w:hint="eastAsia" w:eastAsia="宋体" w:cs="Times New Roman"/>
          <w:b w:val="0"/>
          <w:bCs w:val="0"/>
          <w:snapToGrid w:val="0"/>
          <w:color w:val="000000"/>
          <w:spacing w:val="11"/>
          <w:kern w:val="0"/>
          <w:sz w:val="24"/>
          <w:szCs w:val="24"/>
          <w:lang w:val="en-US" w:eastAsia="zh-CN"/>
        </w:rPr>
        <w:t>7.08</w:t>
      </w:r>
      <w:r>
        <w:rPr>
          <w:rFonts w:hint="default" w:ascii="Times New Roman" w:hAnsi="Times New Roman" w:eastAsia="宋体" w:cs="Times New Roman"/>
          <w:b w:val="0"/>
          <w:bCs w:val="0"/>
          <w:snapToGrid w:val="0"/>
          <w:color w:val="000000"/>
          <w:spacing w:val="11"/>
          <w:kern w:val="0"/>
          <w:sz w:val="24"/>
          <w:szCs w:val="24"/>
          <w:lang w:val="en-US" w:eastAsia="zh-CN"/>
        </w:rPr>
        <w:t>kg/a）、</w:t>
      </w:r>
      <w:r>
        <w:rPr>
          <w:rFonts w:hint="eastAsia" w:eastAsia="宋体" w:cs="Times New Roman"/>
          <w:b w:val="0"/>
          <w:bCs w:val="0"/>
          <w:snapToGrid w:val="0"/>
          <w:color w:val="000000"/>
          <w:spacing w:val="11"/>
          <w:kern w:val="0"/>
          <w:sz w:val="24"/>
          <w:szCs w:val="24"/>
          <w:lang w:val="en-US" w:eastAsia="zh-CN"/>
        </w:rPr>
        <w:t>6</w:t>
      </w:r>
      <w:r>
        <w:rPr>
          <w:rFonts w:hint="default" w:ascii="Times New Roman" w:hAnsi="Times New Roman" w:eastAsia="宋体" w:cs="Times New Roman"/>
          <w:b w:val="0"/>
          <w:bCs w:val="0"/>
          <w:snapToGrid w:val="0"/>
          <w:color w:val="000000"/>
          <w:spacing w:val="11"/>
          <w:kern w:val="0"/>
          <w:sz w:val="24"/>
          <w:szCs w:val="24"/>
          <w:lang w:val="en-US" w:eastAsia="zh-CN"/>
        </w:rPr>
        <w:t>L（</w:t>
      </w:r>
      <w:r>
        <w:rPr>
          <w:rFonts w:hint="eastAsia" w:eastAsia="宋体" w:cs="Times New Roman"/>
          <w:b w:val="0"/>
          <w:bCs w:val="0"/>
          <w:snapToGrid w:val="0"/>
          <w:color w:val="000000"/>
          <w:spacing w:val="11"/>
          <w:kern w:val="0"/>
          <w:sz w:val="24"/>
          <w:szCs w:val="24"/>
          <w:lang w:val="en-US" w:eastAsia="zh-CN"/>
        </w:rPr>
        <w:t>11.04</w:t>
      </w:r>
      <w:r>
        <w:rPr>
          <w:rFonts w:hint="default" w:ascii="Times New Roman" w:hAnsi="Times New Roman" w:eastAsia="宋体" w:cs="Times New Roman"/>
          <w:b w:val="0"/>
          <w:bCs w:val="0"/>
          <w:snapToGrid w:val="0"/>
          <w:color w:val="000000"/>
          <w:spacing w:val="11"/>
          <w:kern w:val="0"/>
          <w:sz w:val="24"/>
          <w:szCs w:val="24"/>
          <w:lang w:val="en-US" w:eastAsia="zh-CN"/>
        </w:rPr>
        <w:t xml:space="preserve">kg/a），产生盐酸废气（HCL计）为 </w:t>
      </w:r>
      <w:r>
        <w:rPr>
          <w:rFonts w:hint="eastAsia" w:eastAsia="宋体" w:cs="Times New Roman"/>
          <w:b w:val="0"/>
          <w:bCs w:val="0"/>
          <w:snapToGrid w:val="0"/>
          <w:color w:val="000000"/>
          <w:spacing w:val="11"/>
          <w:kern w:val="0"/>
          <w:sz w:val="24"/>
          <w:szCs w:val="24"/>
          <w:lang w:val="en-US" w:eastAsia="zh-CN"/>
        </w:rPr>
        <w:t>7.08</w:t>
      </w:r>
      <w:r>
        <w:rPr>
          <w:rFonts w:hint="default" w:ascii="Times New Roman" w:hAnsi="Times New Roman" w:eastAsia="宋体" w:cs="Times New Roman"/>
          <w:b w:val="0"/>
          <w:bCs w:val="0"/>
          <w:snapToGrid w:val="0"/>
          <w:color w:val="000000"/>
          <w:spacing w:val="11"/>
          <w:kern w:val="0"/>
          <w:sz w:val="24"/>
          <w:szCs w:val="24"/>
          <w:lang w:val="en-US" w:eastAsia="zh-CN"/>
        </w:rPr>
        <w:t>kg/a，硫酸雾为</w:t>
      </w:r>
      <w:r>
        <w:rPr>
          <w:rFonts w:hint="eastAsia" w:eastAsia="宋体" w:cs="Times New Roman"/>
          <w:b w:val="0"/>
          <w:bCs w:val="0"/>
          <w:snapToGrid w:val="0"/>
          <w:color w:val="000000"/>
          <w:spacing w:val="11"/>
          <w:kern w:val="0"/>
          <w:sz w:val="24"/>
          <w:szCs w:val="24"/>
          <w:lang w:val="en-US" w:eastAsia="zh-CN"/>
        </w:rPr>
        <w:t>11.04</w:t>
      </w:r>
      <w:r>
        <w:rPr>
          <w:rFonts w:hint="default" w:ascii="Times New Roman" w:hAnsi="Times New Roman" w:eastAsia="宋体" w:cs="Times New Roman"/>
          <w:b w:val="0"/>
          <w:bCs w:val="0"/>
          <w:snapToGrid w:val="0"/>
          <w:color w:val="000000"/>
          <w:spacing w:val="11"/>
          <w:kern w:val="0"/>
          <w:sz w:val="24"/>
          <w:szCs w:val="24"/>
          <w:lang w:val="en-US" w:eastAsia="zh-CN"/>
        </w:rPr>
        <w:t>kg/a，项目年用硝酸 6L（</w:t>
      </w:r>
      <w:r>
        <w:rPr>
          <w:rFonts w:hint="eastAsia" w:eastAsia="宋体" w:cs="Times New Roman"/>
          <w:b w:val="0"/>
          <w:bCs w:val="0"/>
          <w:snapToGrid w:val="0"/>
          <w:color w:val="000000"/>
          <w:spacing w:val="11"/>
          <w:kern w:val="0"/>
          <w:sz w:val="24"/>
          <w:szCs w:val="24"/>
          <w:lang w:val="en-US" w:eastAsia="zh-CN"/>
        </w:rPr>
        <w:t>8.46</w:t>
      </w:r>
      <w:r>
        <w:rPr>
          <w:rFonts w:hint="default" w:ascii="Times New Roman" w:hAnsi="Times New Roman" w:eastAsia="宋体" w:cs="Times New Roman"/>
          <w:b w:val="0"/>
          <w:bCs w:val="0"/>
          <w:snapToGrid w:val="0"/>
          <w:color w:val="000000"/>
          <w:spacing w:val="11"/>
          <w:kern w:val="0"/>
          <w:sz w:val="24"/>
          <w:szCs w:val="24"/>
          <w:lang w:val="en-US" w:eastAsia="zh-CN"/>
        </w:rPr>
        <w:t>kg/a），主要用于消解环节，使用时需要加热，正常情况下不挥发，主要是具有不稳定性，特别是在加热情况下会分解生成NOx，在实验过程中分解形成</w:t>
      </w:r>
      <w:r>
        <w:rPr>
          <w:rFonts w:hint="eastAsia" w:eastAsia="宋体" w:cs="Times New Roman"/>
          <w:b w:val="0"/>
          <w:bCs w:val="0"/>
          <w:snapToGrid w:val="0"/>
          <w:color w:val="000000"/>
          <w:spacing w:val="11"/>
          <w:kern w:val="0"/>
          <w:sz w:val="24"/>
          <w:szCs w:val="24"/>
          <w:lang w:val="en-US" w:eastAsia="zh-CN"/>
        </w:rPr>
        <w:t>以</w:t>
      </w:r>
      <w:r>
        <w:rPr>
          <w:rFonts w:hint="default" w:ascii="Times New Roman" w:hAnsi="Times New Roman" w:eastAsia="宋体" w:cs="Times New Roman"/>
          <w:b w:val="0"/>
          <w:bCs w:val="0"/>
          <w:snapToGrid w:val="0"/>
          <w:color w:val="000000"/>
          <w:spacing w:val="11"/>
          <w:kern w:val="0"/>
          <w:sz w:val="24"/>
          <w:szCs w:val="24"/>
          <w:lang w:val="en-US" w:eastAsia="zh-CN"/>
        </w:rPr>
        <w:t>50%</w:t>
      </w:r>
      <w:r>
        <w:rPr>
          <w:rFonts w:hint="eastAsia" w:eastAsia="宋体" w:cs="Times New Roman"/>
          <w:b w:val="0"/>
          <w:bCs w:val="0"/>
          <w:snapToGrid w:val="0"/>
          <w:color w:val="000000"/>
          <w:spacing w:val="11"/>
          <w:kern w:val="0"/>
          <w:sz w:val="24"/>
          <w:szCs w:val="24"/>
          <w:lang w:val="en-US" w:eastAsia="zh-CN"/>
        </w:rPr>
        <w:t>计，</w:t>
      </w:r>
      <w:r>
        <w:rPr>
          <w:rFonts w:hint="default" w:ascii="Times New Roman" w:hAnsi="Times New Roman" w:eastAsia="宋体" w:cs="Times New Roman"/>
          <w:b w:val="0"/>
          <w:bCs w:val="0"/>
          <w:snapToGrid w:val="0"/>
          <w:color w:val="000000"/>
          <w:spacing w:val="11"/>
          <w:kern w:val="0"/>
          <w:sz w:val="24"/>
          <w:szCs w:val="24"/>
          <w:lang w:val="en-US" w:eastAsia="zh-CN"/>
        </w:rPr>
        <w:t>则NOx产生量为</w:t>
      </w:r>
      <w:r>
        <w:rPr>
          <w:rFonts w:hint="eastAsia" w:eastAsia="宋体" w:cs="Times New Roman"/>
          <w:b w:val="0"/>
          <w:bCs w:val="0"/>
          <w:snapToGrid w:val="0"/>
          <w:color w:val="000000"/>
          <w:spacing w:val="11"/>
          <w:kern w:val="0"/>
          <w:sz w:val="24"/>
          <w:szCs w:val="24"/>
          <w:lang w:val="en-US" w:eastAsia="zh-CN"/>
        </w:rPr>
        <w:t>4.23</w:t>
      </w:r>
      <w:r>
        <w:rPr>
          <w:rFonts w:hint="default" w:ascii="Times New Roman" w:hAnsi="Times New Roman" w:eastAsia="宋体" w:cs="Times New Roman"/>
          <w:b w:val="0"/>
          <w:bCs w:val="0"/>
          <w:snapToGrid w:val="0"/>
          <w:color w:val="000000"/>
          <w:spacing w:val="11"/>
          <w:kern w:val="0"/>
          <w:sz w:val="24"/>
          <w:szCs w:val="24"/>
          <w:lang w:val="en-US" w:eastAsia="zh-CN"/>
        </w:rPr>
        <w:t>kg/a。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无机废气经操作柜</w:t>
      </w:r>
      <w:r>
        <w:rPr>
          <w:rFonts w:hint="eastAsia" w:eastAsia="宋体" w:cs="Times New Roman"/>
          <w:b w:val="0"/>
          <w:bCs w:val="0"/>
          <w:snapToGrid w:val="0"/>
          <w:color w:val="000000"/>
          <w:spacing w:val="11"/>
          <w:kern w:val="0"/>
          <w:sz w:val="24"/>
          <w:szCs w:val="24"/>
          <w:lang w:val="en-US" w:eastAsia="zh-CN"/>
        </w:rPr>
        <w:t>负压</w:t>
      </w:r>
      <w:r>
        <w:rPr>
          <w:rFonts w:hint="default" w:ascii="Times New Roman" w:hAnsi="Times New Roman" w:eastAsia="宋体" w:cs="Times New Roman"/>
          <w:b w:val="0"/>
          <w:bCs w:val="0"/>
          <w:snapToGrid w:val="0"/>
          <w:color w:val="000000"/>
          <w:spacing w:val="11"/>
          <w:kern w:val="0"/>
          <w:sz w:val="24"/>
          <w:szCs w:val="24"/>
          <w:lang w:val="en-US" w:eastAsia="zh-CN"/>
        </w:rPr>
        <w:t>收集后通过</w:t>
      </w:r>
      <w:r>
        <w:rPr>
          <w:rFonts w:hint="eastAsia" w:eastAsia="宋体" w:cs="Times New Roman"/>
          <w:b w:val="0"/>
          <w:bCs w:val="0"/>
          <w:snapToGrid w:val="0"/>
          <w:color w:val="000000"/>
          <w:spacing w:val="11"/>
          <w:kern w:val="0"/>
          <w:sz w:val="24"/>
          <w:szCs w:val="24"/>
          <w:lang w:val="en-US" w:eastAsia="zh-CN"/>
        </w:rPr>
        <w:t>楼顶</w:t>
      </w:r>
      <w:r>
        <w:rPr>
          <w:rFonts w:hint="default" w:ascii="Times New Roman" w:hAnsi="Times New Roman" w:eastAsia="宋体" w:cs="Times New Roman"/>
          <w:b w:val="0"/>
          <w:bCs w:val="0"/>
          <w:snapToGrid w:val="0"/>
          <w:color w:val="000000"/>
          <w:spacing w:val="11"/>
          <w:kern w:val="0"/>
          <w:sz w:val="24"/>
          <w:szCs w:val="24"/>
          <w:lang w:val="en-US" w:eastAsia="zh-CN"/>
        </w:rPr>
        <w:t>排气筒排放（排气筒高约1</w:t>
      </w:r>
      <w:r>
        <w:rPr>
          <w:rFonts w:hint="eastAsia"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eastAsia" w:eastAsia="宋体" w:cs="Times New Roman"/>
          <w:b w:val="0"/>
          <w:bCs w:val="0"/>
          <w:snapToGrid w:val="0"/>
          <w:color w:val="000000"/>
          <w:spacing w:val="11"/>
          <w:kern w:val="0"/>
          <w:sz w:val="24"/>
          <w:szCs w:val="24"/>
          <w:lang w:val="en-US" w:eastAsia="zh-CN"/>
        </w:rPr>
        <w:t>，风机风量5000m</w:t>
      </w:r>
      <w:r>
        <w:rPr>
          <w:rFonts w:hint="eastAsia" w:eastAsia="宋体" w:cs="Times New Roman"/>
          <w:b w:val="0"/>
          <w:bCs w:val="0"/>
          <w:snapToGrid w:val="0"/>
          <w:color w:val="000000"/>
          <w:spacing w:val="11"/>
          <w:kern w:val="0"/>
          <w:sz w:val="24"/>
          <w:szCs w:val="24"/>
          <w:vertAlign w:val="superscript"/>
          <w:lang w:val="en-US" w:eastAsia="zh-CN"/>
        </w:rPr>
        <w:t>3</w:t>
      </w:r>
      <w:r>
        <w:rPr>
          <w:rFonts w:hint="eastAsia" w:eastAsia="宋体" w:cs="Times New Roman"/>
          <w:b w:val="0"/>
          <w:bCs w:val="0"/>
          <w:snapToGrid w:val="0"/>
          <w:color w:val="000000"/>
          <w:spacing w:val="11"/>
          <w:kern w:val="0"/>
          <w:sz w:val="24"/>
          <w:szCs w:val="24"/>
          <w:lang w:val="en-US" w:eastAsia="zh-CN"/>
        </w:rPr>
        <w:t>/h</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②有机废气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实验室产生的有机废气主要为各类试剂的挥发废气和实验检测过程中产生的样品废气，主要挥发性试剂包括：甲醇、</w:t>
      </w:r>
      <w:r>
        <w:rPr>
          <w:rFonts w:hint="eastAsia" w:eastAsia="宋体" w:cs="Times New Roman"/>
          <w:b w:val="0"/>
          <w:bCs w:val="0"/>
          <w:snapToGrid w:val="0"/>
          <w:color w:val="000000"/>
          <w:spacing w:val="11"/>
          <w:kern w:val="0"/>
          <w:sz w:val="24"/>
          <w:szCs w:val="24"/>
          <w:lang w:val="en-US" w:eastAsia="zh-CN"/>
        </w:rPr>
        <w:t>乙醇</w:t>
      </w:r>
      <w:r>
        <w:rPr>
          <w:rFonts w:hint="default" w:eastAsia="宋体" w:cs="Times New Roman"/>
          <w:b w:val="0"/>
          <w:bCs w:val="0"/>
          <w:snapToGrid w:val="0"/>
          <w:color w:val="000000"/>
          <w:spacing w:val="11"/>
          <w:kern w:val="0"/>
          <w:sz w:val="24"/>
          <w:szCs w:val="24"/>
          <w:lang w:val="en-US" w:eastAsia="zh-CN"/>
        </w:rPr>
        <w:t>等，实验室全年使用有机试剂共计约</w:t>
      </w:r>
      <w:r>
        <w:rPr>
          <w:rFonts w:hint="eastAsia" w:eastAsia="宋体" w:cs="Times New Roman"/>
          <w:b w:val="0"/>
          <w:bCs w:val="0"/>
          <w:snapToGrid w:val="0"/>
          <w:color w:val="000000"/>
          <w:spacing w:val="11"/>
          <w:kern w:val="0"/>
          <w:sz w:val="24"/>
          <w:szCs w:val="24"/>
          <w:lang w:val="en-US" w:eastAsia="zh-CN"/>
        </w:rPr>
        <w:t>9</w:t>
      </w:r>
      <w:r>
        <w:rPr>
          <w:rFonts w:hint="default" w:eastAsia="宋体" w:cs="Times New Roman"/>
          <w:b w:val="0"/>
          <w:bCs w:val="0"/>
          <w:snapToGrid w:val="0"/>
          <w:color w:val="000000"/>
          <w:spacing w:val="11"/>
          <w:kern w:val="0"/>
          <w:sz w:val="24"/>
          <w:szCs w:val="24"/>
          <w:lang w:val="en-US" w:eastAsia="zh-CN"/>
        </w:rPr>
        <w:t>kg/a，有机试剂用量较少</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挥发量按照用量的100%挥发计算，则非甲烷总烃产生量为</w:t>
      </w:r>
      <w:r>
        <w:rPr>
          <w:rFonts w:hint="eastAsia" w:eastAsia="宋体" w:cs="Times New Roman"/>
          <w:b w:val="0"/>
          <w:bCs w:val="0"/>
          <w:snapToGrid w:val="0"/>
          <w:color w:val="000000"/>
          <w:spacing w:val="11"/>
          <w:kern w:val="0"/>
          <w:sz w:val="24"/>
          <w:szCs w:val="24"/>
          <w:lang w:val="en-US" w:eastAsia="zh-CN"/>
        </w:rPr>
        <w:t>9</w:t>
      </w:r>
      <w:r>
        <w:rPr>
          <w:rFonts w:hint="default" w:eastAsia="宋体" w:cs="Times New Roman"/>
          <w:b w:val="0"/>
          <w:bCs w:val="0"/>
          <w:snapToGrid w:val="0"/>
          <w:color w:val="000000"/>
          <w:spacing w:val="11"/>
          <w:kern w:val="0"/>
          <w:sz w:val="24"/>
          <w:szCs w:val="24"/>
          <w:lang w:val="en-US" w:eastAsia="zh-CN"/>
        </w:rPr>
        <w:t>kg/a，挥发有机废气经操作柜</w:t>
      </w:r>
      <w:r>
        <w:rPr>
          <w:rFonts w:hint="eastAsia" w:eastAsia="宋体" w:cs="Times New Roman"/>
          <w:b w:val="0"/>
          <w:bCs w:val="0"/>
          <w:snapToGrid w:val="0"/>
          <w:color w:val="000000"/>
          <w:spacing w:val="11"/>
          <w:kern w:val="0"/>
          <w:sz w:val="24"/>
          <w:szCs w:val="24"/>
          <w:lang w:val="en-US" w:eastAsia="zh-CN"/>
        </w:rPr>
        <w:t>负压</w:t>
      </w:r>
      <w:r>
        <w:rPr>
          <w:rFonts w:hint="default" w:ascii="Times New Roman" w:hAnsi="Times New Roman" w:eastAsia="宋体" w:cs="Times New Roman"/>
          <w:b w:val="0"/>
          <w:bCs w:val="0"/>
          <w:snapToGrid w:val="0"/>
          <w:color w:val="000000"/>
          <w:spacing w:val="11"/>
          <w:kern w:val="0"/>
          <w:sz w:val="24"/>
          <w:szCs w:val="24"/>
          <w:lang w:val="en-US" w:eastAsia="zh-CN"/>
        </w:rPr>
        <w:t>收集后通过</w:t>
      </w:r>
      <w:r>
        <w:rPr>
          <w:rFonts w:hint="eastAsia" w:eastAsia="宋体" w:cs="Times New Roman"/>
          <w:b w:val="0"/>
          <w:bCs w:val="0"/>
          <w:snapToGrid w:val="0"/>
          <w:color w:val="000000"/>
          <w:spacing w:val="11"/>
          <w:kern w:val="0"/>
          <w:sz w:val="24"/>
          <w:szCs w:val="24"/>
          <w:lang w:val="en-US" w:eastAsia="zh-CN"/>
        </w:rPr>
        <w:t>楼顶</w:t>
      </w:r>
      <w:r>
        <w:rPr>
          <w:rFonts w:hint="default" w:ascii="Times New Roman" w:hAnsi="Times New Roman" w:eastAsia="宋体" w:cs="Times New Roman"/>
          <w:b w:val="0"/>
          <w:bCs w:val="0"/>
          <w:snapToGrid w:val="0"/>
          <w:color w:val="000000"/>
          <w:spacing w:val="11"/>
          <w:kern w:val="0"/>
          <w:sz w:val="24"/>
          <w:szCs w:val="24"/>
          <w:lang w:val="en-US" w:eastAsia="zh-CN"/>
        </w:rPr>
        <w:t>排气筒排放（排气筒高约1</w:t>
      </w:r>
      <w:r>
        <w:rPr>
          <w:rFonts w:hint="eastAsia"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eastAsia" w:eastAsia="宋体" w:cs="Times New Roman"/>
          <w:b w:val="0"/>
          <w:bCs w:val="0"/>
          <w:snapToGrid w:val="0"/>
          <w:color w:val="000000"/>
          <w:spacing w:val="11"/>
          <w:kern w:val="0"/>
          <w:sz w:val="24"/>
          <w:szCs w:val="24"/>
          <w:lang w:val="en-US" w:eastAsia="zh-CN"/>
        </w:rPr>
        <w:t>，风机风量5000m</w:t>
      </w:r>
      <w:r>
        <w:rPr>
          <w:rFonts w:hint="eastAsia" w:eastAsia="宋体" w:cs="Times New Roman"/>
          <w:b w:val="0"/>
          <w:bCs w:val="0"/>
          <w:snapToGrid w:val="0"/>
          <w:color w:val="000000"/>
          <w:spacing w:val="11"/>
          <w:kern w:val="0"/>
          <w:sz w:val="24"/>
          <w:szCs w:val="24"/>
          <w:vertAlign w:val="superscript"/>
          <w:lang w:val="en-US" w:eastAsia="zh-CN"/>
        </w:rPr>
        <w:t>3</w:t>
      </w:r>
      <w:r>
        <w:rPr>
          <w:rFonts w:hint="eastAsia" w:eastAsia="宋体" w:cs="Times New Roman"/>
          <w:b w:val="0"/>
          <w:bCs w:val="0"/>
          <w:snapToGrid w:val="0"/>
          <w:color w:val="000000"/>
          <w:spacing w:val="11"/>
          <w:kern w:val="0"/>
          <w:sz w:val="24"/>
          <w:szCs w:val="24"/>
          <w:lang w:val="en-US" w:eastAsia="zh-CN"/>
        </w:rPr>
        <w:t>/h</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w:t>
      </w:r>
    </w:p>
    <w:p>
      <w:pPr>
        <w:keepNext w:val="0"/>
        <w:keepLines w:val="0"/>
        <w:widowControl/>
        <w:suppressLineNumbers w:val="0"/>
        <w:jc w:val="center"/>
        <w:rPr>
          <w:rFonts w:hint="default"/>
          <w:sz w:val="21"/>
          <w:szCs w:val="21"/>
          <w:lang w:val="en-US"/>
        </w:rPr>
      </w:pPr>
      <w:r>
        <w:rPr>
          <w:rFonts w:hint="eastAsia" w:ascii="宋体" w:hAnsi="宋体" w:eastAsia="宋体" w:cs="宋体"/>
          <w:b/>
          <w:bCs/>
          <w:snapToGrid w:val="0"/>
          <w:color w:val="000000"/>
          <w:kern w:val="0"/>
          <w:sz w:val="21"/>
          <w:szCs w:val="21"/>
          <w:lang w:val="en-US" w:eastAsia="zh-CN" w:bidi="ar"/>
        </w:rPr>
        <w:t>表</w:t>
      </w:r>
      <w:r>
        <w:rPr>
          <w:rFonts w:hint="default" w:ascii="Times New Roman" w:hAnsi="Times New Roman" w:eastAsia="宋体" w:cs="Times New Roman"/>
          <w:b/>
          <w:bCs/>
          <w:snapToGrid w:val="0"/>
          <w:color w:val="000000"/>
          <w:kern w:val="0"/>
          <w:sz w:val="21"/>
          <w:szCs w:val="21"/>
          <w:lang w:val="en-US" w:eastAsia="zh-CN" w:bidi="ar"/>
        </w:rPr>
        <w:t>3.2-</w:t>
      </w:r>
      <w:r>
        <w:rPr>
          <w:rFonts w:hint="eastAsia" w:ascii="Times New Roman" w:hAnsi="Times New Roman" w:eastAsia="宋体" w:cs="Times New Roman"/>
          <w:b/>
          <w:bCs/>
          <w:snapToGrid w:val="0"/>
          <w:color w:val="000000"/>
          <w:kern w:val="0"/>
          <w:sz w:val="21"/>
          <w:szCs w:val="21"/>
          <w:lang w:val="en-US" w:eastAsia="zh-CN" w:bidi="ar"/>
        </w:rPr>
        <w:t xml:space="preserve">5 </w:t>
      </w:r>
      <w:r>
        <w:rPr>
          <w:rFonts w:hint="eastAsia" w:ascii="宋体" w:hAnsi="宋体" w:eastAsia="宋体" w:cs="宋体"/>
          <w:b/>
          <w:bCs/>
          <w:snapToGrid w:val="0"/>
          <w:color w:val="000000"/>
          <w:kern w:val="0"/>
          <w:sz w:val="21"/>
          <w:szCs w:val="21"/>
          <w:lang w:val="en-US" w:eastAsia="zh-CN" w:bidi="ar"/>
        </w:rPr>
        <w:t>实验室废气产排情况表</w:t>
      </w:r>
    </w:p>
    <w:tbl>
      <w:tblPr>
        <w:tblStyle w:val="2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202"/>
        <w:gridCol w:w="1374"/>
        <w:gridCol w:w="1195"/>
        <w:gridCol w:w="1205"/>
        <w:gridCol w:w="1205"/>
        <w:gridCol w:w="1195"/>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7"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污染物</w:t>
            </w:r>
          </w:p>
        </w:tc>
        <w:tc>
          <w:tcPr>
            <w:tcW w:w="604"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排放形式</w:t>
            </w:r>
          </w:p>
        </w:tc>
        <w:tc>
          <w:tcPr>
            <w:tcW w:w="690" w:type="pct"/>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kern w:val="0"/>
                <w:sz w:val="21"/>
                <w:szCs w:val="21"/>
                <w:lang w:val="en-US" w:eastAsia="zh-CN" w:bidi="ar"/>
              </w:rPr>
            </w:pPr>
            <w:r>
              <w:rPr>
                <w:rFonts w:hint="default" w:ascii="Times New Roman" w:hAnsi="Times New Roman" w:eastAsia="宋体" w:cs="Times New Roman"/>
                <w:b w:val="0"/>
                <w:bCs w:val="0"/>
                <w:snapToGrid w:val="0"/>
                <w:color w:val="000000"/>
                <w:kern w:val="0"/>
                <w:sz w:val="21"/>
                <w:szCs w:val="21"/>
                <w:lang w:val="en-US" w:eastAsia="zh-CN" w:bidi="ar"/>
              </w:rPr>
              <w:t>年产生量</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kern w:val="0"/>
                <w:sz w:val="21"/>
                <w:szCs w:val="21"/>
                <w:lang w:val="en-US" w:eastAsia="zh-CN" w:bidi="ar"/>
              </w:rPr>
              <w:t>（kg/a）</w:t>
            </w:r>
          </w:p>
        </w:tc>
        <w:tc>
          <w:tcPr>
            <w:tcW w:w="600" w:type="pct"/>
            <w:tcBorders>
              <w:tl2br w:val="nil"/>
              <w:tr2bl w:val="nil"/>
            </w:tcBorders>
            <w:vAlign w:val="center"/>
          </w:tcPr>
          <w:p>
            <w:pPr>
              <w:keepNext w:val="0"/>
              <w:keepLines w:val="0"/>
              <w:widowControl/>
              <w:suppressLineNumbers w:val="0"/>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产生浓度</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kern w:val="0"/>
                <w:sz w:val="21"/>
                <w:szCs w:val="21"/>
                <w:lang w:val="en-US" w:eastAsia="zh-CN" w:bidi="ar"/>
              </w:rPr>
              <w:t>mg/m</w:t>
            </w:r>
            <w:r>
              <w:rPr>
                <w:rFonts w:hint="default" w:ascii="Times New Roman" w:hAnsi="Times New Roman" w:eastAsia="宋体" w:cs="Times New Roman"/>
                <w:b w:val="0"/>
                <w:bCs w:val="0"/>
                <w:snapToGrid w:val="0"/>
                <w:color w:val="000000"/>
                <w:kern w:val="0"/>
                <w:sz w:val="21"/>
                <w:szCs w:val="21"/>
                <w:vertAlign w:val="superscript"/>
                <w:lang w:val="en-US" w:eastAsia="zh-CN" w:bidi="ar"/>
              </w:rPr>
              <w:t>3</w:t>
            </w:r>
          </w:p>
        </w:tc>
        <w:tc>
          <w:tcPr>
            <w:tcW w:w="605" w:type="pct"/>
            <w:tcBorders>
              <w:tl2br w:val="nil"/>
              <w:tr2bl w:val="nil"/>
            </w:tcBorders>
            <w:vAlign w:val="center"/>
          </w:tcPr>
          <w:p>
            <w:pPr>
              <w:keepNext w:val="0"/>
              <w:keepLines w:val="0"/>
              <w:widowControl/>
              <w:suppressLineNumbers w:val="0"/>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产生速率</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kg/h</w:t>
            </w:r>
            <w:r>
              <w:rPr>
                <w:rFonts w:hint="eastAsia" w:ascii="Times New Roman" w:hAnsi="Times New Roman" w:eastAsia="宋体" w:cs="Times New Roman"/>
                <w:b w:val="0"/>
                <w:bCs w:val="0"/>
                <w:snapToGrid w:val="0"/>
                <w:color w:val="000000"/>
                <w:kern w:val="0"/>
                <w:sz w:val="21"/>
                <w:szCs w:val="21"/>
                <w:lang w:val="en-US" w:eastAsia="zh-CN" w:bidi="ar"/>
              </w:rPr>
              <w:t>）</w:t>
            </w:r>
          </w:p>
        </w:tc>
        <w:tc>
          <w:tcPr>
            <w:tcW w:w="605" w:type="pct"/>
            <w:tcBorders>
              <w:tl2br w:val="nil"/>
              <w:tr2bl w:val="nil"/>
            </w:tcBorders>
            <w:vAlign w:val="center"/>
          </w:tcPr>
          <w:p>
            <w:pPr>
              <w:keepNext w:val="0"/>
              <w:keepLines w:val="0"/>
              <w:widowControl/>
              <w:suppressLineNumbers w:val="0"/>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年排放量</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kg/a</w:t>
            </w:r>
            <w:r>
              <w:rPr>
                <w:rFonts w:hint="eastAsia" w:ascii="Times New Roman" w:hAnsi="Times New Roman" w:eastAsia="宋体" w:cs="Times New Roman"/>
                <w:b w:val="0"/>
                <w:bCs w:val="0"/>
                <w:snapToGrid w:val="0"/>
                <w:color w:val="000000"/>
                <w:kern w:val="0"/>
                <w:sz w:val="21"/>
                <w:szCs w:val="21"/>
                <w:lang w:val="en-US" w:eastAsia="zh-CN" w:bidi="ar"/>
              </w:rPr>
              <w:t>）</w:t>
            </w:r>
          </w:p>
        </w:tc>
        <w:tc>
          <w:tcPr>
            <w:tcW w:w="600" w:type="pct"/>
            <w:tcBorders>
              <w:tl2br w:val="nil"/>
              <w:tr2bl w:val="nil"/>
            </w:tcBorders>
            <w:vAlign w:val="center"/>
          </w:tcPr>
          <w:p>
            <w:pPr>
              <w:keepNext w:val="0"/>
              <w:keepLines w:val="0"/>
              <w:widowControl/>
              <w:suppressLineNumbers w:val="0"/>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排放浓度</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kern w:val="0"/>
                <w:sz w:val="21"/>
                <w:szCs w:val="21"/>
                <w:lang w:val="en-US" w:eastAsia="zh-CN" w:bidi="ar"/>
              </w:rPr>
              <w:t>mg/m</w:t>
            </w:r>
            <w:r>
              <w:rPr>
                <w:rFonts w:hint="default" w:ascii="Times New Roman" w:hAnsi="Times New Roman" w:eastAsia="宋体" w:cs="Times New Roman"/>
                <w:b w:val="0"/>
                <w:bCs w:val="0"/>
                <w:snapToGrid w:val="0"/>
                <w:color w:val="000000"/>
                <w:kern w:val="0"/>
                <w:sz w:val="21"/>
                <w:szCs w:val="21"/>
                <w:vertAlign w:val="superscript"/>
                <w:lang w:val="en-US" w:eastAsia="zh-CN" w:bidi="ar"/>
              </w:rPr>
              <w:t>3</w:t>
            </w:r>
          </w:p>
        </w:tc>
        <w:tc>
          <w:tcPr>
            <w:tcW w:w="605" w:type="pct"/>
            <w:tcBorders>
              <w:tl2br w:val="nil"/>
              <w:tr2bl w:val="nil"/>
            </w:tcBorders>
            <w:vAlign w:val="center"/>
          </w:tcPr>
          <w:p>
            <w:pPr>
              <w:keepNext w:val="0"/>
              <w:keepLines w:val="0"/>
              <w:widowControl/>
              <w:suppressLineNumbers w:val="0"/>
              <w:spacing w:line="240" w:lineRule="auto"/>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排放速率</w:t>
            </w:r>
          </w:p>
          <w:p>
            <w:pPr>
              <w:keepNext w:val="0"/>
              <w:keepLines w:val="0"/>
              <w:widowControl/>
              <w:suppressLineNumbers w:val="0"/>
              <w:spacing w:line="240" w:lineRule="auto"/>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kg/h</w:t>
            </w:r>
            <w:r>
              <w:rPr>
                <w:rFonts w:hint="eastAsia" w:ascii="Times New Roman" w:hAnsi="Times New Roman" w:eastAsia="宋体" w:cs="Times New Roman"/>
                <w:b w:val="0"/>
                <w:bCs w:val="0"/>
                <w:snapToGrid w:val="0"/>
                <w:color w:val="000000"/>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7"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氯化氢</w:t>
            </w:r>
          </w:p>
        </w:tc>
        <w:tc>
          <w:tcPr>
            <w:tcW w:w="604"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有组织</w:t>
            </w:r>
          </w:p>
        </w:tc>
        <w:tc>
          <w:tcPr>
            <w:tcW w:w="69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0.71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0.0035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0.71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7"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硫酸雾</w:t>
            </w:r>
          </w:p>
        </w:tc>
        <w:tc>
          <w:tcPr>
            <w:tcW w:w="604" w:type="pct"/>
            <w:tcBorders>
              <w:tl2br w:val="nil"/>
              <w:tr2bl w:val="nil"/>
            </w:tcBorders>
            <w:vAlign w:val="center"/>
          </w:tcPr>
          <w:p>
            <w:pPr>
              <w:widowControl w:val="0"/>
              <w:spacing w:after="0" w:line="240" w:lineRule="auto"/>
              <w:ind w:left="0" w:leftChars="0" w:firstLine="0" w:firstLineChars="0"/>
              <w:contextualSpacing/>
              <w:jc w:val="center"/>
              <w:rPr>
                <w:rFonts w:hint="eastAsia"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有组织</w:t>
            </w:r>
          </w:p>
        </w:tc>
        <w:tc>
          <w:tcPr>
            <w:tcW w:w="69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1.10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0.0055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1.10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7"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非甲烷总烃</w:t>
            </w:r>
          </w:p>
        </w:tc>
        <w:tc>
          <w:tcPr>
            <w:tcW w:w="604" w:type="pct"/>
            <w:tcBorders>
              <w:tl2br w:val="nil"/>
              <w:tr2bl w:val="nil"/>
            </w:tcBorders>
            <w:vAlign w:val="center"/>
          </w:tcPr>
          <w:p>
            <w:pPr>
              <w:widowControl w:val="0"/>
              <w:spacing w:after="0" w:line="240" w:lineRule="auto"/>
              <w:ind w:left="0" w:leftChars="0" w:firstLine="0" w:firstLineChars="0"/>
              <w:contextualSpacing/>
              <w:jc w:val="center"/>
              <w:rPr>
                <w:rFonts w:hint="eastAsia"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有组织</w:t>
            </w:r>
          </w:p>
        </w:tc>
        <w:tc>
          <w:tcPr>
            <w:tcW w:w="69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0.90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0.0045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0.90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7"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氮氧化物</w:t>
            </w:r>
          </w:p>
        </w:tc>
        <w:tc>
          <w:tcPr>
            <w:tcW w:w="604" w:type="pct"/>
            <w:tcBorders>
              <w:tl2br w:val="nil"/>
              <w:tr2bl w:val="nil"/>
            </w:tcBorders>
            <w:vAlign w:val="center"/>
          </w:tcPr>
          <w:p>
            <w:pPr>
              <w:widowControl w:val="0"/>
              <w:spacing w:after="0" w:line="240" w:lineRule="auto"/>
              <w:ind w:left="0" w:leftChars="0" w:firstLine="0" w:firstLineChars="0"/>
              <w:contextualSpacing/>
              <w:jc w:val="center"/>
              <w:rPr>
                <w:rFonts w:hint="eastAsia"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有组织</w:t>
            </w:r>
          </w:p>
        </w:tc>
        <w:tc>
          <w:tcPr>
            <w:tcW w:w="69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0.42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0.0021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c>
          <w:tcPr>
            <w:tcW w:w="600"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0.42 </w:t>
            </w:r>
          </w:p>
        </w:tc>
        <w:tc>
          <w:tcPr>
            <w:tcW w:w="605"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0.0021 </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6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1"/>
          <w:szCs w:val="21"/>
          <w:lang w:val="en-US" w:eastAsia="zh-CN"/>
        </w:rPr>
        <w:t>注：根据《大气污染物综合排放标准》（GB16297-1996）新污染源的排气筒一般不应低于 15m，排气筒高度应高出周围200m 半径范围的建筑5m以上，不能达到该要求的排气筒，应按其高度对应的表列排放速率标准值严格50%执行。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污水处理站恶臭</w:t>
      </w:r>
    </w:p>
    <w:p>
      <w:pPr>
        <w:pStyle w:val="14"/>
        <w:spacing w:after="0" w:line="360" w:lineRule="auto"/>
        <w:ind w:left="0" w:leftChars="0" w:firstLine="524" w:firstLineChars="200"/>
        <w:contextualSpacing/>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本项目污水处理站采用工艺：“</w:t>
      </w:r>
      <w:r>
        <w:rPr>
          <w:rFonts w:hint="eastAsia" w:ascii="Times New Roman" w:hAnsi="Times New Roman" w:eastAsia="宋体" w:cs="Times New Roman"/>
          <w:b w:val="0"/>
          <w:bCs w:val="0"/>
          <w:snapToGrid w:val="0"/>
          <w:color w:val="000000"/>
          <w:spacing w:val="11"/>
          <w:kern w:val="0"/>
          <w:sz w:val="24"/>
          <w:szCs w:val="24"/>
          <w:lang w:val="en-US" w:eastAsia="zh-CN"/>
        </w:rPr>
        <w:t>深度处理+消毒</w:t>
      </w:r>
      <w:r>
        <w:rPr>
          <w:rFonts w:hint="default" w:ascii="Times New Roman" w:hAnsi="Times New Roman" w:eastAsia="宋体" w:cs="Times New Roman"/>
          <w:b w:val="0"/>
          <w:bCs w:val="0"/>
          <w:snapToGrid w:val="0"/>
          <w:color w:val="000000"/>
          <w:spacing w:val="11"/>
          <w:kern w:val="0"/>
          <w:sz w:val="24"/>
          <w:szCs w:val="24"/>
          <w:lang w:val="en-US" w:eastAsia="zh-CN"/>
        </w:rPr>
        <w:t>”，项目污水处理站运行时会产生恶臭气体，恶臭是大气、水、固体废物中的异味通过空气介质，作用于人的嗅觉思维被感知的一种感觉污染。污水处理站的恶臭来源于污水、污泥中有机物的分解、发酵过程中散发的化学物质，主要种类有：硫化氢、氨等。根据美国EPA对城市污水处理厂恶臭污染物产生情况的研究，每处理 1g的BOD</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，可产生 0.0031gNH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和 0.00012g的H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S。</w:t>
      </w:r>
    </w:p>
    <w:p>
      <w:pPr>
        <w:pStyle w:val="14"/>
        <w:spacing w:after="0" w:line="360" w:lineRule="auto"/>
        <w:ind w:left="0" w:leftChars="0" w:firstLine="524" w:firstLineChars="200"/>
        <w:contextualSpacing/>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本项目废水中BOD</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 xml:space="preserve">处理削减量约 </w:t>
      </w:r>
      <w:r>
        <w:rPr>
          <w:rFonts w:hint="eastAsia" w:ascii="Times New Roman" w:hAnsi="Times New Roman" w:eastAsia="宋体" w:cs="Times New Roman"/>
          <w:b w:val="0"/>
          <w:bCs w:val="0"/>
          <w:snapToGrid w:val="0"/>
          <w:color w:val="000000"/>
          <w:spacing w:val="11"/>
          <w:kern w:val="0"/>
          <w:sz w:val="24"/>
          <w:szCs w:val="24"/>
          <w:lang w:val="en-US" w:eastAsia="zh-CN"/>
        </w:rPr>
        <w:t>0.034</w:t>
      </w:r>
      <w:r>
        <w:rPr>
          <w:rFonts w:hint="default" w:ascii="Times New Roman" w:hAnsi="Times New Roman" w:eastAsia="宋体" w:cs="Times New Roman"/>
          <w:b w:val="0"/>
          <w:bCs w:val="0"/>
          <w:snapToGrid w:val="0"/>
          <w:color w:val="000000"/>
          <w:spacing w:val="11"/>
          <w:kern w:val="0"/>
          <w:sz w:val="24"/>
          <w:szCs w:val="24"/>
          <w:lang w:val="en-US" w:eastAsia="zh-CN"/>
        </w:rPr>
        <w:t>t/a，经计算NH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产生量为</w:t>
      </w:r>
      <w:r>
        <w:rPr>
          <w:rFonts w:hint="eastAsia" w:ascii="Times New Roman" w:hAnsi="Times New Roman" w:eastAsia="宋体" w:cs="Times New Roman"/>
          <w:b w:val="0"/>
          <w:bCs w:val="0"/>
          <w:snapToGrid w:val="0"/>
          <w:color w:val="000000"/>
          <w:spacing w:val="11"/>
          <w:kern w:val="0"/>
          <w:sz w:val="24"/>
          <w:szCs w:val="24"/>
          <w:lang w:val="en-US" w:eastAsia="zh-CN"/>
        </w:rPr>
        <w:t>0.105</w:t>
      </w:r>
      <w:r>
        <w:rPr>
          <w:rFonts w:hint="default" w:ascii="Times New Roman" w:hAnsi="Times New Roman" w:eastAsia="宋体" w:cs="Times New Roman"/>
          <w:b w:val="0"/>
          <w:bCs w:val="0"/>
          <w:snapToGrid w:val="0"/>
          <w:color w:val="000000"/>
          <w:spacing w:val="11"/>
          <w:kern w:val="0"/>
          <w:sz w:val="24"/>
          <w:szCs w:val="24"/>
          <w:lang w:val="en-US" w:eastAsia="zh-CN"/>
        </w:rPr>
        <w:t>kg/a，产生速率为 0.</w:t>
      </w:r>
      <w:r>
        <w:rPr>
          <w:rFonts w:hint="eastAsia" w:ascii="Times New Roman" w:hAnsi="Times New Roman" w:eastAsia="宋体" w:cs="Times New Roman"/>
          <w:b w:val="0"/>
          <w:bCs w:val="0"/>
          <w:snapToGrid w:val="0"/>
          <w:color w:val="000000"/>
          <w:spacing w:val="11"/>
          <w:kern w:val="0"/>
          <w:sz w:val="24"/>
          <w:szCs w:val="24"/>
          <w:lang w:val="en-US" w:eastAsia="zh-CN"/>
        </w:rPr>
        <w:t>000018k</w:t>
      </w:r>
      <w:r>
        <w:rPr>
          <w:rFonts w:hint="default" w:ascii="Times New Roman" w:hAnsi="Times New Roman" w:eastAsia="宋体" w:cs="Times New Roman"/>
          <w:b w:val="0"/>
          <w:bCs w:val="0"/>
          <w:snapToGrid w:val="0"/>
          <w:color w:val="000000"/>
          <w:spacing w:val="11"/>
          <w:kern w:val="0"/>
          <w:sz w:val="24"/>
          <w:szCs w:val="24"/>
          <w:lang w:val="en-US" w:eastAsia="zh-CN"/>
        </w:rPr>
        <w:t>g/h，H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S产生量为 0.</w:t>
      </w:r>
      <w:r>
        <w:rPr>
          <w:rFonts w:hint="eastAsia" w:ascii="Times New Roman" w:hAnsi="Times New Roman" w:eastAsia="宋体" w:cs="Times New Roman"/>
          <w:b w:val="0"/>
          <w:bCs w:val="0"/>
          <w:snapToGrid w:val="0"/>
          <w:color w:val="000000"/>
          <w:spacing w:val="11"/>
          <w:kern w:val="0"/>
          <w:sz w:val="24"/>
          <w:szCs w:val="24"/>
          <w:lang w:val="en-US" w:eastAsia="zh-CN"/>
        </w:rPr>
        <w:t>004</w:t>
      </w:r>
      <w:r>
        <w:rPr>
          <w:rFonts w:hint="default" w:ascii="Times New Roman" w:hAnsi="Times New Roman" w:eastAsia="宋体" w:cs="Times New Roman"/>
          <w:b w:val="0"/>
          <w:bCs w:val="0"/>
          <w:snapToGrid w:val="0"/>
          <w:color w:val="000000"/>
          <w:spacing w:val="11"/>
          <w:kern w:val="0"/>
          <w:sz w:val="24"/>
          <w:szCs w:val="24"/>
          <w:lang w:val="en-US" w:eastAsia="zh-CN"/>
        </w:rPr>
        <w:t>kg/a，产生速率为 0.00</w:t>
      </w:r>
      <w:r>
        <w:rPr>
          <w:rFonts w:hint="eastAsia" w:ascii="Times New Roman" w:hAnsi="Times New Roman" w:eastAsia="宋体" w:cs="Times New Roman"/>
          <w:b w:val="0"/>
          <w:bCs w:val="0"/>
          <w:snapToGrid w:val="0"/>
          <w:color w:val="000000"/>
          <w:spacing w:val="11"/>
          <w:kern w:val="0"/>
          <w:sz w:val="24"/>
          <w:szCs w:val="24"/>
          <w:lang w:val="en-US" w:eastAsia="zh-CN"/>
        </w:rPr>
        <w:t>0001</w:t>
      </w:r>
      <w:r>
        <w:rPr>
          <w:rFonts w:hint="default" w:ascii="Times New Roman" w:hAnsi="Times New Roman" w:eastAsia="宋体" w:cs="Times New Roman"/>
          <w:b w:val="0"/>
          <w:bCs w:val="0"/>
          <w:snapToGrid w:val="0"/>
          <w:color w:val="000000"/>
          <w:spacing w:val="11"/>
          <w:kern w:val="0"/>
          <w:sz w:val="24"/>
          <w:szCs w:val="24"/>
          <w:lang w:val="en-US" w:eastAsia="zh-CN"/>
        </w:rPr>
        <w:t>g/h。污水处理</w:t>
      </w:r>
      <w:r>
        <w:rPr>
          <w:rFonts w:hint="eastAsia" w:ascii="Times New Roman" w:hAnsi="Times New Roman" w:eastAsia="宋体" w:cs="Times New Roman"/>
          <w:b w:val="0"/>
          <w:bCs w:val="0"/>
          <w:snapToGrid w:val="0"/>
          <w:color w:val="000000"/>
          <w:spacing w:val="11"/>
          <w:kern w:val="0"/>
          <w:sz w:val="24"/>
          <w:szCs w:val="24"/>
          <w:lang w:val="en-US" w:eastAsia="zh-CN"/>
        </w:rPr>
        <w:t>设施</w:t>
      </w:r>
      <w:r>
        <w:rPr>
          <w:rFonts w:hint="default" w:ascii="Times New Roman" w:hAnsi="Times New Roman" w:eastAsia="宋体" w:cs="Times New Roman"/>
          <w:b w:val="0"/>
          <w:bCs w:val="0"/>
          <w:snapToGrid w:val="0"/>
          <w:color w:val="000000"/>
          <w:spacing w:val="11"/>
          <w:kern w:val="0"/>
          <w:sz w:val="24"/>
          <w:szCs w:val="24"/>
          <w:lang w:val="en-US" w:eastAsia="zh-CN"/>
        </w:rPr>
        <w:t>废气经</w:t>
      </w:r>
      <w:r>
        <w:rPr>
          <w:rFonts w:hint="eastAsia" w:ascii="Times New Roman" w:hAnsi="Times New Roman" w:eastAsia="宋体" w:cs="Times New Roman"/>
          <w:b w:val="0"/>
          <w:bCs w:val="0"/>
          <w:snapToGrid w:val="0"/>
          <w:color w:val="000000"/>
          <w:spacing w:val="11"/>
          <w:kern w:val="0"/>
          <w:sz w:val="24"/>
          <w:szCs w:val="24"/>
          <w:lang w:val="en-US" w:eastAsia="zh-CN"/>
        </w:rPr>
        <w:t>密闭、</w:t>
      </w:r>
      <w:r>
        <w:rPr>
          <w:rFonts w:hint="default" w:ascii="Times New Roman" w:hAnsi="Times New Roman" w:eastAsia="宋体" w:cs="Times New Roman"/>
          <w:b w:val="0"/>
          <w:bCs w:val="0"/>
          <w:snapToGrid w:val="0"/>
          <w:color w:val="000000"/>
          <w:spacing w:val="11"/>
          <w:kern w:val="0"/>
          <w:sz w:val="24"/>
          <w:szCs w:val="24"/>
          <w:lang w:val="en-US" w:eastAsia="zh-CN"/>
        </w:rPr>
        <w:t>加盖处理后</w:t>
      </w:r>
      <w:r>
        <w:rPr>
          <w:rFonts w:hint="eastAsia" w:ascii="Times New Roman" w:hAnsi="Times New Roman" w:eastAsia="宋体" w:cs="Times New Roman"/>
          <w:b w:val="0"/>
          <w:bCs w:val="0"/>
          <w:snapToGrid w:val="0"/>
          <w:color w:val="000000"/>
          <w:spacing w:val="11"/>
          <w:kern w:val="0"/>
          <w:sz w:val="24"/>
          <w:szCs w:val="24"/>
          <w:lang w:val="en-US" w:eastAsia="zh-CN"/>
        </w:rPr>
        <w:t>无组织</w:t>
      </w:r>
      <w:r>
        <w:rPr>
          <w:rFonts w:hint="default" w:ascii="Times New Roman" w:hAnsi="Times New Roman" w:eastAsia="宋体" w:cs="Times New Roman"/>
          <w:b w:val="0"/>
          <w:bCs w:val="0"/>
          <w:snapToGrid w:val="0"/>
          <w:color w:val="000000"/>
          <w:spacing w:val="11"/>
          <w:kern w:val="0"/>
          <w:sz w:val="24"/>
          <w:szCs w:val="24"/>
          <w:lang w:val="en-US" w:eastAsia="zh-CN"/>
        </w:rPr>
        <w:t>排放，恶臭气体受到抑制，产生量相对较小。</w:t>
      </w:r>
    </w:p>
    <w:p>
      <w:pPr>
        <w:keepNext w:val="0"/>
        <w:keepLines w:val="0"/>
        <w:widowControl/>
        <w:suppressLineNumbers w:val="0"/>
        <w:jc w:val="center"/>
        <w:rPr>
          <w:sz w:val="21"/>
          <w:szCs w:val="21"/>
        </w:rPr>
      </w:pPr>
      <w:r>
        <w:rPr>
          <w:rFonts w:hint="eastAsia" w:ascii="宋体" w:hAnsi="宋体" w:eastAsia="宋体" w:cs="宋体"/>
          <w:b/>
          <w:bCs/>
          <w:snapToGrid w:val="0"/>
          <w:color w:val="000000"/>
          <w:kern w:val="0"/>
          <w:sz w:val="21"/>
          <w:szCs w:val="21"/>
          <w:lang w:val="en-US" w:eastAsia="zh-CN" w:bidi="ar"/>
        </w:rPr>
        <w:t>表</w:t>
      </w:r>
      <w:r>
        <w:rPr>
          <w:rFonts w:hint="default" w:ascii="Times New Roman" w:hAnsi="Times New Roman" w:eastAsia="宋体" w:cs="Times New Roman"/>
          <w:b/>
          <w:bCs/>
          <w:snapToGrid w:val="0"/>
          <w:color w:val="000000"/>
          <w:kern w:val="0"/>
          <w:sz w:val="21"/>
          <w:szCs w:val="21"/>
          <w:lang w:val="en-US" w:eastAsia="zh-CN" w:bidi="ar"/>
        </w:rPr>
        <w:t>3.2-</w:t>
      </w:r>
      <w:r>
        <w:rPr>
          <w:rFonts w:hint="eastAsia" w:ascii="Times New Roman" w:hAnsi="Times New Roman" w:eastAsia="宋体" w:cs="Times New Roman"/>
          <w:b/>
          <w:bCs/>
          <w:snapToGrid w:val="0"/>
          <w:color w:val="000000"/>
          <w:kern w:val="0"/>
          <w:sz w:val="21"/>
          <w:szCs w:val="21"/>
          <w:lang w:val="en-US" w:eastAsia="zh-CN" w:bidi="ar"/>
        </w:rPr>
        <w:t>6</w:t>
      </w:r>
      <w:r>
        <w:rPr>
          <w:rFonts w:hint="default" w:ascii="Times New Roman" w:hAnsi="Times New Roman" w:eastAsia="宋体" w:cs="Times New Roman"/>
          <w:b/>
          <w:bCs/>
          <w:snapToGrid w:val="0"/>
          <w:color w:val="000000"/>
          <w:kern w:val="0"/>
          <w:sz w:val="21"/>
          <w:szCs w:val="21"/>
          <w:lang w:val="en-US" w:eastAsia="zh-CN" w:bidi="ar"/>
        </w:rPr>
        <w:t xml:space="preserve"> </w:t>
      </w:r>
      <w:r>
        <w:rPr>
          <w:rFonts w:hint="eastAsia" w:ascii="宋体" w:hAnsi="宋体" w:eastAsia="宋体" w:cs="宋体"/>
          <w:b/>
          <w:bCs/>
          <w:snapToGrid w:val="0"/>
          <w:color w:val="000000"/>
          <w:kern w:val="0"/>
          <w:sz w:val="21"/>
          <w:szCs w:val="21"/>
          <w:lang w:val="en-US" w:eastAsia="zh-CN" w:bidi="ar"/>
        </w:rPr>
        <w:t>医疗废水处理站恶臭气体产生情况</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215"/>
        <w:gridCol w:w="1937"/>
        <w:gridCol w:w="1937"/>
        <w:gridCol w:w="1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pct"/>
            <w:tcBorders>
              <w:tl2br w:val="nil"/>
              <w:tr2bl w:val="nil"/>
            </w:tcBorders>
            <w:vAlign w:val="center"/>
          </w:tcPr>
          <w:p>
            <w:pPr>
              <w:pStyle w:val="14"/>
              <w:widowControl w:val="0"/>
              <w:spacing w:after="0" w:line="36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污染物</w:t>
            </w:r>
          </w:p>
        </w:tc>
        <w:tc>
          <w:tcPr>
            <w:tcW w:w="1112"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val="0"/>
                <w:snapToGrid w:val="0"/>
                <w:color w:val="000000"/>
                <w:kern w:val="0"/>
                <w:sz w:val="21"/>
                <w:szCs w:val="21"/>
                <w:lang w:val="en-US" w:eastAsia="zh-CN" w:bidi="ar"/>
              </w:rPr>
            </w:pPr>
            <w:r>
              <w:rPr>
                <w:rFonts w:hint="default" w:ascii="Times New Roman" w:hAnsi="Times New Roman" w:eastAsia="宋体" w:cs="Times New Roman"/>
                <w:b w:val="0"/>
                <w:bCs w:val="0"/>
                <w:snapToGrid w:val="0"/>
                <w:color w:val="000000"/>
                <w:kern w:val="0"/>
                <w:sz w:val="21"/>
                <w:szCs w:val="21"/>
                <w:lang w:val="en-US" w:eastAsia="zh-CN" w:bidi="ar"/>
              </w:rPr>
              <w:t>年产生量</w:t>
            </w:r>
          </w:p>
          <w:p>
            <w:pPr>
              <w:keepNext w:val="0"/>
              <w:keepLines w:val="0"/>
              <w:widowControl/>
              <w:suppressLineNumbers w:val="0"/>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default" w:ascii="Times New Roman" w:hAnsi="Times New Roman" w:eastAsia="宋体" w:cs="Times New Roman"/>
                <w:b w:val="0"/>
                <w:bCs w:val="0"/>
                <w:snapToGrid w:val="0"/>
                <w:color w:val="000000"/>
                <w:kern w:val="0"/>
                <w:sz w:val="21"/>
                <w:szCs w:val="21"/>
                <w:lang w:val="en-US" w:eastAsia="zh-CN" w:bidi="ar"/>
              </w:rPr>
              <w:t>（kg/a）</w:t>
            </w:r>
          </w:p>
        </w:tc>
        <w:tc>
          <w:tcPr>
            <w:tcW w:w="972" w:type="pct"/>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产生速率</w:t>
            </w:r>
          </w:p>
          <w:p>
            <w:pPr>
              <w:keepNext w:val="0"/>
              <w:keepLines w:val="0"/>
              <w:widowControl/>
              <w:suppressLineNumbers w:val="0"/>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kg/h</w:t>
            </w:r>
            <w:r>
              <w:rPr>
                <w:rFonts w:hint="eastAsia" w:ascii="Times New Roman" w:hAnsi="Times New Roman" w:eastAsia="宋体" w:cs="Times New Roman"/>
                <w:b w:val="0"/>
                <w:bCs w:val="0"/>
                <w:snapToGrid w:val="0"/>
                <w:color w:val="000000"/>
                <w:kern w:val="0"/>
                <w:sz w:val="21"/>
                <w:szCs w:val="21"/>
                <w:lang w:val="en-US" w:eastAsia="zh-CN" w:bidi="ar"/>
              </w:rPr>
              <w:t>）</w:t>
            </w:r>
          </w:p>
        </w:tc>
        <w:tc>
          <w:tcPr>
            <w:tcW w:w="972" w:type="pct"/>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年排放量</w:t>
            </w:r>
          </w:p>
          <w:p>
            <w:pPr>
              <w:keepNext w:val="0"/>
              <w:keepLines w:val="0"/>
              <w:widowControl/>
              <w:suppressLineNumbers w:val="0"/>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kg/a</w:t>
            </w:r>
            <w:r>
              <w:rPr>
                <w:rFonts w:hint="eastAsia" w:ascii="Times New Roman" w:hAnsi="Times New Roman" w:eastAsia="宋体" w:cs="Times New Roman"/>
                <w:b w:val="0"/>
                <w:bCs w:val="0"/>
                <w:snapToGrid w:val="0"/>
                <w:color w:val="000000"/>
                <w:kern w:val="0"/>
                <w:sz w:val="21"/>
                <w:szCs w:val="21"/>
                <w:lang w:val="en-US" w:eastAsia="zh-CN" w:bidi="ar"/>
              </w:rPr>
              <w:t>）</w:t>
            </w:r>
          </w:p>
        </w:tc>
        <w:tc>
          <w:tcPr>
            <w:tcW w:w="974" w:type="pct"/>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napToGrid w:val="0"/>
                <w:color w:val="000000"/>
                <w:kern w:val="0"/>
                <w:sz w:val="21"/>
                <w:szCs w:val="21"/>
                <w:lang w:val="en-US" w:eastAsia="zh-CN" w:bidi="ar"/>
              </w:rPr>
              <w:t>排放速率</w:t>
            </w:r>
          </w:p>
          <w:p>
            <w:pPr>
              <w:keepNext w:val="0"/>
              <w:keepLines w:val="0"/>
              <w:widowControl/>
              <w:suppressLineNumbers w:val="0"/>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kern w:val="0"/>
                <w:sz w:val="21"/>
                <w:szCs w:val="21"/>
                <w:lang w:val="en-US" w:eastAsia="zh-CN" w:bidi="ar"/>
              </w:rPr>
              <w:t>（</w:t>
            </w:r>
            <w:r>
              <w:rPr>
                <w:rFonts w:hint="default" w:ascii="Times New Roman" w:hAnsi="Times New Roman" w:eastAsia="宋体" w:cs="Times New Roman"/>
                <w:b w:val="0"/>
                <w:bCs w:val="0"/>
                <w:snapToGrid w:val="0"/>
                <w:color w:val="000000"/>
                <w:kern w:val="0"/>
                <w:sz w:val="21"/>
                <w:szCs w:val="21"/>
                <w:lang w:val="en-US" w:eastAsia="zh-CN" w:bidi="ar"/>
              </w:rPr>
              <w:t>kg/h</w:t>
            </w:r>
            <w:r>
              <w:rPr>
                <w:rFonts w:hint="eastAsia" w:ascii="Times New Roman" w:hAnsi="Times New Roman" w:eastAsia="宋体" w:cs="Times New Roman"/>
                <w:b w:val="0"/>
                <w:bCs w:val="0"/>
                <w:snapToGrid w:val="0"/>
                <w:color w:val="000000"/>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硫化氢</w:t>
            </w:r>
          </w:p>
        </w:tc>
        <w:tc>
          <w:tcPr>
            <w:tcW w:w="1112"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0.004</w:t>
            </w:r>
          </w:p>
        </w:tc>
        <w:tc>
          <w:tcPr>
            <w:tcW w:w="972"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0.000001</w:t>
            </w:r>
          </w:p>
        </w:tc>
        <w:tc>
          <w:tcPr>
            <w:tcW w:w="1937" w:type="dxa"/>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0.004</w:t>
            </w:r>
          </w:p>
        </w:tc>
        <w:tc>
          <w:tcPr>
            <w:tcW w:w="1941" w:type="dxa"/>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氨</w:t>
            </w:r>
          </w:p>
        </w:tc>
        <w:tc>
          <w:tcPr>
            <w:tcW w:w="1112"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0.105</w:t>
            </w:r>
          </w:p>
        </w:tc>
        <w:tc>
          <w:tcPr>
            <w:tcW w:w="972" w:type="pct"/>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0.000018</w:t>
            </w:r>
          </w:p>
        </w:tc>
        <w:tc>
          <w:tcPr>
            <w:tcW w:w="1937" w:type="dxa"/>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0.105</w:t>
            </w:r>
          </w:p>
        </w:tc>
        <w:tc>
          <w:tcPr>
            <w:tcW w:w="1941" w:type="dxa"/>
            <w:tcBorders>
              <w:tl2br w:val="nil"/>
              <w:tr2bl w:val="nil"/>
            </w:tcBorders>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0.000018</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Lines="5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）汽车尾气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进出车辆的汽车尾气是项目大气污染源之一，尾气主要含有 CO、NOx、TSP和未完全燃烧的碳氢化合物 THC。汽车尾气污染物排放量取决于汽车在停车场内的行驶速度和行驶距离，但是无论地上、地下及半地下停车场其单车排放因子都是相同的。医院地下车库设置机械抽排风系统，排风口布置在绿化区域中，扩散条件好，同时车库进出通道开阔且与地面相连，汽车尾气通过车库进出口自然扩散。加之汽车启动时间较短，废气产生量小，污染物浓度较低，运营期汽车尾气能够做到达标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4</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柴油发电机废气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419" w:firstLineChars="16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本项目拟配备1 台1</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kW 的备用柴油发电机，确保其在外电停电及故障的情况下，供电系统能正常运行。柴油发电机废气是柴油燃烧产生燃油废气，废气中主要含有烟尘、SO</w:t>
      </w:r>
      <w:r>
        <w:rPr>
          <w:rFonts w:hint="default" w:eastAsia="宋体" w:cs="Times New Roman"/>
          <w:b w:val="0"/>
          <w:bCs w:val="0"/>
          <w:snapToGrid w:val="0"/>
          <w:color w:val="000000"/>
          <w:spacing w:val="11"/>
          <w:kern w:val="0"/>
          <w:sz w:val="24"/>
          <w:szCs w:val="24"/>
          <w:vertAlign w:val="subscript"/>
          <w:lang w:val="en-US" w:eastAsia="zh-CN"/>
        </w:rPr>
        <w:t>2</w:t>
      </w:r>
      <w:r>
        <w:rPr>
          <w:rFonts w:hint="default" w:eastAsia="宋体" w:cs="Times New Roman"/>
          <w:b w:val="0"/>
          <w:bCs w:val="0"/>
          <w:snapToGrid w:val="0"/>
          <w:color w:val="000000"/>
          <w:spacing w:val="11"/>
          <w:kern w:val="0"/>
          <w:sz w:val="24"/>
          <w:szCs w:val="24"/>
          <w:lang w:val="en-US" w:eastAsia="zh-CN"/>
        </w:rPr>
        <w:t>、NOx 等污染物。根据当地市政用电情况，每月使用柴油发电机的时间一般不超过4 小时，全年工作时间不超过48小时，耗油率为215g/kW·h，则项目备用发电机工作时耗油量0.</w:t>
      </w:r>
      <w:r>
        <w:rPr>
          <w:rFonts w:hint="eastAsia" w:eastAsia="宋体" w:cs="Times New Roman"/>
          <w:b w:val="0"/>
          <w:bCs w:val="0"/>
          <w:snapToGrid w:val="0"/>
          <w:color w:val="000000"/>
          <w:spacing w:val="11"/>
          <w:kern w:val="0"/>
          <w:sz w:val="24"/>
          <w:szCs w:val="24"/>
          <w:lang w:val="en-US" w:eastAsia="zh-CN"/>
        </w:rPr>
        <w:t>003</w:t>
      </w:r>
      <w:r>
        <w:rPr>
          <w:rFonts w:hint="default" w:eastAsia="宋体" w:cs="Times New Roman"/>
          <w:b w:val="0"/>
          <w:bCs w:val="0"/>
          <w:snapToGrid w:val="0"/>
          <w:color w:val="000000"/>
          <w:spacing w:val="11"/>
          <w:kern w:val="0"/>
          <w:sz w:val="24"/>
          <w:szCs w:val="24"/>
          <w:lang w:val="en-US" w:eastAsia="zh-CN"/>
        </w:rPr>
        <w:t>t/h（</w:t>
      </w:r>
      <w:r>
        <w:rPr>
          <w:rFonts w:hint="eastAsia" w:eastAsia="宋体" w:cs="Times New Roman"/>
          <w:b w:val="0"/>
          <w:bCs w:val="0"/>
          <w:snapToGrid w:val="0"/>
          <w:color w:val="000000"/>
          <w:spacing w:val="11"/>
          <w:kern w:val="0"/>
          <w:sz w:val="24"/>
          <w:szCs w:val="24"/>
          <w:lang w:val="en-US" w:eastAsia="zh-CN"/>
        </w:rPr>
        <w:t>0.144</w:t>
      </w:r>
      <w:r>
        <w:rPr>
          <w:rFonts w:hint="default" w:eastAsia="宋体" w:cs="Times New Roman"/>
          <w:b w:val="0"/>
          <w:bCs w:val="0"/>
          <w:snapToGrid w:val="0"/>
          <w:color w:val="000000"/>
          <w:spacing w:val="11"/>
          <w:kern w:val="0"/>
          <w:sz w:val="24"/>
          <w:szCs w:val="24"/>
          <w:lang w:val="en-US" w:eastAsia="zh-CN"/>
        </w:rPr>
        <w:t>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419" w:firstLineChars="16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根据《大气污染工程师手册》，当空气过剩系数为1时，1kg 柴油产生的烟气量约为 11m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。一般柴油发电机空气过剩系数为1.8，则柴油发电机每燃烧 1kg 柴油产生的烟气量为 11×1.8≈20m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，则项目柴油发电机每年产生的烟气量为</w:t>
      </w:r>
      <w:r>
        <w:rPr>
          <w:rFonts w:hint="eastAsia" w:eastAsia="宋体" w:cs="Times New Roman"/>
          <w:b w:val="0"/>
          <w:bCs w:val="0"/>
          <w:snapToGrid w:val="0"/>
          <w:color w:val="000000"/>
          <w:spacing w:val="11"/>
          <w:kern w:val="0"/>
          <w:sz w:val="24"/>
          <w:szCs w:val="24"/>
          <w:lang w:val="en-US" w:eastAsia="zh-CN"/>
        </w:rPr>
        <w:t>2880</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根据《柴油机氮氧化物排放的测量与计算方法研究》及《普通柴油》（GB252-2015），NOx 产生系数为 3.36（kg/t 油）；SO</w:t>
      </w:r>
      <w:r>
        <w:rPr>
          <w:rFonts w:hint="default" w:eastAsia="宋体" w:cs="Times New Roman"/>
          <w:b w:val="0"/>
          <w:bCs w:val="0"/>
          <w:snapToGrid w:val="0"/>
          <w:color w:val="000000"/>
          <w:spacing w:val="11"/>
          <w:kern w:val="0"/>
          <w:sz w:val="24"/>
          <w:szCs w:val="24"/>
          <w:vertAlign w:val="subscript"/>
          <w:lang w:val="en-US" w:eastAsia="zh-CN"/>
        </w:rPr>
        <w:t>2</w:t>
      </w:r>
      <w:r>
        <w:rPr>
          <w:rFonts w:hint="default" w:eastAsia="宋体" w:cs="Times New Roman"/>
          <w:b w:val="0"/>
          <w:bCs w:val="0"/>
          <w:snapToGrid w:val="0"/>
          <w:color w:val="000000"/>
          <w:spacing w:val="11"/>
          <w:kern w:val="0"/>
          <w:sz w:val="24"/>
          <w:szCs w:val="24"/>
          <w:lang w:val="en-US" w:eastAsia="zh-CN"/>
        </w:rPr>
        <w:t>的产污系数为 20S*（kg/t 油），S*为硫的百分含量%，取 0.001，烟尘产生系数为 2.2（kg/t 油）。</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项目备用柴油发电机燃油废气污染物排放量详见表</w:t>
      </w:r>
      <w:r>
        <w:rPr>
          <w:rFonts w:hint="eastAsia" w:eastAsia="宋体" w:cs="Times New Roman"/>
          <w:b w:val="0"/>
          <w:bCs w:val="0"/>
          <w:snapToGrid w:val="0"/>
          <w:color w:val="000000"/>
          <w:spacing w:val="11"/>
          <w:kern w:val="0"/>
          <w:sz w:val="24"/>
          <w:szCs w:val="24"/>
          <w:lang w:val="en-US" w:eastAsia="zh-CN"/>
        </w:rPr>
        <w:t>3.2-7</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ascii="Times New Roman" w:hAnsi="Times New Roman" w:eastAsia="宋体" w:cs="Times New Roman"/>
          <w:b/>
          <w:snapToGrid w:val="0"/>
          <w:color w:val="000000"/>
          <w:kern w:val="0"/>
          <w:sz w:val="21"/>
          <w:szCs w:val="21"/>
          <w:lang w:val="en-US" w:eastAsia="zh-CN"/>
        </w:rPr>
      </w:pPr>
      <w:r>
        <w:rPr>
          <w:rFonts w:hint="default" w:ascii="Times New Roman" w:hAnsi="Times New Roman" w:eastAsia="宋体" w:cs="Times New Roman"/>
          <w:b/>
          <w:snapToGrid w:val="0"/>
          <w:color w:val="000000"/>
          <w:kern w:val="0"/>
          <w:sz w:val="21"/>
          <w:szCs w:val="21"/>
          <w:lang w:val="en-US" w:eastAsia="zh-CN"/>
        </w:rPr>
        <w:t xml:space="preserve">表 </w:t>
      </w:r>
      <w:r>
        <w:rPr>
          <w:rFonts w:hint="eastAsia" w:eastAsia="宋体" w:cs="Times New Roman"/>
          <w:b/>
          <w:snapToGrid w:val="0"/>
          <w:color w:val="000000"/>
          <w:kern w:val="0"/>
          <w:sz w:val="21"/>
          <w:szCs w:val="21"/>
          <w:lang w:val="en-US" w:eastAsia="zh-CN"/>
        </w:rPr>
        <w:t>3.2-7</w:t>
      </w:r>
      <w:r>
        <w:rPr>
          <w:rFonts w:hint="default" w:ascii="Times New Roman" w:hAnsi="Times New Roman" w:eastAsia="宋体" w:cs="Times New Roman"/>
          <w:b/>
          <w:snapToGrid w:val="0"/>
          <w:color w:val="000000"/>
          <w:kern w:val="0"/>
          <w:sz w:val="21"/>
          <w:szCs w:val="21"/>
          <w:lang w:val="en-US" w:eastAsia="zh-CN"/>
        </w:rPr>
        <w:t xml:space="preserve"> 备用柴油发电机排污</w:t>
      </w:r>
      <w:r>
        <w:rPr>
          <w:rFonts w:hint="eastAsia" w:eastAsia="宋体" w:cs="Times New Roman"/>
          <w:b/>
          <w:snapToGrid w:val="0"/>
          <w:color w:val="000000"/>
          <w:kern w:val="0"/>
          <w:sz w:val="21"/>
          <w:szCs w:val="21"/>
          <w:lang w:val="en-US" w:eastAsia="zh-CN"/>
        </w:rPr>
        <w:t>情况</w:t>
      </w:r>
      <w:r>
        <w:rPr>
          <w:rFonts w:hint="default" w:ascii="Times New Roman" w:hAnsi="Times New Roman" w:eastAsia="宋体" w:cs="Times New Roman"/>
          <w:b/>
          <w:snapToGrid w:val="0"/>
          <w:color w:val="000000"/>
          <w:kern w:val="0"/>
          <w:sz w:val="21"/>
          <w:szCs w:val="21"/>
          <w:lang w:val="en-US" w:eastAsia="zh-CN"/>
        </w:rPr>
        <w:t>一览表</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465"/>
        <w:gridCol w:w="1134"/>
        <w:gridCol w:w="1283"/>
        <w:gridCol w:w="1136"/>
        <w:gridCol w:w="1134"/>
        <w:gridCol w:w="1283"/>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污染源</w:t>
            </w:r>
          </w:p>
        </w:tc>
        <w:tc>
          <w:tcPr>
            <w:tcW w:w="735"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污染因子</w:t>
            </w:r>
          </w:p>
        </w:tc>
        <w:tc>
          <w:tcPr>
            <w:tcW w:w="1783" w:type="pct"/>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产生情况</w:t>
            </w:r>
          </w:p>
        </w:tc>
        <w:tc>
          <w:tcPr>
            <w:tcW w:w="1783" w:type="pct"/>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vMerge w:val="continue"/>
            <w:tcBorders>
              <w:tl2br w:val="nil"/>
              <w:tr2bl w:val="nil"/>
            </w:tcBorders>
            <w:vAlign w:val="center"/>
          </w:tcPr>
          <w:p>
            <w:pPr>
              <w:widowControl w:val="0"/>
              <w:jc w:val="center"/>
              <w:rPr>
                <w:rFonts w:hint="default" w:ascii="Times New Roman" w:hAnsi="Times New Roman" w:eastAsia="宋体" w:cs="Times New Roman"/>
                <w:b w:val="0"/>
                <w:snapToGrid w:val="0"/>
                <w:color w:val="000000"/>
                <w:kern w:val="0"/>
                <w:sz w:val="21"/>
                <w:szCs w:val="21"/>
                <w:vertAlign w:val="baseline"/>
                <w:lang w:val="en-US" w:eastAsia="zh-CN"/>
              </w:rPr>
            </w:pPr>
          </w:p>
        </w:tc>
        <w:tc>
          <w:tcPr>
            <w:tcW w:w="735" w:type="pct"/>
            <w:vMerge w:val="continue"/>
            <w:tcBorders>
              <w:tl2br w:val="nil"/>
              <w:tr2bl w:val="nil"/>
            </w:tcBorders>
            <w:vAlign w:val="center"/>
          </w:tcPr>
          <w:p>
            <w:pPr>
              <w:widowControl w:val="0"/>
              <w:jc w:val="center"/>
              <w:rPr>
                <w:rFonts w:hint="default" w:ascii="Times New Roman" w:hAnsi="Times New Roman" w:eastAsia="宋体" w:cs="Times New Roman"/>
                <w:b w:val="0"/>
                <w:snapToGrid w:val="0"/>
                <w:color w:val="000000"/>
                <w:kern w:val="0"/>
                <w:sz w:val="21"/>
                <w:szCs w:val="21"/>
                <w:vertAlign w:val="baseline"/>
                <w:lang w:val="en-US" w:eastAsia="zh-CN"/>
              </w:rPr>
            </w:pPr>
          </w:p>
        </w:tc>
        <w:tc>
          <w:tcPr>
            <w:tcW w:w="56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产生速率</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(kg/h)</w:t>
            </w:r>
          </w:p>
        </w:tc>
        <w:tc>
          <w:tcPr>
            <w:tcW w:w="644"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产生浓度</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(mg/m³)</w:t>
            </w:r>
          </w:p>
        </w:tc>
        <w:tc>
          <w:tcPr>
            <w:tcW w:w="570"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产生量</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(kg/a)</w:t>
            </w:r>
          </w:p>
        </w:tc>
        <w:tc>
          <w:tcPr>
            <w:tcW w:w="56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排放速率</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(kg/h)</w:t>
            </w:r>
          </w:p>
        </w:tc>
        <w:tc>
          <w:tcPr>
            <w:tcW w:w="644"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排放浓度</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(mg/m³)</w:t>
            </w:r>
          </w:p>
        </w:tc>
        <w:tc>
          <w:tcPr>
            <w:tcW w:w="570"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排放量</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柴油发电机</w:t>
            </w:r>
            <w:r>
              <w:rPr>
                <w:rFonts w:ascii="Times New Roman" w:hAnsi="Times New Roman" w:eastAsia="宋体" w:cs="Times New Roman"/>
                <w:b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i w:val="0"/>
                <w:iCs w:val="0"/>
                <w:snapToGrid w:val="0"/>
                <w:color w:val="000000"/>
                <w:kern w:val="0"/>
                <w:sz w:val="21"/>
                <w:szCs w:val="21"/>
                <w:u w:val="none"/>
                <w:lang w:val="en-US" w:eastAsia="zh-CN" w:bidi="ar"/>
              </w:rPr>
              <w:t>组</w:t>
            </w:r>
          </w:p>
        </w:tc>
        <w:tc>
          <w:tcPr>
            <w:tcW w:w="73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NOx</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0.0101</w:t>
            </w:r>
          </w:p>
        </w:tc>
        <w:tc>
          <w:tcPr>
            <w:tcW w:w="644" w:type="pct"/>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168</w:t>
            </w:r>
          </w:p>
        </w:tc>
        <w:tc>
          <w:tcPr>
            <w:tcW w:w="1136"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0.484</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0.0101</w:t>
            </w:r>
          </w:p>
        </w:tc>
        <w:tc>
          <w:tcPr>
            <w:tcW w:w="1283"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168</w:t>
            </w:r>
          </w:p>
        </w:tc>
        <w:tc>
          <w:tcPr>
            <w:tcW w:w="1136"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0.484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7" w:type="pct"/>
            <w:vMerge w:val="continue"/>
            <w:tcBorders>
              <w:tl2br w:val="nil"/>
              <w:tr2bl w:val="nil"/>
            </w:tcBorders>
            <w:vAlign w:val="center"/>
          </w:tcPr>
          <w:p>
            <w:pPr>
              <w:widowControl w:val="0"/>
              <w:jc w:val="center"/>
              <w:rPr>
                <w:rFonts w:hint="default" w:ascii="Times New Roman" w:hAnsi="Times New Roman" w:eastAsia="宋体" w:cs="Times New Roman"/>
                <w:b w:val="0"/>
                <w:snapToGrid w:val="0"/>
                <w:color w:val="000000"/>
                <w:kern w:val="0"/>
                <w:sz w:val="21"/>
                <w:szCs w:val="21"/>
                <w:vertAlign w:val="baseline"/>
                <w:lang w:val="en-US" w:eastAsia="zh-CN"/>
              </w:rPr>
            </w:pPr>
          </w:p>
        </w:tc>
        <w:tc>
          <w:tcPr>
            <w:tcW w:w="73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SO₂</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0.0001</w:t>
            </w:r>
          </w:p>
        </w:tc>
        <w:tc>
          <w:tcPr>
            <w:tcW w:w="644" w:type="pct"/>
            <w:tcBorders>
              <w:tl2br w:val="nil"/>
              <w:tr2bl w:val="nil"/>
            </w:tcBorders>
            <w:vAlign w:val="bottom"/>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1</w:t>
            </w:r>
          </w:p>
        </w:tc>
        <w:tc>
          <w:tcPr>
            <w:tcW w:w="1136" w:type="dxa"/>
            <w:tcBorders>
              <w:tl2br w:val="nil"/>
              <w:tr2bl w:val="nil"/>
            </w:tcBorders>
            <w:vAlign w:val="bottom"/>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0.003</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0.0001</w:t>
            </w:r>
          </w:p>
        </w:tc>
        <w:tc>
          <w:tcPr>
            <w:tcW w:w="1283" w:type="dxa"/>
            <w:tcBorders>
              <w:tl2br w:val="nil"/>
              <w:tr2bl w:val="nil"/>
            </w:tcBorders>
            <w:vAlign w:val="bottom"/>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1</w:t>
            </w:r>
          </w:p>
        </w:tc>
        <w:tc>
          <w:tcPr>
            <w:tcW w:w="1136" w:type="dxa"/>
            <w:tcBorders>
              <w:tl2br w:val="nil"/>
              <w:tr2bl w:val="nil"/>
            </w:tcBorders>
            <w:vAlign w:val="bottom"/>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vMerge w:val="continue"/>
            <w:tcBorders>
              <w:tl2br w:val="nil"/>
              <w:tr2bl w:val="nil"/>
            </w:tcBorders>
            <w:vAlign w:val="center"/>
          </w:tcPr>
          <w:p>
            <w:pPr>
              <w:widowControl w:val="0"/>
              <w:jc w:val="center"/>
              <w:rPr>
                <w:rFonts w:hint="default" w:ascii="Times New Roman" w:hAnsi="Times New Roman" w:eastAsia="宋体" w:cs="Times New Roman"/>
                <w:b w:val="0"/>
                <w:snapToGrid w:val="0"/>
                <w:color w:val="000000"/>
                <w:kern w:val="0"/>
                <w:sz w:val="21"/>
                <w:szCs w:val="21"/>
                <w:vertAlign w:val="baseline"/>
                <w:lang w:val="en-US" w:eastAsia="zh-CN"/>
              </w:rPr>
            </w:pPr>
          </w:p>
        </w:tc>
        <w:tc>
          <w:tcPr>
            <w:tcW w:w="73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烟尘</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0.0066</w:t>
            </w:r>
          </w:p>
        </w:tc>
        <w:tc>
          <w:tcPr>
            <w:tcW w:w="644" w:type="pct"/>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110</w:t>
            </w:r>
          </w:p>
        </w:tc>
        <w:tc>
          <w:tcPr>
            <w:tcW w:w="1136"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0.317</w:t>
            </w:r>
          </w:p>
        </w:tc>
        <w:tc>
          <w:tcPr>
            <w:tcW w:w="1134" w:type="dxa"/>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0.0066</w:t>
            </w:r>
          </w:p>
        </w:tc>
        <w:tc>
          <w:tcPr>
            <w:tcW w:w="1283"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110</w:t>
            </w:r>
          </w:p>
        </w:tc>
        <w:tc>
          <w:tcPr>
            <w:tcW w:w="1136" w:type="dxa"/>
            <w:tcBorders>
              <w:tl2br w:val="nil"/>
              <w:tr2bl w:val="nil"/>
            </w:tcBorders>
            <w:vAlign w:val="center"/>
          </w:tcPr>
          <w:p>
            <w:pPr>
              <w:keepNext w:val="0"/>
              <w:keepLines w:val="0"/>
              <w:widowControl/>
              <w:suppressLineNumbers w:val="0"/>
              <w:jc w:val="center"/>
              <w:textAlignment w:val="bottom"/>
              <w:rPr>
                <w:rFonts w:ascii="Times New Roman" w:hAnsi="Times New Roman" w:eastAsia="宋体" w:cs="Times New Roman"/>
                <w:b w:val="0"/>
                <w:sz w:val="21"/>
                <w:szCs w:val="21"/>
              </w:rPr>
            </w:pPr>
            <w:r>
              <w:rPr>
                <w:rFonts w:ascii="Times New Roman" w:hAnsi="Times New Roman" w:eastAsia="宋体" w:cs="Times New Roman"/>
                <w:b w:val="0"/>
                <w:i w:val="0"/>
                <w:iCs w:val="0"/>
                <w:snapToGrid w:val="0"/>
                <w:color w:val="000000"/>
                <w:kern w:val="0"/>
                <w:sz w:val="21"/>
                <w:szCs w:val="21"/>
                <w:u w:val="none"/>
                <w:lang w:val="en-US" w:eastAsia="zh-CN" w:bidi="ar"/>
              </w:rPr>
              <w:t>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vMerge w:val="continue"/>
            <w:tcBorders>
              <w:tl2br w:val="nil"/>
              <w:tr2bl w:val="nil"/>
            </w:tcBorders>
            <w:vAlign w:val="center"/>
          </w:tcPr>
          <w:p>
            <w:pPr>
              <w:widowControl w:val="0"/>
              <w:jc w:val="center"/>
              <w:rPr>
                <w:rFonts w:hint="default" w:ascii="Times New Roman" w:hAnsi="Times New Roman" w:eastAsia="宋体" w:cs="Times New Roman"/>
                <w:b w:val="0"/>
                <w:snapToGrid w:val="0"/>
                <w:color w:val="000000"/>
                <w:kern w:val="0"/>
                <w:sz w:val="21"/>
                <w:szCs w:val="21"/>
                <w:vertAlign w:val="baseline"/>
                <w:lang w:val="en-US" w:eastAsia="zh-CN"/>
              </w:rPr>
            </w:pPr>
          </w:p>
        </w:tc>
        <w:tc>
          <w:tcPr>
            <w:tcW w:w="73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ascii="Times New Roman" w:hAnsi="Times New Roman" w:eastAsia="宋体" w:cs="Times New Roman"/>
                <w:b w:val="0"/>
                <w:i w:val="0"/>
                <w:iCs w:val="0"/>
                <w:snapToGrid w:val="0"/>
                <w:color w:val="000000"/>
                <w:kern w:val="0"/>
                <w:sz w:val="21"/>
                <w:szCs w:val="21"/>
                <w:u w:val="none"/>
                <w:lang w:val="en-US" w:eastAsia="zh-CN" w:bidi="ar"/>
              </w:rPr>
              <w:t>废气量</w:t>
            </w:r>
          </w:p>
        </w:tc>
        <w:tc>
          <w:tcPr>
            <w:tcW w:w="3566" w:type="pct"/>
            <w:gridSpan w:val="6"/>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000000"/>
                <w:kern w:val="0"/>
                <w:sz w:val="21"/>
                <w:szCs w:val="21"/>
                <w:vertAlign w:val="baseline"/>
                <w:lang w:val="en-US" w:eastAsia="zh-CN"/>
              </w:rPr>
            </w:pPr>
            <w:r>
              <w:rPr>
                <w:rFonts w:hint="eastAsia" w:ascii="Times New Roman" w:hAnsi="Times New Roman" w:eastAsia="宋体" w:cs="Times New Roman"/>
                <w:b w:val="0"/>
                <w:i w:val="0"/>
                <w:iCs w:val="0"/>
                <w:snapToGrid w:val="0"/>
                <w:color w:val="000000"/>
                <w:kern w:val="0"/>
                <w:sz w:val="21"/>
                <w:szCs w:val="21"/>
                <w:u w:val="none"/>
                <w:lang w:val="en-US" w:eastAsia="zh-CN" w:bidi="ar"/>
              </w:rPr>
              <w:t>2880</w:t>
            </w:r>
            <w:r>
              <w:rPr>
                <w:rFonts w:ascii="Times New Roman" w:hAnsi="Times New Roman" w:eastAsia="宋体" w:cs="Times New Roman"/>
                <w:b w:val="0"/>
                <w:i w:val="0"/>
                <w:iCs w:val="0"/>
                <w:snapToGrid w:val="0"/>
                <w:color w:val="000000"/>
                <w:kern w:val="0"/>
                <w:sz w:val="21"/>
                <w:szCs w:val="21"/>
                <w:u w:val="none"/>
                <w:lang w:val="en-US" w:eastAsia="zh-CN" w:bidi="ar"/>
              </w:rPr>
              <w:t>m</w:t>
            </w:r>
            <w:r>
              <w:rPr>
                <w:rFonts w:ascii="Times New Roman" w:hAnsi="Times New Roman" w:eastAsia="宋体" w:cs="Times New Roman"/>
                <w:b w:val="0"/>
                <w:i w:val="0"/>
                <w:iCs w:val="0"/>
                <w:snapToGrid w:val="0"/>
                <w:color w:val="000000"/>
                <w:kern w:val="0"/>
                <w:sz w:val="21"/>
                <w:szCs w:val="21"/>
                <w:u w:val="none"/>
                <w:vertAlign w:val="superscript"/>
                <w:lang w:val="en-US" w:eastAsia="zh-CN" w:bidi="ar"/>
              </w:rPr>
              <w:t>3</w:t>
            </w:r>
            <w:r>
              <w:rPr>
                <w:rFonts w:ascii="Times New Roman" w:hAnsi="Times New Roman" w:eastAsia="宋体" w:cs="Times New Roman"/>
                <w:b w:val="0"/>
                <w:i w:val="0"/>
                <w:iCs w:val="0"/>
                <w:snapToGrid w:val="0"/>
                <w:color w:val="000000"/>
                <w:kern w:val="0"/>
                <w:sz w:val="21"/>
                <w:szCs w:val="21"/>
                <w:u w:val="none"/>
                <w:lang w:val="en-US" w:eastAsia="zh-CN" w:bidi="ar"/>
              </w:rPr>
              <w:t>/a</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发电机燃油废气通过专用烟道排放引至屋顶排放。备用发电机在供电正常时不使用，只有在停电的应急情况下才会使用，一般发电时间较短，全年使用时间数少，废气排放量较少，屋顶扩散空间较大，废气经自然扩散后，对周围环境的的影响不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生活垃圾及医疗</w:t>
      </w:r>
      <w:r>
        <w:rPr>
          <w:rFonts w:hint="eastAsia" w:eastAsia="宋体" w:cs="Times New Roman"/>
          <w:b w:val="0"/>
          <w:bCs w:val="0"/>
          <w:snapToGrid w:val="0"/>
          <w:color w:val="000000"/>
          <w:spacing w:val="11"/>
          <w:kern w:val="0"/>
          <w:sz w:val="24"/>
          <w:szCs w:val="24"/>
          <w:lang w:val="en-US" w:eastAsia="zh-CN"/>
        </w:rPr>
        <w:t>废物</w:t>
      </w:r>
      <w:r>
        <w:rPr>
          <w:rFonts w:hint="default" w:eastAsia="宋体" w:cs="Times New Roman"/>
          <w:b w:val="0"/>
          <w:bCs w:val="0"/>
          <w:snapToGrid w:val="0"/>
          <w:color w:val="000000"/>
          <w:spacing w:val="11"/>
          <w:kern w:val="0"/>
          <w:sz w:val="24"/>
          <w:szCs w:val="24"/>
          <w:lang w:val="en-US" w:eastAsia="zh-CN"/>
        </w:rPr>
        <w:t>暂存间恶臭</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419" w:firstLineChars="16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项目的医疗垃圾暂存间独立设置于疾控中心南侧，生活垃圾则由收集桶收集。生活垃圾及医疗垃圾在收集、转运过程中，部分易腐败的有机垃圾由于其分解会发出异味，对环境的影响主要表现为恶臭。主要成分为氨气、硫化氢等废气产生量较少，为无组织排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.2.2.</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 xml:space="preserve"> 噪声污染源分析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1）设备噪声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项目主要产噪设备主要有水泵、中央空调机组、风机、通风系统风机等设备噪声，参考《污染源源强核算技术指南 准则》（HJ884-2018）及部分行业污染源源强技术指南，噪声值约为75~90dB（A）。设备噪声源强见表</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.2-</w:t>
      </w:r>
      <w:r>
        <w:rPr>
          <w:rFonts w:hint="eastAsia" w:eastAsia="宋体" w:cs="Times New Roman"/>
          <w:b w:val="0"/>
          <w:bCs w:val="0"/>
          <w:snapToGrid w:val="0"/>
          <w:color w:val="000000"/>
          <w:spacing w:val="11"/>
          <w:kern w:val="0"/>
          <w:sz w:val="24"/>
          <w:szCs w:val="24"/>
          <w:lang w:val="en-US" w:eastAsia="zh-CN"/>
        </w:rPr>
        <w:t>8、3.2-9。</w:t>
      </w:r>
    </w:p>
    <w:p>
      <w:pPr>
        <w:spacing w:line="480" w:lineRule="exact"/>
        <w:jc w:val="center"/>
        <w:rPr>
          <w:b/>
          <w:color w:val="000000"/>
          <w:szCs w:val="21"/>
        </w:rPr>
      </w:pPr>
      <w:r>
        <w:rPr>
          <w:b/>
          <w:color w:val="000000"/>
          <w:szCs w:val="21"/>
        </w:rPr>
        <w:t>表</w:t>
      </w:r>
      <w:r>
        <w:rPr>
          <w:rFonts w:hint="default" w:ascii="Times New Roman" w:hAnsi="Times New Roman" w:eastAsia="宋体" w:cs="Times New Roman"/>
          <w:b/>
          <w:color w:val="000000"/>
          <w:szCs w:val="21"/>
          <w:lang w:val="en-US" w:eastAsia="zh-CN"/>
        </w:rPr>
        <w:t>3.2-</w:t>
      </w:r>
      <w:r>
        <w:rPr>
          <w:rFonts w:hint="eastAsia" w:ascii="Times New Roman" w:hAnsi="Times New Roman" w:eastAsia="宋体" w:cs="Times New Roman"/>
          <w:b/>
          <w:color w:val="000000"/>
          <w:szCs w:val="21"/>
          <w:lang w:val="en-US" w:eastAsia="zh-CN"/>
        </w:rPr>
        <w:t>8</w:t>
      </w:r>
      <w:r>
        <w:rPr>
          <w:b/>
          <w:color w:val="000000"/>
          <w:szCs w:val="21"/>
        </w:rPr>
        <w:t xml:space="preserve"> </w:t>
      </w:r>
      <w:r>
        <w:rPr>
          <w:rFonts w:hint="eastAsia"/>
          <w:b/>
          <w:color w:val="000000"/>
          <w:szCs w:val="21"/>
        </w:rPr>
        <w:t xml:space="preserve"> 工业企业噪声源强调查清单（室</w:t>
      </w:r>
      <w:r>
        <w:rPr>
          <w:rFonts w:hint="eastAsia"/>
          <w:b/>
          <w:color w:val="000000"/>
          <w:szCs w:val="21"/>
          <w:lang w:eastAsia="zh-CN"/>
        </w:rPr>
        <w:t>外</w:t>
      </w:r>
      <w:r>
        <w:rPr>
          <w:rFonts w:hint="eastAsia"/>
          <w:b/>
          <w:color w:val="000000"/>
          <w:szCs w:val="21"/>
        </w:rPr>
        <w:t>声源）</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606"/>
        <w:gridCol w:w="1377"/>
        <w:gridCol w:w="791"/>
        <w:gridCol w:w="791"/>
        <w:gridCol w:w="795"/>
        <w:gridCol w:w="1116"/>
        <w:gridCol w:w="1441"/>
        <w:gridCol w:w="14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restart"/>
            <w:noWrap w:val="0"/>
            <w:vAlign w:val="center"/>
          </w:tcPr>
          <w:p>
            <w:pPr>
              <w:jc w:val="center"/>
              <w:rPr>
                <w:b/>
                <w:bCs/>
                <w:color w:val="000000"/>
                <w:szCs w:val="21"/>
              </w:rPr>
            </w:pPr>
            <w:r>
              <w:rPr>
                <w:b/>
                <w:bCs/>
                <w:color w:val="000000"/>
                <w:szCs w:val="21"/>
              </w:rPr>
              <w:t>序号</w:t>
            </w:r>
          </w:p>
        </w:tc>
        <w:tc>
          <w:tcPr>
            <w:tcW w:w="806" w:type="pct"/>
            <w:vMerge w:val="restart"/>
            <w:noWrap w:val="0"/>
            <w:vAlign w:val="center"/>
          </w:tcPr>
          <w:p>
            <w:pPr>
              <w:jc w:val="center"/>
              <w:rPr>
                <w:rFonts w:hint="eastAsia" w:eastAsia="宋体"/>
                <w:b/>
                <w:bCs/>
                <w:color w:val="000000"/>
                <w:szCs w:val="21"/>
                <w:lang w:eastAsia="zh-CN"/>
              </w:rPr>
            </w:pPr>
            <w:r>
              <w:rPr>
                <w:b/>
                <w:bCs/>
                <w:color w:val="000000"/>
                <w:szCs w:val="21"/>
              </w:rPr>
              <w:t>声源</w:t>
            </w:r>
            <w:r>
              <w:rPr>
                <w:rFonts w:hint="eastAsia"/>
                <w:b/>
                <w:bCs/>
                <w:color w:val="000000"/>
                <w:szCs w:val="21"/>
                <w:lang w:eastAsia="zh-CN"/>
              </w:rPr>
              <w:t>名称</w:t>
            </w:r>
          </w:p>
        </w:tc>
        <w:tc>
          <w:tcPr>
            <w:tcW w:w="691" w:type="pct"/>
            <w:vMerge w:val="restart"/>
            <w:noWrap w:val="0"/>
            <w:vAlign w:val="center"/>
          </w:tcPr>
          <w:p>
            <w:pPr>
              <w:jc w:val="center"/>
              <w:rPr>
                <w:rFonts w:hint="eastAsia" w:eastAsia="宋体"/>
                <w:b/>
                <w:bCs/>
                <w:color w:val="000000"/>
                <w:szCs w:val="21"/>
                <w:lang w:eastAsia="zh-CN"/>
              </w:rPr>
            </w:pPr>
            <w:r>
              <w:rPr>
                <w:rFonts w:hint="eastAsia"/>
                <w:b/>
                <w:bCs/>
                <w:color w:val="000000"/>
                <w:szCs w:val="21"/>
                <w:lang w:eastAsia="zh-CN"/>
              </w:rPr>
              <w:t>型号</w:t>
            </w:r>
          </w:p>
        </w:tc>
        <w:tc>
          <w:tcPr>
            <w:tcW w:w="1193" w:type="pct"/>
            <w:gridSpan w:val="3"/>
            <w:noWrap w:val="0"/>
            <w:vAlign w:val="center"/>
          </w:tcPr>
          <w:p>
            <w:pPr>
              <w:jc w:val="center"/>
              <w:rPr>
                <w:b/>
                <w:bCs/>
                <w:color w:val="000000"/>
                <w:szCs w:val="21"/>
              </w:rPr>
            </w:pPr>
            <w:r>
              <w:rPr>
                <w:b/>
                <w:bCs/>
                <w:spacing w:val="-2"/>
                <w:sz w:val="18"/>
                <w:szCs w:val="18"/>
              </w:rPr>
              <w:t>空间相对位置</w:t>
            </w:r>
            <w:r>
              <w:rPr>
                <w:rFonts w:ascii="Times New Roman" w:hAnsi="Times New Roman" w:eastAsia="Times New Roman" w:cs="Times New Roman"/>
                <w:b/>
                <w:bCs/>
                <w:spacing w:val="-2"/>
                <w:sz w:val="18"/>
                <w:szCs w:val="18"/>
              </w:rPr>
              <w:t>/m</w:t>
            </w:r>
          </w:p>
        </w:tc>
        <w:tc>
          <w:tcPr>
            <w:tcW w:w="560" w:type="pct"/>
            <w:vMerge w:val="restart"/>
            <w:noWrap w:val="0"/>
            <w:vAlign w:val="center"/>
          </w:tcPr>
          <w:p>
            <w:pPr>
              <w:jc w:val="center"/>
              <w:rPr>
                <w:b/>
                <w:bCs/>
                <w:color w:val="000000"/>
                <w:szCs w:val="21"/>
              </w:rPr>
            </w:pPr>
            <w:r>
              <w:rPr>
                <w:b/>
                <w:bCs/>
                <w:spacing w:val="-1"/>
                <w:sz w:val="18"/>
                <w:szCs w:val="18"/>
              </w:rPr>
              <w:t>声功率级</w:t>
            </w:r>
            <w:r>
              <w:rPr>
                <w:rFonts w:ascii="Times New Roman" w:hAnsi="Times New Roman" w:eastAsia="Times New Roman" w:cs="Times New Roman"/>
                <w:b/>
                <w:bCs/>
                <w:spacing w:val="-1"/>
                <w:sz w:val="18"/>
                <w:szCs w:val="18"/>
              </w:rPr>
              <w:t>/(dB(A))</w:t>
            </w:r>
          </w:p>
        </w:tc>
        <w:tc>
          <w:tcPr>
            <w:tcW w:w="723" w:type="pct"/>
            <w:vMerge w:val="restart"/>
            <w:noWrap w:val="0"/>
            <w:vAlign w:val="center"/>
          </w:tcPr>
          <w:p>
            <w:pPr>
              <w:jc w:val="center"/>
              <w:rPr>
                <w:b/>
                <w:bCs/>
                <w:color w:val="000000"/>
                <w:szCs w:val="21"/>
              </w:rPr>
            </w:pPr>
            <w:r>
              <w:rPr>
                <w:b/>
                <w:bCs/>
                <w:spacing w:val="-2"/>
                <w:sz w:val="18"/>
                <w:szCs w:val="18"/>
              </w:rPr>
              <w:t>声源控制措施</w:t>
            </w:r>
          </w:p>
        </w:tc>
        <w:tc>
          <w:tcPr>
            <w:tcW w:w="723" w:type="pct"/>
            <w:vMerge w:val="restart"/>
            <w:noWrap w:val="0"/>
            <w:vAlign w:val="center"/>
          </w:tcPr>
          <w:p>
            <w:pPr>
              <w:jc w:val="center"/>
              <w:rPr>
                <w:b/>
                <w:bCs/>
                <w:color w:val="000000"/>
                <w:szCs w:val="21"/>
              </w:rPr>
            </w:pPr>
            <w:r>
              <w:rPr>
                <w:b/>
                <w:bCs/>
                <w:spacing w:val="-2"/>
                <w:sz w:val="18"/>
                <w:szCs w:val="18"/>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continue"/>
            <w:noWrap w:val="0"/>
            <w:vAlign w:val="center"/>
          </w:tcPr>
          <w:p>
            <w:pPr>
              <w:jc w:val="center"/>
              <w:rPr>
                <w:b/>
                <w:bCs/>
                <w:color w:val="000000"/>
                <w:szCs w:val="21"/>
              </w:rPr>
            </w:pPr>
          </w:p>
        </w:tc>
        <w:tc>
          <w:tcPr>
            <w:tcW w:w="806" w:type="pct"/>
            <w:vMerge w:val="continue"/>
            <w:noWrap w:val="0"/>
            <w:vAlign w:val="center"/>
          </w:tcPr>
          <w:p>
            <w:pPr>
              <w:jc w:val="center"/>
              <w:rPr>
                <w:b/>
                <w:bCs/>
                <w:color w:val="000000"/>
                <w:szCs w:val="21"/>
              </w:rPr>
            </w:pPr>
          </w:p>
        </w:tc>
        <w:tc>
          <w:tcPr>
            <w:tcW w:w="691" w:type="pct"/>
            <w:vMerge w:val="continue"/>
            <w:noWrap w:val="0"/>
            <w:vAlign w:val="center"/>
          </w:tcPr>
          <w:p>
            <w:pPr>
              <w:jc w:val="center"/>
              <w:rPr>
                <w:b/>
                <w:bCs/>
                <w:color w:val="000000"/>
                <w:szCs w:val="21"/>
              </w:rPr>
            </w:pPr>
          </w:p>
        </w:tc>
        <w:tc>
          <w:tcPr>
            <w:tcW w:w="397"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X</w:t>
            </w:r>
          </w:p>
        </w:tc>
        <w:tc>
          <w:tcPr>
            <w:tcW w:w="397"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Y</w:t>
            </w:r>
          </w:p>
        </w:tc>
        <w:tc>
          <w:tcPr>
            <w:tcW w:w="399"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Z</w:t>
            </w:r>
          </w:p>
        </w:tc>
        <w:tc>
          <w:tcPr>
            <w:tcW w:w="560" w:type="pct"/>
            <w:vMerge w:val="continue"/>
            <w:noWrap w:val="0"/>
            <w:vAlign w:val="center"/>
          </w:tcPr>
          <w:p>
            <w:pPr>
              <w:jc w:val="center"/>
              <w:rPr>
                <w:b/>
                <w:bCs/>
                <w:color w:val="000000"/>
                <w:szCs w:val="21"/>
              </w:rPr>
            </w:pPr>
          </w:p>
        </w:tc>
        <w:tc>
          <w:tcPr>
            <w:tcW w:w="723" w:type="pct"/>
            <w:vMerge w:val="continue"/>
            <w:noWrap w:val="0"/>
            <w:vAlign w:val="center"/>
          </w:tcPr>
          <w:p>
            <w:pPr>
              <w:jc w:val="center"/>
              <w:rPr>
                <w:b/>
                <w:bCs/>
                <w:color w:val="000000"/>
                <w:szCs w:val="21"/>
              </w:rPr>
            </w:pPr>
          </w:p>
        </w:tc>
        <w:tc>
          <w:tcPr>
            <w:tcW w:w="723" w:type="pct"/>
            <w:vMerge w:val="continue"/>
            <w:noWrap w:val="0"/>
            <w:vAlign w:val="center"/>
          </w:tcPr>
          <w:p>
            <w:pPr>
              <w:jc w:val="center"/>
              <w:rPr>
                <w:b/>
                <w:bCs/>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空调室外机组</w:t>
            </w:r>
          </w:p>
        </w:tc>
        <w:tc>
          <w:tcPr>
            <w:tcW w:w="691"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560"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75</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通风设备</w:t>
            </w:r>
          </w:p>
        </w:tc>
        <w:tc>
          <w:tcPr>
            <w:tcW w:w="691"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560"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85</w:t>
            </w:r>
          </w:p>
        </w:tc>
        <w:tc>
          <w:tcPr>
            <w:tcW w:w="723"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风机</w:t>
            </w:r>
          </w:p>
        </w:tc>
        <w:tc>
          <w:tcPr>
            <w:tcW w:w="691"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560" w:type="pct"/>
            <w:noWrap w:val="0"/>
            <w:vAlign w:val="center"/>
          </w:tcPr>
          <w:p>
            <w:pPr>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85</w:t>
            </w:r>
          </w:p>
        </w:tc>
        <w:tc>
          <w:tcPr>
            <w:tcW w:w="723"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bl>
    <w:p>
      <w:pPr>
        <w:spacing w:before="120" w:beforeLines="50" w:line="360" w:lineRule="auto"/>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备注：以厂区中心为坐标原点</w:t>
      </w:r>
      <w:r>
        <w:rPr>
          <w:rFonts w:hint="default" w:ascii="Times New Roman" w:hAnsi="Times New Roman" w:eastAsia="宋体" w:cs="Times New Roman"/>
          <w:color w:val="000000"/>
          <w:kern w:val="0"/>
          <w:sz w:val="18"/>
          <w:szCs w:val="18"/>
          <w:lang w:val="en-US" w:eastAsia="zh-CN" w:bidi="ar"/>
        </w:rPr>
        <w:t>(0,0,0)</w:t>
      </w:r>
      <w:r>
        <w:rPr>
          <w:rFonts w:hint="eastAsia" w:ascii="宋体" w:hAnsi="宋体" w:eastAsia="宋体" w:cs="宋体"/>
          <w:color w:val="000000"/>
          <w:kern w:val="0"/>
          <w:sz w:val="18"/>
          <w:szCs w:val="18"/>
          <w:lang w:val="en-US" w:eastAsia="zh-CN" w:bidi="ar"/>
        </w:rPr>
        <w:t xml:space="preserve">，以西向东为 </w:t>
      </w:r>
      <w:r>
        <w:rPr>
          <w:rFonts w:hint="default" w:ascii="Times New Roman" w:hAnsi="Times New Roman" w:eastAsia="宋体" w:cs="Times New Roman"/>
          <w:color w:val="000000"/>
          <w:kern w:val="0"/>
          <w:sz w:val="18"/>
          <w:szCs w:val="18"/>
          <w:lang w:val="en-US" w:eastAsia="zh-CN" w:bidi="ar"/>
        </w:rPr>
        <w:t xml:space="preserve">X </w:t>
      </w:r>
      <w:r>
        <w:rPr>
          <w:rFonts w:hint="eastAsia" w:ascii="宋体" w:hAnsi="宋体" w:eastAsia="宋体" w:cs="宋体"/>
          <w:color w:val="000000"/>
          <w:kern w:val="0"/>
          <w:sz w:val="18"/>
          <w:szCs w:val="18"/>
          <w:lang w:val="en-US" w:eastAsia="zh-CN" w:bidi="ar"/>
        </w:rPr>
        <w:t xml:space="preserve">轴，以南向北为 </w:t>
      </w:r>
      <w:r>
        <w:rPr>
          <w:rFonts w:hint="default" w:ascii="Times New Roman" w:hAnsi="Times New Roman" w:eastAsia="宋体" w:cs="Times New Roman"/>
          <w:color w:val="000000"/>
          <w:kern w:val="0"/>
          <w:sz w:val="18"/>
          <w:szCs w:val="18"/>
          <w:lang w:val="en-US" w:eastAsia="zh-CN" w:bidi="ar"/>
        </w:rPr>
        <w:t xml:space="preserve">Y </w:t>
      </w:r>
      <w:r>
        <w:rPr>
          <w:rFonts w:hint="eastAsia" w:ascii="宋体" w:hAnsi="宋体" w:eastAsia="宋体" w:cs="宋体"/>
          <w:color w:val="000000"/>
          <w:kern w:val="0"/>
          <w:sz w:val="18"/>
          <w:szCs w:val="18"/>
          <w:lang w:val="en-US" w:eastAsia="zh-CN" w:bidi="ar"/>
        </w:rPr>
        <w:t xml:space="preserve">轴，地面垂直向上为 </w:t>
      </w:r>
      <w:r>
        <w:rPr>
          <w:rFonts w:hint="default" w:ascii="Times New Roman" w:hAnsi="Times New Roman" w:eastAsia="宋体" w:cs="Times New Roman"/>
          <w:color w:val="000000"/>
          <w:kern w:val="0"/>
          <w:sz w:val="18"/>
          <w:szCs w:val="18"/>
          <w:lang w:val="en-US" w:eastAsia="zh-CN" w:bidi="ar"/>
        </w:rPr>
        <w:t xml:space="preserve">Z </w:t>
      </w:r>
      <w:r>
        <w:rPr>
          <w:rFonts w:hint="eastAsia" w:ascii="宋体" w:hAnsi="宋体" w:eastAsia="宋体" w:cs="宋体"/>
          <w:color w:val="000000"/>
          <w:kern w:val="0"/>
          <w:sz w:val="18"/>
          <w:szCs w:val="18"/>
          <w:lang w:val="en-US" w:eastAsia="zh-CN" w:bidi="ar"/>
        </w:rPr>
        <w:t>轴。</w:t>
      </w:r>
    </w:p>
    <w:p>
      <w:pPr>
        <w:spacing w:line="480" w:lineRule="exact"/>
        <w:jc w:val="center"/>
        <w:rPr>
          <w:rFonts w:hint="eastAsia"/>
          <w:b/>
          <w:color w:val="000000"/>
          <w:szCs w:val="21"/>
        </w:rPr>
      </w:pPr>
      <w:r>
        <w:rPr>
          <w:rFonts w:hint="eastAsia"/>
          <w:b/>
          <w:color w:val="000000"/>
          <w:szCs w:val="21"/>
        </w:rPr>
        <w:t>表</w:t>
      </w:r>
      <w:r>
        <w:rPr>
          <w:rFonts w:hint="default" w:ascii="Times New Roman" w:hAnsi="Times New Roman" w:eastAsia="宋体" w:cs="Times New Roman"/>
          <w:b/>
          <w:color w:val="000000"/>
          <w:szCs w:val="21"/>
          <w:lang w:val="en-US" w:eastAsia="zh-CN"/>
        </w:rPr>
        <w:t>3.2-</w:t>
      </w:r>
      <w:r>
        <w:rPr>
          <w:rFonts w:hint="eastAsia" w:ascii="Times New Roman" w:hAnsi="Times New Roman" w:eastAsia="宋体" w:cs="Times New Roman"/>
          <w:b/>
          <w:color w:val="000000"/>
          <w:szCs w:val="21"/>
          <w:lang w:val="en-US" w:eastAsia="zh-CN"/>
        </w:rPr>
        <w:t>9</w:t>
      </w:r>
      <w:r>
        <w:rPr>
          <w:rFonts w:hint="eastAsia" w:eastAsia="宋体"/>
          <w:b/>
          <w:color w:val="000000"/>
          <w:szCs w:val="21"/>
          <w:lang w:val="en-US" w:eastAsia="zh-CN"/>
        </w:rPr>
        <w:t xml:space="preserve"> </w:t>
      </w:r>
      <w:r>
        <w:rPr>
          <w:rFonts w:hint="eastAsia"/>
          <w:b/>
          <w:color w:val="000000"/>
          <w:szCs w:val="21"/>
        </w:rPr>
        <w:t xml:space="preserve"> 工业企业噪声源强调查清单（室内声源）</w:t>
      </w:r>
    </w:p>
    <w:tbl>
      <w:tblPr>
        <w:tblStyle w:val="34"/>
        <w:tblW w:w="4946"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607"/>
        <w:gridCol w:w="639"/>
        <w:gridCol w:w="1224"/>
        <w:gridCol w:w="353"/>
        <w:gridCol w:w="459"/>
        <w:gridCol w:w="438"/>
        <w:gridCol w:w="391"/>
        <w:gridCol w:w="286"/>
        <w:gridCol w:w="672"/>
        <w:gridCol w:w="1039"/>
        <w:gridCol w:w="707"/>
        <w:gridCol w:w="1064"/>
        <w:gridCol w:w="830"/>
        <w:gridCol w:w="62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textDirection w:val="tbRlV"/>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314"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建筑物名 称</w:t>
            </w:r>
          </w:p>
        </w:tc>
        <w:tc>
          <w:tcPr>
            <w:tcW w:w="331"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声源名称</w:t>
            </w:r>
          </w:p>
        </w:tc>
        <w:tc>
          <w:tcPr>
            <w:tcW w:w="634"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声源源强</w:t>
            </w:r>
          </w:p>
        </w:tc>
        <w:tc>
          <w:tcPr>
            <w:tcW w:w="183" w:type="pct"/>
            <w:vMerge w:val="restart"/>
            <w:tcBorders>
              <w:tl2br w:val="nil"/>
              <w:tr2bl w:val="nil"/>
            </w:tcBorders>
            <w:noWrap w:val="0"/>
            <w:textDirection w:val="tbRlV"/>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声源控制措施</w:t>
            </w:r>
          </w:p>
        </w:tc>
        <w:tc>
          <w:tcPr>
            <w:tcW w:w="667" w:type="pct"/>
            <w:gridSpan w:val="3"/>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空间相对位置/m</w:t>
            </w:r>
          </w:p>
        </w:tc>
        <w:tc>
          <w:tcPr>
            <w:tcW w:w="496" w:type="pct"/>
            <w:gridSpan w:val="2"/>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距室内边界距离/m</w:t>
            </w:r>
          </w:p>
        </w:tc>
        <w:tc>
          <w:tcPr>
            <w:tcW w:w="538"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室内边界声级/（dB(A)）</w:t>
            </w:r>
          </w:p>
        </w:tc>
        <w:tc>
          <w:tcPr>
            <w:tcW w:w="366"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运行时段</w:t>
            </w:r>
          </w:p>
        </w:tc>
        <w:tc>
          <w:tcPr>
            <w:tcW w:w="551"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建筑物插入损失/（dB(A)）</w:t>
            </w:r>
          </w:p>
        </w:tc>
        <w:tc>
          <w:tcPr>
            <w:tcW w:w="755" w:type="pct"/>
            <w:gridSpan w:val="2"/>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建筑物外噪声</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textDirection w:val="tbRlV"/>
            <w:vAlign w:val="center"/>
          </w:tcPr>
          <w:p>
            <w:pPr>
              <w:jc w:val="center"/>
              <w:rPr>
                <w:rFonts w:ascii="Times New Roman" w:hAnsi="Times New Roman" w:eastAsia="宋体" w:cs="Times New Roman"/>
                <w:b/>
                <w:bCs/>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634"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声压级/距声源距离 /(dB(A))/m</w:t>
            </w: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b/>
                <w:bCs/>
                <w:sz w:val="21"/>
                <w:szCs w:val="21"/>
              </w:rPr>
            </w:pPr>
          </w:p>
        </w:tc>
        <w:tc>
          <w:tcPr>
            <w:tcW w:w="238"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X</w:t>
            </w:r>
          </w:p>
        </w:tc>
        <w:tc>
          <w:tcPr>
            <w:tcW w:w="227"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Y</w:t>
            </w:r>
          </w:p>
        </w:tc>
        <w:tc>
          <w:tcPr>
            <w:tcW w:w="202"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Z</w:t>
            </w:r>
          </w:p>
        </w:tc>
        <w:tc>
          <w:tcPr>
            <w:tcW w:w="496" w:type="pct"/>
            <w:gridSpan w:val="2"/>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538"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366"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551"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430"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声压级/   （dB(A)）</w:t>
            </w:r>
          </w:p>
        </w:tc>
        <w:tc>
          <w:tcPr>
            <w:tcW w:w="325"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建筑物外距离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14"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疾控中心</w:t>
            </w:r>
          </w:p>
        </w:tc>
        <w:tc>
          <w:tcPr>
            <w:tcW w:w="331"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b w:val="0"/>
                <w:color w:val="auto"/>
                <w:sz w:val="21"/>
                <w:szCs w:val="21"/>
                <w:highlight w:val="none"/>
                <w:u w:val="none"/>
                <w:lang w:val="en-US" w:eastAsia="zh-CN"/>
              </w:rPr>
              <w:t>配电设备</w:t>
            </w:r>
          </w:p>
        </w:tc>
        <w:tc>
          <w:tcPr>
            <w:tcW w:w="634"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90</w:t>
            </w:r>
            <w:r>
              <w:rPr>
                <w:rFonts w:ascii="Times New Roman" w:hAnsi="Times New Roman" w:eastAsia="宋体" w:cs="Times New Roman"/>
                <w:sz w:val="21"/>
                <w:szCs w:val="21"/>
              </w:rPr>
              <w:t>/1</w:t>
            </w:r>
          </w:p>
        </w:tc>
        <w:tc>
          <w:tcPr>
            <w:tcW w:w="183" w:type="pct"/>
            <w:vMerge w:val="restart"/>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墙体隔声</w:t>
            </w:r>
            <w:r>
              <w:rPr>
                <w:rFonts w:hint="eastAsia" w:ascii="Times New Roman" w:hAnsi="Times New Roman" w:eastAsia="宋体" w:cs="Times New Roman"/>
                <w:sz w:val="21"/>
                <w:szCs w:val="21"/>
                <w:lang w:eastAsia="zh-CN"/>
              </w:rPr>
              <w:t>，基础减震</w:t>
            </w:r>
          </w:p>
        </w:tc>
        <w:tc>
          <w:tcPr>
            <w:tcW w:w="238"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2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02"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东</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65.4 </w:t>
            </w:r>
          </w:p>
        </w:tc>
        <w:tc>
          <w:tcPr>
            <w:tcW w:w="366" w:type="pct"/>
            <w:vMerge w:val="restart"/>
            <w:tcBorders>
              <w:tl2br w:val="nil"/>
              <w:tr2bl w:val="nil"/>
            </w:tcBorders>
            <w:noWrap w:val="0"/>
            <w:vAlign w:val="center"/>
          </w:tcPr>
          <w:p>
            <w:pPr>
              <w:jc w:val="both"/>
              <w:rPr>
                <w:rFonts w:ascii="Times New Roman" w:hAnsi="Times New Roman" w:eastAsia="宋体" w:cs="Times New Roman"/>
                <w:sz w:val="21"/>
                <w:szCs w:val="21"/>
              </w:rPr>
            </w:pP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w:t>
            </w: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24</w:t>
            </w:r>
            <w:r>
              <w:rPr>
                <w:rFonts w:ascii="Times New Roman" w:hAnsi="Times New Roman" w:eastAsia="宋体" w:cs="Times New Roman"/>
                <w:sz w:val="21"/>
                <w:szCs w:val="21"/>
              </w:rPr>
              <w:t>:00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45.4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69.2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49.2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西</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62.8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42.8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60.8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40.8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14"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rPr>
            </w:pPr>
          </w:p>
        </w:tc>
        <w:tc>
          <w:tcPr>
            <w:tcW w:w="331" w:type="pct"/>
            <w:vMerge w:val="restart"/>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b w:val="0"/>
                <w:color w:val="auto"/>
                <w:sz w:val="21"/>
                <w:szCs w:val="21"/>
                <w:highlight w:val="none"/>
                <w:u w:val="none"/>
                <w:lang w:val="en-US" w:eastAsia="zh-CN"/>
              </w:rPr>
              <w:t>水泵</w:t>
            </w:r>
          </w:p>
        </w:tc>
        <w:tc>
          <w:tcPr>
            <w:tcW w:w="634"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85</w:t>
            </w:r>
            <w:r>
              <w:rPr>
                <w:rFonts w:ascii="Times New Roman" w:hAnsi="Times New Roman" w:eastAsia="宋体" w:cs="Times New Roman"/>
                <w:sz w:val="21"/>
                <w:szCs w:val="21"/>
              </w:rPr>
              <w:t>/1</w:t>
            </w: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2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02"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东</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60.9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40.9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63.4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43.4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西</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57.4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56.1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36.1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2）车辆交通噪声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项目建成后，汽车交通噪声主要来源于小型车辆进出疾控中心道路的行驶的交通噪声。项目院区内的车辆类型以小型轿车为主，正常工况下的噪声大约在50~65dB（A）之间，汽车鸣笛的噪声源强为 78~84dB（A）。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3）人员喧哗声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工作人员日常工作活动及人群进出产生的噪声属于社会生活噪声，其源强约为50～65dB（A），社会生活噪声是不稳定的、短暂的，主要是通过加强管理措施来控制。3</w:t>
      </w:r>
      <w:r>
        <w:rPr>
          <w:rFonts w:hint="default" w:eastAsia="宋体" w:cs="Times New Roman"/>
          <w:b w:val="0"/>
          <w:bCs w:val="0"/>
          <w:snapToGrid w:val="0"/>
          <w:color w:val="000000"/>
          <w:spacing w:val="11"/>
          <w:kern w:val="0"/>
          <w:sz w:val="24"/>
          <w:szCs w:val="24"/>
          <w:lang w:val="en-US" w:eastAsia="zh-CN"/>
        </w:rPr>
        <w:t>.2.2.</w:t>
      </w:r>
      <w:r>
        <w:rPr>
          <w:rFonts w:hint="eastAsia" w:eastAsia="宋体" w:cs="Times New Roman"/>
          <w:b w:val="0"/>
          <w:bCs w:val="0"/>
          <w:snapToGrid w:val="0"/>
          <w:color w:val="000000"/>
          <w:spacing w:val="11"/>
          <w:kern w:val="0"/>
          <w:sz w:val="24"/>
          <w:szCs w:val="24"/>
          <w:lang w:val="en-US" w:eastAsia="zh-CN"/>
        </w:rPr>
        <w:t>4</w:t>
      </w:r>
      <w:r>
        <w:rPr>
          <w:rFonts w:hint="default" w:eastAsia="宋体" w:cs="Times New Roman"/>
          <w:b w:val="0"/>
          <w:bCs w:val="0"/>
          <w:snapToGrid w:val="0"/>
          <w:color w:val="000000"/>
          <w:spacing w:val="11"/>
          <w:kern w:val="0"/>
          <w:sz w:val="24"/>
          <w:szCs w:val="24"/>
          <w:lang w:val="en-US" w:eastAsia="zh-CN"/>
        </w:rPr>
        <w:t xml:space="preserve"> 固体废物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本项目运营期产生的固体废物包括一般固废、危险废物(含医疗废物)等，其中一般固废包括生活垃圾、纯水制备定期更换的废过滤介质</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危险废物包括实验室产生的医疗废物、废水处理站污泥</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废气处理设施产生的废活性炭、废UV灯管等，固体废物主要产生情况如下。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 xml:space="preserve"> 纯水制备系统产生的废活性炭和废反渗透膜</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本项目纯水制备系统产生定期更换的废活性炭和废反渗透膜，产生量约0.01t/a，属于一般工业固废，由厂家定期进行回收</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生活垃圾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疾控中心员工</w:t>
      </w:r>
      <w:r>
        <w:rPr>
          <w:rFonts w:hint="eastAsia" w:eastAsia="宋体" w:cs="Times New Roman"/>
          <w:b w:val="0"/>
          <w:bCs w:val="0"/>
          <w:snapToGrid w:val="0"/>
          <w:color w:val="000000"/>
          <w:spacing w:val="11"/>
          <w:kern w:val="0"/>
          <w:sz w:val="24"/>
          <w:szCs w:val="24"/>
          <w:lang w:val="en-US" w:eastAsia="zh-CN"/>
        </w:rPr>
        <w:t>73</w:t>
      </w:r>
      <w:r>
        <w:rPr>
          <w:rFonts w:hint="default" w:eastAsia="宋体" w:cs="Times New Roman"/>
          <w:b w:val="0"/>
          <w:bCs w:val="0"/>
          <w:snapToGrid w:val="0"/>
          <w:color w:val="000000"/>
          <w:spacing w:val="11"/>
          <w:kern w:val="0"/>
          <w:sz w:val="24"/>
          <w:szCs w:val="24"/>
          <w:lang w:val="en-US" w:eastAsia="zh-CN"/>
        </w:rPr>
        <w:t>人，每人每日产生生活垃圾按 1.0kg计，则产生生活垃圾</w:t>
      </w:r>
      <w:r>
        <w:rPr>
          <w:rFonts w:hint="eastAsia" w:eastAsia="宋体" w:cs="Times New Roman"/>
          <w:b w:val="0"/>
          <w:bCs w:val="0"/>
          <w:snapToGrid w:val="0"/>
          <w:color w:val="000000"/>
          <w:spacing w:val="11"/>
          <w:kern w:val="0"/>
          <w:sz w:val="24"/>
          <w:szCs w:val="24"/>
          <w:lang w:val="en-US" w:eastAsia="zh-CN"/>
        </w:rPr>
        <w:t>73</w:t>
      </w:r>
      <w:r>
        <w:rPr>
          <w:rFonts w:hint="default" w:eastAsia="宋体" w:cs="Times New Roman"/>
          <w:b w:val="0"/>
          <w:bCs w:val="0"/>
          <w:snapToGrid w:val="0"/>
          <w:color w:val="000000"/>
          <w:spacing w:val="11"/>
          <w:kern w:val="0"/>
          <w:sz w:val="24"/>
          <w:szCs w:val="24"/>
          <w:lang w:val="en-US" w:eastAsia="zh-CN"/>
        </w:rPr>
        <w:t>kg/d，</w:t>
      </w:r>
      <w:r>
        <w:rPr>
          <w:rFonts w:hint="eastAsia" w:eastAsia="宋体" w:cs="Times New Roman"/>
          <w:b w:val="0"/>
          <w:bCs w:val="0"/>
          <w:snapToGrid w:val="0"/>
          <w:color w:val="000000"/>
          <w:spacing w:val="11"/>
          <w:kern w:val="0"/>
          <w:sz w:val="24"/>
          <w:szCs w:val="24"/>
          <w:lang w:val="en-US" w:eastAsia="zh-CN"/>
        </w:rPr>
        <w:t>18.25</w:t>
      </w:r>
      <w:r>
        <w:rPr>
          <w:rFonts w:hint="default" w:eastAsia="宋体" w:cs="Times New Roman"/>
          <w:b w:val="0"/>
          <w:bCs w:val="0"/>
          <w:snapToGrid w:val="0"/>
          <w:color w:val="000000"/>
          <w:spacing w:val="11"/>
          <w:kern w:val="0"/>
          <w:sz w:val="24"/>
          <w:szCs w:val="24"/>
          <w:lang w:val="en-US" w:eastAsia="zh-CN"/>
        </w:rPr>
        <w:t>t/a。建设单位将生活垃圾袋装后集中存在放在生活垃圾暂存间堆放，并每日由环卫部门清理运走，对垃圾堆放点进行定期的清洁消毒。</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（3）各种危化品包装物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各种危化品包装物产生量为 0.01t/a，根据《国家危险废物名录》（2021年）可知，各种危化品包装物属于危险废物，危废编号为HW49 其他废物（900-041-49），暂存于危险废物暂存间，委托有资质单位处置</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（4）</w:t>
      </w:r>
      <w:r>
        <w:rPr>
          <w:rFonts w:hint="default" w:eastAsia="宋体" w:cs="Times New Roman"/>
          <w:b w:val="0"/>
          <w:bCs w:val="0"/>
          <w:snapToGrid w:val="0"/>
          <w:color w:val="000000"/>
          <w:spacing w:val="11"/>
          <w:kern w:val="0"/>
          <w:sz w:val="24"/>
          <w:szCs w:val="24"/>
          <w:lang w:val="en-US" w:eastAsia="zh-CN"/>
        </w:rPr>
        <w:t xml:space="preserve"> 废过滤介质</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微生物实验室及生物安全柜废气处理采用高效空气过滤器，安装的空气过滤介质需要定期更换，产生的废过滤介质（含有或沾染毒性、感染性危险废物的废弃包装物、容器、过滤吸附介质 900-041-49）约为 0.01t/a，废过滤介质属于危险废物，暂存于危险废物暂存间，委托有资质的单位处置。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（5）废紫外线灯管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本项目病房、臭气等使用紫外线进行消毒，会产生废紫外线灯管，属于危险废物。预计产生量约为 0.1t/a，废物类别为HW49（其他废物），废物代码为HW049-900-041-49，危险废物暂存间单独收集后交有危险废物资质的单位处理。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（6）水处理栅渣及污泥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医疗机构水污染物排放标准》（GB18466-2005）中有关污泥控制与处置的规定：栅渣、化粪池和污水处理站污泥属危险废物（HW49），应按危险废物进行处理和处置，须委托有危废资质处置。污泥及栅渣清淘前加入漂白粉对污泥进行消毒处理，并进行监测，达到《医疗机构水污染物排放标准》（GB18466-2005）中表 4 医疗机构污泥控制标准后进行清淘。清淘出的污泥及栅渣经脱水后作为危险废物由有资质单位处理。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根据《集中式污染治理设施产排污系数手册》（2010 年修订），污水处理站污泥产生系数取5.38t/万t·污水处理量。项目污水处理量为686.375m</w:t>
      </w:r>
      <w:r>
        <w:rPr>
          <w:rFonts w:hint="eastAsia" w:eastAsia="宋体" w:cs="Times New Roman"/>
          <w:b w:val="0"/>
          <w:bCs w:val="0"/>
          <w:snapToGrid w:val="0"/>
          <w:color w:val="000000"/>
          <w:spacing w:val="11"/>
          <w:kern w:val="0"/>
          <w:sz w:val="24"/>
          <w:szCs w:val="24"/>
          <w:vertAlign w:val="superscript"/>
          <w:lang w:val="en-US" w:eastAsia="zh-CN"/>
        </w:rPr>
        <w:t>3</w:t>
      </w:r>
      <w:r>
        <w:rPr>
          <w:rFonts w:hint="eastAsia" w:eastAsia="宋体" w:cs="Times New Roman"/>
          <w:b w:val="0"/>
          <w:bCs w:val="0"/>
          <w:snapToGrid w:val="0"/>
          <w:color w:val="000000"/>
          <w:spacing w:val="11"/>
          <w:kern w:val="0"/>
          <w:sz w:val="24"/>
          <w:szCs w:val="24"/>
          <w:lang w:val="en-US" w:eastAsia="zh-CN"/>
        </w:rPr>
        <w:t>/a，则污泥产生量约为0.369t/a。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（7）医疗废物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医疗废物来源广泛、成分复杂，包括金属、玻璃、塑料、纸类和纱布等，往往还带有大量病毒、细菌，有较高的感染性。医疗废物(HW01)已列入《国家危险废物名录》(2021年版)，医疗废物包括感染性废物、损伤性废物、病理性废物、药物性废物和化学性废物五大类，见下表3.2-10。</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465" w:firstLineChars="200"/>
        <w:jc w:val="center"/>
        <w:textAlignment w:val="auto"/>
        <w:rPr>
          <w:rFonts w:hint="eastAsia" w:ascii="Times New Roman" w:hAnsi="Times New Roman" w:eastAsia="宋体" w:cs="Times New Roman"/>
          <w:b/>
          <w:bCs/>
          <w:snapToGrid w:val="0"/>
          <w:color w:val="000000"/>
          <w:spacing w:val="11"/>
          <w:kern w:val="0"/>
          <w:sz w:val="21"/>
          <w:szCs w:val="21"/>
          <w:lang w:val="en-US" w:eastAsia="zh-CN"/>
        </w:rPr>
      </w:pPr>
      <w:r>
        <w:rPr>
          <w:rFonts w:hint="eastAsia" w:ascii="Times New Roman" w:hAnsi="Times New Roman" w:eastAsia="宋体" w:cs="Times New Roman"/>
          <w:b/>
          <w:bCs/>
          <w:snapToGrid w:val="0"/>
          <w:color w:val="000000"/>
          <w:spacing w:val="11"/>
          <w:kern w:val="0"/>
          <w:sz w:val="21"/>
          <w:szCs w:val="21"/>
          <w:lang w:val="en-US" w:eastAsia="zh-CN"/>
        </w:rPr>
        <w:t>表3.2-</w:t>
      </w:r>
      <w:r>
        <w:rPr>
          <w:rFonts w:hint="eastAsia" w:eastAsia="宋体" w:cs="Times New Roman"/>
          <w:b/>
          <w:bCs/>
          <w:snapToGrid w:val="0"/>
          <w:color w:val="000000"/>
          <w:spacing w:val="11"/>
          <w:kern w:val="0"/>
          <w:sz w:val="21"/>
          <w:szCs w:val="21"/>
          <w:lang w:val="en-US" w:eastAsia="zh-CN"/>
        </w:rPr>
        <w:t>10</w:t>
      </w:r>
      <w:r>
        <w:rPr>
          <w:rFonts w:hint="eastAsia" w:ascii="Times New Roman" w:hAnsi="Times New Roman" w:eastAsia="宋体" w:cs="Times New Roman"/>
          <w:b/>
          <w:bCs/>
          <w:snapToGrid w:val="0"/>
          <w:color w:val="000000"/>
          <w:spacing w:val="11"/>
          <w:kern w:val="0"/>
          <w:sz w:val="21"/>
          <w:szCs w:val="21"/>
          <w:lang w:val="en-US" w:eastAsia="zh-CN"/>
        </w:rPr>
        <w:t xml:space="preserve"> 医疗废物分类目录</w:t>
      </w:r>
    </w:p>
    <w:tbl>
      <w:tblPr>
        <w:tblStyle w:val="25"/>
        <w:tblW w:w="498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75"/>
        <w:gridCol w:w="1423"/>
        <w:gridCol w:w="1149"/>
        <w:gridCol w:w="3546"/>
        <w:gridCol w:w="33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tcBorders>
              <w:tl2br w:val="nil"/>
              <w:tr2bl w:val="nil"/>
            </w:tcBorders>
            <w:shd w:val="clear" w:color="auto" w:fill="auto"/>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类 型</w:t>
            </w:r>
          </w:p>
        </w:tc>
        <w:tc>
          <w:tcPr>
            <w:tcW w:w="716" w:type="pct"/>
            <w:tcBorders>
              <w:tl2br w:val="nil"/>
              <w:tr2bl w:val="nil"/>
            </w:tcBorders>
            <w:shd w:val="clear" w:color="auto" w:fill="auto"/>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废物类别及代码</w:t>
            </w:r>
          </w:p>
        </w:tc>
        <w:tc>
          <w:tcPr>
            <w:tcW w:w="578" w:type="pct"/>
            <w:tcBorders>
              <w:tl2br w:val="nil"/>
              <w:tr2bl w:val="nil"/>
            </w:tcBorders>
            <w:shd w:val="clear" w:color="auto" w:fill="auto"/>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特征</w:t>
            </w: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常见组分或者废物名称</w:t>
            </w:r>
          </w:p>
        </w:tc>
        <w:tc>
          <w:tcPr>
            <w:tcW w:w="1681" w:type="pct"/>
            <w:tcBorders>
              <w:tl2br w:val="nil"/>
              <w:tr2bl w:val="nil"/>
            </w:tcBorders>
            <w:shd w:val="clear" w:color="auto" w:fill="auto"/>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收集方式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感染性废物</w:t>
            </w:r>
          </w:p>
        </w:tc>
        <w:tc>
          <w:tcPr>
            <w:tcW w:w="716"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HW01</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841-001-01</w:t>
            </w:r>
          </w:p>
        </w:tc>
        <w:tc>
          <w:tcPr>
            <w:tcW w:w="578"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携带病原微生物具有引发感染性疾病传播危险</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的医疗废物</w:t>
            </w: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1.被患者血液、体液、排泄物等</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污染的除锐器以外的废物；</w:t>
            </w:r>
          </w:p>
        </w:tc>
        <w:tc>
          <w:tcPr>
            <w:tcW w:w="1681"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1.收集于符合《医疗废物专用包装袋、容器和警示标志标准》(HJ421)的医疗废物包装袋中；</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2.病原微生物实验室废弃的病原体培养基、标本，菌种和毒种保存液及其容器，应在产生地点进行压力蒸汽灭菌或者使用其他方式消毒然后按感染性废物收集处理；</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3.隔离传染病患者或者疑似传染病患者产生的医疗废物应当使用双层医疗废物包装袋盛装。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2.使用后废弃的一次性使用医疗器械，如注射器、输液器、透析器等</w:t>
            </w:r>
          </w:p>
        </w:tc>
        <w:tc>
          <w:tcPr>
            <w:tcW w:w="1681"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3.病原微生物实验室废弃的病原体培养基、标本，菌种和毒种保存液及其容器；其他实验室及科室废弃的血液、血清、分泌物等标本和容器</w:t>
            </w:r>
          </w:p>
        </w:tc>
        <w:tc>
          <w:tcPr>
            <w:tcW w:w="1681"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4.隔离传染病患者或者疑似传染病患者产生的废弃物</w:t>
            </w:r>
          </w:p>
        </w:tc>
        <w:tc>
          <w:tcPr>
            <w:tcW w:w="1681"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损伤性废物</w:t>
            </w:r>
          </w:p>
        </w:tc>
        <w:tc>
          <w:tcPr>
            <w:tcW w:w="716"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HW01</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841-002-01</w:t>
            </w:r>
          </w:p>
        </w:tc>
        <w:tc>
          <w:tcPr>
            <w:tcW w:w="578"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能够刺伤或者割伤人体的废弃的医用锐器</w:t>
            </w: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1.废弃的金属类锐器，如针头、缝合针、针灸针、探针、穿刺针、解剖刀、手术刀、手术锯、备皮刀、钢钉和导丝等</w:t>
            </w:r>
          </w:p>
        </w:tc>
        <w:tc>
          <w:tcPr>
            <w:tcW w:w="1681"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1.收集于符合《医疗废物专用包装袋、容器和警示标志标准》(HJ421)的利器盒中；</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2.利器盒达到3/4满时，应当封闭严密，按流程运送、贮存。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2.废弃的玻璃类锐器，如盖玻</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片、载玻片、玻璃安瓿等；</w:t>
            </w:r>
          </w:p>
        </w:tc>
        <w:tc>
          <w:tcPr>
            <w:tcW w:w="1681"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3.废弃的其他材质类锐器。</w:t>
            </w:r>
          </w:p>
        </w:tc>
        <w:tc>
          <w:tcPr>
            <w:tcW w:w="1681" w:type="pct"/>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病理性废物</w:t>
            </w:r>
          </w:p>
        </w:tc>
        <w:tc>
          <w:tcPr>
            <w:tcW w:w="716"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HW01</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841-003-01</w:t>
            </w:r>
          </w:p>
        </w:tc>
        <w:tc>
          <w:tcPr>
            <w:tcW w:w="578"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诊疗过程中产生的人体</w:t>
            </w: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1.手术及其他医学服务过程中</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产生的废弃的人体组织、器官；</w:t>
            </w:r>
          </w:p>
        </w:tc>
        <w:tc>
          <w:tcPr>
            <w:tcW w:w="1681" w:type="pct"/>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1.收集于符合《医疗废物专用包装袋、容器和警示标志标准》(HJ421)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2.病理切片后废弃的人体组织、病理蜡块</w:t>
            </w:r>
          </w:p>
        </w:tc>
        <w:tc>
          <w:tcPr>
            <w:tcW w:w="1681"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3.废弃的医学实验动物的组织和尸体 ；</w:t>
            </w:r>
          </w:p>
        </w:tc>
        <w:tc>
          <w:tcPr>
            <w:tcW w:w="1681"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4.16周胎龄以下或重量不足500克的胚胎组织等；</w:t>
            </w:r>
          </w:p>
        </w:tc>
        <w:tc>
          <w:tcPr>
            <w:tcW w:w="1681"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5.确诊、疑似传染病或携带传染病病原体的产妇的胎盘。</w:t>
            </w:r>
          </w:p>
        </w:tc>
        <w:tc>
          <w:tcPr>
            <w:tcW w:w="1681"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化学性废物</w:t>
            </w:r>
          </w:p>
        </w:tc>
        <w:tc>
          <w:tcPr>
            <w:tcW w:w="716"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HW01</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841-004-01</w:t>
            </w:r>
          </w:p>
        </w:tc>
        <w:tc>
          <w:tcPr>
            <w:tcW w:w="578"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具有毒性、腐蚀性、易燃性、反应性的废弃的化学物品</w:t>
            </w: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列入《国家危险废物名录》中的废弃危险化学品，如甲醛、二甲苯等；非特定行业来源的危险废物，如含汞血压计、含汞体温计，废弃的牙科汞合金材料及其残余物等。</w:t>
            </w:r>
          </w:p>
        </w:tc>
        <w:tc>
          <w:tcPr>
            <w:tcW w:w="1681"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1.少量的药物性废物可以并入感染性废物中，但应在标签中注明；</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2.批量废弃的药物性废物，收集后应交由具备相应资质的医疗废物处置单位或者危险废物处置单位等进行处置。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药物性废物</w:t>
            </w:r>
          </w:p>
        </w:tc>
        <w:tc>
          <w:tcPr>
            <w:tcW w:w="716"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HW01</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841-005-01</w:t>
            </w:r>
          </w:p>
        </w:tc>
        <w:tc>
          <w:tcPr>
            <w:tcW w:w="578"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过期、淘汰、变质或者被污染的废弃的药物</w:t>
            </w: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1.废弃的一般性药物；</w:t>
            </w:r>
          </w:p>
        </w:tc>
        <w:tc>
          <w:tcPr>
            <w:tcW w:w="1681" w:type="pct"/>
            <w:vMerge w:val="restar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1.收集于容器中，粘贴标签并注明主要成分；</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2.收集后应交由具备相应资质的医疗废物处置单位或者危险废物处置单位等进行处置。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2.废弃的细胞毒性药物和遗传毒性药物；</w:t>
            </w:r>
          </w:p>
        </w:tc>
        <w:tc>
          <w:tcPr>
            <w:tcW w:w="1681"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9"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716"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578" w:type="pct"/>
            <w:vMerge w:val="continue"/>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p>
        </w:tc>
        <w:tc>
          <w:tcPr>
            <w:tcW w:w="1784" w:type="pct"/>
            <w:tcBorders>
              <w:tl2br w:val="nil"/>
              <w:tr2bl w:val="nil"/>
            </w:tcBorders>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3.废弃的疫苗及血液制品</w:t>
            </w:r>
          </w:p>
        </w:tc>
        <w:tc>
          <w:tcPr>
            <w:tcW w:w="1681" w:type="pct"/>
            <w:vMerge w:val="continue"/>
            <w:tcBorders>
              <w:tl2br w:val="nil"/>
              <w:tr2bl w:val="nil"/>
            </w:tcBorders>
            <w:shd w:val="clear" w:color="auto" w:fill="auto"/>
            <w:vAlign w:val="center"/>
          </w:tcPr>
          <w:p>
            <w:pPr>
              <w:jc w:val="center"/>
              <w:rPr>
                <w:rFonts w:ascii="Times New Roman" w:hAnsi="Times New Roman" w:eastAsia="宋体" w:cs="Times New Roman"/>
                <w:i w:val="0"/>
                <w:iCs w:val="0"/>
                <w:snapToGrid w:val="0"/>
                <w:color w:val="000000"/>
                <w:kern w:val="0"/>
                <w:sz w:val="21"/>
                <w:szCs w:val="21"/>
                <w:u w:val="none"/>
                <w:lang w:val="en-US" w:eastAsia="zh-CN" w:bidi="ar"/>
              </w:rPr>
            </w:pP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医疗机构水污染物排放标准》（GB18466-2005）及《国家危险废物名录》（2021年），本项目实验室及门诊接种产生的感染性废物、病理性废物、损伤性废物、药物性废物和化学性废物属于医疗废物，废物类别为HW01，废物代码分别为感染性废物（841-001-01）、病理性废物（841-003-01）、损伤性废物（841-002-01）、药物性废物（841-005-01）和化学性废物（841-004-01）。实验室医疗废物主要是来自实验过程中产生的生物培养残余物、化验检查残余物、废一次性医疗用品、实验室人员更换的防护服、眼镜、手套等共计 1t/a。理化实验室中会产生少量的化学废液，主要含有重金属、废酸碱、有机废液等多种化学品污染物等，属于《医疗废物分类管理名录》中的“化学性废物（废物代码：841-004-01）”。疾控中心实验室废液产生量约为 0.2t/a，由于排放周期不定，实验室废液经分类收集后用密封容器储存，暂存于医疗废物暂存间，委托资质单位处置。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综上可知，本项目产生的医疗废物约 1.2t/a，各项医疗废物分类使用不同容器收集，并贴上相应标签，暂存于医疗废物暂存间内，委托有资质单位处理。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ascii="Times New Roman" w:hAnsi="Times New Roman" w:eastAsia="宋体" w:cs="Times New Roman"/>
          <w:b/>
          <w:bCs/>
          <w:snapToGrid w:val="0"/>
          <w:color w:val="000000"/>
          <w:spacing w:val="11"/>
          <w:kern w:val="0"/>
          <w:sz w:val="21"/>
          <w:szCs w:val="21"/>
          <w:lang w:val="en-US" w:eastAsia="zh-CN"/>
        </w:rPr>
      </w:pPr>
      <w:r>
        <w:rPr>
          <w:rFonts w:hint="eastAsia" w:ascii="Times New Roman" w:hAnsi="Times New Roman" w:eastAsia="宋体" w:cs="Times New Roman"/>
          <w:b/>
          <w:bCs/>
          <w:snapToGrid w:val="0"/>
          <w:color w:val="000000"/>
          <w:spacing w:val="11"/>
          <w:kern w:val="0"/>
          <w:sz w:val="21"/>
          <w:szCs w:val="21"/>
          <w:lang w:val="en-US" w:eastAsia="zh-CN"/>
        </w:rPr>
        <w:t>表3.2-</w:t>
      </w:r>
      <w:r>
        <w:rPr>
          <w:rFonts w:hint="eastAsia" w:eastAsia="宋体" w:cs="Times New Roman"/>
          <w:b/>
          <w:bCs/>
          <w:snapToGrid w:val="0"/>
          <w:color w:val="000000"/>
          <w:spacing w:val="11"/>
          <w:kern w:val="0"/>
          <w:sz w:val="21"/>
          <w:szCs w:val="21"/>
          <w:lang w:val="en-US" w:eastAsia="zh-CN"/>
        </w:rPr>
        <w:t>11</w:t>
      </w:r>
      <w:r>
        <w:rPr>
          <w:rFonts w:hint="eastAsia" w:ascii="Times New Roman" w:hAnsi="Times New Roman" w:eastAsia="宋体" w:cs="Times New Roman"/>
          <w:b/>
          <w:bCs/>
          <w:snapToGrid w:val="0"/>
          <w:color w:val="000000"/>
          <w:spacing w:val="11"/>
          <w:kern w:val="0"/>
          <w:sz w:val="21"/>
          <w:szCs w:val="21"/>
          <w:lang w:val="en-US" w:eastAsia="zh-CN"/>
        </w:rPr>
        <w:t xml:space="preserve"> 本项目固体废物一览表</w:t>
      </w:r>
    </w:p>
    <w:tbl>
      <w:tblPr>
        <w:tblStyle w:val="25"/>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69"/>
        <w:gridCol w:w="1659"/>
        <w:gridCol w:w="2834"/>
        <w:gridCol w:w="1583"/>
        <w:gridCol w:w="27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污染物</w:t>
            </w:r>
          </w:p>
        </w:tc>
        <w:tc>
          <w:tcPr>
            <w:tcW w:w="8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产生环节</w:t>
            </w:r>
          </w:p>
        </w:tc>
        <w:tc>
          <w:tcPr>
            <w:tcW w:w="14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性质及危废代码</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产生量</w:t>
            </w:r>
          </w:p>
        </w:tc>
        <w:tc>
          <w:tcPr>
            <w:tcW w:w="136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处置措施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生活垃圾</w:t>
            </w:r>
          </w:p>
        </w:tc>
        <w:tc>
          <w:tcPr>
            <w:tcW w:w="8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员工办公生活</w:t>
            </w:r>
          </w:p>
        </w:tc>
        <w:tc>
          <w:tcPr>
            <w:tcW w:w="14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生活垃圾</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26.645</w:t>
            </w:r>
            <w:r>
              <w:rPr>
                <w:rFonts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1361"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委托环卫部门统一处理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医疗废物</w:t>
            </w:r>
          </w:p>
        </w:tc>
        <w:tc>
          <w:tcPr>
            <w:tcW w:w="8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实验室</w:t>
            </w:r>
          </w:p>
        </w:tc>
        <w:tc>
          <w:tcPr>
            <w:tcW w:w="1422"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HW01-841-001-01</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HW01-841-002-01</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HW01-841-003-01</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HW01-841-004-01</w:t>
            </w:r>
          </w:p>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HW01-841-005-01</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1.2t/a</w:t>
            </w:r>
          </w:p>
        </w:tc>
        <w:tc>
          <w:tcPr>
            <w:tcW w:w="136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各项医疗废物分类使用不同容器收集，高压灭菌及喷雾消毒处理，并贴上相应标签，暂存于医疗废物暂存间内，委托有资质单位处理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废水处理</w:t>
            </w:r>
            <w:r>
              <w:rPr>
                <w:rFonts w:ascii="Times New Roman" w:hAnsi="Times New Roman" w:eastAsia="宋体" w:cs="Times New Roman"/>
                <w:b w:val="0"/>
                <w:bCs w:val="0"/>
                <w:i w:val="0"/>
                <w:iCs w:val="0"/>
                <w:snapToGrid w:val="0"/>
                <w:color w:val="000000"/>
                <w:kern w:val="0"/>
                <w:sz w:val="21"/>
                <w:szCs w:val="21"/>
                <w:u w:val="none"/>
                <w:lang w:val="en-US" w:eastAsia="zh-CN" w:bidi="ar"/>
              </w:rPr>
              <w:t>污泥</w:t>
            </w:r>
          </w:p>
        </w:tc>
        <w:tc>
          <w:tcPr>
            <w:tcW w:w="8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污水处理站</w:t>
            </w:r>
          </w:p>
        </w:tc>
        <w:tc>
          <w:tcPr>
            <w:tcW w:w="1422"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HW49-772-006-49</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0.369</w:t>
            </w:r>
            <w:r>
              <w:rPr>
                <w:rFonts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136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暂存于危险废物暂存间，定期交由有资质单位处理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废紫外灯</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管</w:t>
            </w:r>
          </w:p>
        </w:tc>
        <w:tc>
          <w:tcPr>
            <w:tcW w:w="832"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实验室消毒</w:t>
            </w:r>
          </w:p>
        </w:tc>
        <w:tc>
          <w:tcPr>
            <w:tcW w:w="1422"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HW49-900-041-49</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0.1t/a</w:t>
            </w:r>
          </w:p>
        </w:tc>
        <w:tc>
          <w:tcPr>
            <w:tcW w:w="1361"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废过滤介质</w:t>
            </w:r>
          </w:p>
        </w:tc>
        <w:tc>
          <w:tcPr>
            <w:tcW w:w="832"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微生物实验室</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及生物安全柜</w:t>
            </w:r>
          </w:p>
        </w:tc>
        <w:tc>
          <w:tcPr>
            <w:tcW w:w="1422"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HW49-900-041-49</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0.01t/a</w:t>
            </w:r>
          </w:p>
        </w:tc>
        <w:tc>
          <w:tcPr>
            <w:tcW w:w="1361"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危化品包装物</w:t>
            </w:r>
          </w:p>
        </w:tc>
        <w:tc>
          <w:tcPr>
            <w:tcW w:w="8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实验室</w:t>
            </w:r>
          </w:p>
        </w:tc>
        <w:tc>
          <w:tcPr>
            <w:tcW w:w="1422"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HW49-900-041-49</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0.01t/a</w:t>
            </w:r>
          </w:p>
        </w:tc>
        <w:tc>
          <w:tcPr>
            <w:tcW w:w="1361"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20" w:type="pct"/>
            <w:gridSpan w:val="2"/>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纯水制备系统产生的废活性炭和废反渗透膜</w:t>
            </w:r>
          </w:p>
        </w:tc>
        <w:tc>
          <w:tcPr>
            <w:tcW w:w="14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一般固废</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0.01t/a</w:t>
            </w:r>
          </w:p>
        </w:tc>
        <w:tc>
          <w:tcPr>
            <w:tcW w:w="136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厂家定期进行回收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43"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总计</w:t>
            </w:r>
          </w:p>
        </w:tc>
        <w:tc>
          <w:tcPr>
            <w:tcW w:w="7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11.538t/a</w:t>
            </w:r>
          </w:p>
        </w:tc>
        <w:tc>
          <w:tcPr>
            <w:tcW w:w="136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3.2.2.7 运营期污染物产生及排放情况统计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项目运营期污染物排放汇总见表 3.2-1</w:t>
      </w:r>
      <w:r>
        <w:rPr>
          <w:rFonts w:hint="eastAsia"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bCs/>
          <w:snapToGrid w:val="0"/>
          <w:color w:val="000000"/>
          <w:spacing w:val="11"/>
          <w:kern w:val="0"/>
          <w:sz w:val="21"/>
          <w:szCs w:val="21"/>
          <w:lang w:val="en-US" w:eastAsia="zh-CN"/>
        </w:rPr>
        <w:t xml:space="preserve">表 </w:t>
      </w:r>
      <w:r>
        <w:rPr>
          <w:rFonts w:hint="eastAsia" w:eastAsia="宋体" w:cs="Times New Roman"/>
          <w:b/>
          <w:bCs/>
          <w:snapToGrid w:val="0"/>
          <w:color w:val="000000"/>
          <w:spacing w:val="11"/>
          <w:kern w:val="0"/>
          <w:sz w:val="21"/>
          <w:szCs w:val="21"/>
          <w:lang w:val="en-US" w:eastAsia="zh-CN"/>
        </w:rPr>
        <w:t>3.2</w:t>
      </w:r>
      <w:r>
        <w:rPr>
          <w:rFonts w:hint="eastAsia" w:ascii="Times New Roman" w:hAnsi="Times New Roman" w:eastAsia="宋体" w:cs="Times New Roman"/>
          <w:b/>
          <w:bCs/>
          <w:snapToGrid w:val="0"/>
          <w:color w:val="000000"/>
          <w:spacing w:val="11"/>
          <w:kern w:val="0"/>
          <w:sz w:val="21"/>
          <w:szCs w:val="21"/>
          <w:lang w:val="en-US" w:eastAsia="zh-CN"/>
        </w:rPr>
        <w:t>-1</w:t>
      </w:r>
      <w:r>
        <w:rPr>
          <w:rFonts w:hint="eastAsia" w:eastAsia="宋体" w:cs="Times New Roman"/>
          <w:b/>
          <w:bCs/>
          <w:snapToGrid w:val="0"/>
          <w:color w:val="000000"/>
          <w:spacing w:val="11"/>
          <w:kern w:val="0"/>
          <w:sz w:val="21"/>
          <w:szCs w:val="21"/>
          <w:lang w:val="en-US" w:eastAsia="zh-CN"/>
        </w:rPr>
        <w:t>2</w:t>
      </w:r>
      <w:r>
        <w:rPr>
          <w:rFonts w:hint="eastAsia" w:ascii="Times New Roman" w:hAnsi="Times New Roman" w:eastAsia="宋体" w:cs="Times New Roman"/>
          <w:b/>
          <w:bCs/>
          <w:snapToGrid w:val="0"/>
          <w:color w:val="000000"/>
          <w:spacing w:val="11"/>
          <w:kern w:val="0"/>
          <w:sz w:val="21"/>
          <w:szCs w:val="21"/>
          <w:lang w:val="en-US" w:eastAsia="zh-CN"/>
        </w:rPr>
        <w:t xml:space="preserve"> 项目主要污染物产生及排放情况一览表</w:t>
      </w:r>
    </w:p>
    <w:tbl>
      <w:tblPr>
        <w:tblStyle w:val="25"/>
        <w:tblW w:w="497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61"/>
        <w:gridCol w:w="974"/>
        <w:gridCol w:w="1238"/>
        <w:gridCol w:w="1383"/>
        <w:gridCol w:w="1250"/>
        <w:gridCol w:w="1387"/>
        <w:gridCol w:w="31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98" w:type="pct"/>
            <w:gridSpan w:val="3"/>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污染物名称</w:t>
            </w:r>
          </w:p>
        </w:tc>
        <w:tc>
          <w:tcPr>
            <w:tcW w:w="69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产生量</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630"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削减量</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699"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排放量</w:t>
            </w:r>
          </w:p>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(t/a)</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排放去向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生活污水</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污水排放量</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730</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730</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生活污水</w:t>
            </w:r>
            <w:r>
              <w:rPr>
                <w:rFonts w:ascii="Times New Roman" w:hAnsi="Times New Roman" w:eastAsia="宋体" w:cs="Times New Roman"/>
                <w:b w:val="0"/>
                <w:bCs w:val="0"/>
                <w:i w:val="0"/>
                <w:iCs w:val="0"/>
                <w:snapToGrid w:val="0"/>
                <w:color w:val="auto"/>
                <w:kern w:val="0"/>
                <w:sz w:val="21"/>
                <w:szCs w:val="21"/>
                <w:u w:val="none"/>
                <w:lang w:val="en-US" w:eastAsia="zh-CN" w:bidi="ar"/>
              </w:rPr>
              <w:t>经化粪池预处理后排入市政污水管网。实验废水排入区内污水处理站采用“</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深度处理+</w:t>
            </w:r>
            <w:r>
              <w:rPr>
                <w:rFonts w:ascii="Times New Roman" w:hAnsi="Times New Roman" w:eastAsia="宋体" w:cs="Times New Roman"/>
                <w:b w:val="0"/>
                <w:bCs w:val="0"/>
                <w:i w:val="0"/>
                <w:iCs w:val="0"/>
                <w:snapToGrid w:val="0"/>
                <w:color w:val="auto"/>
                <w:kern w:val="0"/>
                <w:sz w:val="21"/>
                <w:szCs w:val="21"/>
                <w:u w:val="none"/>
                <w:lang w:val="en-US" w:eastAsia="zh-CN" w:bidi="ar"/>
              </w:rPr>
              <w:t>消毒”处理达到《医疗机构水污染物排放标准》   (GB18466-2005)表2预处理</w:t>
            </w:r>
            <w:r>
              <w:rPr>
                <w:rFonts w:ascii="Times New Roman" w:hAnsi="Times New Roman" w:eastAsia="宋体" w:cs="Times New Roman"/>
                <w:b w:val="0"/>
                <w:bCs w:val="0"/>
                <w:i w:val="0"/>
                <w:iCs w:val="0"/>
                <w:snapToGrid w:val="0"/>
                <w:color w:val="000000"/>
                <w:kern w:val="0"/>
                <w:sz w:val="21"/>
                <w:szCs w:val="21"/>
                <w:u w:val="none"/>
                <w:lang w:val="en-US" w:eastAsia="zh-CN" w:bidi="ar"/>
              </w:rPr>
              <w:t>标准及</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宁远县第二</w:t>
            </w:r>
            <w:r>
              <w:rPr>
                <w:rFonts w:ascii="Times New Roman" w:hAnsi="Times New Roman" w:eastAsia="宋体" w:cs="Times New Roman"/>
                <w:b w:val="0"/>
                <w:bCs w:val="0"/>
                <w:i w:val="0"/>
                <w:iCs w:val="0"/>
                <w:snapToGrid w:val="0"/>
                <w:color w:val="000000"/>
                <w:kern w:val="0"/>
                <w:sz w:val="21"/>
                <w:szCs w:val="21"/>
                <w:u w:val="none"/>
                <w:lang w:val="en-US" w:eastAsia="zh-CN" w:bidi="ar"/>
              </w:rPr>
              <w:t>污水处理厂入网标准</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后</w:t>
            </w:r>
            <w:r>
              <w:rPr>
                <w:rFonts w:ascii="Times New Roman" w:hAnsi="Times New Roman" w:eastAsia="宋体" w:cs="Times New Roman"/>
                <w:b w:val="0"/>
                <w:bCs w:val="0"/>
                <w:i w:val="0"/>
                <w:iCs w:val="0"/>
                <w:snapToGrid w:val="0"/>
                <w:color w:val="000000"/>
                <w:kern w:val="0"/>
                <w:sz w:val="21"/>
                <w:szCs w:val="21"/>
                <w:u w:val="none"/>
                <w:lang w:val="en-US" w:eastAsia="zh-CN" w:bidi="ar"/>
              </w:rPr>
              <w:t>，排入市政管网进入</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宁远县第二</w:t>
            </w:r>
            <w:r>
              <w:rPr>
                <w:rFonts w:ascii="Times New Roman" w:hAnsi="Times New Roman" w:eastAsia="宋体" w:cs="Times New Roman"/>
                <w:b w:val="0"/>
                <w:bCs w:val="0"/>
                <w:i w:val="0"/>
                <w:iCs w:val="0"/>
                <w:snapToGrid w:val="0"/>
                <w:color w:val="000000"/>
                <w:kern w:val="0"/>
                <w:sz w:val="21"/>
                <w:szCs w:val="21"/>
                <w:u w:val="none"/>
                <w:lang w:val="en-US" w:eastAsia="zh-CN" w:bidi="ar"/>
              </w:rPr>
              <w:t>污水处理厂进行深度处理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CODer</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0.256</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0.037</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0.219</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BODs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default" w:ascii="Times New Roman" w:hAnsi="Times New Roman" w:eastAsia="宋体" w:cs="Times New Roman"/>
                <w:i w:val="0"/>
                <w:iCs w:val="0"/>
                <w:snapToGrid w:val="0"/>
                <w:color w:val="000000"/>
                <w:kern w:val="0"/>
                <w:sz w:val="21"/>
                <w:szCs w:val="21"/>
                <w:u w:val="none"/>
                <w:lang w:val="en-US" w:eastAsia="zh-CN" w:bidi="ar"/>
              </w:rPr>
              <w:t>0.11</w:t>
            </w:r>
            <w:r>
              <w:rPr>
                <w:rFonts w:hint="eastAsia" w:ascii="Times New Roman" w:hAnsi="Times New Roman" w:eastAsia="宋体" w:cs="Times New Roman"/>
                <w:i w:val="0"/>
                <w:iCs w:val="0"/>
                <w:snapToGrid w:val="0"/>
                <w:color w:val="000000"/>
                <w:kern w:val="0"/>
                <w:sz w:val="21"/>
                <w:szCs w:val="21"/>
                <w:u w:val="none"/>
                <w:lang w:val="en-US" w:eastAsia="zh-CN" w:bidi="ar"/>
              </w:rPr>
              <w:t>0</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0.000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default" w:ascii="Times New Roman" w:hAnsi="Times New Roman" w:eastAsia="宋体" w:cs="Times New Roman"/>
                <w:i w:val="0"/>
                <w:iCs w:val="0"/>
                <w:snapToGrid w:val="0"/>
                <w:color w:val="000000"/>
                <w:kern w:val="0"/>
                <w:sz w:val="21"/>
                <w:szCs w:val="21"/>
                <w:u w:val="none"/>
                <w:lang w:val="en-US" w:eastAsia="zh-CN" w:bidi="ar"/>
              </w:rPr>
              <w:t>0.11</w:t>
            </w:r>
            <w:r>
              <w:rPr>
                <w:rFonts w:hint="eastAsia" w:ascii="Times New Roman" w:hAnsi="Times New Roman" w:eastAsia="宋体" w:cs="Times New Roman"/>
                <w:i w:val="0"/>
                <w:iCs w:val="0"/>
                <w:snapToGrid w:val="0"/>
                <w:color w:val="000000"/>
                <w:kern w:val="0"/>
                <w:sz w:val="21"/>
                <w:szCs w:val="21"/>
                <w:u w:val="none"/>
                <w:lang w:val="en-US" w:eastAsia="zh-CN" w:bidi="ar"/>
              </w:rPr>
              <w:t>0</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NH₃-N</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0.026</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0.004</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0.022</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SS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0.146</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0.000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0.146</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实验废水</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污水排放量</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686.375</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686.375</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CODer</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0.275</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0.103</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0.172</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BODs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0.103</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0.034</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0.069</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NH₃-N</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0.031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0.010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0.021</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SS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0.103</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0.062</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0.041</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774" w:type="pct"/>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合计</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污水排放量</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1416.375</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1416.375</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CODer</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0.531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0.140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0.391</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BODs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0.213</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0.034</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0.179</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NH₃-N</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0.057</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0.014</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0.043</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774"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SS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0.249</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0.062</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0.187</w:t>
            </w:r>
          </w:p>
        </w:tc>
        <w:tc>
          <w:tcPr>
            <w:tcW w:w="1574"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废气</w:t>
            </w:r>
          </w:p>
        </w:tc>
        <w:tc>
          <w:tcPr>
            <w:tcW w:w="49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污水处理站废气</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NH₃</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ascii="Times New Roman" w:hAnsi="Times New Roman" w:eastAsia="宋体" w:cs="Times New Roman"/>
                <w:b w:val="0"/>
                <w:bCs w:val="0"/>
                <w:i w:val="0"/>
                <w:iCs w:val="0"/>
                <w:snapToGrid w:val="0"/>
                <w:color w:val="000000"/>
                <w:kern w:val="0"/>
                <w:sz w:val="21"/>
                <w:szCs w:val="21"/>
                <w:u w:val="none"/>
                <w:lang w:val="en-US" w:eastAsia="zh-CN" w:bidi="ar"/>
              </w:rPr>
              <w:t>0.00</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0105</w:t>
            </w:r>
          </w:p>
        </w:tc>
        <w:tc>
          <w:tcPr>
            <w:tcW w:w="630"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0.00</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0105</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密闭设计，无组织排放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H₂S</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0.000</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004</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0.000</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004</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理化实验室废气</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硫酸雾</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0.01104</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0.01104</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理化实验室废气通过通风柜</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收集通过楼顶</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15m高排气筒排放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氯化氢</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ascii="Times New Roman" w:hAnsi="Times New Roman" w:eastAsia="宋体" w:cs="Times New Roman"/>
                <w:b w:val="0"/>
                <w:bCs w:val="0"/>
                <w:i w:val="0"/>
                <w:iCs w:val="0"/>
                <w:snapToGrid w:val="0"/>
                <w:color w:val="auto"/>
                <w:kern w:val="0"/>
                <w:sz w:val="21"/>
                <w:szCs w:val="21"/>
                <w:u w:val="none"/>
                <w:lang w:val="en-US" w:eastAsia="zh-CN" w:bidi="ar"/>
              </w:rPr>
              <w:t>0.00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708</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ascii="Times New Roman" w:hAnsi="Times New Roman" w:eastAsia="宋体" w:cs="Times New Roman"/>
                <w:b w:val="0"/>
                <w:bCs w:val="0"/>
                <w:i w:val="0"/>
                <w:iCs w:val="0"/>
                <w:snapToGrid w:val="0"/>
                <w:color w:val="auto"/>
                <w:kern w:val="0"/>
                <w:sz w:val="21"/>
                <w:szCs w:val="21"/>
                <w:u w:val="none"/>
                <w:lang w:val="en-US" w:eastAsia="zh-CN" w:bidi="ar"/>
              </w:rPr>
              <w:t>0.00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708</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氮氧化物</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0.00423</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auto"/>
                <w:kern w:val="0"/>
                <w:sz w:val="21"/>
                <w:szCs w:val="21"/>
                <w:u w:val="none"/>
                <w:lang w:val="en-US" w:eastAsia="zh-CN" w:bidi="ar"/>
              </w:rPr>
              <w:t>0.00423</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非甲烷总烃</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auto"/>
                <w:kern w:val="0"/>
                <w:sz w:val="21"/>
                <w:szCs w:val="21"/>
                <w:u w:val="none"/>
                <w:lang w:val="en-US" w:eastAsia="zh-CN" w:bidi="ar"/>
              </w:rPr>
            </w:pPr>
            <w:r>
              <w:rPr>
                <w:rFonts w:ascii="Times New Roman" w:hAnsi="Times New Roman" w:eastAsia="宋体" w:cs="Times New Roman"/>
                <w:b w:val="0"/>
                <w:bCs w:val="0"/>
                <w:i w:val="0"/>
                <w:iCs w:val="0"/>
                <w:snapToGrid w:val="0"/>
                <w:color w:val="auto"/>
                <w:kern w:val="0"/>
                <w:sz w:val="21"/>
                <w:szCs w:val="21"/>
                <w:u w:val="none"/>
                <w:lang w:val="en-US" w:eastAsia="zh-CN" w:bidi="ar"/>
              </w:rPr>
              <w:t>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0</w:t>
            </w:r>
            <w:r>
              <w:rPr>
                <w:rFonts w:ascii="Times New Roman" w:hAnsi="Times New Roman" w:eastAsia="宋体" w:cs="Times New Roman"/>
                <w:b w:val="0"/>
                <w:bCs w:val="0"/>
                <w:i w:val="0"/>
                <w:iCs w:val="0"/>
                <w:snapToGrid w:val="0"/>
                <w:color w:val="auto"/>
                <w:kern w:val="0"/>
                <w:sz w:val="21"/>
                <w:szCs w:val="21"/>
                <w:u w:val="none"/>
                <w:lang w:val="en-US" w:eastAsia="zh-CN" w:bidi="ar"/>
              </w:rPr>
              <w:t>9</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FF"/>
                <w:kern w:val="0"/>
                <w:sz w:val="21"/>
                <w:szCs w:val="21"/>
                <w:u w:val="none"/>
                <w:lang w:val="en-US" w:eastAsia="zh-CN" w:bidi="ar"/>
              </w:rPr>
            </w:pPr>
            <w:r>
              <w:rPr>
                <w:rFonts w:ascii="Times New Roman" w:hAnsi="Times New Roman" w:eastAsia="宋体" w:cs="Times New Roman"/>
                <w:b w:val="0"/>
                <w:bCs w:val="0"/>
                <w:i w:val="0"/>
                <w:iCs w:val="0"/>
                <w:snapToGrid w:val="0"/>
                <w:color w:val="auto"/>
                <w:kern w:val="0"/>
                <w:sz w:val="21"/>
                <w:szCs w:val="21"/>
                <w:u w:val="none"/>
                <w:lang w:val="en-US" w:eastAsia="zh-CN" w:bidi="ar"/>
              </w:rPr>
              <w:t>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0</w:t>
            </w:r>
            <w:r>
              <w:rPr>
                <w:rFonts w:ascii="Times New Roman" w:hAnsi="Times New Roman" w:eastAsia="宋体" w:cs="Times New Roman"/>
                <w:b w:val="0"/>
                <w:bCs w:val="0"/>
                <w:i w:val="0"/>
                <w:iCs w:val="0"/>
                <w:snapToGrid w:val="0"/>
                <w:color w:val="auto"/>
                <w:kern w:val="0"/>
                <w:sz w:val="21"/>
                <w:szCs w:val="21"/>
                <w:u w:val="none"/>
                <w:lang w:val="en-US" w:eastAsia="zh-CN" w:bidi="ar"/>
              </w:rPr>
              <w:t>9</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生物实验室废气</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含传染性的细菌和病毒</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涉及病原微生物的操作均在生物安全柜中进行，生物安全柜设计采用Ⅱ级B2生物安全柜，安装有高效空气过滤器，柜里的实验平台相对实验室内环境处于负压状态，可有效控制生物安全柜内的气流，杜绝实验过程中产生的气溶胶从窗口外逸可能含有病原微生物的气溶胶只有从其上部的排风口经高效过滤后外排。生物安全柜内的高压过滤器对粒径0.1-0.2um的气溶胶过滤效率在99.9995%以上，实验室经过滤后的气体经排气筒至所在楼楼顶(高15m)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备用发电机废气</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废气量</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Nm³/a</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2880</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2880</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废气经</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专用管道无组织</w:t>
            </w:r>
            <w:r>
              <w:rPr>
                <w:rFonts w:ascii="Times New Roman" w:hAnsi="Times New Roman" w:eastAsia="宋体" w:cs="Times New Roman"/>
                <w:b w:val="0"/>
                <w:bCs w:val="0"/>
                <w:i w:val="0"/>
                <w:iCs w:val="0"/>
                <w:snapToGrid w:val="0"/>
                <w:color w:val="000000"/>
                <w:kern w:val="0"/>
                <w:sz w:val="21"/>
                <w:szCs w:val="21"/>
                <w:u w:val="none"/>
                <w:lang w:val="en-US" w:eastAsia="zh-CN" w:bidi="ar"/>
              </w:rPr>
              <w:t>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SO₂</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0.003</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0.003</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NO₂</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0.484</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0.484</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烟尘</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0.317</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i w:val="0"/>
                <w:iCs w:val="0"/>
                <w:snapToGrid w:val="0"/>
                <w:color w:val="000000"/>
                <w:kern w:val="0"/>
                <w:sz w:val="21"/>
                <w:szCs w:val="21"/>
                <w:u w:val="none"/>
                <w:lang w:val="en-US" w:eastAsia="zh-CN" w:bidi="ar"/>
              </w:rPr>
              <w:t>0.317</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汽车尾气</w:t>
            </w: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CO</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一</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通风扩散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NOx</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一</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491"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62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THC</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一</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垃圾收集点产生的恶臭</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一</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少量</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通风扩散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2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固体废物</w:t>
            </w: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生活垃圾</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26.645</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26.645</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设全封闭分类垃圾桶，交由</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当地环卫部门每天统一清运</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纯水制备系统产生的废活性炭和废反渗透膜</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定期交由厂家回收处置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污泥</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0.369</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0.369</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委托有资质单位定期清运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医疗废物</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1.2</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1.2</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医疗废物暂存间暂存，交由</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有资质单位定期清运处理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废紫外灯</w:t>
            </w:r>
          </w:p>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管</w:t>
            </w: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废紫外灯管</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0.1</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暂存</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于危废暂存间，定期交由有质的单位处置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危化品包装物</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废过滤介质</w:t>
            </w:r>
          </w:p>
        </w:tc>
        <w:tc>
          <w:tcPr>
            <w:tcW w:w="6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3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0.01</w:t>
            </w:r>
          </w:p>
        </w:tc>
        <w:tc>
          <w:tcPr>
            <w:tcW w:w="69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0</w:t>
            </w:r>
          </w:p>
        </w:tc>
        <w:tc>
          <w:tcPr>
            <w:tcW w:w="1574"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1115"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设备及交通噪声</w:t>
            </w:r>
          </w:p>
        </w:tc>
        <w:tc>
          <w:tcPr>
            <w:tcW w:w="2026" w:type="pct"/>
            <w:gridSpan w:val="3"/>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75~90</w:t>
            </w:r>
            <w:r>
              <w:rPr>
                <w:rFonts w:hint="default" w:ascii="Times New Roman" w:hAnsi="Times New Roman" w:eastAsia="宋体" w:cs="Times New Roman"/>
                <w:b w:val="0"/>
                <w:bCs w:val="0"/>
                <w:i w:val="0"/>
                <w:iCs w:val="0"/>
                <w:snapToGrid w:val="0"/>
                <w:color w:val="000000"/>
                <w:kern w:val="0"/>
                <w:sz w:val="21"/>
                <w:szCs w:val="21"/>
                <w:u w:val="none"/>
                <w:lang w:val="en-US" w:eastAsia="zh-CN" w:bidi="ar"/>
              </w:rPr>
              <w:t>dB</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w:t>
            </w:r>
            <w:r>
              <w:rPr>
                <w:rFonts w:hint="default" w:ascii="Times New Roman" w:hAnsi="Times New Roman" w:eastAsia="宋体" w:cs="Times New Roman"/>
                <w:b w:val="0"/>
                <w:bCs w:val="0"/>
                <w:i w:val="0"/>
                <w:iCs w:val="0"/>
                <w:snapToGrid w:val="0"/>
                <w:color w:val="000000"/>
                <w:kern w:val="0"/>
                <w:sz w:val="21"/>
                <w:szCs w:val="21"/>
                <w:u w:val="none"/>
                <w:lang w:val="en-US" w:eastAsia="zh-CN" w:bidi="ar"/>
              </w:rPr>
              <w:t>A</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w:t>
            </w:r>
          </w:p>
        </w:tc>
        <w:tc>
          <w:tcPr>
            <w:tcW w:w="1574"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减震、消声、隔声降噪措施</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465" w:firstLineChars="200"/>
        <w:jc w:val="both"/>
        <w:textAlignment w:val="auto"/>
        <w:rPr>
          <w:rFonts w:hint="default" w:ascii="Times New Roman" w:hAnsi="Times New Roman" w:eastAsia="宋体" w:cs="Times New Roman"/>
          <w:b/>
          <w:bCs/>
          <w:snapToGrid w:val="0"/>
          <w:color w:val="000000"/>
          <w:spacing w:val="11"/>
          <w:kern w:val="0"/>
          <w:sz w:val="21"/>
          <w:szCs w:val="21"/>
          <w:lang w:val="en-US" w:eastAsia="zh-CN"/>
        </w:rPr>
        <w:sectPr>
          <w:headerReference r:id="rId13" w:type="default"/>
          <w:pgSz w:w="11906" w:h="16839"/>
          <w:pgMar w:top="1440" w:right="1080" w:bottom="1440" w:left="1080" w:header="878" w:footer="996" w:gutter="0"/>
          <w:pgBorders w:offsetFrom="page">
            <w:top w:val="none" w:sz="0" w:space="0"/>
            <w:left w:val="none" w:sz="0" w:space="0"/>
            <w:bottom w:val="none" w:sz="0" w:space="0"/>
            <w:right w:val="none" w:sz="0" w:space="0"/>
          </w:pgBorders>
          <w:pgNumType w:fmt="decimal"/>
          <w:cols w:space="720" w:num="1"/>
        </w:sectPr>
      </w:pPr>
    </w:p>
    <w:p>
      <w:pPr>
        <w:pStyle w:val="2"/>
        <w:numPr>
          <w:ilvl w:val="0"/>
          <w:numId w:val="0"/>
        </w:numPr>
        <w:bidi w:val="0"/>
        <w:jc w:val="center"/>
        <w:rPr>
          <w:rFonts w:hint="default"/>
          <w:lang w:val="en-US" w:eastAsia="zh-CN"/>
        </w:rPr>
      </w:pPr>
      <w:bookmarkStart w:id="66" w:name="_Toc24906"/>
      <w:r>
        <w:rPr>
          <w:rFonts w:hint="eastAsia"/>
          <w:lang w:val="en-US" w:eastAsia="zh-CN"/>
        </w:rPr>
        <w:t xml:space="preserve">第四章 </w:t>
      </w:r>
      <w:r>
        <w:rPr>
          <w:rFonts w:hint="default"/>
          <w:lang w:val="en-US" w:eastAsia="zh-CN"/>
        </w:rPr>
        <w:t>环境现状调查与评价</w:t>
      </w:r>
      <w:bookmarkEnd w:id="66"/>
    </w:p>
    <w:p>
      <w:pPr>
        <w:pStyle w:val="3"/>
        <w:bidi w:val="0"/>
        <w:rPr>
          <w:rFonts w:hint="default"/>
          <w:lang w:val="en-US" w:eastAsia="zh-CN"/>
        </w:rPr>
      </w:pPr>
      <w:bookmarkStart w:id="67" w:name="_Toc13637"/>
      <w:r>
        <w:rPr>
          <w:rFonts w:hint="eastAsia"/>
          <w:lang w:val="en-US" w:eastAsia="zh-CN"/>
        </w:rPr>
        <w:t>4</w:t>
      </w:r>
      <w:r>
        <w:rPr>
          <w:rFonts w:hint="default"/>
          <w:lang w:val="en-US" w:eastAsia="zh-CN"/>
        </w:rPr>
        <w:t>.1区域自然环境概况</w:t>
      </w:r>
      <w:bookmarkEnd w:id="67"/>
    </w:p>
    <w:p>
      <w:pPr>
        <w:pStyle w:val="4"/>
        <w:bidi w:val="0"/>
        <w:rPr>
          <w:rFonts w:hint="default"/>
          <w:lang w:val="en-US" w:eastAsia="zh-CN"/>
        </w:rPr>
      </w:pPr>
      <w:r>
        <w:rPr>
          <w:rFonts w:hint="eastAsia"/>
          <w:lang w:val="en-US" w:eastAsia="zh-CN"/>
        </w:rPr>
        <w:t>4</w:t>
      </w:r>
      <w:r>
        <w:rPr>
          <w:rFonts w:hint="default"/>
          <w:lang w:val="en-US" w:eastAsia="zh-CN"/>
        </w:rPr>
        <w:t>.1.1地理位置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宁远县位于湖南南部，萌渚岭北麓，南有九疑山，北倚阳明山，东连新田、嘉禾、蓝山，南接江华，西邻道县、双牌，北界祁阳金洞林场。地处东经110°42′~112°27′，北纬 25°11′~26°08′之间。宁远县辖辖 16 个乡镇(其中少数民族乡4个)、4 个街道办事处，4 个国有林场，土地总面积 2510 平方公里，总人口86 万。</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本项目拟定厂址位于南部文化生态新城九嶷大道西侧</w:t>
      </w:r>
      <w:r>
        <w:rPr>
          <w:rFonts w:hint="eastAsia" w:eastAsia="宋体" w:cs="Times New Roman"/>
          <w:b w:val="0"/>
          <w:bCs w:val="0"/>
          <w:snapToGrid w:val="0"/>
          <w:color w:val="000000"/>
          <w:spacing w:val="11"/>
          <w:kern w:val="0"/>
          <w:sz w:val="24"/>
          <w:szCs w:val="24"/>
          <w:lang w:val="en-US" w:eastAsia="zh-CN"/>
        </w:rPr>
        <w:t>原在建妇女儿童医院</w:t>
      </w:r>
      <w:r>
        <w:rPr>
          <w:rFonts w:hint="default" w:ascii="Times New Roman" w:hAnsi="Times New Roman" w:eastAsia="宋体" w:cs="Times New Roman"/>
          <w:b w:val="0"/>
          <w:bCs w:val="0"/>
          <w:snapToGrid w:val="0"/>
          <w:color w:val="000000"/>
          <w:spacing w:val="11"/>
          <w:kern w:val="0"/>
          <w:sz w:val="24"/>
          <w:szCs w:val="24"/>
          <w:lang w:val="en-US" w:eastAsia="zh-CN"/>
        </w:rPr>
        <w:t>。东 经 ：111°57'01.6068"，北纬：25°32'41.5396"</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其地理位置详见附图 1。</w:t>
      </w:r>
    </w:p>
    <w:p>
      <w:pPr>
        <w:pStyle w:val="4"/>
        <w:bidi w:val="0"/>
        <w:rPr>
          <w:rFonts w:hint="default"/>
          <w:lang w:val="en-US" w:eastAsia="zh-CN"/>
        </w:rPr>
      </w:pPr>
      <w:r>
        <w:rPr>
          <w:rFonts w:hint="eastAsia"/>
          <w:lang w:val="en-US" w:eastAsia="zh-CN"/>
        </w:rPr>
        <w:t>4</w:t>
      </w:r>
      <w:r>
        <w:rPr>
          <w:rFonts w:hint="default"/>
          <w:lang w:val="en-US" w:eastAsia="zh-CN"/>
        </w:rPr>
        <w:t>.1.2地形地貌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永州市地势西南部高，东北部及中部较低。境内都庞岭、越城岭屏障于西北，萌渚岭、九疑山雄踞于东南，阳明山、紫金山拦腰插于东西，将全市分成南北两大块-零祁、宁道两大盆地，即形成三山围夹两盆地，呈现向东倾斜的“山”字形地貌轮廓。</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宁远县地处东西向南岭山脉北缘，地形高低起伏较大，沟谷发育，山势陡峭，地势南高北低，山脉水系总体呈南北走向。宁远地貌四周高，中部低。山地、丘陵、岗地和平原俱全，其中山丘面积共 1591.23km2，占全县总面积的 63%。项目建设地舜陵镇位于宁远县中部，地貌类型为石灰岩丘陵。项目地形主要为平缓坡地，由西向东倾斜，自然地面标高大至为+358.4~+320m。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地质构造比较复杂。通过漫长的地壳运动，在内外营力作用下形成各种地层，除保留志留系，未见二叠系出露外，古生界震旦系至新生界第四系均有分布。该县岩石种类繁多，按地层岩性特点，分为砂页岩、碳酸盐岩、红岩、砂砾岩、第四系松散堆积物、变质岩、花岗岩等七大类。项目建设地岩石主要为碳酸盐岩类和红岩类。据《中国地震烈度区划图》和《湖南省重力布格异常分布图》显示，宁远县地震基本烈度在 6 度以下，地壳板块稳定，一般不会有较大地震发</w:t>
      </w:r>
      <w:r>
        <w:rPr>
          <w:rFonts w:hint="eastAsia" w:eastAsia="宋体" w:cs="Times New Roman"/>
          <w:b w:val="0"/>
          <w:bCs w:val="0"/>
          <w:snapToGrid w:val="0"/>
          <w:color w:val="000000"/>
          <w:spacing w:val="11"/>
          <w:kern w:val="0"/>
          <w:sz w:val="24"/>
          <w:szCs w:val="24"/>
          <w:lang w:val="en-US" w:eastAsia="zh-CN"/>
        </w:rPr>
        <w:t>生</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4</w:t>
      </w:r>
      <w:r>
        <w:rPr>
          <w:rFonts w:hint="default"/>
          <w:lang w:val="en-US" w:eastAsia="zh-CN"/>
        </w:rPr>
        <w:t>.1.3气象气候</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宁远位于中亚热带季风温润性气候区。夏冬长，春秋短，四季分明；光照充足，年温高，积温多；雨季分明，夏秋多旱。据多年气象资料统计年平均气温18.4℃；一月最冷，平均最低气温 5℃，极端最低气温-5.2℃；7、8 月最热，平均最高气温 33.8℃，极端最高气温 39.4℃。年平均日照时数 1644 小时，年平均霜日 13.2 天。年平均降雨量 1450.8mm，宁远县的年均降雨天数 163.5 天，其中4~6 月为雨季，降雨量占全年总降雨量的 42~47%，多在 600mm 以上。</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宁远县风向具有明显的季节性变化。冬季多东北风，夏季多偏南风，春、秋二季为冬、夏季风交替期。县城(舜陵镇)仅 7 月多偏南风，其它各月东北风占优势。年平均风速 2.1m/s，最大风速 25m/s，冬季大于夏季。</w:t>
      </w:r>
    </w:p>
    <w:p>
      <w:pPr>
        <w:pStyle w:val="4"/>
        <w:bidi w:val="0"/>
        <w:rPr>
          <w:rFonts w:hint="default"/>
          <w:lang w:val="en-US" w:eastAsia="zh-CN"/>
        </w:rPr>
      </w:pPr>
      <w:r>
        <w:rPr>
          <w:rFonts w:hint="eastAsia"/>
          <w:lang w:val="en-US" w:eastAsia="zh-CN"/>
        </w:rPr>
        <w:t>4</w:t>
      </w:r>
      <w:r>
        <w:rPr>
          <w:rFonts w:hint="default"/>
          <w:lang w:val="en-US" w:eastAsia="zh-CN"/>
        </w:rPr>
        <w:t>.1.4水文特征</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宁远境内长度在5km以上，流域面积在10km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以上的大小河流60条，发源于县内的59条，发源于外县的1条。大气降雨是地表径流的主要来源，境内主要河流有舂水、泠水、九嶷河等。全县有地下河42条，流量1282.1L/s，较大泉井326个，流量722.09L/s。地下水分为松散岩类孔隙水、基岩裂隙水和碳酸盐类岩溶水三种类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北部主要河流，也是宁远县最大河流，又名舂陵河。上游是东舂水、西舂水。东舂水发源于荒塘瑶族乡，流经鲤溪镇、柏家坪镇，长40公里。西舂水发源于桐木漯瑶族乡，流经清水桥镇、柏家坪镇，长32公里。两水在柏家坪镇的两江口汇合。舂水下游经仁和镇、舜陵镇、中和镇、天堂镇，在曹家滩村注入泠水。舂水全长110公里，流经13个乡镇，河床平均宽70米，一般流量为256 m3/s，流域面积约800平方公里。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南部主要河流，发源于九嶷山，有东、西两源，在别江口欧家附近汇合。经九嶷瑶族乡、水市镇、天堂镇进入道县柑子园乡，在三海洞村纳入泠水，在农科站村纳入仁水，又流入宁远县中和镇，至此，已纳入宁远县境内的全部河流，复流入道县白马渡镇，在青口村与庙头村之间注入潇水。主流河床平均宽70米，一般流量20.6 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/s。</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泠江河是宁远县中部主要河流，发源于湾井镇南部，纳入蓝山县西部汇源瑶族乡、犁头瑶族乡、祠堂圩乡的几条溪流，流经冷水镇、舜陵镇、天堂镇，在曹家滩村纳入舂水，进入道县柑子园乡，在三海洞村注入九嶷河。全长75km，宁远县境流程43.2km，多年流量20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/s，河床平均宽70米，流域面积约630平方公里。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本项目相关水域为泠江河，最近处位于项目西北部约2.7km。本项目废水经场内污水处理站预处理后送宁远县</w:t>
      </w:r>
      <w:r>
        <w:rPr>
          <w:rFonts w:hint="eastAsia" w:eastAsia="宋体" w:cs="Times New Roman"/>
          <w:b w:val="0"/>
          <w:bCs w:val="0"/>
          <w:snapToGrid w:val="0"/>
          <w:color w:val="000000"/>
          <w:spacing w:val="11"/>
          <w:kern w:val="0"/>
          <w:sz w:val="24"/>
          <w:szCs w:val="24"/>
          <w:lang w:val="en-US" w:eastAsia="zh-CN"/>
        </w:rPr>
        <w:t>第二</w:t>
      </w:r>
      <w:r>
        <w:rPr>
          <w:rFonts w:hint="default" w:ascii="Times New Roman" w:hAnsi="Times New Roman" w:eastAsia="宋体" w:cs="Times New Roman"/>
          <w:b w:val="0"/>
          <w:bCs w:val="0"/>
          <w:snapToGrid w:val="0"/>
          <w:color w:val="000000"/>
          <w:spacing w:val="11"/>
          <w:kern w:val="0"/>
          <w:sz w:val="24"/>
          <w:szCs w:val="24"/>
          <w:lang w:val="en-US" w:eastAsia="zh-CN"/>
        </w:rPr>
        <w:t>污水处理厂深度处理达标后排入冷江河</w:t>
      </w:r>
      <w:r>
        <w:rPr>
          <w:rFonts w:hint="eastAsia" w:eastAsia="宋体" w:cs="Times New Roman"/>
          <w:b w:val="0"/>
          <w:bCs w:val="0"/>
          <w:snapToGrid w:val="0"/>
          <w:color w:val="000000"/>
          <w:spacing w:val="11"/>
          <w:kern w:val="0"/>
          <w:sz w:val="24"/>
          <w:szCs w:val="24"/>
          <w:lang w:val="en-US" w:eastAsia="zh-CN"/>
        </w:rPr>
        <w:t>。</w:t>
      </w:r>
    </w:p>
    <w:p>
      <w:pPr>
        <w:pStyle w:val="4"/>
        <w:bidi w:val="0"/>
        <w:rPr>
          <w:rFonts w:hint="default" w:ascii="Times New Roman" w:hAnsi="Times New Roman" w:eastAsia="宋体" w:cs="Times New Roman"/>
          <w:b w:val="0"/>
          <w:bCs w:val="0"/>
          <w:snapToGrid w:val="0"/>
          <w:color w:val="000000"/>
          <w:spacing w:val="11"/>
          <w:kern w:val="0"/>
          <w:szCs w:val="24"/>
          <w:lang w:val="en-US" w:eastAsia="zh-CN"/>
        </w:rPr>
      </w:pPr>
      <w:r>
        <w:rPr>
          <w:rFonts w:hint="eastAsia"/>
          <w:lang w:val="en-US" w:eastAsia="zh-CN"/>
        </w:rPr>
        <w:t>4</w:t>
      </w:r>
      <w:r>
        <w:rPr>
          <w:rFonts w:hint="default"/>
          <w:lang w:val="en-US" w:eastAsia="zh-CN"/>
        </w:rPr>
        <w:t>.1.5动植物资源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宁远县山地广阔，相对高差大。森林垂直分布差异明显，树种繁多。全县查明有森林植物 2000 多种，乔木和灌木树种 87 科 254 属 596 种，其中有栽培价值的 236 种，有适用推广价值的 72 种。按林种分，用材林 218 种，经济林 96 种（其中果木 33 种）</w:t>
      </w:r>
      <w:r>
        <w:rPr>
          <w:rFonts w:hint="eastAsia"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防护林 152 种，薪炭林 130 种。优势树种是杉木、马尾松和油茶，其生长面积 78.8 万公顷；约占有林面积的 80%。按地域分，全县形成四大森林分布区，即西北部阳明山马尾松、阔叶林、人工杉木林分布区；南部九疑山天然阔叶原始次生林、竹林、人工杉木林分布区；东部雾云山丘岗马尾松、经济林分布区；中部平岗油茶、果木、柏木、马尾松分布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山地面积广、森林茂密，野生动物资源丰富。哺乳类：华南虎，九疑山区和阳明山区偶见过往。豹，极少，偶见于南、北、西山区。麝、大灵猫、小灵猫甚少，见于九疑山腹地。野猫、獐、鹿、麂、野猪、穿山甲、青羊、苏门羚、豪猪、猪獾、黄鼬、花面狸（俗称果子狸）等，见于各地丘陵和山区。猕猴，见于九疑山区。水獭、刺猬、狼、野兔,见于丘陵和低山区。蝙蝠，遍及全县。鼠，以小家鼠、褐家鼠、黄胸鼠为多，县内各处可见。另有黄毛鼠和东方田鼠，见于田野和小溪边；竹鼠（俗称芭茅老鼠），见于山区竹林及芭茅地；花松鼠、红松鼠，见于南、西山区；九疑山住龙门偶见鼹鼠（亦称麝鼠）。</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鸟类：候鸟有燕子、白鹭、大雁。其他有老鹰、猴面鹰、草鸮、三宝鸟、环颈雉（野鸡）、黄腹角雉、白鹇、锦鸡、雷鸟、赤红山椒鸟，棕背佰劳、灰喜鹊、八哥、乌鸦、画眉、黄腹山雀、山麻雀、池鹭、夜莺、四声杜鹃、啄木鸟、山斑鸠、竹鸡、白鶺鴒、白头鹎、黑颈黄鹂、鹊、红嘴相思鸟、银喉山雀、黑尾腊嘴雀、针尾沙雉、长耳鸮、小翠鸟、棕背啄木鸟、斑鸠、长尾雉、寿带鸟、灰山椒鸟、红尾佰劳、喜鹊、白颈鸟鸦、黄眉柳莺、戴胜、大山雀、麻雀、凤头雀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节肢、两栖、爬行类：节肢动物有沼虾、白虾、长臂虾、米虾、溪虾和螃蟹</w:t>
      </w:r>
      <w:r>
        <w:rPr>
          <w:rFonts w:hint="eastAsia" w:eastAsia="宋体" w:cs="Times New Roman"/>
          <w:b w:val="0"/>
          <w:bCs w:val="0"/>
          <w:snapToGrid w:val="0"/>
          <w:color w:val="000000"/>
          <w:spacing w:val="11"/>
          <w:kern w:val="0"/>
          <w:sz w:val="24"/>
          <w:szCs w:val="24"/>
          <w:lang w:val="en-US" w:eastAsia="zh-CN"/>
        </w:rPr>
        <w:t>。两栖动物有肥螈、大鲵（俗称娃娃鱼）、蟾蜍、泽蛙、虎纹蛙、沼蛙、大树蛙、斑腿树蛙、雨蛙、姬蛙、青蛙、棘胸蛙等。爬行动物有龟、鹰嘴龟、鳖、石子龙、黑眉锦蛇、滑鼠蛇、眼镜蛇、五步蛇、烙头蛇、红点锦蛇、中国水蛇、金环蛇、银环蛇、乌梢蛇、竹叶青、蝮蛇、蜥蜴、壁虎等。软体动物有蚌、螺蛳、蜗牛等。环节动物有蚯蚓、蜈蚣、水蛭（俗称蚂蝗）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昆虫类：有蝴蝶、蜻蜓、萤火虫、蚁、蚕、蜂、蝉、蚂蚱（蝗虫）、天牛、金龟子、蟋蟀、蟑螂、蚊、蝇、螳螂等。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所在区域常绿阔叶林主要以壳斗科、樟科为主，针叶林以松、杉两科为主，灌木林以油茶为主、乌饭树、映山红次之。本工程项目附近主要有松、杉、楠竹、油茶及各类杂木及灌木，主要动物有野兔、山鸡、蛙类、蛇类、田鼠及各种鸟类等。人工饲养动物为一些常见的家畜家禽，如猪、牛、狗、鸡、鸭、鹅。</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通过现场踏勘及向当地居民进行调查了解，本项目附近无自然保护区，亦未发现需要保护的珍稀动植物和名木古树，区域地下水水位或土壤影响范围内无天然林、公益林、湿地等生态保护目标，不占用生态红线</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ascii="Times New Roman" w:hAnsi="Times New Roman" w:eastAsia="宋体" w:cs="Times New Roman"/>
          <w:b w:val="0"/>
          <w:bCs w:val="0"/>
          <w:snapToGrid w:val="0"/>
          <w:color w:val="000000"/>
          <w:spacing w:val="11"/>
          <w:kern w:val="0"/>
          <w:szCs w:val="24"/>
          <w:lang w:val="en-US" w:eastAsia="zh-CN"/>
        </w:rPr>
      </w:pPr>
      <w:r>
        <w:rPr>
          <w:rFonts w:hint="eastAsia"/>
          <w:lang w:val="en-US" w:eastAsia="zh-CN"/>
        </w:rPr>
        <w:t>4</w:t>
      </w:r>
      <w:r>
        <w:rPr>
          <w:rFonts w:hint="default"/>
          <w:lang w:val="en-US" w:eastAsia="zh-CN"/>
        </w:rPr>
        <w:t>.1.</w:t>
      </w:r>
      <w:r>
        <w:rPr>
          <w:rFonts w:hint="eastAsia"/>
          <w:lang w:val="en-US" w:eastAsia="zh-CN"/>
        </w:rPr>
        <w:t>6地下水环境</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宁远县地下水丰富，据湖南省地质局二十万分之一水文地质普查资料查明，全县有地下河 42 条，流量 1282.1 升/秒，较大泉井 336 个，流量 722.09 升/秒。二者总流量为 2004.19 升/秒</w:t>
      </w:r>
      <w:r>
        <w:rPr>
          <w:rFonts w:hint="eastAsia"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其中岩溶大泉 34 个，流量 478.12 升/秒。地下水分为松散岩类孔隙水、基岩裂缝水和碳酸盐类岩溶水三种类型。其地下水主要分布位置为：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A</w:t>
      </w:r>
      <w:r>
        <w:rPr>
          <w:rFonts w:hint="default" w:ascii="Times New Roman" w:hAnsi="Times New Roman" w:eastAsia="宋体" w:cs="Times New Roman"/>
          <w:b w:val="0"/>
          <w:bCs w:val="0"/>
          <w:snapToGrid w:val="0"/>
          <w:color w:val="000000"/>
          <w:spacing w:val="11"/>
          <w:kern w:val="0"/>
          <w:sz w:val="24"/>
          <w:szCs w:val="24"/>
          <w:lang w:val="en-US" w:eastAsia="zh-CN"/>
        </w:rPr>
        <w:t>松散岩类孔隙水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主要分布在泠、疑、舂、仁四水及主要支流沿岸的河漫滩和一级阶地中。含水层砂砾卵石厚度 3～6 米，地下水埋藏深度 2～3 米。因含水层不深，河床下切厉害，泉井出露位置较低，涌水量不大，孔隙水仅可作为分散居民的生活用水水源。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B</w:t>
      </w:r>
      <w:r>
        <w:rPr>
          <w:rFonts w:hint="default" w:ascii="Times New Roman" w:hAnsi="Times New Roman" w:eastAsia="宋体" w:cs="Times New Roman"/>
          <w:b w:val="0"/>
          <w:bCs w:val="0"/>
          <w:snapToGrid w:val="0"/>
          <w:color w:val="000000"/>
          <w:spacing w:val="11"/>
          <w:kern w:val="0"/>
          <w:sz w:val="24"/>
          <w:szCs w:val="24"/>
          <w:lang w:val="en-US" w:eastAsia="zh-CN"/>
        </w:rPr>
        <w:t>基岩裂隙水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主要分布在县境西北角步步岭、牛塘岭及南部九疑山一带。含水层为变质砂岩、板页岩、花岗岩、石英岩等，节理裂隙发育，岩石风化破碎厉害，富含基岩裂隙水。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C</w:t>
      </w:r>
      <w:r>
        <w:rPr>
          <w:rFonts w:hint="default" w:ascii="Times New Roman" w:hAnsi="Times New Roman" w:eastAsia="宋体" w:cs="Times New Roman"/>
          <w:b w:val="0"/>
          <w:bCs w:val="0"/>
          <w:snapToGrid w:val="0"/>
          <w:color w:val="000000"/>
          <w:spacing w:val="11"/>
          <w:kern w:val="0"/>
          <w:sz w:val="24"/>
          <w:szCs w:val="24"/>
          <w:lang w:val="en-US" w:eastAsia="zh-CN"/>
        </w:rPr>
        <w:t>碳酸岩类岩溶水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主要分布在鲤溪、太平、保安、下坠、云潭、冷水、湾井、禾亭、桐山、逍遥岩等地。大体分为 5 个富水块段：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神下～湾井富水段。灰岩出露面积约 150 平方公里，含水层为泥盆系棋子桥与佘田桥灰岩。冷水至下灌一带为河谷水冲积物及山前洪积物所覆盖，该地带洼地密布，泉水极不发育，地下河长度多数不超过 1000 米。该段有地下河 19 条，总计流量 2.173万方/日(1方=1000 升)</w:t>
      </w:r>
      <w:r>
        <w:rPr>
          <w:rFonts w:hint="eastAsia"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水位埋深10米左右。</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冯石～禾亭富水段。面积为 52 平方公里，由泥盆系棋子桥和锡矿山下段组成，形成片状的峰林现象。地表岩溶强烈发育，洼地遍地可见。该段有地下河 3 条，总流量 6750 方/日。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杨桂坪～鲤溪富水段。岩溶发育，形成溶蚀丘陵洼地形态，岩溶水以管道式的地下河运动，漏斗、落水洞、地下河都很发育。该段有地下河 9 条，每条长度一般不超过 1000 米，流量 100 升/秒左右，地下河与泉水总量 10.18 万方/日。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天堂～水市富水段。南北长约 16 公里，东西宽约 8 公里。该段有地下河 1 条，流量 17.85 升/秒，流量大于 1 升/秒的泉水有 26 处，合计流量 38.8 升/秒。</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马子脚～礼仕湾富水段。面积为150.4 平方公里。该段有地下河 3 条，总流量720.57 升/秒，流量大于 1 升/秒的泉水 14 处，泉水流量 240.98 升/秒。二者合流量 961.55升/秒。</w:t>
      </w:r>
    </w:p>
    <w:p>
      <w:pPr>
        <w:pStyle w:val="3"/>
        <w:bidi w:val="0"/>
        <w:spacing w:after="0" w:afterLines="0" w:afterAutospacing="0"/>
        <w:rPr>
          <w:rFonts w:hint="default"/>
          <w:lang w:val="en-US" w:eastAsia="zh-CN"/>
        </w:rPr>
      </w:pPr>
      <w:bookmarkStart w:id="68" w:name="_Toc31631"/>
      <w:r>
        <w:rPr>
          <w:rFonts w:hint="eastAsia"/>
          <w:lang w:val="en-US" w:eastAsia="zh-CN"/>
        </w:rPr>
        <w:t>4</w:t>
      </w:r>
      <w:r>
        <w:rPr>
          <w:rFonts w:hint="default"/>
          <w:lang w:val="en-US" w:eastAsia="zh-CN"/>
        </w:rPr>
        <w:t>.2环境空气质量现状监测与评价</w:t>
      </w:r>
      <w:bookmarkEnd w:id="68"/>
    </w:p>
    <w:p>
      <w:pPr>
        <w:pStyle w:val="4"/>
        <w:bidi w:val="0"/>
        <w:spacing w:before="0" w:beforeLines="0" w:beforeAutospacing="0" w:after="0" w:afterLines="50" w:afterAutospacing="0"/>
        <w:rPr>
          <w:rFonts w:hint="default"/>
          <w:lang w:val="en-US" w:eastAsia="zh-CN"/>
        </w:rPr>
      </w:pPr>
      <w:r>
        <w:rPr>
          <w:rFonts w:hint="eastAsia"/>
          <w:lang w:val="en-US" w:eastAsia="zh-CN"/>
        </w:rPr>
        <w:t>4</w:t>
      </w:r>
      <w:r>
        <w:rPr>
          <w:rFonts w:hint="default"/>
          <w:lang w:val="en-US" w:eastAsia="zh-CN"/>
        </w:rPr>
        <w:t>.2.1区域环境空气质量情况调查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left="0" w:leftChars="0"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本项目位于</w:t>
      </w:r>
      <w:r>
        <w:rPr>
          <w:rFonts w:hint="eastAsia" w:eastAsia="宋体" w:cs="Times New Roman"/>
          <w:b w:val="0"/>
          <w:bCs w:val="0"/>
          <w:snapToGrid w:val="0"/>
          <w:color w:val="000000"/>
          <w:spacing w:val="11"/>
          <w:kern w:val="0"/>
          <w:sz w:val="24"/>
          <w:szCs w:val="24"/>
          <w:lang w:val="en-US" w:eastAsia="zh-CN"/>
        </w:rPr>
        <w:t>永州</w:t>
      </w:r>
      <w:r>
        <w:rPr>
          <w:rFonts w:hint="default" w:ascii="Times New Roman" w:hAnsi="Times New Roman" w:eastAsia="宋体" w:cs="Times New Roman"/>
          <w:b w:val="0"/>
          <w:bCs w:val="0"/>
          <w:snapToGrid w:val="0"/>
          <w:color w:val="000000"/>
          <w:spacing w:val="11"/>
          <w:kern w:val="0"/>
          <w:sz w:val="24"/>
          <w:szCs w:val="24"/>
          <w:lang w:val="en-US" w:eastAsia="zh-CN"/>
        </w:rPr>
        <w:t>市</w:t>
      </w:r>
      <w:r>
        <w:rPr>
          <w:rFonts w:hint="eastAsia" w:eastAsia="宋体" w:cs="Times New Roman"/>
          <w:b w:val="0"/>
          <w:bCs w:val="0"/>
          <w:snapToGrid w:val="0"/>
          <w:color w:val="000000"/>
          <w:spacing w:val="11"/>
          <w:kern w:val="0"/>
          <w:sz w:val="24"/>
          <w:szCs w:val="24"/>
          <w:lang w:val="en-US" w:eastAsia="zh-CN"/>
        </w:rPr>
        <w:t>宁远</w:t>
      </w:r>
      <w:r>
        <w:rPr>
          <w:rFonts w:hint="default" w:ascii="Times New Roman" w:hAnsi="Times New Roman" w:eastAsia="宋体" w:cs="Times New Roman"/>
          <w:b w:val="0"/>
          <w:bCs w:val="0"/>
          <w:snapToGrid w:val="0"/>
          <w:color w:val="000000"/>
          <w:spacing w:val="11"/>
          <w:kern w:val="0"/>
          <w:sz w:val="24"/>
          <w:szCs w:val="24"/>
          <w:lang w:val="en-US" w:eastAsia="zh-CN"/>
        </w:rPr>
        <w:t>县，根据</w:t>
      </w:r>
      <w:r>
        <w:rPr>
          <w:rFonts w:hint="eastAsia" w:eastAsia="宋体" w:cs="Times New Roman"/>
          <w:b w:val="0"/>
          <w:bCs w:val="0"/>
          <w:snapToGrid w:val="0"/>
          <w:color w:val="000000"/>
          <w:spacing w:val="11"/>
          <w:kern w:val="0"/>
          <w:sz w:val="24"/>
          <w:szCs w:val="24"/>
          <w:lang w:val="en-US" w:eastAsia="zh-CN"/>
        </w:rPr>
        <w:t>永州市生态环境局发布的</w:t>
      </w:r>
      <w:r>
        <w:rPr>
          <w:rFonts w:hint="default" w:ascii="Times New Roman" w:hAnsi="Times New Roman" w:eastAsia="宋体" w:cs="Times New Roman"/>
          <w:b w:val="0"/>
          <w:bCs w:val="0"/>
          <w:snapToGrid w:val="0"/>
          <w:color w:val="000000"/>
          <w:spacing w:val="11"/>
          <w:kern w:val="0"/>
          <w:sz w:val="24"/>
          <w:szCs w:val="24"/>
          <w:lang w:val="en-US" w:eastAsia="zh-CN"/>
        </w:rPr>
        <w:t>《关于2023年12月及1-12月全市环境质量状况的通报》中</w:t>
      </w:r>
      <w:r>
        <w:rPr>
          <w:rFonts w:hint="eastAsia" w:eastAsia="宋体" w:cs="Times New Roman"/>
          <w:b w:val="0"/>
          <w:bCs w:val="0"/>
          <w:snapToGrid w:val="0"/>
          <w:color w:val="000000"/>
          <w:spacing w:val="11"/>
          <w:kern w:val="0"/>
          <w:sz w:val="24"/>
          <w:szCs w:val="24"/>
          <w:lang w:val="en-US" w:eastAsia="zh-CN"/>
        </w:rPr>
        <w:t>宁远</w:t>
      </w:r>
      <w:r>
        <w:rPr>
          <w:rFonts w:hint="default" w:ascii="Times New Roman" w:hAnsi="Times New Roman" w:eastAsia="宋体" w:cs="Times New Roman"/>
          <w:b w:val="0"/>
          <w:bCs w:val="0"/>
          <w:snapToGrid w:val="0"/>
          <w:color w:val="000000"/>
          <w:spacing w:val="11"/>
          <w:kern w:val="0"/>
          <w:sz w:val="24"/>
          <w:szCs w:val="24"/>
          <w:lang w:val="en-US" w:eastAsia="zh-CN"/>
        </w:rPr>
        <w:t>县大气常规污染物中的 PM</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10</w:t>
      </w:r>
      <w:r>
        <w:rPr>
          <w:rFonts w:hint="default" w:ascii="Times New Roman" w:hAnsi="Times New Roman" w:eastAsia="宋体" w:cs="Times New Roman"/>
          <w:b w:val="0"/>
          <w:bCs w:val="0"/>
          <w:snapToGrid w:val="0"/>
          <w:color w:val="000000"/>
          <w:spacing w:val="11"/>
          <w:kern w:val="0"/>
          <w:sz w:val="24"/>
          <w:szCs w:val="24"/>
          <w:lang w:val="en-US" w:eastAsia="zh-CN"/>
        </w:rPr>
        <w:t>、PM</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2.5</w:t>
      </w:r>
      <w:r>
        <w:rPr>
          <w:rFonts w:hint="default" w:ascii="Times New Roman" w:hAnsi="Times New Roman" w:eastAsia="宋体" w:cs="Times New Roman"/>
          <w:b w:val="0"/>
          <w:bCs w:val="0"/>
          <w:snapToGrid w:val="0"/>
          <w:color w:val="000000"/>
          <w:spacing w:val="11"/>
          <w:kern w:val="0"/>
          <w:sz w:val="24"/>
          <w:szCs w:val="24"/>
          <w:lang w:val="en-US" w:eastAsia="zh-CN"/>
        </w:rPr>
        <w:t>、SO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、NO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、CO、O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现状监测统计资料，说明建设项目拟建地区的环境空气质量，监测结果</w:t>
      </w:r>
      <w:r>
        <w:rPr>
          <w:rFonts w:hint="eastAsia" w:eastAsia="宋体" w:cs="Times New Roman"/>
          <w:b w:val="0"/>
          <w:bCs w:val="0"/>
          <w:snapToGrid w:val="0"/>
          <w:color w:val="000000"/>
          <w:spacing w:val="11"/>
          <w:kern w:val="0"/>
          <w:sz w:val="24"/>
          <w:szCs w:val="24"/>
          <w:lang w:val="en-US" w:eastAsia="zh-CN"/>
        </w:rPr>
        <w:t>详</w:t>
      </w:r>
      <w:r>
        <w:rPr>
          <w:rFonts w:hint="default" w:ascii="Times New Roman" w:hAnsi="Times New Roman" w:eastAsia="宋体" w:cs="Times New Roman"/>
          <w:b w:val="0"/>
          <w:bCs w:val="0"/>
          <w:snapToGrid w:val="0"/>
          <w:color w:val="000000"/>
          <w:spacing w:val="11"/>
          <w:kern w:val="0"/>
          <w:sz w:val="24"/>
          <w:szCs w:val="24"/>
          <w:lang w:val="en-US" w:eastAsia="zh-CN"/>
        </w:rPr>
        <w:t>见区域空气质量现状评价表 4.</w:t>
      </w:r>
      <w:r>
        <w:rPr>
          <w:rFonts w:hint="eastAsia" w:ascii="Times New Roman" w:hAnsi="Times New Roman" w:eastAsia="宋体" w:cs="Times New Roman"/>
          <w:b w:val="0"/>
          <w:bCs w:val="0"/>
          <w:snapToGrid w:val="0"/>
          <w:color w:val="000000"/>
          <w:spacing w:val="11"/>
          <w:kern w:val="0"/>
          <w:sz w:val="24"/>
          <w:szCs w:val="24"/>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-1。</w:t>
      </w:r>
    </w:p>
    <w:p>
      <w:pPr>
        <w:pStyle w:val="8"/>
        <w:numPr>
          <w:ilvl w:val="0"/>
          <w:numId w:val="0"/>
        </w:numPr>
        <w:tabs>
          <w:tab w:val="left" w:pos="0"/>
        </w:tabs>
        <w:bidi w:val="0"/>
        <w:ind w:left="0" w:leftChars="0"/>
        <w:jc w:val="center"/>
        <w:rPr>
          <w:rFonts w:hint="default" w:ascii="Times New Roman" w:hAnsi="Times New Roman" w:eastAsia="宋体" w:cs="Times New Roman"/>
          <w:b/>
          <w:bCs/>
          <w:snapToGrid w:val="0"/>
          <w:color w:val="000000"/>
          <w:spacing w:val="0"/>
          <w:kern w:val="0"/>
          <w:sz w:val="21"/>
          <w:szCs w:val="21"/>
          <w:lang w:val="en-US" w:eastAsia="zh-CN"/>
        </w:rPr>
      </w:pPr>
      <w:r>
        <w:rPr>
          <w:rFonts w:hint="default" w:ascii="Times New Roman" w:hAnsi="Times New Roman" w:eastAsia="宋体" w:cs="Times New Roman"/>
          <w:b/>
          <w:bCs/>
          <w:snapToGrid w:val="0"/>
          <w:color w:val="000000"/>
          <w:spacing w:val="0"/>
          <w:kern w:val="0"/>
          <w:sz w:val="21"/>
          <w:szCs w:val="21"/>
          <w:lang w:val="en-US" w:eastAsia="zh-CN"/>
        </w:rPr>
        <w:t>表</w:t>
      </w:r>
      <w:r>
        <w:rPr>
          <w:rFonts w:hint="eastAsia" w:ascii="Times New Roman" w:hAnsi="Times New Roman" w:eastAsia="宋体" w:cs="Times New Roman"/>
          <w:b/>
          <w:bCs/>
          <w:snapToGrid w:val="0"/>
          <w:color w:val="000000"/>
          <w:spacing w:val="0"/>
          <w:kern w:val="0"/>
          <w:sz w:val="21"/>
          <w:szCs w:val="21"/>
          <w:lang w:val="en-US" w:eastAsia="zh-CN"/>
        </w:rPr>
        <w:t>4</w:t>
      </w:r>
      <w:r>
        <w:rPr>
          <w:rFonts w:hint="default" w:ascii="Times New Roman" w:hAnsi="Times New Roman" w:eastAsia="宋体" w:cs="Times New Roman"/>
          <w:b/>
          <w:bCs/>
          <w:snapToGrid w:val="0"/>
          <w:color w:val="000000"/>
          <w:spacing w:val="0"/>
          <w:kern w:val="0"/>
          <w:sz w:val="21"/>
          <w:szCs w:val="21"/>
          <w:lang w:val="en-US" w:eastAsia="zh-CN"/>
        </w:rPr>
        <w:t>.2-1   202</w:t>
      </w:r>
      <w:r>
        <w:rPr>
          <w:rFonts w:hint="eastAsia" w:ascii="Times New Roman" w:hAnsi="Times New Roman" w:eastAsia="宋体" w:cs="Times New Roman"/>
          <w:b/>
          <w:bCs/>
          <w:snapToGrid w:val="0"/>
          <w:color w:val="000000"/>
          <w:spacing w:val="0"/>
          <w:kern w:val="0"/>
          <w:sz w:val="21"/>
          <w:szCs w:val="21"/>
          <w:lang w:val="en-US" w:eastAsia="zh-CN"/>
        </w:rPr>
        <w:t>3</w:t>
      </w:r>
      <w:r>
        <w:rPr>
          <w:rFonts w:hint="default" w:ascii="Times New Roman" w:hAnsi="Times New Roman" w:eastAsia="宋体" w:cs="Times New Roman"/>
          <w:b/>
          <w:bCs/>
          <w:snapToGrid w:val="0"/>
          <w:color w:val="000000"/>
          <w:spacing w:val="0"/>
          <w:kern w:val="0"/>
          <w:sz w:val="21"/>
          <w:szCs w:val="21"/>
          <w:lang w:val="en-US" w:eastAsia="zh-CN"/>
        </w:rPr>
        <w:t>年度</w:t>
      </w:r>
      <w:r>
        <w:rPr>
          <w:rFonts w:hint="eastAsia" w:ascii="Times New Roman" w:hAnsi="Times New Roman" w:eastAsia="宋体" w:cs="Times New Roman"/>
          <w:b/>
          <w:bCs/>
          <w:snapToGrid w:val="0"/>
          <w:color w:val="000000"/>
          <w:spacing w:val="0"/>
          <w:kern w:val="0"/>
          <w:sz w:val="21"/>
          <w:szCs w:val="21"/>
          <w:lang w:val="en-US" w:eastAsia="zh-CN"/>
        </w:rPr>
        <w:t>宁远</w:t>
      </w:r>
      <w:r>
        <w:rPr>
          <w:rFonts w:hint="default" w:ascii="Times New Roman" w:hAnsi="Times New Roman" w:eastAsia="宋体" w:cs="Times New Roman"/>
          <w:b/>
          <w:bCs/>
          <w:snapToGrid w:val="0"/>
          <w:color w:val="000000"/>
          <w:spacing w:val="0"/>
          <w:kern w:val="0"/>
          <w:sz w:val="21"/>
          <w:szCs w:val="21"/>
          <w:lang w:val="en-US" w:eastAsia="zh-CN"/>
        </w:rPr>
        <w:t>县环境空气质量现状监测结果统计表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10"/>
        <w:gridCol w:w="2169"/>
        <w:gridCol w:w="1643"/>
        <w:gridCol w:w="1633"/>
        <w:gridCol w:w="1460"/>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污染物</w:t>
            </w:r>
          </w:p>
        </w:tc>
        <w:tc>
          <w:tcPr>
            <w:tcW w:w="1113" w:type="pct"/>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年评价指标</w:t>
            </w:r>
          </w:p>
        </w:tc>
        <w:tc>
          <w:tcPr>
            <w:tcW w:w="843" w:type="pct"/>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现状浓度</w:t>
            </w:r>
          </w:p>
        </w:tc>
        <w:tc>
          <w:tcPr>
            <w:tcW w:w="838" w:type="pct"/>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标准值</w:t>
            </w:r>
          </w:p>
        </w:tc>
        <w:tc>
          <w:tcPr>
            <w:tcW w:w="749" w:type="pct"/>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占标率</w:t>
            </w:r>
            <w:r>
              <w:rPr>
                <w:rFonts w:hint="eastAsia" w:ascii="Times New Roman" w:hAnsi="Times New Roman" w:eastAsia="宋体" w:cs="Times New Roman"/>
                <w:b/>
                <w:bCs/>
                <w:sz w:val="21"/>
                <w:szCs w:val="21"/>
                <w:u w:val="none"/>
              </w:rPr>
              <w:t>％</w:t>
            </w:r>
          </w:p>
        </w:tc>
        <w:tc>
          <w:tcPr>
            <w:tcW w:w="730" w:type="pct"/>
            <w:tcBorders>
              <w:right w:val="nil"/>
            </w:tcBorders>
            <w:noWrap w:val="0"/>
            <w:vAlign w:val="center"/>
          </w:tcPr>
          <w:p>
            <w:pPr>
              <w:pStyle w:val="44"/>
              <w:bidi w:val="0"/>
              <w:rPr>
                <w:rFonts w:ascii="Times New Roman" w:hAnsi="Times New Roman" w:eastAsia="宋体" w:cs="Times New Roman"/>
                <w:b/>
                <w:bCs/>
                <w:sz w:val="21"/>
                <w:szCs w:val="21"/>
                <w:u w:val="none"/>
              </w:rPr>
            </w:pPr>
            <w:r>
              <w:rPr>
                <w:rFonts w:ascii="Times New Roman" w:hAnsi="Times New Roman" w:eastAsia="宋体" w:cs="Times New Roman"/>
                <w:b/>
                <w:bCs/>
                <w:sz w:val="21"/>
                <w:szCs w:val="21"/>
                <w:u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PM</w:t>
            </w:r>
            <w:r>
              <w:rPr>
                <w:rFonts w:ascii="Times New Roman" w:hAnsi="Times New Roman" w:eastAsia="宋体" w:cs="Times New Roman"/>
                <w:b w:val="0"/>
                <w:bCs w:val="0"/>
                <w:sz w:val="21"/>
                <w:szCs w:val="21"/>
                <w:u w:val="none"/>
                <w:vertAlign w:val="subscript"/>
              </w:rPr>
              <w:t>10</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年平均质量浓度</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41</w:t>
            </w:r>
            <w:r>
              <w:rPr>
                <w:rFonts w:ascii="Times New Roman" w:hAnsi="Times New Roman" w:eastAsia="宋体" w:cs="Times New Roman"/>
                <w:b w:val="0"/>
                <w:bCs w:val="0"/>
                <w:sz w:val="21"/>
                <w:szCs w:val="21"/>
                <w:u w:val="none"/>
              </w:rPr>
              <w:t>μg/m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70μg/m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58.6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PM</w:t>
            </w:r>
            <w:r>
              <w:rPr>
                <w:rFonts w:ascii="Times New Roman" w:hAnsi="Times New Roman" w:eastAsia="宋体" w:cs="Times New Roman"/>
                <w:b w:val="0"/>
                <w:bCs w:val="0"/>
                <w:sz w:val="21"/>
                <w:szCs w:val="21"/>
                <w:u w:val="none"/>
                <w:vertAlign w:val="subscript"/>
              </w:rPr>
              <w:t>2.5</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年平均质量浓度</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29</w:t>
            </w:r>
            <w:r>
              <w:rPr>
                <w:rFonts w:ascii="Times New Roman" w:hAnsi="Times New Roman" w:eastAsia="宋体" w:cs="Times New Roman"/>
                <w:b w:val="0"/>
                <w:bCs w:val="0"/>
                <w:sz w:val="21"/>
                <w:szCs w:val="21"/>
                <w:u w:val="none"/>
              </w:rPr>
              <w:t>μg/m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35μg/m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82.9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eastAsia="zh-CN"/>
              </w:rPr>
              <w:t>达</w:t>
            </w:r>
            <w:r>
              <w:rPr>
                <w:rFonts w:ascii="Times New Roman" w:hAnsi="Times New Roman" w:eastAsia="宋体" w:cs="Times New Roman"/>
                <w:b w:val="0"/>
                <w:bCs w:val="0"/>
                <w:sz w:val="21"/>
                <w:szCs w:val="21"/>
                <w:u w:val="none"/>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NO</w:t>
            </w:r>
            <w:r>
              <w:rPr>
                <w:rFonts w:ascii="Times New Roman" w:hAnsi="Times New Roman" w:eastAsia="宋体" w:cs="Times New Roman"/>
                <w:b w:val="0"/>
                <w:bCs w:val="0"/>
                <w:sz w:val="21"/>
                <w:szCs w:val="21"/>
                <w:u w:val="none"/>
                <w:vertAlign w:val="subscript"/>
              </w:rPr>
              <w:t>2</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年平均质量浓度</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rPr>
              <w:t>1</w:t>
            </w:r>
            <w:r>
              <w:rPr>
                <w:rFonts w:hint="eastAsia" w:ascii="Times New Roman" w:hAnsi="Times New Roman" w:eastAsia="宋体" w:cs="Times New Roman"/>
                <w:b w:val="0"/>
                <w:bCs w:val="0"/>
                <w:sz w:val="21"/>
                <w:szCs w:val="21"/>
                <w:u w:val="none"/>
                <w:lang w:val="en-US" w:eastAsia="zh-CN"/>
              </w:rPr>
              <w:t>1</w:t>
            </w:r>
            <w:r>
              <w:rPr>
                <w:rFonts w:ascii="Times New Roman" w:hAnsi="Times New Roman" w:eastAsia="宋体" w:cs="Times New Roman"/>
                <w:b w:val="0"/>
                <w:bCs w:val="0"/>
                <w:sz w:val="21"/>
                <w:szCs w:val="21"/>
                <w:u w:val="none"/>
              </w:rPr>
              <w:t>μg/m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40μg/m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27.5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SO</w:t>
            </w:r>
            <w:r>
              <w:rPr>
                <w:rFonts w:ascii="Times New Roman" w:hAnsi="Times New Roman" w:eastAsia="宋体" w:cs="Times New Roman"/>
                <w:b w:val="0"/>
                <w:bCs w:val="0"/>
                <w:sz w:val="21"/>
                <w:szCs w:val="21"/>
                <w:u w:val="none"/>
                <w:vertAlign w:val="subscript"/>
              </w:rPr>
              <w:t>2</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年平均质量浓度</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7</w:t>
            </w:r>
            <w:r>
              <w:rPr>
                <w:rFonts w:ascii="Times New Roman" w:hAnsi="Times New Roman" w:eastAsia="宋体" w:cs="Times New Roman"/>
                <w:b w:val="0"/>
                <w:bCs w:val="0"/>
                <w:sz w:val="21"/>
                <w:szCs w:val="21"/>
                <w:u w:val="none"/>
              </w:rPr>
              <w:t>μg/m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60μg/m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11.7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CO</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95百分位数24小时平均</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1.0</w:t>
            </w:r>
            <w:r>
              <w:rPr>
                <w:rFonts w:ascii="Times New Roman" w:hAnsi="Times New Roman" w:eastAsia="宋体" w:cs="Times New Roman"/>
                <w:b w:val="0"/>
                <w:bCs w:val="0"/>
                <w:sz w:val="21"/>
                <w:szCs w:val="21"/>
                <w:u w:val="none"/>
              </w:rPr>
              <w:t>mg/m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4mg/m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25.0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4" w:type="pct"/>
            <w:tcBorders>
              <w:lef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O</w:t>
            </w:r>
            <w:r>
              <w:rPr>
                <w:rFonts w:ascii="Times New Roman" w:hAnsi="Times New Roman" w:eastAsia="宋体" w:cs="Times New Roman"/>
                <w:b w:val="0"/>
                <w:bCs w:val="0"/>
                <w:sz w:val="21"/>
                <w:szCs w:val="21"/>
                <w:u w:val="none"/>
                <w:vertAlign w:val="subscript"/>
              </w:rPr>
              <w:t>3</w:t>
            </w:r>
          </w:p>
        </w:tc>
        <w:tc>
          <w:tcPr>
            <w:tcW w:w="1113"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90百分位数8h平均</w:t>
            </w:r>
          </w:p>
        </w:tc>
        <w:tc>
          <w:tcPr>
            <w:tcW w:w="843" w:type="pct"/>
            <w:noWrap w:val="0"/>
            <w:vAlign w:val="center"/>
          </w:tcPr>
          <w:p>
            <w:pPr>
              <w:pStyle w:val="44"/>
              <w:bidi w:val="0"/>
              <w:rPr>
                <w:rFonts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rPr>
              <w:t>1</w:t>
            </w:r>
            <w:r>
              <w:rPr>
                <w:rFonts w:hint="eastAsia" w:ascii="Times New Roman" w:hAnsi="Times New Roman" w:eastAsia="宋体" w:cs="Times New Roman"/>
                <w:b w:val="0"/>
                <w:bCs w:val="0"/>
                <w:sz w:val="21"/>
                <w:szCs w:val="21"/>
                <w:u w:val="none"/>
                <w:lang w:val="en-US" w:eastAsia="zh-CN"/>
              </w:rPr>
              <w:t>16</w:t>
            </w:r>
            <w:r>
              <w:rPr>
                <w:rFonts w:ascii="Times New Roman" w:hAnsi="Times New Roman" w:eastAsia="宋体" w:cs="Times New Roman"/>
                <w:b w:val="0"/>
                <w:bCs w:val="0"/>
                <w:sz w:val="21"/>
                <w:szCs w:val="21"/>
                <w:u w:val="none"/>
              </w:rPr>
              <w:t>μg/m</w:t>
            </w:r>
            <w:r>
              <w:rPr>
                <w:rFonts w:ascii="Times New Roman" w:hAnsi="Times New Roman" w:eastAsia="宋体" w:cs="Times New Roman"/>
                <w:b w:val="0"/>
                <w:bCs w:val="0"/>
                <w:sz w:val="21"/>
                <w:szCs w:val="21"/>
                <w:u w:val="none"/>
                <w:vertAlign w:val="superscript"/>
              </w:rPr>
              <w:t>3</w:t>
            </w:r>
          </w:p>
        </w:tc>
        <w:tc>
          <w:tcPr>
            <w:tcW w:w="838" w:type="pct"/>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160μg/m</w:t>
            </w:r>
            <w:r>
              <w:rPr>
                <w:rFonts w:ascii="Times New Roman" w:hAnsi="Times New Roman" w:eastAsia="宋体" w:cs="Times New Roman"/>
                <w:b w:val="0"/>
                <w:bCs w:val="0"/>
                <w:sz w:val="21"/>
                <w:szCs w:val="21"/>
                <w:u w:val="none"/>
                <w:vertAlign w:val="superscript"/>
              </w:rPr>
              <w:t>3</w:t>
            </w:r>
          </w:p>
        </w:tc>
        <w:tc>
          <w:tcPr>
            <w:tcW w:w="1460" w:type="dxa"/>
            <w:noWrap w:val="0"/>
            <w:vAlign w:val="center"/>
          </w:tcPr>
          <w:p>
            <w:pPr>
              <w:pStyle w:val="44"/>
              <w:bidi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 xml:space="preserve">72.5 </w:t>
            </w:r>
          </w:p>
        </w:tc>
        <w:tc>
          <w:tcPr>
            <w:tcW w:w="730" w:type="pct"/>
            <w:tcBorders>
              <w:right w:val="nil"/>
            </w:tcBorders>
            <w:noWrap w:val="0"/>
            <w:vAlign w:val="center"/>
          </w:tcPr>
          <w:p>
            <w:pPr>
              <w:pStyle w:val="44"/>
              <w:bidi w:val="0"/>
              <w:rPr>
                <w:rFonts w:ascii="Times New Roman" w:hAnsi="Times New Roman" w:eastAsia="宋体" w:cs="Times New Roman"/>
                <w:b w:val="0"/>
                <w:bCs w:val="0"/>
                <w:sz w:val="21"/>
                <w:szCs w:val="21"/>
                <w:u w:val="none"/>
              </w:rPr>
            </w:pPr>
            <w:r>
              <w:rPr>
                <w:rFonts w:ascii="Times New Roman" w:hAnsi="Times New Roman" w:eastAsia="宋体" w:cs="Times New Roman"/>
                <w:b w:val="0"/>
                <w:bCs w:val="0"/>
                <w:sz w:val="21"/>
                <w:szCs w:val="21"/>
                <w:u w:val="none"/>
              </w:rPr>
              <w:t>达标</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根据上表数据显示，本项目所在区域的环境空气中PM</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10</w:t>
      </w:r>
      <w:r>
        <w:rPr>
          <w:rFonts w:hint="default" w:ascii="Times New Roman" w:hAnsi="Times New Roman" w:eastAsia="宋体" w:cs="Times New Roman"/>
          <w:b w:val="0"/>
          <w:bCs w:val="0"/>
          <w:snapToGrid w:val="0"/>
          <w:color w:val="000000"/>
          <w:spacing w:val="11"/>
          <w:kern w:val="0"/>
          <w:sz w:val="24"/>
          <w:szCs w:val="24"/>
          <w:lang w:val="en-US" w:eastAsia="zh-CN"/>
        </w:rPr>
        <w:t>、PM</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2.5</w:t>
      </w:r>
      <w:r>
        <w:rPr>
          <w:rFonts w:hint="default" w:ascii="Times New Roman" w:hAnsi="Times New Roman" w:eastAsia="宋体" w:cs="Times New Roman"/>
          <w:b w:val="0"/>
          <w:bCs w:val="0"/>
          <w:snapToGrid w:val="0"/>
          <w:color w:val="000000"/>
          <w:spacing w:val="11"/>
          <w:kern w:val="0"/>
          <w:sz w:val="24"/>
          <w:szCs w:val="24"/>
          <w:lang w:val="en-US" w:eastAsia="zh-CN"/>
        </w:rPr>
        <w:t>、SO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、NO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年平均质量浓度、CO24小时平均值、O</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日最大8小时平均值均满足《环境空气质量标准》（GB3095-2012）</w:t>
      </w:r>
      <w:r>
        <w:rPr>
          <w:rFonts w:hint="eastAsia" w:ascii="Times New Roman" w:hAnsi="Times New Roman" w:eastAsia="宋体" w:cs="Times New Roman"/>
          <w:b w:val="0"/>
          <w:bCs w:val="0"/>
          <w:snapToGrid w:val="0"/>
          <w:color w:val="000000"/>
          <w:spacing w:val="11"/>
          <w:kern w:val="0"/>
          <w:sz w:val="24"/>
          <w:szCs w:val="24"/>
          <w:lang w:val="en-US" w:eastAsia="zh-CN"/>
        </w:rPr>
        <w:t>及其修改单</w:t>
      </w:r>
      <w:r>
        <w:rPr>
          <w:rFonts w:hint="default" w:ascii="Times New Roman" w:hAnsi="Times New Roman" w:eastAsia="宋体" w:cs="Times New Roman"/>
          <w:b w:val="0"/>
          <w:bCs w:val="0"/>
          <w:snapToGrid w:val="0"/>
          <w:color w:val="000000"/>
          <w:spacing w:val="11"/>
          <w:kern w:val="0"/>
          <w:sz w:val="24"/>
          <w:szCs w:val="24"/>
          <w:lang w:val="en-US" w:eastAsia="zh-CN"/>
        </w:rPr>
        <w:t>中二级标准要求</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4</w:t>
      </w:r>
      <w:r>
        <w:rPr>
          <w:rFonts w:hint="default"/>
          <w:lang w:val="en-US" w:eastAsia="zh-CN"/>
        </w:rPr>
        <w:t>.2</w:t>
      </w:r>
      <w:r>
        <w:rPr>
          <w:rFonts w:hint="eastAsia"/>
          <w:lang w:val="en-US" w:eastAsia="zh-CN"/>
        </w:rPr>
        <w:t>.2</w:t>
      </w:r>
      <w:r>
        <w:rPr>
          <w:rFonts w:hint="default"/>
          <w:lang w:val="en-US" w:eastAsia="zh-CN"/>
        </w:rPr>
        <w:t xml:space="preserve"> 环境空气质量现状补充监测</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本次空气环境质量现状</w:t>
      </w:r>
      <w:r>
        <w:rPr>
          <w:rFonts w:hint="eastAsia" w:ascii="Times New Roman" w:hAnsi="Times New Roman" w:eastAsia="宋体" w:cs="Times New Roman"/>
          <w:b w:val="0"/>
          <w:bCs w:val="0"/>
          <w:snapToGrid w:val="0"/>
          <w:color w:val="000000"/>
          <w:spacing w:val="11"/>
          <w:kern w:val="0"/>
          <w:sz w:val="24"/>
          <w:szCs w:val="24"/>
          <w:lang w:val="en-US" w:eastAsia="zh-CN"/>
        </w:rPr>
        <w:t>特征因子硫化氢、氨、臭气浓度数据引用《宁远县中医医院整体搬迁项目环境影响报告书》中监测数据。监测公司是湖南谱实检测技术有限公司</w:t>
      </w:r>
      <w:r>
        <w:rPr>
          <w:rFonts w:hint="default" w:ascii="Times New Roman" w:hAnsi="Times New Roman" w:eastAsia="宋体" w:cs="Times New Roman"/>
          <w:b w:val="0"/>
          <w:bCs w:val="0"/>
          <w:snapToGrid w:val="0"/>
          <w:color w:val="000000"/>
          <w:spacing w:val="11"/>
          <w:kern w:val="0"/>
          <w:sz w:val="24"/>
          <w:szCs w:val="24"/>
          <w:lang w:val="en-US" w:eastAsia="zh-CN"/>
        </w:rPr>
        <w:t>，监测时间为202</w:t>
      </w:r>
      <w:r>
        <w:rPr>
          <w:rFonts w:hint="eastAsia" w:ascii="Times New Roman" w:hAnsi="Times New Roman" w:eastAsia="宋体" w:cs="Times New Roman"/>
          <w:b w:val="0"/>
          <w:bCs w:val="0"/>
          <w:snapToGrid w:val="0"/>
          <w:color w:val="000000"/>
          <w:spacing w:val="11"/>
          <w:kern w:val="0"/>
          <w:sz w:val="24"/>
          <w:szCs w:val="24"/>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年</w:t>
      </w:r>
      <w:r>
        <w:rPr>
          <w:rFonts w:hint="eastAsia" w:ascii="Times New Roman" w:hAnsi="Times New Roman" w:eastAsia="宋体" w:cs="Times New Roman"/>
          <w:b w:val="0"/>
          <w:bCs w:val="0"/>
          <w:snapToGrid w:val="0"/>
          <w:color w:val="000000"/>
          <w:spacing w:val="11"/>
          <w:kern w:val="0"/>
          <w:sz w:val="24"/>
          <w:szCs w:val="24"/>
          <w:lang w:val="en-US" w:eastAsia="zh-CN"/>
        </w:rPr>
        <w:t>6</w:t>
      </w:r>
      <w:r>
        <w:rPr>
          <w:rFonts w:hint="default" w:ascii="Times New Roman" w:hAnsi="Times New Roman" w:eastAsia="宋体" w:cs="Times New Roman"/>
          <w:b w:val="0"/>
          <w:bCs w:val="0"/>
          <w:snapToGrid w:val="0"/>
          <w:color w:val="000000"/>
          <w:spacing w:val="11"/>
          <w:kern w:val="0"/>
          <w:sz w:val="24"/>
          <w:szCs w:val="24"/>
          <w:lang w:val="en-US" w:eastAsia="zh-CN"/>
        </w:rPr>
        <w:t>月</w:t>
      </w:r>
      <w:r>
        <w:rPr>
          <w:rFonts w:hint="eastAsia" w:ascii="Times New Roman" w:hAnsi="Times New Roman"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 xml:space="preserve">~ </w:t>
      </w:r>
      <w:r>
        <w:rPr>
          <w:rFonts w:hint="eastAsia" w:ascii="Times New Roman" w:hAnsi="Times New Roman" w:eastAsia="宋体" w:cs="Times New Roman"/>
          <w:b w:val="0"/>
          <w:bCs w:val="0"/>
          <w:snapToGrid w:val="0"/>
          <w:color w:val="000000"/>
          <w:spacing w:val="11"/>
          <w:kern w:val="0"/>
          <w:sz w:val="24"/>
          <w:szCs w:val="24"/>
          <w:lang w:val="en-US" w:eastAsia="zh-CN"/>
        </w:rPr>
        <w:t>6月11</w:t>
      </w:r>
      <w:r>
        <w:rPr>
          <w:rFonts w:hint="default" w:ascii="Times New Roman" w:hAnsi="Times New Roman" w:eastAsia="宋体" w:cs="Times New Roman"/>
          <w:b w:val="0"/>
          <w:bCs w:val="0"/>
          <w:snapToGrid w:val="0"/>
          <w:color w:val="000000"/>
          <w:spacing w:val="11"/>
          <w:kern w:val="0"/>
          <w:sz w:val="24"/>
          <w:szCs w:val="24"/>
          <w:lang w:val="en-US" w:eastAsia="zh-CN"/>
        </w:rPr>
        <w:t>日，</w:t>
      </w:r>
      <w:r>
        <w:rPr>
          <w:rFonts w:hint="eastAsia" w:ascii="Times New Roman" w:hAnsi="Times New Roman" w:eastAsia="宋体" w:cs="Times New Roman"/>
          <w:b w:val="0"/>
          <w:bCs w:val="0"/>
          <w:snapToGrid w:val="0"/>
          <w:color w:val="000000"/>
          <w:spacing w:val="11"/>
          <w:kern w:val="0"/>
          <w:sz w:val="24"/>
          <w:szCs w:val="24"/>
          <w:lang w:val="en-US" w:eastAsia="zh-CN"/>
        </w:rPr>
        <w:t>监测地点为宁远县中医医院项目所在地，位于本项目东侧</w:t>
      </w:r>
      <w:r>
        <w:rPr>
          <w:rFonts w:hint="default" w:ascii="Times New Roman" w:hAnsi="Times New Roman" w:eastAsia="宋体" w:cs="Times New Roman"/>
          <w:b w:val="0"/>
          <w:bCs w:val="0"/>
          <w:snapToGrid w:val="0"/>
          <w:color w:val="000000"/>
          <w:spacing w:val="11"/>
          <w:kern w:val="0"/>
          <w:sz w:val="24"/>
          <w:szCs w:val="24"/>
          <w:lang w:val="en-US" w:eastAsia="zh-CN"/>
        </w:rPr>
        <w:t>。本次空气环境质量现状</w:t>
      </w:r>
      <w:r>
        <w:rPr>
          <w:rFonts w:hint="eastAsia" w:ascii="Times New Roman" w:hAnsi="Times New Roman" w:eastAsia="宋体" w:cs="Times New Roman"/>
          <w:b w:val="0"/>
          <w:bCs w:val="0"/>
          <w:snapToGrid w:val="0"/>
          <w:color w:val="000000"/>
          <w:spacing w:val="11"/>
          <w:kern w:val="0"/>
          <w:sz w:val="24"/>
          <w:szCs w:val="24"/>
          <w:lang w:val="en-US" w:eastAsia="zh-CN"/>
        </w:rPr>
        <w:t>特征因子非甲烷总烃数据引用《宁远县力源沥青混凝土搅拌站项目环境影响报告表》中监测数据，监测公司是湖南华环检测技术有限公司，监测时间为2023年9月6至12日，监测地点位于本项目西南侧评价范围内。</w:t>
      </w:r>
    </w:p>
    <w:p>
      <w:pPr>
        <w:pStyle w:val="13"/>
        <w:spacing w:line="360" w:lineRule="auto"/>
        <w:rPr>
          <w:rFonts w:hint="default"/>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      本项目</w:t>
      </w:r>
      <w:r>
        <w:rPr>
          <w:rFonts w:hint="default" w:ascii="Times New Roman" w:hAnsi="Times New Roman" w:eastAsia="宋体" w:cs="Times New Roman"/>
          <w:b w:val="0"/>
          <w:bCs w:val="0"/>
          <w:snapToGrid w:val="0"/>
          <w:color w:val="000000"/>
          <w:spacing w:val="11"/>
          <w:kern w:val="0"/>
          <w:sz w:val="24"/>
          <w:szCs w:val="24"/>
          <w:lang w:val="en-US" w:eastAsia="zh-CN"/>
        </w:rPr>
        <w:t>空气环境质量现状</w:t>
      </w:r>
      <w:r>
        <w:rPr>
          <w:rFonts w:hint="eastAsia" w:ascii="Times New Roman" w:hAnsi="Times New Roman" w:eastAsia="宋体" w:cs="Times New Roman"/>
          <w:b w:val="0"/>
          <w:bCs w:val="0"/>
          <w:snapToGrid w:val="0"/>
          <w:color w:val="000000"/>
          <w:spacing w:val="11"/>
          <w:kern w:val="0"/>
          <w:sz w:val="24"/>
          <w:szCs w:val="24"/>
          <w:lang w:val="en-US" w:eastAsia="zh-CN"/>
        </w:rPr>
        <w:t>特征因子氯化氢、氮氧化物特委托湖南中雁环保科技有限公司于项目所在地2024年8月19日至25日开展环境现状补充监测。</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w:t>
      </w:r>
      <w:r>
        <w:rPr>
          <w:rFonts w:hint="default" w:ascii="Times New Roman" w:hAnsi="Times New Roman" w:eastAsia="宋体" w:cs="Times New Roman"/>
          <w:b w:val="0"/>
          <w:bCs w:val="0"/>
          <w:snapToGrid w:val="0"/>
          <w:color w:val="000000"/>
          <w:spacing w:val="11"/>
          <w:kern w:val="0"/>
          <w:sz w:val="24"/>
          <w:szCs w:val="24"/>
          <w:lang w:val="en-US" w:eastAsia="zh-CN"/>
        </w:rPr>
        <w:t>.2.2</w:t>
      </w:r>
      <w:r>
        <w:rPr>
          <w:rFonts w:hint="eastAsia" w:ascii="Times New Roman" w:hAnsi="Times New Roman" w:eastAsia="宋体" w:cs="Times New Roman"/>
          <w:b w:val="0"/>
          <w:bCs w:val="0"/>
          <w:snapToGrid w:val="0"/>
          <w:color w:val="000000"/>
          <w:spacing w:val="11"/>
          <w:kern w:val="0"/>
          <w:sz w:val="24"/>
          <w:szCs w:val="24"/>
          <w:lang w:val="en-US" w:eastAsia="zh-CN"/>
        </w:rPr>
        <w:t>.1</w:t>
      </w:r>
      <w:r>
        <w:rPr>
          <w:rFonts w:hint="default" w:ascii="Times New Roman" w:hAnsi="Times New Roman" w:eastAsia="宋体" w:cs="Times New Roman"/>
          <w:b w:val="0"/>
          <w:bCs w:val="0"/>
          <w:snapToGrid w:val="0"/>
          <w:color w:val="000000"/>
          <w:spacing w:val="11"/>
          <w:kern w:val="0"/>
          <w:sz w:val="24"/>
          <w:szCs w:val="24"/>
          <w:lang w:val="en-US" w:eastAsia="zh-CN"/>
        </w:rPr>
        <w:t>补充监测布点</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具体监测点位置见表</w:t>
      </w:r>
      <w:r>
        <w:rPr>
          <w:rFonts w:hint="eastAsia" w:ascii="Times New Roman" w:hAnsi="Times New Roman" w:eastAsia="宋体" w:cs="Times New Roman"/>
          <w:b w:val="0"/>
          <w:bCs w:val="0"/>
          <w:snapToGrid w:val="0"/>
          <w:color w:val="000000"/>
          <w:spacing w:val="11"/>
          <w:kern w:val="0"/>
          <w:sz w:val="24"/>
          <w:szCs w:val="24"/>
          <w:lang w:val="en-US" w:eastAsia="zh-CN"/>
        </w:rPr>
        <w:t>4</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2、4.2-3</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8"/>
        <w:numPr>
          <w:ilvl w:val="0"/>
          <w:numId w:val="0"/>
        </w:numPr>
        <w:tabs>
          <w:tab w:val="left" w:pos="0"/>
        </w:tabs>
        <w:bidi w:val="0"/>
        <w:ind w:left="0" w:leftChars="0"/>
        <w:jc w:val="center"/>
        <w:rPr>
          <w:rFonts w:hint="default" w:ascii="Times New Roman" w:hAnsi="Times New Roman" w:eastAsia="宋体" w:cs="Times New Roman"/>
          <w:b/>
          <w:bCs/>
          <w:snapToGrid w:val="0"/>
          <w:color w:val="000000"/>
          <w:spacing w:val="0"/>
          <w:kern w:val="0"/>
          <w:sz w:val="21"/>
          <w:szCs w:val="21"/>
          <w:lang w:val="en-US" w:eastAsia="zh-CN"/>
        </w:rPr>
      </w:pPr>
      <w:r>
        <w:rPr>
          <w:rFonts w:hint="default" w:ascii="Times New Roman" w:hAnsi="Times New Roman" w:eastAsia="宋体" w:cs="Times New Roman"/>
          <w:b/>
          <w:bCs/>
          <w:snapToGrid w:val="0"/>
          <w:color w:val="000000"/>
          <w:spacing w:val="0"/>
          <w:kern w:val="0"/>
          <w:sz w:val="21"/>
          <w:szCs w:val="21"/>
          <w:lang w:val="en-US" w:eastAsia="zh-CN"/>
        </w:rPr>
        <w:t>表</w:t>
      </w:r>
      <w:r>
        <w:rPr>
          <w:rFonts w:hint="eastAsia" w:ascii="Times New Roman" w:hAnsi="Times New Roman" w:eastAsia="宋体" w:cs="Times New Roman"/>
          <w:b/>
          <w:bCs/>
          <w:snapToGrid w:val="0"/>
          <w:color w:val="000000"/>
          <w:spacing w:val="0"/>
          <w:kern w:val="0"/>
          <w:sz w:val="21"/>
          <w:szCs w:val="21"/>
          <w:lang w:val="en-US" w:eastAsia="zh-CN"/>
        </w:rPr>
        <w:t>4</w:t>
      </w:r>
      <w:r>
        <w:rPr>
          <w:rFonts w:hint="default" w:ascii="Times New Roman" w:hAnsi="Times New Roman" w:eastAsia="宋体" w:cs="Times New Roman"/>
          <w:b/>
          <w:bCs/>
          <w:snapToGrid w:val="0"/>
          <w:color w:val="000000"/>
          <w:spacing w:val="0"/>
          <w:kern w:val="0"/>
          <w:sz w:val="21"/>
          <w:szCs w:val="21"/>
          <w:lang w:val="en-US" w:eastAsia="zh-CN"/>
        </w:rPr>
        <w:t>.2-</w:t>
      </w:r>
      <w:r>
        <w:rPr>
          <w:rFonts w:hint="eastAsia" w:ascii="Times New Roman" w:hAnsi="Times New Roman" w:eastAsia="宋体" w:cs="Times New Roman"/>
          <w:b/>
          <w:bCs/>
          <w:snapToGrid w:val="0"/>
          <w:color w:val="000000"/>
          <w:spacing w:val="0"/>
          <w:kern w:val="0"/>
          <w:sz w:val="21"/>
          <w:szCs w:val="21"/>
          <w:lang w:val="en-US" w:eastAsia="zh-CN"/>
        </w:rPr>
        <w:t xml:space="preserve">2 </w:t>
      </w:r>
      <w:r>
        <w:rPr>
          <w:rFonts w:hint="default" w:ascii="Times New Roman" w:hAnsi="Times New Roman" w:eastAsia="宋体" w:cs="Times New Roman"/>
          <w:b/>
          <w:bCs/>
          <w:snapToGrid w:val="0"/>
          <w:color w:val="000000"/>
          <w:spacing w:val="0"/>
          <w:kern w:val="0"/>
          <w:sz w:val="21"/>
          <w:szCs w:val="21"/>
          <w:lang w:val="en-US" w:eastAsia="zh-CN"/>
        </w:rPr>
        <w:t>大气环境现状监测布点</w:t>
      </w:r>
      <w:r>
        <w:rPr>
          <w:rFonts w:hint="eastAsia" w:ascii="Times New Roman" w:hAnsi="Times New Roman" w:eastAsia="宋体" w:cs="Times New Roman"/>
          <w:b/>
          <w:bCs/>
          <w:snapToGrid w:val="0"/>
          <w:color w:val="000000"/>
          <w:spacing w:val="0"/>
          <w:kern w:val="0"/>
          <w:sz w:val="21"/>
          <w:szCs w:val="21"/>
          <w:lang w:val="en-US" w:eastAsia="zh-CN"/>
        </w:rPr>
        <w:t>（引用数据）</w:t>
      </w:r>
    </w:p>
    <w:tbl>
      <w:tblPr>
        <w:tblStyle w:val="25"/>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1860"/>
        <w:gridCol w:w="1490"/>
        <w:gridCol w:w="1468"/>
        <w:gridCol w:w="2082"/>
        <w:gridCol w:w="982"/>
        <w:gridCol w:w="18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vMerge w:val="restart"/>
            <w:tcBorders>
              <w:left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监测点名称</w:t>
            </w:r>
          </w:p>
        </w:tc>
        <w:tc>
          <w:tcPr>
            <w:tcW w:w="1519"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b/>
                <w:bCs/>
                <w:sz w:val="21"/>
                <w:szCs w:val="21"/>
                <w:u w:val="none"/>
              </w:rPr>
            </w:pPr>
            <w:r>
              <w:rPr>
                <w:rFonts w:hint="default" w:ascii="Times New Roman" w:hAnsi="Times New Roman" w:cs="Times New Roman"/>
                <w:b/>
                <w:bCs/>
                <w:sz w:val="21"/>
                <w:szCs w:val="21"/>
                <w:u w:val="none"/>
              </w:rPr>
              <w:t>监测点坐标</w:t>
            </w:r>
            <w:r>
              <w:rPr>
                <w:rFonts w:hint="default" w:ascii="Times New Roman" w:hAnsi="Times New Roman" w:eastAsia="Times New Roman" w:cs="Times New Roman"/>
                <w:b/>
                <w:bCs/>
                <w:sz w:val="21"/>
                <w:szCs w:val="21"/>
                <w:u w:val="none"/>
              </w:rPr>
              <w:t>/</w:t>
            </w:r>
            <w:r>
              <w:rPr>
                <w:rFonts w:hint="eastAsia" w:ascii="宋体" w:hAnsi="宋体" w:eastAsia="宋体" w:cs="宋体"/>
                <w:b/>
                <w:bCs/>
                <w:sz w:val="21"/>
                <w:szCs w:val="21"/>
                <w:u w:val="none"/>
              </w:rPr>
              <w:t>°</w:t>
            </w:r>
          </w:p>
        </w:tc>
        <w:tc>
          <w:tcPr>
            <w:tcW w:w="1069"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监测因子</w:t>
            </w:r>
          </w:p>
        </w:tc>
        <w:tc>
          <w:tcPr>
            <w:tcW w:w="504"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相对厂址方位</w:t>
            </w:r>
          </w:p>
        </w:tc>
        <w:tc>
          <w:tcPr>
            <w:tcW w:w="951" w:type="pct"/>
            <w:vMerge w:val="restart"/>
            <w:tcBorders>
              <w:right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b/>
                <w:bCs/>
                <w:sz w:val="21"/>
                <w:szCs w:val="21"/>
                <w:u w:val="none"/>
              </w:rPr>
            </w:pPr>
            <w:r>
              <w:rPr>
                <w:rFonts w:hint="default" w:ascii="Times New Roman" w:hAnsi="Times New Roman" w:cs="Times New Roman"/>
                <w:b/>
                <w:bCs/>
                <w:sz w:val="21"/>
                <w:szCs w:val="21"/>
                <w:u w:val="none"/>
              </w:rPr>
              <w:t>相对厂界距离</w:t>
            </w:r>
            <w:r>
              <w:rPr>
                <w:rFonts w:hint="default" w:ascii="Times New Roman" w:hAnsi="Times New Roman" w:eastAsia="Times New Roman" w:cs="Times New Roman"/>
                <w:b/>
                <w:bCs/>
                <w:sz w:val="21"/>
                <w:szCs w:val="21"/>
                <w:u w:val="none"/>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vMerge w:val="continue"/>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b/>
                <w:bCs/>
                <w:iCs/>
                <w:sz w:val="21"/>
                <w:szCs w:val="21"/>
                <w:u w:val="none"/>
                <w:lang w:eastAsia="zh-CN"/>
              </w:rPr>
            </w:pPr>
            <w:r>
              <w:rPr>
                <w:rFonts w:hint="eastAsia" w:ascii="Times New Roman" w:hAnsi="Times New Roman" w:eastAsia="宋体" w:cs="Times New Roman"/>
                <w:b/>
                <w:bCs/>
                <w:iCs/>
                <w:sz w:val="21"/>
                <w:szCs w:val="21"/>
                <w:u w:val="none"/>
                <w:lang w:val="en-US" w:eastAsia="zh-CN"/>
              </w:rPr>
              <w:t>经度</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b/>
                <w:bCs/>
                <w:iCs/>
                <w:sz w:val="21"/>
                <w:szCs w:val="21"/>
                <w:u w:val="none"/>
                <w:lang w:eastAsia="zh-CN"/>
              </w:rPr>
            </w:pPr>
            <w:r>
              <w:rPr>
                <w:rFonts w:hint="eastAsia" w:ascii="Times New Roman" w:hAnsi="Times New Roman" w:eastAsia="宋体" w:cs="Times New Roman"/>
                <w:b/>
                <w:bCs/>
                <w:iCs/>
                <w:sz w:val="21"/>
                <w:szCs w:val="21"/>
                <w:u w:val="none"/>
                <w:lang w:val="en-US" w:eastAsia="zh-CN"/>
              </w:rPr>
              <w:t>纬度</w:t>
            </w:r>
          </w:p>
        </w:tc>
        <w:tc>
          <w:tcPr>
            <w:tcW w:w="106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5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951" w:type="pct"/>
            <w:vMerge w:val="continue"/>
            <w:tcBorders>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tcBorders>
              <w:left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G1宁远县中医医院项目建设地</w:t>
            </w: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111.951576</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25.544604</w:t>
            </w:r>
          </w:p>
        </w:tc>
        <w:tc>
          <w:tcPr>
            <w:tcW w:w="1069"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硫化氢、氨、臭气浓度</w:t>
            </w:r>
          </w:p>
        </w:tc>
        <w:tc>
          <w:tcPr>
            <w:tcW w:w="50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000000"/>
                <w:kern w:val="2"/>
                <w:sz w:val="21"/>
                <w:szCs w:val="21"/>
                <w:u w:val="none"/>
                <w:lang w:val="en-US" w:eastAsia="zh-CN" w:bidi="ar-SA"/>
              </w:rPr>
            </w:pPr>
            <w:r>
              <w:rPr>
                <w:rFonts w:hint="eastAsia" w:eastAsia="宋体" w:cs="Times New Roman"/>
                <w:kern w:val="2"/>
                <w:sz w:val="21"/>
                <w:szCs w:val="21"/>
                <w:u w:val="none"/>
                <w:lang w:val="en-US" w:eastAsia="zh-CN" w:bidi="ar-SA"/>
              </w:rPr>
              <w:t>东侧</w:t>
            </w:r>
          </w:p>
        </w:tc>
        <w:tc>
          <w:tcPr>
            <w:tcW w:w="951" w:type="pct"/>
            <w:tcBorders>
              <w:right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snapToGrid w:val="0"/>
                <w:color w:val="000000"/>
                <w:kern w:val="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PrEx>
        <w:trPr>
          <w:trHeight w:val="454" w:hRule="atLeast"/>
          <w:jc w:val="center"/>
        </w:trPr>
        <w:tc>
          <w:tcPr>
            <w:tcW w:w="955" w:type="pct"/>
            <w:tcBorders>
              <w:left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G2宁远县力源建材有限公司</w:t>
            </w:r>
            <w:r>
              <w:rPr>
                <w:rFonts w:hint="default" w:ascii="Times New Roman" w:hAnsi="Times New Roman" w:eastAsia="宋体" w:cs="Times New Roman"/>
                <w:i w:val="0"/>
                <w:iCs w:val="0"/>
                <w:color w:val="auto"/>
                <w:kern w:val="0"/>
                <w:sz w:val="21"/>
                <w:szCs w:val="21"/>
                <w:u w:val="none"/>
                <w:lang w:val="en-US" w:eastAsia="zh-CN" w:bidi="ar"/>
              </w:rPr>
              <w:t>东南角</w:t>
            </w: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111.95376916</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25.54042859</w:t>
            </w:r>
          </w:p>
        </w:tc>
        <w:tc>
          <w:tcPr>
            <w:tcW w:w="1069"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非甲烷总烃</w:t>
            </w:r>
          </w:p>
        </w:tc>
        <w:tc>
          <w:tcPr>
            <w:tcW w:w="50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kern w:val="2"/>
                <w:sz w:val="21"/>
                <w:szCs w:val="21"/>
                <w:u w:val="none"/>
                <w:lang w:val="en-US" w:eastAsia="zh-CN" w:bidi="ar-SA"/>
              </w:rPr>
            </w:pPr>
            <w:r>
              <w:rPr>
                <w:rFonts w:hint="eastAsia" w:eastAsia="宋体" w:cs="Times New Roman"/>
                <w:kern w:val="2"/>
                <w:sz w:val="21"/>
                <w:szCs w:val="21"/>
                <w:u w:val="none"/>
                <w:lang w:val="en-US" w:eastAsia="zh-CN" w:bidi="ar-SA"/>
              </w:rPr>
              <w:t>南</w:t>
            </w:r>
          </w:p>
        </w:tc>
        <w:tc>
          <w:tcPr>
            <w:tcW w:w="951" w:type="pct"/>
            <w:tcBorders>
              <w:right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580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tcBorders>
              <w:left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G3</w:t>
            </w:r>
            <w:r>
              <w:rPr>
                <w:rFonts w:hint="default" w:ascii="Times New Roman" w:hAnsi="Times New Roman" w:eastAsia="宋体" w:cs="Times New Roman"/>
                <w:caps w:val="0"/>
                <w:spacing w:val="0"/>
                <w:w w:val="100"/>
                <w:position w:val="0"/>
                <w:szCs w:val="21"/>
                <w:lang w:val="en-US" w:eastAsia="zh-CN"/>
              </w:rPr>
              <w:t>毛家居民点</w:t>
            </w: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111.94686769</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25.53455143</w:t>
            </w:r>
          </w:p>
        </w:tc>
        <w:tc>
          <w:tcPr>
            <w:tcW w:w="1069"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非甲烷总烃</w:t>
            </w:r>
          </w:p>
        </w:tc>
        <w:tc>
          <w:tcPr>
            <w:tcW w:w="50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kern w:val="2"/>
                <w:sz w:val="21"/>
                <w:szCs w:val="21"/>
                <w:u w:val="none"/>
                <w:lang w:val="en-US" w:eastAsia="zh-CN" w:bidi="ar-SA"/>
              </w:rPr>
            </w:pPr>
            <w:r>
              <w:rPr>
                <w:rFonts w:hint="eastAsia" w:eastAsia="宋体" w:cs="Times New Roman"/>
                <w:kern w:val="2"/>
                <w:sz w:val="21"/>
                <w:szCs w:val="21"/>
                <w:u w:val="none"/>
                <w:lang w:val="en-US" w:eastAsia="zh-CN" w:bidi="ar-SA"/>
              </w:rPr>
              <w:t>西南</w:t>
            </w:r>
          </w:p>
        </w:tc>
        <w:tc>
          <w:tcPr>
            <w:tcW w:w="951" w:type="pct"/>
            <w:tcBorders>
              <w:right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1100</w:t>
            </w:r>
          </w:p>
        </w:tc>
      </w:tr>
    </w:tbl>
    <w:p>
      <w:pPr>
        <w:pStyle w:val="8"/>
        <w:numPr>
          <w:ilvl w:val="0"/>
          <w:numId w:val="0"/>
        </w:numPr>
        <w:tabs>
          <w:tab w:val="left" w:pos="0"/>
        </w:tabs>
        <w:bidi w:val="0"/>
        <w:ind w:left="0" w:leftChars="0"/>
        <w:jc w:val="center"/>
        <w:rPr>
          <w:rFonts w:hint="default" w:ascii="Times New Roman" w:hAnsi="Times New Roman" w:eastAsia="宋体" w:cs="Times New Roman"/>
          <w:b/>
          <w:bCs/>
          <w:snapToGrid w:val="0"/>
          <w:color w:val="000000"/>
          <w:spacing w:val="0"/>
          <w:kern w:val="0"/>
          <w:sz w:val="21"/>
          <w:szCs w:val="21"/>
          <w:lang w:val="en-US" w:eastAsia="zh-CN"/>
        </w:rPr>
      </w:pPr>
      <w:r>
        <w:rPr>
          <w:rFonts w:hint="default" w:ascii="Times New Roman" w:hAnsi="Times New Roman" w:eastAsia="宋体" w:cs="Times New Roman"/>
          <w:b/>
          <w:bCs/>
          <w:snapToGrid w:val="0"/>
          <w:color w:val="000000"/>
          <w:spacing w:val="0"/>
          <w:kern w:val="0"/>
          <w:sz w:val="21"/>
          <w:szCs w:val="21"/>
          <w:lang w:val="en-US" w:eastAsia="zh-CN"/>
        </w:rPr>
        <w:t>表</w:t>
      </w:r>
      <w:r>
        <w:rPr>
          <w:rFonts w:hint="eastAsia" w:ascii="Times New Roman" w:hAnsi="Times New Roman" w:eastAsia="宋体" w:cs="Times New Roman"/>
          <w:b/>
          <w:bCs/>
          <w:snapToGrid w:val="0"/>
          <w:color w:val="000000"/>
          <w:spacing w:val="0"/>
          <w:kern w:val="0"/>
          <w:sz w:val="21"/>
          <w:szCs w:val="21"/>
          <w:lang w:val="en-US" w:eastAsia="zh-CN"/>
        </w:rPr>
        <w:t>4</w:t>
      </w:r>
      <w:r>
        <w:rPr>
          <w:rFonts w:hint="default" w:ascii="Times New Roman" w:hAnsi="Times New Roman" w:eastAsia="宋体" w:cs="Times New Roman"/>
          <w:b/>
          <w:bCs/>
          <w:snapToGrid w:val="0"/>
          <w:color w:val="000000"/>
          <w:spacing w:val="0"/>
          <w:kern w:val="0"/>
          <w:sz w:val="21"/>
          <w:szCs w:val="21"/>
          <w:lang w:val="en-US" w:eastAsia="zh-CN"/>
        </w:rPr>
        <w:t>.2-</w:t>
      </w:r>
      <w:r>
        <w:rPr>
          <w:rFonts w:hint="eastAsia" w:ascii="Times New Roman" w:hAnsi="Times New Roman" w:eastAsia="宋体" w:cs="Times New Roman"/>
          <w:b/>
          <w:bCs/>
          <w:snapToGrid w:val="0"/>
          <w:color w:val="000000"/>
          <w:spacing w:val="0"/>
          <w:kern w:val="0"/>
          <w:sz w:val="21"/>
          <w:szCs w:val="21"/>
          <w:lang w:val="en-US" w:eastAsia="zh-CN"/>
        </w:rPr>
        <w:t xml:space="preserve">3 </w:t>
      </w:r>
      <w:r>
        <w:rPr>
          <w:rFonts w:hint="default" w:ascii="Times New Roman" w:hAnsi="Times New Roman" w:eastAsia="宋体" w:cs="Times New Roman"/>
          <w:b/>
          <w:bCs/>
          <w:snapToGrid w:val="0"/>
          <w:color w:val="000000"/>
          <w:spacing w:val="0"/>
          <w:kern w:val="0"/>
          <w:sz w:val="21"/>
          <w:szCs w:val="21"/>
          <w:lang w:val="en-US" w:eastAsia="zh-CN"/>
        </w:rPr>
        <w:t>大气环境现状监测布点</w:t>
      </w:r>
      <w:r>
        <w:rPr>
          <w:rFonts w:hint="eastAsia" w:ascii="Times New Roman" w:hAnsi="Times New Roman" w:eastAsia="宋体" w:cs="Times New Roman"/>
          <w:b/>
          <w:bCs/>
          <w:snapToGrid w:val="0"/>
          <w:color w:val="000000"/>
          <w:spacing w:val="0"/>
          <w:kern w:val="0"/>
          <w:sz w:val="21"/>
          <w:szCs w:val="21"/>
          <w:lang w:val="en-US" w:eastAsia="zh-CN"/>
        </w:rPr>
        <w:t>（委托监测）</w:t>
      </w:r>
    </w:p>
    <w:tbl>
      <w:tblPr>
        <w:tblStyle w:val="25"/>
        <w:tblW w:w="499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1859"/>
        <w:gridCol w:w="1490"/>
        <w:gridCol w:w="1468"/>
        <w:gridCol w:w="2082"/>
        <w:gridCol w:w="981"/>
        <w:gridCol w:w="18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vMerge w:val="restart"/>
            <w:tcBorders>
              <w:left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监测点名称</w:t>
            </w:r>
          </w:p>
        </w:tc>
        <w:tc>
          <w:tcPr>
            <w:tcW w:w="1519"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b/>
                <w:bCs/>
                <w:sz w:val="21"/>
                <w:szCs w:val="21"/>
                <w:u w:val="none"/>
              </w:rPr>
            </w:pPr>
            <w:r>
              <w:rPr>
                <w:rFonts w:hint="default" w:ascii="Times New Roman" w:hAnsi="Times New Roman" w:cs="Times New Roman"/>
                <w:b/>
                <w:bCs/>
                <w:sz w:val="21"/>
                <w:szCs w:val="21"/>
                <w:u w:val="none"/>
              </w:rPr>
              <w:t>监测点坐标</w:t>
            </w:r>
            <w:r>
              <w:rPr>
                <w:rFonts w:hint="default" w:ascii="Times New Roman" w:hAnsi="Times New Roman" w:eastAsia="Times New Roman" w:cs="Times New Roman"/>
                <w:b/>
                <w:bCs/>
                <w:sz w:val="21"/>
                <w:szCs w:val="21"/>
                <w:u w:val="none"/>
              </w:rPr>
              <w:t>/</w:t>
            </w:r>
            <w:r>
              <w:rPr>
                <w:rFonts w:hint="eastAsia" w:ascii="宋体" w:hAnsi="宋体" w:eastAsia="宋体" w:cs="宋体"/>
                <w:b/>
                <w:bCs/>
                <w:sz w:val="21"/>
                <w:szCs w:val="21"/>
                <w:u w:val="none"/>
              </w:rPr>
              <w:t>°</w:t>
            </w:r>
          </w:p>
        </w:tc>
        <w:tc>
          <w:tcPr>
            <w:tcW w:w="1069"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监测因子</w:t>
            </w:r>
          </w:p>
        </w:tc>
        <w:tc>
          <w:tcPr>
            <w:tcW w:w="504"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相对厂址方位</w:t>
            </w:r>
          </w:p>
        </w:tc>
        <w:tc>
          <w:tcPr>
            <w:tcW w:w="951" w:type="pct"/>
            <w:vMerge w:val="restart"/>
            <w:tcBorders>
              <w:right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b/>
                <w:bCs/>
                <w:sz w:val="21"/>
                <w:szCs w:val="21"/>
                <w:u w:val="none"/>
              </w:rPr>
            </w:pPr>
            <w:r>
              <w:rPr>
                <w:rFonts w:hint="default" w:ascii="Times New Roman" w:hAnsi="Times New Roman" w:cs="Times New Roman"/>
                <w:b/>
                <w:bCs/>
                <w:sz w:val="21"/>
                <w:szCs w:val="21"/>
                <w:u w:val="none"/>
              </w:rPr>
              <w:t>相对厂界距离</w:t>
            </w:r>
            <w:r>
              <w:rPr>
                <w:rFonts w:hint="default" w:ascii="Times New Roman" w:hAnsi="Times New Roman" w:eastAsia="Times New Roman" w:cs="Times New Roman"/>
                <w:b/>
                <w:bCs/>
                <w:sz w:val="21"/>
                <w:szCs w:val="21"/>
                <w:u w:val="none"/>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PrEx>
        <w:trPr>
          <w:trHeight w:val="454" w:hRule="atLeast"/>
          <w:jc w:val="center"/>
        </w:trPr>
        <w:tc>
          <w:tcPr>
            <w:tcW w:w="955" w:type="pct"/>
            <w:vMerge w:val="continue"/>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b/>
                <w:bCs/>
                <w:iCs/>
                <w:sz w:val="21"/>
                <w:szCs w:val="21"/>
                <w:u w:val="none"/>
                <w:lang w:eastAsia="zh-CN"/>
              </w:rPr>
            </w:pPr>
            <w:r>
              <w:rPr>
                <w:rFonts w:hint="eastAsia" w:ascii="Times New Roman" w:hAnsi="Times New Roman" w:eastAsia="宋体" w:cs="Times New Roman"/>
                <w:b/>
                <w:bCs/>
                <w:iCs/>
                <w:sz w:val="21"/>
                <w:szCs w:val="21"/>
                <w:u w:val="none"/>
                <w:lang w:val="en-US" w:eastAsia="zh-CN"/>
              </w:rPr>
              <w:t>经度</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b/>
                <w:bCs/>
                <w:iCs/>
                <w:sz w:val="21"/>
                <w:szCs w:val="21"/>
                <w:u w:val="none"/>
                <w:lang w:eastAsia="zh-CN"/>
              </w:rPr>
            </w:pPr>
            <w:r>
              <w:rPr>
                <w:rFonts w:hint="eastAsia" w:ascii="Times New Roman" w:hAnsi="Times New Roman" w:eastAsia="宋体" w:cs="Times New Roman"/>
                <w:b/>
                <w:bCs/>
                <w:iCs/>
                <w:sz w:val="21"/>
                <w:szCs w:val="21"/>
                <w:u w:val="none"/>
                <w:lang w:val="en-US" w:eastAsia="zh-CN"/>
              </w:rPr>
              <w:t>纬度</w:t>
            </w:r>
          </w:p>
        </w:tc>
        <w:tc>
          <w:tcPr>
            <w:tcW w:w="106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50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c>
          <w:tcPr>
            <w:tcW w:w="951" w:type="pct"/>
            <w:vMerge w:val="continue"/>
            <w:tcBorders>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454" w:hRule="atLeast"/>
          <w:jc w:val="center"/>
        </w:trPr>
        <w:tc>
          <w:tcPr>
            <w:tcW w:w="955" w:type="pct"/>
            <w:tcBorders>
              <w:left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G4项目所在地</w:t>
            </w:r>
          </w:p>
        </w:tc>
        <w:tc>
          <w:tcPr>
            <w:tcW w:w="76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111.950361</w:t>
            </w:r>
          </w:p>
        </w:tc>
        <w:tc>
          <w:tcPr>
            <w:tcW w:w="75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25.544892</w:t>
            </w:r>
          </w:p>
        </w:tc>
        <w:tc>
          <w:tcPr>
            <w:tcW w:w="1069"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氯化氢、氮氧化物</w:t>
            </w:r>
          </w:p>
        </w:tc>
        <w:tc>
          <w:tcPr>
            <w:tcW w:w="504"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kern w:val="2"/>
                <w:sz w:val="21"/>
                <w:szCs w:val="21"/>
                <w:u w:val="none"/>
                <w:lang w:val="en-US" w:eastAsia="zh-CN" w:bidi="ar-SA"/>
              </w:rPr>
            </w:pPr>
            <w:r>
              <w:rPr>
                <w:rFonts w:hint="eastAsia" w:eastAsia="宋体" w:cs="Times New Roman"/>
                <w:kern w:val="2"/>
                <w:sz w:val="21"/>
                <w:szCs w:val="21"/>
                <w:u w:val="none"/>
                <w:lang w:val="en-US" w:eastAsia="zh-CN" w:bidi="ar-SA"/>
              </w:rPr>
              <w:t>厂址</w:t>
            </w:r>
          </w:p>
        </w:tc>
        <w:tc>
          <w:tcPr>
            <w:tcW w:w="951" w:type="pct"/>
            <w:tcBorders>
              <w:right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w:t>
            </w:r>
          </w:p>
        </w:tc>
      </w:tr>
    </w:tbl>
    <w:p>
      <w:pPr>
        <w:spacing w:before="0" w:beforeLines="50" w:beforeAutospacing="0"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4.2.2.2</w:t>
      </w:r>
      <w:r>
        <w:rPr>
          <w:rFonts w:hint="default" w:ascii="Times New Roman" w:hAnsi="Times New Roman" w:eastAsia="宋体" w:cs="Times New Roman"/>
          <w:b w:val="0"/>
          <w:bCs w:val="0"/>
          <w:snapToGrid w:val="0"/>
          <w:color w:val="000000"/>
          <w:spacing w:val="11"/>
          <w:kern w:val="0"/>
          <w:sz w:val="24"/>
          <w:szCs w:val="24"/>
          <w:lang w:val="en-US" w:eastAsia="zh-CN"/>
        </w:rPr>
        <w:t>补充监测</w:t>
      </w:r>
      <w:r>
        <w:rPr>
          <w:rFonts w:hint="eastAsia" w:ascii="Times New Roman" w:hAnsi="Times New Roman" w:eastAsia="宋体" w:cs="Times New Roman"/>
          <w:b w:val="0"/>
          <w:bCs w:val="0"/>
          <w:snapToGrid w:val="0"/>
          <w:color w:val="000000"/>
          <w:spacing w:val="11"/>
          <w:kern w:val="0"/>
          <w:sz w:val="24"/>
          <w:szCs w:val="24"/>
          <w:lang w:val="en-US" w:eastAsia="zh-CN"/>
        </w:rPr>
        <w:t>因子</w:t>
      </w:r>
      <w:r>
        <w:rPr>
          <w:rFonts w:hint="default" w:ascii="Times New Roman" w:hAnsi="Times New Roman" w:eastAsia="宋体" w:cs="Times New Roman"/>
          <w:b w:val="0"/>
          <w:bCs w:val="0"/>
          <w:snapToGrid w:val="0"/>
          <w:color w:val="000000"/>
          <w:spacing w:val="11"/>
          <w:kern w:val="0"/>
          <w:sz w:val="24"/>
          <w:szCs w:val="24"/>
          <w:lang w:val="en-US" w:eastAsia="zh-CN"/>
        </w:rPr>
        <w:t>及监测频次</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A</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连续采样监测7天</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B</w:t>
      </w:r>
      <w:r>
        <w:rPr>
          <w:rFonts w:hint="default" w:ascii="Times New Roman" w:hAnsi="Times New Roman" w:eastAsia="宋体" w:cs="Times New Roman"/>
          <w:b w:val="0"/>
          <w:bCs w:val="0"/>
          <w:snapToGrid w:val="0"/>
          <w:color w:val="000000"/>
          <w:spacing w:val="11"/>
          <w:kern w:val="0"/>
          <w:sz w:val="24"/>
          <w:szCs w:val="24"/>
          <w:lang w:val="en-US" w:eastAsia="zh-CN"/>
        </w:rPr>
        <w:t>、监测期间同时观测并记录气温、气压、风向、风速等气象要素。</w:t>
      </w:r>
    </w:p>
    <w:p>
      <w:pPr>
        <w:pStyle w:val="4"/>
        <w:bidi w:val="0"/>
        <w:rPr>
          <w:rFonts w:hint="eastAsia"/>
          <w:lang w:val="en-US" w:eastAsia="zh-CN"/>
        </w:rPr>
      </w:pPr>
      <w:r>
        <w:rPr>
          <w:rFonts w:hint="eastAsia"/>
          <w:lang w:val="en-US" w:eastAsia="zh-CN"/>
        </w:rPr>
        <w:t>4.2.3 环境空气质量补充监测现状评价</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（1）评价因子</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评价因子为硫化氢、氨、氯化氢、非甲烷总烃、氮氧化物。</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（2）评价方法</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采用单因子标准指数法，计算公式为：</w:t>
      </w:r>
    </w:p>
    <w:p>
      <w:pPr>
        <w:spacing w:before="0" w:beforeLines="50" w:beforeAutospacing="0" w:line="360" w:lineRule="auto"/>
        <w:ind w:firstLine="420" w:firstLineChars="200"/>
        <w:jc w:val="center"/>
      </w:pPr>
      <w:r>
        <w:drawing>
          <wp:inline distT="0" distB="0" distL="114300" distR="114300">
            <wp:extent cx="2363470" cy="594995"/>
            <wp:effectExtent l="0" t="0" r="17780" b="1460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30"/>
                    <a:stretch>
                      <a:fillRect/>
                    </a:stretch>
                  </pic:blipFill>
                  <pic:spPr>
                    <a:xfrm>
                      <a:off x="0" y="0"/>
                      <a:ext cx="2363470" cy="594995"/>
                    </a:xfrm>
                    <a:prstGeom prst="rect">
                      <a:avLst/>
                    </a:prstGeom>
                    <a:noFill/>
                    <a:ln>
                      <a:noFill/>
                    </a:ln>
                  </pic:spPr>
                </pic:pic>
              </a:graphicData>
            </a:graphic>
          </wp:inline>
        </w:drawing>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式中：Pi——i 评价因子标准指数；</w:t>
      </w:r>
    </w:p>
    <w:p>
      <w:pPr>
        <w:spacing w:before="0" w:beforeLines="50" w:beforeAutospacing="0" w:line="360" w:lineRule="auto"/>
        <w:ind w:firstLine="1310" w:firstLineChars="5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Ci——i 评价因子监测浓度（mg/m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w:t>
      </w:r>
    </w:p>
    <w:p>
      <w:pPr>
        <w:spacing w:before="0" w:beforeLines="50" w:beforeAutospacing="0" w:line="360" w:lineRule="auto"/>
        <w:ind w:firstLine="1310" w:firstLineChars="5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Cio——i 评价因子评价标准（mg/m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w:t>
      </w:r>
    </w:p>
    <w:p>
      <w:pPr>
        <w:spacing w:before="0" w:beforeLines="50" w:beforeAutospacing="0" w:line="360" w:lineRule="auto"/>
        <w:ind w:firstLine="1310" w:firstLineChars="5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Pi&lt;1 表示污染物浓度未超评价标准，Pi&gt;1 表示污染物浓度超出评价标准。Pi 越大，超标越严重。</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（3）评价标准</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本项目位置属于二类环境空气质量功能区，</w:t>
      </w:r>
      <w:r>
        <w:rPr>
          <w:rFonts w:hint="eastAsia" w:ascii="Times New Roman" w:hAnsi="Times New Roman" w:eastAsia="宋体" w:cs="Times New Roman"/>
          <w:b w:val="0"/>
          <w:bCs w:val="0"/>
          <w:snapToGrid w:val="0"/>
          <w:color w:val="000000"/>
          <w:spacing w:val="11"/>
          <w:kern w:val="0"/>
          <w:sz w:val="24"/>
          <w:szCs w:val="24"/>
          <w:lang w:val="en-US" w:eastAsia="zh-CN"/>
        </w:rPr>
        <w:t>执行《环境空气质量标准》（GB3095-2012）及其修改单</w:t>
      </w:r>
      <w:r>
        <w:rPr>
          <w:rFonts w:hint="default" w:ascii="Times New Roman" w:hAnsi="Times New Roman" w:eastAsia="宋体" w:cs="Times New Roman"/>
          <w:b w:val="0"/>
          <w:bCs w:val="0"/>
          <w:snapToGrid w:val="0"/>
          <w:color w:val="000000"/>
          <w:spacing w:val="11"/>
          <w:kern w:val="0"/>
          <w:sz w:val="24"/>
          <w:szCs w:val="24"/>
          <w:lang w:val="en-US" w:eastAsia="zh-CN"/>
        </w:rPr>
        <w:t>中</w:t>
      </w:r>
      <w:r>
        <w:rPr>
          <w:rFonts w:hint="eastAsia" w:ascii="Times New Roman" w:hAnsi="Times New Roman" w:eastAsia="宋体" w:cs="Times New Roman"/>
          <w:b w:val="0"/>
          <w:bCs w:val="0"/>
          <w:snapToGrid w:val="0"/>
          <w:color w:val="000000"/>
          <w:spacing w:val="11"/>
          <w:kern w:val="0"/>
          <w:sz w:val="24"/>
          <w:szCs w:val="24"/>
          <w:lang w:val="en-US" w:eastAsia="zh-CN"/>
        </w:rPr>
        <w:t>二级标准和《环境影响评价技术导则 大气环境》（HJ2.2-2018）附录 D 。</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（4）评价结果</w:t>
      </w:r>
    </w:p>
    <w:p>
      <w:pPr>
        <w:spacing w:before="0" w:beforeLines="50" w:beforeAutospacing="0"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各监测点环境空气现状监测数据标准指数范围见表4.2-4。</w:t>
      </w:r>
    </w:p>
    <w:p>
      <w:pPr>
        <w:pStyle w:val="8"/>
        <w:numPr>
          <w:ilvl w:val="0"/>
          <w:numId w:val="0"/>
        </w:numPr>
        <w:tabs>
          <w:tab w:val="left" w:pos="0"/>
        </w:tabs>
        <w:bidi w:val="0"/>
        <w:ind w:left="0" w:leftChars="0"/>
        <w:jc w:val="center"/>
        <w:rPr>
          <w:rFonts w:hint="default"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 xml:space="preserve">表4.2-4 </w:t>
      </w:r>
      <w:r>
        <w:rPr>
          <w:rFonts w:hint="default" w:ascii="Times New Roman" w:hAnsi="Times New Roman" w:eastAsia="宋体" w:cs="Times New Roman"/>
          <w:b/>
          <w:bCs/>
          <w:snapToGrid w:val="0"/>
          <w:color w:val="000000"/>
          <w:spacing w:val="0"/>
          <w:kern w:val="0"/>
          <w:sz w:val="21"/>
          <w:szCs w:val="21"/>
          <w:lang w:val="en-US" w:eastAsia="zh-CN"/>
        </w:rPr>
        <w:t>大气</w:t>
      </w:r>
      <w:r>
        <w:rPr>
          <w:rFonts w:hint="eastAsia" w:ascii="Times New Roman" w:hAnsi="Times New Roman" w:eastAsia="宋体" w:cs="Times New Roman"/>
          <w:b/>
          <w:bCs/>
          <w:snapToGrid w:val="0"/>
          <w:color w:val="000000"/>
          <w:spacing w:val="0"/>
          <w:kern w:val="0"/>
          <w:sz w:val="21"/>
          <w:szCs w:val="21"/>
          <w:lang w:val="en-US" w:eastAsia="zh-CN"/>
        </w:rPr>
        <w:t>监测标准指数表</w:t>
      </w:r>
    </w:p>
    <w:tbl>
      <w:tblPr>
        <w:tblStyle w:val="25"/>
        <w:tblW w:w="485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2638"/>
        <w:gridCol w:w="2049"/>
        <w:gridCol w:w="1596"/>
        <w:gridCol w:w="1880"/>
        <w:gridCol w:w="129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878" w:hRule="atLeast"/>
          <w:jc w:val="center"/>
        </w:trPr>
        <w:tc>
          <w:tcPr>
            <w:tcW w:w="139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采样点位</w:t>
            </w:r>
          </w:p>
        </w:tc>
        <w:tc>
          <w:tcPr>
            <w:tcW w:w="10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检测项目</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b/>
                <w:bCs/>
                <w:snapToGrid w:val="0"/>
                <w:color w:val="000000"/>
                <w:kern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监测结果</w:t>
            </w:r>
          </w:p>
        </w:tc>
        <w:tc>
          <w:tcPr>
            <w:tcW w:w="9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en-US" w:eastAsia="zh-CN"/>
              </w:rPr>
              <w:t>标准值（</w:t>
            </w:r>
            <w:r>
              <w:rPr>
                <w:rFonts w:hint="eastAsia" w:ascii="Times New Roman" w:hAnsi="Times New Roman" w:eastAsia="宋体" w:cs="Times New Roman"/>
                <w:b/>
                <w:bCs/>
                <w:sz w:val="21"/>
                <w:szCs w:val="21"/>
                <w:u w:val="none"/>
                <w:lang w:val="en-US" w:eastAsia="zh-CN"/>
              </w:rPr>
              <w:t>mg/cm</w:t>
            </w:r>
            <w:r>
              <w:rPr>
                <w:rFonts w:hint="eastAsia" w:ascii="Times New Roman" w:hAnsi="Times New Roman" w:eastAsia="宋体" w:cs="Times New Roman"/>
                <w:b/>
                <w:bCs/>
                <w:sz w:val="21"/>
                <w:szCs w:val="21"/>
                <w:u w:val="none"/>
                <w:vertAlign w:val="superscript"/>
                <w:lang w:val="en-US" w:eastAsia="zh-CN"/>
              </w:rPr>
              <w:t>3</w:t>
            </w:r>
            <w:r>
              <w:rPr>
                <w:rFonts w:hint="eastAsia" w:ascii="Times New Roman" w:hAnsi="Times New Roman" w:eastAsia="宋体" w:cs="Times New Roman"/>
                <w:b/>
                <w:bCs/>
                <w:sz w:val="21"/>
                <w:szCs w:val="21"/>
                <w:u w:val="none"/>
                <w:lang w:val="en-US" w:eastAsia="zh-CN"/>
              </w:rPr>
              <w:t>）</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sz w:val="21"/>
                <w:szCs w:val="21"/>
                <w:u w:val="none"/>
                <w:lang w:val="en-US" w:eastAsia="zh-CN"/>
              </w:rPr>
            </w:pPr>
            <w:r>
              <w:rPr>
                <w:rFonts w:hint="eastAsia" w:eastAsia="宋体" w:cs="Times New Roman"/>
                <w:b/>
                <w:bCs/>
                <w:sz w:val="21"/>
                <w:szCs w:val="21"/>
                <w:u w:val="none"/>
                <w:lang w:val="en-US" w:eastAsia="zh-CN"/>
              </w:rPr>
              <w:t>最大</w:t>
            </w:r>
            <w:r>
              <w:rPr>
                <w:rFonts w:hint="eastAsia" w:ascii="Times New Roman" w:hAnsi="Times New Roman" w:eastAsia="宋体" w:cs="Times New Roman"/>
                <w:b/>
                <w:bCs/>
                <w:sz w:val="21"/>
                <w:szCs w:val="21"/>
                <w:u w:val="none"/>
                <w:lang w:val="en-US" w:eastAsia="zh-CN"/>
              </w:rPr>
              <w:t>标准指数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G1宁远县中医医院项目建设地</w:t>
            </w:r>
          </w:p>
        </w:tc>
        <w:tc>
          <w:tcPr>
            <w:tcW w:w="108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硫化氢</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0.001L</w:t>
            </w:r>
          </w:p>
        </w:tc>
        <w:tc>
          <w:tcPr>
            <w:tcW w:w="99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sz w:val="21"/>
                <w:szCs w:val="21"/>
                <w:vertAlign w:val="baseline"/>
                <w:lang w:val="en-US" w:eastAsia="zh-CN"/>
              </w:rPr>
              <w:t>0.01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eastAsia="宋体" w:cs="Times New Roman"/>
                <w:b w:val="0"/>
                <w:bCs w:val="0"/>
                <w:sz w:val="21"/>
                <w:szCs w:val="21"/>
                <w:u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p>
        </w:tc>
        <w:tc>
          <w:tcPr>
            <w:tcW w:w="108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氨</w:t>
            </w:r>
          </w:p>
        </w:tc>
        <w:tc>
          <w:tcPr>
            <w:tcW w:w="843" w:type="pct"/>
            <w:tcBorders>
              <w:tl2br w:val="nil"/>
              <w:tr2bl w:val="nil"/>
            </w:tcBorders>
            <w:vAlign w:val="center"/>
          </w:tcPr>
          <w:p>
            <w:pPr>
              <w:pStyle w:val="37"/>
              <w:widowControl w:val="0"/>
              <w:ind w:firstLine="0" w:firstLineChars="0"/>
              <w:jc w:val="center"/>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0.01~0.03</w:t>
            </w:r>
          </w:p>
        </w:tc>
        <w:tc>
          <w:tcPr>
            <w:tcW w:w="99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b w:val="0"/>
                <w:bCs w:val="0"/>
                <w:sz w:val="21"/>
                <w:szCs w:val="21"/>
                <w:u w:val="none"/>
              </w:rPr>
            </w:pPr>
            <w:r>
              <w:rPr>
                <w:rFonts w:hint="eastAsia" w:ascii="Times New Roman" w:hAnsi="Times New Roman" w:eastAsia="宋体" w:cs="Times New Roman"/>
                <w:sz w:val="21"/>
                <w:szCs w:val="21"/>
                <w:vertAlign w:val="baseline"/>
                <w:lang w:val="en-US" w:eastAsia="zh-CN"/>
              </w:rPr>
              <w:t>0.2</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p>
        </w:tc>
        <w:tc>
          <w:tcPr>
            <w:tcW w:w="108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2"/>
                <w:sz w:val="21"/>
                <w:szCs w:val="21"/>
                <w:vertAlign w:val="baseline"/>
                <w:lang w:val="en-US" w:eastAsia="zh-CN" w:bidi="ar-SA"/>
              </w:rPr>
            </w:pPr>
            <w:r>
              <w:rPr>
                <w:rFonts w:hint="eastAsia" w:ascii="Times New Roman" w:hAnsi="Times New Roman" w:eastAsia="宋体" w:cs="Times New Roman"/>
                <w:snapToGrid w:val="0"/>
                <w:color w:val="000000"/>
                <w:kern w:val="2"/>
                <w:sz w:val="21"/>
                <w:szCs w:val="21"/>
                <w:vertAlign w:val="baseline"/>
                <w:lang w:val="en-US" w:eastAsia="zh-CN" w:bidi="ar-SA"/>
              </w:rPr>
              <w:t>臭气浓度</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&lt;10</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G2宁远县力源建材有限公司</w:t>
            </w:r>
            <w:r>
              <w:rPr>
                <w:rFonts w:hint="default" w:ascii="Times New Roman" w:hAnsi="Times New Roman" w:eastAsia="宋体" w:cs="Times New Roman"/>
                <w:sz w:val="21"/>
                <w:szCs w:val="21"/>
                <w:u w:val="none"/>
                <w:lang w:val="en-US" w:eastAsia="zh-CN"/>
              </w:rPr>
              <w:t>东南角</w:t>
            </w:r>
          </w:p>
        </w:tc>
        <w:tc>
          <w:tcPr>
            <w:tcW w:w="10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kern w:val="2"/>
                <w:sz w:val="21"/>
                <w:szCs w:val="21"/>
                <w:vertAlign w:val="baseline"/>
                <w:lang w:val="en-US" w:eastAsia="zh-CN" w:bidi="ar-SA"/>
              </w:rPr>
            </w:pPr>
            <w:r>
              <w:rPr>
                <w:rFonts w:hint="eastAsia" w:eastAsia="宋体" w:cs="Times New Roman"/>
                <w:b w:val="0"/>
                <w:bCs w:val="0"/>
                <w:sz w:val="21"/>
                <w:szCs w:val="21"/>
                <w:u w:val="none"/>
                <w:lang w:val="en-US" w:eastAsia="zh-CN"/>
              </w:rPr>
              <w:t>非甲烷总烃</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0.24~0.39</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0.195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G3</w:t>
            </w:r>
            <w:r>
              <w:rPr>
                <w:rFonts w:hint="default" w:ascii="Times New Roman" w:hAnsi="Times New Roman" w:eastAsia="宋体" w:cs="Times New Roman"/>
                <w:sz w:val="21"/>
                <w:szCs w:val="21"/>
                <w:u w:val="none"/>
                <w:lang w:val="en-US" w:eastAsia="zh-CN"/>
              </w:rPr>
              <w:t>毛家居民点</w:t>
            </w:r>
          </w:p>
        </w:tc>
        <w:tc>
          <w:tcPr>
            <w:tcW w:w="10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kern w:val="2"/>
                <w:sz w:val="21"/>
                <w:szCs w:val="21"/>
                <w:vertAlign w:val="baseline"/>
                <w:lang w:val="en-US" w:eastAsia="zh-CN" w:bidi="ar-SA"/>
              </w:rPr>
            </w:pPr>
            <w:r>
              <w:rPr>
                <w:rFonts w:hint="eastAsia" w:eastAsia="宋体" w:cs="Times New Roman"/>
                <w:b w:val="0"/>
                <w:bCs w:val="0"/>
                <w:sz w:val="21"/>
                <w:szCs w:val="21"/>
                <w:u w:val="none"/>
                <w:lang w:val="en-US" w:eastAsia="zh-CN"/>
              </w:rPr>
              <w:t>非甲烷总烃</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0.24~0.38</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sz w:val="21"/>
                <w:szCs w:val="21"/>
                <w:u w:val="none"/>
                <w:lang w:val="en-US" w:eastAsia="zh-CN"/>
              </w:rPr>
              <w:t>G4项目所在地</w:t>
            </w:r>
          </w:p>
        </w:tc>
        <w:tc>
          <w:tcPr>
            <w:tcW w:w="10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0"/>
                <w:sz w:val="21"/>
                <w:szCs w:val="21"/>
                <w:u w:val="none"/>
                <w:lang w:val="en-US" w:eastAsia="zh-CN"/>
              </w:rPr>
            </w:pPr>
            <w:r>
              <w:rPr>
                <w:rFonts w:hint="eastAsia" w:eastAsia="宋体" w:cs="Times New Roman"/>
                <w:b w:val="0"/>
                <w:bCs w:val="0"/>
                <w:sz w:val="21"/>
                <w:szCs w:val="21"/>
                <w:u w:val="none"/>
                <w:lang w:val="en-US" w:eastAsia="zh-CN"/>
              </w:rPr>
              <w:t>氯化物</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0.02L</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0.05</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3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u w:val="none"/>
                <w:lang w:val="en-US" w:eastAsia="zh-CN"/>
              </w:rPr>
            </w:pPr>
          </w:p>
        </w:tc>
        <w:tc>
          <w:tcPr>
            <w:tcW w:w="108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snapToGrid w:val="0"/>
                <w:color w:val="000000"/>
                <w:kern w:val="0"/>
                <w:sz w:val="21"/>
                <w:szCs w:val="21"/>
                <w:u w:val="none"/>
                <w:lang w:val="en-US" w:eastAsia="zh-CN"/>
              </w:rPr>
            </w:pPr>
            <w:r>
              <w:rPr>
                <w:rFonts w:hint="eastAsia" w:eastAsia="宋体" w:cs="Times New Roman"/>
                <w:b w:val="0"/>
                <w:bCs w:val="0"/>
                <w:sz w:val="21"/>
                <w:szCs w:val="21"/>
                <w:u w:val="none"/>
                <w:lang w:val="en-US" w:eastAsia="zh-CN"/>
              </w:rPr>
              <w:t>氮氧化物</w:t>
            </w:r>
          </w:p>
        </w:tc>
        <w:tc>
          <w:tcPr>
            <w:tcW w:w="843" w:type="pct"/>
            <w:tcBorders>
              <w:tl2br w:val="nil"/>
              <w:tr2bl w:val="nil"/>
            </w:tcBorders>
            <w:vAlign w:val="center"/>
          </w:tcPr>
          <w:p>
            <w:pPr>
              <w:pStyle w:val="37"/>
              <w:widowControl w:val="0"/>
              <w:ind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0.005L</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0.25</w:t>
            </w:r>
          </w:p>
        </w:tc>
        <w:tc>
          <w:tcPr>
            <w:tcW w:w="6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0.02</w:t>
            </w:r>
          </w:p>
        </w:tc>
      </w:tr>
    </w:tbl>
    <w:p>
      <w:pPr>
        <w:spacing w:before="0" w:beforeLines="50" w:beforeAutospacing="0"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表4.2-4</w:t>
      </w:r>
      <w:r>
        <w:rPr>
          <w:rFonts w:hint="default" w:ascii="Times New Roman" w:hAnsi="Times New Roman" w:eastAsia="宋体" w:cs="Times New Roman"/>
          <w:b w:val="0"/>
          <w:bCs w:val="0"/>
          <w:snapToGrid w:val="0"/>
          <w:color w:val="000000"/>
          <w:spacing w:val="11"/>
          <w:kern w:val="0"/>
          <w:sz w:val="24"/>
          <w:szCs w:val="24"/>
          <w:lang w:val="en-US" w:eastAsia="zh-CN"/>
        </w:rPr>
        <w:t>监测结果表明，</w:t>
      </w:r>
      <w:r>
        <w:rPr>
          <w:rFonts w:hint="eastAsia" w:ascii="Times New Roman" w:hAnsi="Times New Roman" w:eastAsia="宋体" w:cs="Times New Roman"/>
          <w:b w:val="0"/>
          <w:bCs w:val="0"/>
          <w:snapToGrid w:val="0"/>
          <w:color w:val="000000"/>
          <w:spacing w:val="11"/>
          <w:kern w:val="0"/>
          <w:sz w:val="24"/>
          <w:szCs w:val="24"/>
          <w:lang w:val="en-US" w:eastAsia="zh-CN"/>
        </w:rPr>
        <w:t>特征污染物中氮氧化物</w:t>
      </w:r>
      <w:r>
        <w:rPr>
          <w:rFonts w:hint="default" w:ascii="Times New Roman" w:hAnsi="Times New Roman" w:eastAsia="宋体" w:cs="Times New Roman"/>
          <w:b w:val="0"/>
          <w:bCs w:val="0"/>
          <w:snapToGrid w:val="0"/>
          <w:color w:val="000000"/>
          <w:spacing w:val="11"/>
          <w:kern w:val="0"/>
          <w:sz w:val="24"/>
          <w:szCs w:val="24"/>
          <w:lang w:val="en-US" w:eastAsia="zh-CN"/>
        </w:rPr>
        <w:t>满足《环境空气质量标准》（GB3095-2012）</w:t>
      </w:r>
      <w:r>
        <w:rPr>
          <w:rFonts w:hint="eastAsia" w:ascii="Times New Roman" w:hAnsi="Times New Roman" w:eastAsia="宋体" w:cs="Times New Roman"/>
          <w:b w:val="0"/>
          <w:bCs w:val="0"/>
          <w:snapToGrid w:val="0"/>
          <w:color w:val="000000"/>
          <w:spacing w:val="11"/>
          <w:kern w:val="0"/>
          <w:sz w:val="24"/>
          <w:szCs w:val="24"/>
          <w:lang w:val="en-US" w:eastAsia="zh-CN"/>
        </w:rPr>
        <w:t>及其修改单</w:t>
      </w:r>
      <w:r>
        <w:rPr>
          <w:rFonts w:hint="default" w:ascii="Times New Roman" w:hAnsi="Times New Roman" w:eastAsia="宋体" w:cs="Times New Roman"/>
          <w:b w:val="0"/>
          <w:bCs w:val="0"/>
          <w:snapToGrid w:val="0"/>
          <w:color w:val="000000"/>
          <w:spacing w:val="11"/>
          <w:kern w:val="0"/>
          <w:sz w:val="24"/>
          <w:szCs w:val="24"/>
          <w:lang w:val="en-US" w:eastAsia="zh-CN"/>
        </w:rPr>
        <w:t>中二级标准</w:t>
      </w:r>
      <w:r>
        <w:rPr>
          <w:rFonts w:hint="eastAsia" w:ascii="Times New Roman" w:hAnsi="Times New Roman" w:eastAsia="宋体" w:cs="Times New Roman"/>
          <w:b w:val="0"/>
          <w:bCs w:val="0"/>
          <w:snapToGrid w:val="0"/>
          <w:color w:val="000000"/>
          <w:spacing w:val="11"/>
          <w:kern w:val="0"/>
          <w:sz w:val="24"/>
          <w:szCs w:val="24"/>
          <w:lang w:val="en-US" w:eastAsia="zh-CN"/>
        </w:rPr>
        <w:t>，硫化氢、氨、氯化氢满足《环境影响评价技术导则 大气环境》（HJ2.2-2018）附录 D 中给出的参考质量限值要求，非甲烷总烃满足《大气污染物综合排放标准详解》中相关限值要求</w:t>
      </w:r>
      <w:r>
        <w:rPr>
          <w:rFonts w:hint="default" w:ascii="Times New Roman" w:hAnsi="Times New Roman" w:eastAsia="宋体" w:cs="Times New Roman"/>
          <w:b w:val="0"/>
          <w:bCs w:val="0"/>
          <w:snapToGrid w:val="0"/>
          <w:color w:val="000000"/>
          <w:spacing w:val="11"/>
          <w:kern w:val="0"/>
          <w:sz w:val="24"/>
          <w:szCs w:val="24"/>
          <w:lang w:val="en-US" w:eastAsia="zh-CN"/>
        </w:rPr>
        <w:t>。因此判定本项目所在区域环境空气质量为达标区。</w:t>
      </w:r>
    </w:p>
    <w:p>
      <w:pPr>
        <w:pStyle w:val="3"/>
        <w:bidi w:val="0"/>
        <w:rPr>
          <w:rFonts w:hint="default"/>
          <w:lang w:val="en-US" w:eastAsia="zh-CN"/>
        </w:rPr>
      </w:pPr>
      <w:bookmarkStart w:id="69" w:name="_Toc22863"/>
      <w:bookmarkStart w:id="70" w:name="_Toc11573"/>
      <w:r>
        <w:rPr>
          <w:rFonts w:hint="eastAsia"/>
          <w:lang w:val="en-US" w:eastAsia="zh-CN"/>
        </w:rPr>
        <w:t>4.3</w:t>
      </w:r>
      <w:r>
        <w:rPr>
          <w:rFonts w:hint="default"/>
          <w:lang w:val="en-US" w:eastAsia="zh-CN"/>
        </w:rPr>
        <w:t>地表水环境现状监测</w:t>
      </w:r>
      <w:bookmarkEnd w:id="69"/>
      <w:r>
        <w:rPr>
          <w:rFonts w:hint="eastAsia"/>
          <w:lang w:val="en-US" w:eastAsia="zh-CN"/>
        </w:rPr>
        <w:t>及评价</w:t>
      </w:r>
      <w:bookmarkEnd w:id="70"/>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本项目区域主要地表水系为</w:t>
      </w:r>
      <w:r>
        <w:rPr>
          <w:rFonts w:hint="eastAsia" w:ascii="Times New Roman" w:hAnsi="Times New Roman" w:eastAsia="宋体" w:cs="Times New Roman"/>
          <w:b w:val="0"/>
          <w:bCs w:val="0"/>
          <w:snapToGrid w:val="0"/>
          <w:color w:val="000000"/>
          <w:spacing w:val="11"/>
          <w:kern w:val="0"/>
          <w:sz w:val="24"/>
          <w:szCs w:val="24"/>
          <w:lang w:val="en-US" w:eastAsia="zh-CN"/>
        </w:rPr>
        <w:t>泠江河</w:t>
      </w:r>
      <w:r>
        <w:rPr>
          <w:rFonts w:hint="default" w:ascii="Times New Roman" w:hAnsi="Times New Roman" w:eastAsia="宋体" w:cs="Times New Roman"/>
          <w:b w:val="0"/>
          <w:bCs w:val="0"/>
          <w:snapToGrid w:val="0"/>
          <w:color w:val="000000"/>
          <w:spacing w:val="11"/>
          <w:kern w:val="0"/>
          <w:sz w:val="24"/>
          <w:szCs w:val="24"/>
          <w:lang w:val="en-US" w:eastAsia="zh-CN"/>
        </w:rPr>
        <w:t>（为本项目纳污水体）</w:t>
      </w:r>
      <w:r>
        <w:rPr>
          <w:rFonts w:hint="eastAsia" w:ascii="Times New Roman" w:hAnsi="Times New Roman" w:eastAsia="宋体" w:cs="Times New Roman"/>
          <w:b w:val="0"/>
          <w:bCs w:val="0"/>
          <w:snapToGrid w:val="0"/>
          <w:color w:val="000000"/>
          <w:spacing w:val="11"/>
          <w:kern w:val="0"/>
          <w:sz w:val="24"/>
          <w:szCs w:val="24"/>
          <w:lang w:val="en-US" w:eastAsia="zh-CN"/>
        </w:rPr>
        <w:t>、九嶷河、宁远河</w:t>
      </w:r>
      <w:r>
        <w:rPr>
          <w:rFonts w:hint="default" w:ascii="Times New Roman" w:hAnsi="Times New Roman" w:eastAsia="宋体" w:cs="Times New Roman"/>
          <w:b w:val="0"/>
          <w:bCs w:val="0"/>
          <w:snapToGrid w:val="0"/>
          <w:color w:val="000000"/>
          <w:spacing w:val="11"/>
          <w:kern w:val="0"/>
          <w:sz w:val="24"/>
          <w:szCs w:val="24"/>
          <w:lang w:val="en-US" w:eastAsia="zh-CN"/>
        </w:rPr>
        <w:t>，根据永州市生态环境局发布的2024年1</w:t>
      </w:r>
      <w:r>
        <w:rPr>
          <w:rFonts w:hint="eastAsia" w:ascii="Times New Roman" w:hAnsi="Times New Roman"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月份《永州市环境质量简报》，永州市对</w:t>
      </w:r>
      <w:r>
        <w:rPr>
          <w:rFonts w:hint="eastAsia" w:ascii="Times New Roman" w:hAnsi="Times New Roman" w:eastAsia="宋体" w:cs="Times New Roman"/>
          <w:b w:val="0"/>
          <w:bCs w:val="0"/>
          <w:snapToGrid w:val="0"/>
          <w:color w:val="000000"/>
          <w:spacing w:val="11"/>
          <w:kern w:val="0"/>
          <w:sz w:val="24"/>
          <w:szCs w:val="24"/>
          <w:lang w:val="en-US" w:eastAsia="zh-CN"/>
        </w:rPr>
        <w:t>宁远县区域范围内</w:t>
      </w:r>
      <w:r>
        <w:rPr>
          <w:rFonts w:hint="default" w:ascii="Times New Roman" w:hAnsi="Times New Roman" w:eastAsia="宋体" w:cs="Times New Roman"/>
          <w:b w:val="0"/>
          <w:bCs w:val="0"/>
          <w:snapToGrid w:val="0"/>
          <w:color w:val="000000"/>
          <w:spacing w:val="11"/>
          <w:kern w:val="0"/>
          <w:sz w:val="24"/>
          <w:szCs w:val="24"/>
          <w:lang w:val="en-US" w:eastAsia="zh-CN"/>
        </w:rPr>
        <w:t>曹家滩、仁和坝、水市水库、宁远县水厂、泠江入宁远河口、柑子园镇周邝村6个省控地表水断面开展了监测</w:t>
      </w:r>
      <w:r>
        <w:rPr>
          <w:rFonts w:hint="eastAsia" w:ascii="Times New Roman" w:hAnsi="Times New Roman" w:eastAsia="宋体" w:cs="Times New Roman"/>
          <w:b w:val="0"/>
          <w:bCs w:val="0"/>
          <w:snapToGrid w:val="0"/>
          <w:color w:val="000000"/>
          <w:spacing w:val="11"/>
          <w:kern w:val="0"/>
          <w:sz w:val="24"/>
          <w:szCs w:val="24"/>
          <w:lang w:val="en-US" w:eastAsia="zh-CN"/>
        </w:rPr>
        <w:t>，结果如下表。</w:t>
      </w:r>
    </w:p>
    <w:p>
      <w:pPr>
        <w:spacing w:before="111" w:line="288" w:lineRule="exact"/>
        <w:jc w:val="center"/>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表4.3-1     地表水监测断面环境质量一览表</w:t>
      </w:r>
    </w:p>
    <w:p>
      <w:pPr>
        <w:spacing w:line="133" w:lineRule="exact"/>
      </w:pPr>
    </w:p>
    <w:tbl>
      <w:tblPr>
        <w:tblStyle w:val="34"/>
        <w:tblW w:w="4995"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436"/>
        <w:gridCol w:w="1381"/>
        <w:gridCol w:w="1383"/>
        <w:gridCol w:w="1383"/>
        <w:gridCol w:w="1383"/>
        <w:gridCol w:w="1383"/>
        <w:gridCol w:w="138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vMerge w:val="restart"/>
            <w:tcBorders>
              <w:tl2br w:val="nil"/>
              <w:tr2bl w:val="nil"/>
            </w:tcBorders>
            <w:vAlign w:val="center"/>
          </w:tcPr>
          <w:p>
            <w:pPr>
              <w:spacing w:before="55" w:line="228"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监测断面</w:t>
            </w:r>
          </w:p>
        </w:tc>
        <w:tc>
          <w:tcPr>
            <w:tcW w:w="4261" w:type="pct"/>
            <w:gridSpan w:val="6"/>
            <w:tcBorders>
              <w:tl2br w:val="nil"/>
              <w:tr2bl w:val="nil"/>
            </w:tcBorders>
            <w:vAlign w:val="center"/>
          </w:tcPr>
          <w:p>
            <w:pPr>
              <w:spacing w:before="55" w:line="230" w:lineRule="auto"/>
              <w:jc w:val="center"/>
              <w:rPr>
                <w:rFonts w:ascii="Times New Roman" w:hAnsi="Times New Roman" w:eastAsia="宋体" w:cs="Times New Roman"/>
                <w:b/>
                <w:bCs/>
                <w:spacing w:val="4"/>
                <w:sz w:val="21"/>
                <w:szCs w:val="21"/>
              </w:rPr>
            </w:pPr>
            <w:r>
              <w:rPr>
                <w:rFonts w:hint="eastAsia" w:ascii="Times New Roman" w:hAnsi="Times New Roman" w:eastAsia="宋体" w:cs="Times New Roman"/>
                <w:b/>
                <w:bCs/>
                <w:sz w:val="21"/>
                <w:szCs w:val="21"/>
                <w:lang w:val="en-US" w:eastAsia="zh-CN"/>
              </w:rPr>
              <w:t>水质达标情况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vMerge w:val="continue"/>
            <w:tcBorders>
              <w:tl2br w:val="nil"/>
              <w:tr2bl w:val="nil"/>
            </w:tcBorders>
            <w:vAlign w:val="center"/>
          </w:tcPr>
          <w:p>
            <w:pPr>
              <w:spacing w:before="69" w:line="195" w:lineRule="auto"/>
              <w:ind w:left="1401"/>
              <w:jc w:val="left"/>
              <w:rPr>
                <w:rFonts w:ascii="Times New Roman" w:hAnsi="Times New Roman" w:eastAsia="宋体" w:cs="Times New Roman"/>
                <w:sz w:val="21"/>
                <w:szCs w:val="21"/>
              </w:rPr>
            </w:pPr>
          </w:p>
        </w:tc>
        <w:tc>
          <w:tcPr>
            <w:tcW w:w="709" w:type="pct"/>
            <w:tcBorders>
              <w:tl2br w:val="nil"/>
              <w:tr2bl w:val="nil"/>
            </w:tcBorders>
            <w:vAlign w:val="center"/>
          </w:tcPr>
          <w:p>
            <w:pPr>
              <w:spacing w:before="34" w:line="228"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1月</w:t>
            </w:r>
          </w:p>
        </w:tc>
        <w:tc>
          <w:tcPr>
            <w:tcW w:w="710" w:type="pct"/>
            <w:tcBorders>
              <w:tl2br w:val="nil"/>
              <w:tr2bl w:val="nil"/>
            </w:tcBorders>
            <w:vAlign w:val="center"/>
          </w:tcPr>
          <w:p>
            <w:pPr>
              <w:spacing w:before="34" w:line="228" w:lineRule="auto"/>
              <w:jc w:val="center"/>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2月</w:t>
            </w:r>
          </w:p>
        </w:tc>
        <w:tc>
          <w:tcPr>
            <w:tcW w:w="710" w:type="pct"/>
            <w:tcBorders>
              <w:tl2br w:val="nil"/>
              <w:tr2bl w:val="nil"/>
            </w:tcBorders>
            <w:vAlign w:val="center"/>
          </w:tcPr>
          <w:p>
            <w:pPr>
              <w:spacing w:before="34" w:line="228" w:lineRule="auto"/>
              <w:jc w:val="center"/>
              <w:rPr>
                <w:rFonts w:ascii="Times New Roman" w:hAnsi="Times New Roman" w:eastAsia="宋体" w:cs="Times New Roman"/>
                <w:spacing w:val="3"/>
                <w:sz w:val="21"/>
                <w:szCs w:val="21"/>
              </w:rPr>
            </w:pPr>
            <w:r>
              <w:rPr>
                <w:rFonts w:hint="eastAsia" w:ascii="Times New Roman" w:hAnsi="Times New Roman" w:eastAsia="宋体" w:cs="Times New Roman"/>
                <w:spacing w:val="3"/>
                <w:sz w:val="21"/>
                <w:szCs w:val="21"/>
                <w:lang w:val="en-US" w:eastAsia="zh-CN"/>
              </w:rPr>
              <w:t>3月</w:t>
            </w:r>
          </w:p>
        </w:tc>
        <w:tc>
          <w:tcPr>
            <w:tcW w:w="710" w:type="pct"/>
            <w:tcBorders>
              <w:tl2br w:val="nil"/>
              <w:tr2bl w:val="nil"/>
            </w:tcBorders>
            <w:vAlign w:val="center"/>
          </w:tcPr>
          <w:p>
            <w:pPr>
              <w:spacing w:before="34" w:line="228" w:lineRule="auto"/>
              <w:jc w:val="center"/>
              <w:rPr>
                <w:rFonts w:ascii="Times New Roman" w:hAnsi="Times New Roman" w:eastAsia="宋体" w:cs="Times New Roman"/>
                <w:spacing w:val="3"/>
                <w:sz w:val="21"/>
                <w:szCs w:val="21"/>
              </w:rPr>
            </w:pPr>
            <w:r>
              <w:rPr>
                <w:rFonts w:hint="eastAsia" w:ascii="Times New Roman" w:hAnsi="Times New Roman" w:eastAsia="宋体" w:cs="Times New Roman"/>
                <w:spacing w:val="3"/>
                <w:sz w:val="21"/>
                <w:szCs w:val="21"/>
                <w:lang w:val="en-US" w:eastAsia="zh-CN"/>
              </w:rPr>
              <w:t>4月</w:t>
            </w:r>
          </w:p>
        </w:tc>
        <w:tc>
          <w:tcPr>
            <w:tcW w:w="710" w:type="pct"/>
            <w:tcBorders>
              <w:tl2br w:val="nil"/>
              <w:tr2bl w:val="nil"/>
            </w:tcBorders>
            <w:vAlign w:val="center"/>
          </w:tcPr>
          <w:p>
            <w:pPr>
              <w:spacing w:before="34" w:line="228" w:lineRule="auto"/>
              <w:jc w:val="center"/>
              <w:rPr>
                <w:rFonts w:ascii="Times New Roman" w:hAnsi="Times New Roman" w:eastAsia="宋体" w:cs="Times New Roman"/>
                <w:spacing w:val="3"/>
                <w:sz w:val="21"/>
                <w:szCs w:val="21"/>
              </w:rPr>
            </w:pPr>
            <w:r>
              <w:rPr>
                <w:rFonts w:hint="eastAsia" w:ascii="Times New Roman" w:hAnsi="Times New Roman" w:eastAsia="宋体" w:cs="Times New Roman"/>
                <w:spacing w:val="3"/>
                <w:sz w:val="21"/>
                <w:szCs w:val="21"/>
                <w:lang w:val="en-US" w:eastAsia="zh-CN"/>
              </w:rPr>
              <w:t>5月</w:t>
            </w:r>
          </w:p>
        </w:tc>
        <w:tc>
          <w:tcPr>
            <w:tcW w:w="712" w:type="pct"/>
            <w:tcBorders>
              <w:tl2br w:val="nil"/>
              <w:tr2bl w:val="nil"/>
            </w:tcBorders>
            <w:vAlign w:val="center"/>
          </w:tcPr>
          <w:p>
            <w:pPr>
              <w:spacing w:before="34" w:line="228" w:lineRule="auto"/>
              <w:jc w:val="center"/>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6月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曹家滩</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仁和坝</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水市水库</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宁远县水厂</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泠江入宁远河口</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738" w:type="pct"/>
            <w:tcBorders>
              <w:tl2br w:val="nil"/>
              <w:tr2bl w:val="nil"/>
            </w:tcBorders>
            <w:vAlign w:val="center"/>
          </w:tcPr>
          <w:p>
            <w:pPr>
              <w:spacing w:before="34" w:line="228"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柑子园镇周邝村</w:t>
            </w:r>
          </w:p>
        </w:tc>
        <w:tc>
          <w:tcPr>
            <w:tcW w:w="709"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Ⅰ</w:t>
            </w:r>
          </w:p>
        </w:tc>
        <w:tc>
          <w:tcPr>
            <w:tcW w:w="710"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c>
          <w:tcPr>
            <w:tcW w:w="712" w:type="pct"/>
            <w:tcBorders>
              <w:tl2br w:val="nil"/>
              <w:tr2bl w:val="nil"/>
            </w:tcBorders>
            <w:vAlign w:val="center"/>
          </w:tcPr>
          <w:p>
            <w:pPr>
              <w:spacing w:before="34" w:line="228"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aps w:val="0"/>
                <w:sz w:val="24"/>
                <w:szCs w:val="24"/>
                <w:u w:val="none"/>
              </w:rPr>
              <w:t>Ⅱ</w:t>
            </w:r>
          </w:p>
        </w:tc>
      </w:tr>
    </w:tbl>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由</w:t>
      </w:r>
      <w:r>
        <w:rPr>
          <w:rFonts w:hint="eastAsia" w:ascii="Times New Roman" w:hAnsi="Times New Roman" w:eastAsia="宋体" w:cs="Times New Roman"/>
          <w:b w:val="0"/>
          <w:bCs w:val="0"/>
          <w:snapToGrid w:val="0"/>
          <w:color w:val="000000"/>
          <w:spacing w:val="11"/>
          <w:kern w:val="0"/>
          <w:sz w:val="24"/>
          <w:szCs w:val="24"/>
          <w:lang w:val="en-US" w:eastAsia="zh-CN"/>
        </w:rPr>
        <w:t>上表</w:t>
      </w:r>
      <w:r>
        <w:rPr>
          <w:rFonts w:hint="default" w:ascii="Times New Roman" w:hAnsi="Times New Roman" w:eastAsia="宋体" w:cs="Times New Roman"/>
          <w:b w:val="0"/>
          <w:bCs w:val="0"/>
          <w:snapToGrid w:val="0"/>
          <w:color w:val="000000"/>
          <w:spacing w:val="11"/>
          <w:kern w:val="0"/>
          <w:sz w:val="24"/>
          <w:szCs w:val="24"/>
          <w:lang w:val="en-US" w:eastAsia="zh-CN"/>
        </w:rPr>
        <w:t>统计结果可知，</w:t>
      </w:r>
      <w:r>
        <w:rPr>
          <w:rFonts w:hint="eastAsia" w:ascii="Times New Roman" w:hAnsi="Times New Roman" w:eastAsia="宋体" w:cs="Times New Roman"/>
          <w:b w:val="0"/>
          <w:bCs w:val="0"/>
          <w:snapToGrid w:val="0"/>
          <w:color w:val="000000"/>
          <w:spacing w:val="11"/>
          <w:kern w:val="0"/>
          <w:sz w:val="24"/>
          <w:szCs w:val="24"/>
          <w:lang w:val="en-US" w:eastAsia="zh-CN"/>
        </w:rPr>
        <w:t>项目所在区域地表水环境质量总体良好，</w:t>
      </w:r>
      <w:r>
        <w:rPr>
          <w:rFonts w:hint="default" w:ascii="Times New Roman" w:hAnsi="Times New Roman" w:eastAsia="宋体" w:cs="Times New Roman"/>
          <w:b w:val="0"/>
          <w:bCs w:val="0"/>
          <w:snapToGrid w:val="0"/>
          <w:color w:val="000000"/>
          <w:spacing w:val="11"/>
          <w:kern w:val="0"/>
          <w:sz w:val="24"/>
          <w:szCs w:val="24"/>
          <w:lang w:val="en-US" w:eastAsia="zh-CN"/>
        </w:rPr>
        <w:t>满足《地表水环境质量标准》(GB3838-2002)中的Ⅲ类标准。</w:t>
      </w:r>
    </w:p>
    <w:p>
      <w:pPr>
        <w:pStyle w:val="3"/>
        <w:bidi w:val="0"/>
      </w:pPr>
      <w:bookmarkStart w:id="71" w:name="_Toc26916"/>
      <w:r>
        <w:rPr>
          <w:rFonts w:hint="eastAsia"/>
          <w:lang w:val="en-US" w:eastAsia="zh-CN"/>
        </w:rPr>
        <w:t>4.4</w:t>
      </w:r>
      <w:r>
        <w:t>声环境质量现状调查与评价</w:t>
      </w:r>
      <w:bookmarkEnd w:id="71"/>
    </w:p>
    <w:p>
      <w:pPr>
        <w:pStyle w:val="4"/>
        <w:bidi w:val="0"/>
      </w:pPr>
      <w:r>
        <w:rPr>
          <w:rFonts w:hint="eastAsia"/>
          <w:lang w:val="en-US" w:eastAsia="zh-CN"/>
        </w:rPr>
        <w:t>4.4</w:t>
      </w:r>
      <w:r>
        <w:rPr>
          <w:rFonts w:hint="eastAsia" w:eastAsia="宋体"/>
          <w:lang w:val="en-US" w:eastAsia="zh-CN"/>
        </w:rPr>
        <w:t>.</w:t>
      </w:r>
      <w:r>
        <w:t>1 声环境现状监测</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为了解项目所在区域声环境</w:t>
      </w:r>
      <w:r>
        <w:rPr>
          <w:rFonts w:hint="default" w:ascii="Times New Roman" w:hAnsi="Times New Roman" w:eastAsia="宋体" w:cs="Times New Roman"/>
          <w:b w:val="0"/>
          <w:bCs w:val="0"/>
          <w:snapToGrid w:val="0"/>
          <w:color w:val="auto"/>
          <w:spacing w:val="11"/>
          <w:kern w:val="0"/>
          <w:sz w:val="24"/>
          <w:szCs w:val="24"/>
          <w:lang w:val="en-US" w:eastAsia="zh-CN"/>
        </w:rPr>
        <w:t>质量现状</w:t>
      </w:r>
      <w:r>
        <w:rPr>
          <w:rFonts w:hint="eastAsia" w:ascii="Times New Roman" w:hAnsi="Times New Roman" w:eastAsia="宋体" w:cs="Times New Roman"/>
          <w:b w:val="0"/>
          <w:bCs w:val="0"/>
          <w:snapToGrid w:val="0"/>
          <w:color w:val="auto"/>
          <w:spacing w:val="11"/>
          <w:kern w:val="0"/>
          <w:sz w:val="24"/>
          <w:szCs w:val="24"/>
          <w:lang w:val="en-US" w:eastAsia="zh-CN"/>
        </w:rPr>
        <w:t>，委托湖南中雁环保科技有限公司对项目及周边敏感点声环境质量现状监测</w:t>
      </w:r>
      <w:r>
        <w:rPr>
          <w:rFonts w:hint="default" w:ascii="Times New Roman" w:hAnsi="Times New Roman" w:eastAsia="宋体" w:cs="Times New Roman"/>
          <w:b w:val="0"/>
          <w:bCs w:val="0"/>
          <w:snapToGrid w:val="0"/>
          <w:color w:val="auto"/>
          <w:spacing w:val="11"/>
          <w:kern w:val="0"/>
          <w:sz w:val="24"/>
          <w:szCs w:val="24"/>
          <w:lang w:val="en-US" w:eastAsia="zh-CN"/>
        </w:rPr>
        <w:t>。本次声环境质量现状监测时间为202</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年</w:t>
      </w:r>
      <w:r>
        <w:rPr>
          <w:rFonts w:hint="eastAsia" w:ascii="Times New Roman" w:hAnsi="Times New Roman" w:eastAsia="宋体" w:cs="Times New Roman"/>
          <w:b w:val="0"/>
          <w:bCs w:val="0"/>
          <w:snapToGrid w:val="0"/>
          <w:color w:val="auto"/>
          <w:spacing w:val="11"/>
          <w:kern w:val="0"/>
          <w:sz w:val="24"/>
          <w:szCs w:val="24"/>
          <w:lang w:val="en-US" w:eastAsia="zh-CN"/>
        </w:rPr>
        <w:t>7</w:t>
      </w:r>
      <w:r>
        <w:rPr>
          <w:rFonts w:hint="default" w:ascii="Times New Roman" w:hAnsi="Times New Roman" w:eastAsia="宋体" w:cs="Times New Roman"/>
          <w:b w:val="0"/>
          <w:bCs w:val="0"/>
          <w:snapToGrid w:val="0"/>
          <w:color w:val="auto"/>
          <w:spacing w:val="11"/>
          <w:kern w:val="0"/>
          <w:sz w:val="24"/>
          <w:szCs w:val="24"/>
          <w:lang w:val="en-US" w:eastAsia="zh-CN"/>
        </w:rPr>
        <w:t>月</w:t>
      </w:r>
      <w:r>
        <w:rPr>
          <w:rFonts w:hint="eastAsia" w:ascii="Times New Roman" w:hAnsi="Times New Roman" w:eastAsia="宋体" w:cs="Times New Roman"/>
          <w:b w:val="0"/>
          <w:bCs w:val="0"/>
          <w:snapToGrid w:val="0"/>
          <w:color w:val="auto"/>
          <w:spacing w:val="11"/>
          <w:kern w:val="0"/>
          <w:sz w:val="24"/>
          <w:szCs w:val="24"/>
          <w:lang w:val="en-US" w:eastAsia="zh-CN"/>
        </w:rPr>
        <w:t>31</w:t>
      </w:r>
      <w:r>
        <w:rPr>
          <w:rFonts w:hint="default" w:ascii="Times New Roman" w:hAnsi="Times New Roman" w:eastAsia="宋体" w:cs="Times New Roman"/>
          <w:b w:val="0"/>
          <w:bCs w:val="0"/>
          <w:snapToGrid w:val="0"/>
          <w:color w:val="auto"/>
          <w:spacing w:val="11"/>
          <w:kern w:val="0"/>
          <w:sz w:val="24"/>
          <w:szCs w:val="24"/>
          <w:lang w:val="en-US" w:eastAsia="zh-CN"/>
        </w:rPr>
        <w:t>日~202</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年</w:t>
      </w:r>
      <w:r>
        <w:rPr>
          <w:rFonts w:hint="eastAsia" w:ascii="Times New Roman" w:hAnsi="Times New Roman" w:eastAsia="宋体" w:cs="Times New Roman"/>
          <w:b w:val="0"/>
          <w:bCs w:val="0"/>
          <w:snapToGrid w:val="0"/>
          <w:color w:val="auto"/>
          <w:spacing w:val="11"/>
          <w:kern w:val="0"/>
          <w:sz w:val="24"/>
          <w:szCs w:val="24"/>
          <w:lang w:val="en-US" w:eastAsia="zh-CN"/>
        </w:rPr>
        <w:t>8</w:t>
      </w:r>
      <w:r>
        <w:rPr>
          <w:rFonts w:hint="default" w:ascii="Times New Roman" w:hAnsi="Times New Roman" w:eastAsia="宋体" w:cs="Times New Roman"/>
          <w:b w:val="0"/>
          <w:bCs w:val="0"/>
          <w:snapToGrid w:val="0"/>
          <w:color w:val="auto"/>
          <w:spacing w:val="11"/>
          <w:kern w:val="0"/>
          <w:sz w:val="24"/>
          <w:szCs w:val="24"/>
          <w:lang w:val="en-US" w:eastAsia="zh-CN"/>
        </w:rPr>
        <w:t>月</w:t>
      </w:r>
      <w:r>
        <w:rPr>
          <w:rFonts w:hint="eastAsia" w:ascii="Times New Roman" w:hAnsi="Times New Roman" w:eastAsia="宋体" w:cs="Times New Roman"/>
          <w:b w:val="0"/>
          <w:bCs w:val="0"/>
          <w:snapToGrid w:val="0"/>
          <w:color w:val="auto"/>
          <w:spacing w:val="11"/>
          <w:kern w:val="0"/>
          <w:sz w:val="24"/>
          <w:szCs w:val="24"/>
          <w:lang w:val="en-US" w:eastAsia="zh-CN"/>
        </w:rPr>
        <w:t>1</w:t>
      </w:r>
      <w:r>
        <w:rPr>
          <w:rFonts w:hint="default" w:ascii="Times New Roman" w:hAnsi="Times New Roman" w:eastAsia="宋体" w:cs="Times New Roman"/>
          <w:b w:val="0"/>
          <w:bCs w:val="0"/>
          <w:snapToGrid w:val="0"/>
          <w:color w:val="auto"/>
          <w:spacing w:val="11"/>
          <w:kern w:val="0"/>
          <w:sz w:val="24"/>
          <w:szCs w:val="24"/>
          <w:lang w:val="en-US" w:eastAsia="zh-CN"/>
        </w:rPr>
        <w:t>日，连续监</w:t>
      </w:r>
      <w:r>
        <w:rPr>
          <w:rFonts w:hint="default" w:ascii="Times New Roman" w:hAnsi="Times New Roman" w:eastAsia="宋体" w:cs="Times New Roman"/>
          <w:b w:val="0"/>
          <w:bCs w:val="0"/>
          <w:snapToGrid w:val="0"/>
          <w:color w:val="000000"/>
          <w:spacing w:val="11"/>
          <w:kern w:val="0"/>
          <w:sz w:val="24"/>
          <w:szCs w:val="24"/>
          <w:lang w:val="en-US" w:eastAsia="zh-CN"/>
        </w:rPr>
        <w:t>测两天。</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、监测布点</w:t>
      </w:r>
    </w:p>
    <w:p>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共布设</w:t>
      </w:r>
      <w:r>
        <w:rPr>
          <w:rFonts w:hint="eastAsia" w:ascii="Times New Roman" w:hAnsi="Times New Roman"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个监测点位，具体位置见表</w:t>
      </w:r>
      <w:r>
        <w:rPr>
          <w:rFonts w:hint="eastAsia" w:ascii="Times New Roman" w:hAnsi="Times New Roman" w:eastAsia="宋体" w:cs="Times New Roman"/>
          <w:b w:val="0"/>
          <w:bCs w:val="0"/>
          <w:snapToGrid w:val="0"/>
          <w:color w:val="000000"/>
          <w:spacing w:val="11"/>
          <w:kern w:val="0"/>
          <w:sz w:val="24"/>
          <w:szCs w:val="24"/>
          <w:lang w:val="en-US" w:eastAsia="zh-CN"/>
        </w:rPr>
        <w:t>4.4</w:t>
      </w:r>
      <w:r>
        <w:rPr>
          <w:rFonts w:hint="default" w:ascii="Times New Roman" w:hAnsi="Times New Roman" w:eastAsia="宋体" w:cs="Times New Roman"/>
          <w:b w:val="0"/>
          <w:bCs w:val="0"/>
          <w:snapToGrid w:val="0"/>
          <w:color w:val="000000"/>
          <w:spacing w:val="11"/>
          <w:kern w:val="0"/>
          <w:sz w:val="24"/>
          <w:szCs w:val="24"/>
          <w:lang w:val="en-US" w:eastAsia="zh-CN"/>
        </w:rPr>
        <w:t>-1。</w:t>
      </w:r>
    </w:p>
    <w:p>
      <w:pPr>
        <w:spacing w:before="111" w:line="288" w:lineRule="exact"/>
        <w:jc w:val="center"/>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表4.4-1      环境噪声监测点位分布一览表</w:t>
      </w:r>
    </w:p>
    <w:p>
      <w:pPr>
        <w:spacing w:line="133" w:lineRule="exact"/>
      </w:pP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3628"/>
        <w:gridCol w:w="611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55" w:line="228" w:lineRule="auto"/>
              <w:ind w:left="1329"/>
              <w:jc w:val="both"/>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编</w:t>
            </w:r>
            <w:r>
              <w:rPr>
                <w:rFonts w:ascii="Times New Roman" w:hAnsi="Times New Roman" w:eastAsia="宋体" w:cs="Times New Roman"/>
                <w:b/>
                <w:bCs/>
                <w:spacing w:val="3"/>
                <w:sz w:val="21"/>
                <w:szCs w:val="21"/>
              </w:rPr>
              <w:t>号</w:t>
            </w:r>
          </w:p>
        </w:tc>
        <w:tc>
          <w:tcPr>
            <w:tcW w:w="3137" w:type="pct"/>
            <w:tcBorders>
              <w:tl2br w:val="nil"/>
              <w:tr2bl w:val="nil"/>
            </w:tcBorders>
            <w:vAlign w:val="center"/>
          </w:tcPr>
          <w:p>
            <w:pPr>
              <w:spacing w:before="55" w:line="230" w:lineRule="auto"/>
              <w:jc w:val="center"/>
              <w:rPr>
                <w:rFonts w:ascii="Times New Roman" w:hAnsi="Times New Roman" w:eastAsia="宋体" w:cs="Times New Roman"/>
                <w:b/>
                <w:bCs/>
                <w:sz w:val="21"/>
                <w:szCs w:val="21"/>
              </w:rPr>
            </w:pPr>
            <w:r>
              <w:rPr>
                <w:rFonts w:ascii="Times New Roman" w:hAnsi="Times New Roman" w:eastAsia="宋体" w:cs="Times New Roman"/>
                <w:b/>
                <w:bCs/>
                <w:spacing w:val="4"/>
                <w:sz w:val="21"/>
                <w:szCs w:val="21"/>
              </w:rPr>
              <w:t>名</w:t>
            </w:r>
            <w:r>
              <w:rPr>
                <w:rFonts w:ascii="Times New Roman" w:hAnsi="Times New Roman" w:eastAsia="宋体" w:cs="Times New Roman"/>
                <w:b/>
                <w:bCs/>
                <w:spacing w:val="3"/>
                <w:sz w:val="21"/>
                <w:szCs w:val="21"/>
              </w:rPr>
              <w:t>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69" w:line="195" w:lineRule="auto"/>
              <w:ind w:left="1401"/>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pacing w:val="13"/>
                <w:sz w:val="21"/>
                <w:szCs w:val="21"/>
              </w:rPr>
              <w:t>1</w:t>
            </w:r>
          </w:p>
        </w:tc>
        <w:tc>
          <w:tcPr>
            <w:tcW w:w="3137" w:type="pct"/>
            <w:tcBorders>
              <w:tl2br w:val="nil"/>
              <w:tr2bl w:val="nil"/>
            </w:tcBorders>
            <w:vAlign w:val="center"/>
          </w:tcPr>
          <w:p>
            <w:pPr>
              <w:spacing w:before="34" w:line="228" w:lineRule="auto"/>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厂界东面外 1</w:t>
            </w:r>
            <w:r>
              <w:rPr>
                <w:rFonts w:ascii="Times New Roman" w:hAnsi="Times New Roman" w:eastAsia="宋体" w:cs="Times New Roman"/>
                <w:sz w:val="21"/>
                <w:szCs w:val="21"/>
              </w:rPr>
              <w:t>m</w:t>
            </w:r>
            <w:r>
              <w:rPr>
                <w:rFonts w:ascii="Times New Roman" w:hAnsi="Times New Roman" w:eastAsia="宋体" w:cs="Times New Roman"/>
                <w:spacing w:val="3"/>
                <w:sz w:val="21"/>
                <w:szCs w:val="21"/>
              </w:rPr>
              <w:t xml:space="preserve"> 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70" w:line="195" w:lineRule="auto"/>
              <w:ind w:left="1401"/>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pacing w:val="13"/>
                <w:sz w:val="21"/>
                <w:szCs w:val="21"/>
              </w:rPr>
              <w:t>2</w:t>
            </w:r>
          </w:p>
        </w:tc>
        <w:tc>
          <w:tcPr>
            <w:tcW w:w="3137" w:type="pct"/>
            <w:tcBorders>
              <w:tl2br w:val="nil"/>
              <w:tr2bl w:val="nil"/>
            </w:tcBorders>
            <w:vAlign w:val="center"/>
          </w:tcPr>
          <w:p>
            <w:pPr>
              <w:spacing w:before="35" w:line="228" w:lineRule="auto"/>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厂界南面外 1</w:t>
            </w:r>
            <w:r>
              <w:rPr>
                <w:rFonts w:ascii="Times New Roman" w:hAnsi="Times New Roman" w:eastAsia="宋体" w:cs="Times New Roman"/>
                <w:sz w:val="21"/>
                <w:szCs w:val="21"/>
              </w:rPr>
              <w:t>m</w:t>
            </w:r>
            <w:r>
              <w:rPr>
                <w:rFonts w:ascii="Times New Roman" w:hAnsi="Times New Roman" w:eastAsia="宋体" w:cs="Times New Roman"/>
                <w:spacing w:val="3"/>
                <w:sz w:val="21"/>
                <w:szCs w:val="21"/>
              </w:rPr>
              <w:t xml:space="preserve"> 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69" w:line="195" w:lineRule="auto"/>
              <w:ind w:left="1401"/>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pacing w:val="13"/>
                <w:sz w:val="21"/>
                <w:szCs w:val="21"/>
              </w:rPr>
              <w:t>3</w:t>
            </w:r>
          </w:p>
        </w:tc>
        <w:tc>
          <w:tcPr>
            <w:tcW w:w="3137" w:type="pct"/>
            <w:tcBorders>
              <w:tl2br w:val="nil"/>
              <w:tr2bl w:val="nil"/>
            </w:tcBorders>
            <w:vAlign w:val="center"/>
          </w:tcPr>
          <w:p>
            <w:pPr>
              <w:spacing w:before="34" w:line="228" w:lineRule="auto"/>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厂界西面外 1</w:t>
            </w:r>
            <w:r>
              <w:rPr>
                <w:rFonts w:ascii="Times New Roman" w:hAnsi="Times New Roman" w:eastAsia="宋体" w:cs="Times New Roman"/>
                <w:sz w:val="21"/>
                <w:szCs w:val="21"/>
              </w:rPr>
              <w:t>m</w:t>
            </w:r>
            <w:r>
              <w:rPr>
                <w:rFonts w:ascii="Times New Roman" w:hAnsi="Times New Roman" w:eastAsia="宋体" w:cs="Times New Roman"/>
                <w:spacing w:val="3"/>
                <w:sz w:val="21"/>
                <w:szCs w:val="21"/>
              </w:rPr>
              <w:t xml:space="preserve"> 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70" w:line="195" w:lineRule="auto"/>
              <w:ind w:left="1401"/>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pacing w:val="13"/>
                <w:sz w:val="21"/>
                <w:szCs w:val="21"/>
              </w:rPr>
              <w:t>4</w:t>
            </w:r>
          </w:p>
        </w:tc>
        <w:tc>
          <w:tcPr>
            <w:tcW w:w="3137" w:type="pct"/>
            <w:tcBorders>
              <w:tl2br w:val="nil"/>
              <w:tr2bl w:val="nil"/>
            </w:tcBorders>
            <w:vAlign w:val="center"/>
          </w:tcPr>
          <w:p>
            <w:pPr>
              <w:spacing w:before="35" w:line="227" w:lineRule="auto"/>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厂界北面外 1</w:t>
            </w:r>
            <w:r>
              <w:rPr>
                <w:rFonts w:ascii="Times New Roman" w:hAnsi="Times New Roman" w:eastAsia="宋体" w:cs="Times New Roman"/>
                <w:sz w:val="21"/>
                <w:szCs w:val="21"/>
              </w:rPr>
              <w:t>m</w:t>
            </w:r>
            <w:r>
              <w:rPr>
                <w:rFonts w:ascii="Times New Roman" w:hAnsi="Times New Roman" w:eastAsia="宋体" w:cs="Times New Roman"/>
                <w:spacing w:val="3"/>
                <w:sz w:val="21"/>
                <w:szCs w:val="21"/>
              </w:rPr>
              <w:t xml:space="preserve"> 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75" w:line="192" w:lineRule="auto"/>
              <w:ind w:left="1401"/>
              <w:jc w:val="both"/>
              <w:rPr>
                <w:rFonts w:ascii="Times New Roman" w:hAnsi="Times New Roman" w:eastAsia="宋体" w:cs="Times New Roman"/>
                <w:sz w:val="21"/>
                <w:szCs w:val="21"/>
              </w:rPr>
            </w:pPr>
            <w:r>
              <w:rPr>
                <w:rFonts w:ascii="Times New Roman" w:hAnsi="Times New Roman" w:eastAsia="宋体" w:cs="Times New Roman"/>
                <w:sz w:val="21"/>
                <w:szCs w:val="21"/>
              </w:rPr>
              <w:t>N</w:t>
            </w:r>
            <w:r>
              <w:rPr>
                <w:rFonts w:ascii="Times New Roman" w:hAnsi="Times New Roman" w:eastAsia="宋体" w:cs="Times New Roman"/>
                <w:spacing w:val="13"/>
                <w:sz w:val="21"/>
                <w:szCs w:val="21"/>
              </w:rPr>
              <w:t>5</w:t>
            </w:r>
          </w:p>
        </w:tc>
        <w:tc>
          <w:tcPr>
            <w:tcW w:w="3137" w:type="pct"/>
            <w:tcBorders>
              <w:tl2br w:val="nil"/>
              <w:tr2bl w:val="nil"/>
            </w:tcBorders>
            <w:vAlign w:val="center"/>
          </w:tcPr>
          <w:p>
            <w:pPr>
              <w:spacing w:before="34" w:line="228" w:lineRule="auto"/>
              <w:jc w:val="center"/>
              <w:rPr>
                <w:rFonts w:ascii="Times New Roman" w:hAnsi="Times New Roman" w:eastAsia="宋体" w:cs="Times New Roman"/>
                <w:spacing w:val="3"/>
                <w:sz w:val="21"/>
                <w:szCs w:val="21"/>
              </w:rPr>
            </w:pPr>
            <w:r>
              <w:rPr>
                <w:rFonts w:hint="eastAsia" w:ascii="Times New Roman" w:hAnsi="Times New Roman" w:eastAsia="宋体" w:cs="Times New Roman"/>
                <w:spacing w:val="3"/>
                <w:sz w:val="21"/>
                <w:szCs w:val="21"/>
                <w:lang w:val="en-US" w:eastAsia="zh-CN"/>
              </w:rPr>
              <w:t>项目北侧100m处居民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862" w:type="pct"/>
            <w:tcBorders>
              <w:tl2br w:val="nil"/>
              <w:tr2bl w:val="nil"/>
            </w:tcBorders>
            <w:vAlign w:val="center"/>
          </w:tcPr>
          <w:p>
            <w:pPr>
              <w:spacing w:before="75" w:line="192" w:lineRule="auto"/>
              <w:ind w:left="1401"/>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N6</w:t>
            </w:r>
          </w:p>
        </w:tc>
        <w:tc>
          <w:tcPr>
            <w:tcW w:w="3137" w:type="pct"/>
            <w:tcBorders>
              <w:tl2br w:val="nil"/>
              <w:tr2bl w:val="nil"/>
            </w:tcBorders>
            <w:vAlign w:val="center"/>
          </w:tcPr>
          <w:p>
            <w:pPr>
              <w:spacing w:before="34" w:line="228" w:lineRule="auto"/>
              <w:jc w:val="center"/>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项目东侧宁远县中医医院</w:t>
            </w:r>
          </w:p>
        </w:tc>
      </w:tr>
    </w:tbl>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、监测时间、监测项目和频次</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监测频次：连续监测2天，每一个监测点分昼间和夜间进行监测，昼夜各测一次。</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 xml:space="preserve">测量时段：昼间6 </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00~22：00 ，夜间22：00~次日6 ：00。</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、监测方法</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根据《声环境质量标准》(GB3096-2008)中关于环境噪声的监测要求进行监测，监测时无雨、无雪，测点风速小于5.0m/s ，使用多功能声级计进行监测。</w:t>
      </w:r>
    </w:p>
    <w:p>
      <w:pPr>
        <w:pStyle w:val="4"/>
        <w:bidi w:val="0"/>
        <w:rPr>
          <w:rFonts w:hint="default"/>
          <w:lang w:val="en-US" w:eastAsia="zh-CN"/>
        </w:rPr>
      </w:pPr>
      <w:r>
        <w:rPr>
          <w:rFonts w:hint="eastAsia"/>
          <w:lang w:val="en-US" w:eastAsia="zh-CN"/>
        </w:rPr>
        <w:t>4.4</w:t>
      </w:r>
      <w:r>
        <w:rPr>
          <w:rFonts w:hint="default"/>
          <w:lang w:val="en-US" w:eastAsia="zh-CN"/>
        </w:rPr>
        <w:t>.2 评价标准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评价标准：区域声环境质量执行《声环境质量标准》(GB3096-2008)中的2类区标准。评价方法：采用与《声环境质量标准》(GB3096－2008)中相应的2类标准相比较的方法。</w:t>
      </w:r>
    </w:p>
    <w:p>
      <w:pPr>
        <w:pStyle w:val="4"/>
        <w:bidi w:val="0"/>
        <w:rPr>
          <w:rFonts w:hint="default"/>
          <w:lang w:val="en-US" w:eastAsia="zh-CN"/>
        </w:rPr>
      </w:pPr>
      <w:r>
        <w:rPr>
          <w:rFonts w:hint="eastAsia"/>
          <w:lang w:val="en-US" w:eastAsia="zh-CN"/>
        </w:rPr>
        <w:t>4.4</w:t>
      </w:r>
      <w:r>
        <w:rPr>
          <w:rFonts w:hint="default"/>
          <w:lang w:val="en-US" w:eastAsia="zh-CN"/>
        </w:rPr>
        <w:t>.3 监测结果及评价</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厂界及周边</w:t>
      </w:r>
      <w:r>
        <w:rPr>
          <w:rFonts w:hint="default" w:ascii="Times New Roman" w:hAnsi="Times New Roman" w:eastAsia="宋体" w:cs="Times New Roman"/>
          <w:b w:val="0"/>
          <w:bCs w:val="0"/>
          <w:snapToGrid w:val="0"/>
          <w:color w:val="000000"/>
          <w:spacing w:val="11"/>
          <w:kern w:val="0"/>
          <w:sz w:val="24"/>
          <w:szCs w:val="24"/>
          <w:lang w:val="en-US" w:eastAsia="zh-CN"/>
        </w:rPr>
        <w:t>环境敏感点声环境监测统计及评价结果见表</w:t>
      </w:r>
      <w:r>
        <w:rPr>
          <w:rFonts w:hint="eastAsia" w:ascii="Times New Roman" w:hAnsi="Times New Roman" w:eastAsia="宋体" w:cs="Times New Roman"/>
          <w:b w:val="0"/>
          <w:bCs w:val="0"/>
          <w:snapToGrid w:val="0"/>
          <w:color w:val="000000"/>
          <w:spacing w:val="11"/>
          <w:kern w:val="0"/>
          <w:sz w:val="24"/>
          <w:szCs w:val="24"/>
          <w:lang w:val="en-US" w:eastAsia="zh-CN"/>
        </w:rPr>
        <w:t>4.4</w:t>
      </w:r>
      <w:r>
        <w:rPr>
          <w:rFonts w:hint="default" w:ascii="Times New Roman" w:hAnsi="Times New Roman" w:eastAsia="宋体" w:cs="Times New Roman"/>
          <w:b w:val="0"/>
          <w:bCs w:val="0"/>
          <w:snapToGrid w:val="0"/>
          <w:color w:val="000000"/>
          <w:spacing w:val="11"/>
          <w:kern w:val="0"/>
          <w:sz w:val="24"/>
          <w:szCs w:val="24"/>
          <w:lang w:val="en-US" w:eastAsia="zh-CN"/>
        </w:rPr>
        <w:t>-2。</w:t>
      </w:r>
    </w:p>
    <w:p>
      <w:pPr>
        <w:spacing w:before="111" w:line="288" w:lineRule="exact"/>
        <w:jc w:val="center"/>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 4.4-2   声环境现状监测及评价结果表</w:t>
      </w:r>
      <w:r>
        <w:rPr>
          <w:rFonts w:hint="eastAsia" w:ascii="Times New Roman" w:hAnsi="Times New Roman" w:eastAsia="宋体" w:cs="Times New Roman"/>
          <w:b w:val="0"/>
          <w:bCs w:val="0"/>
          <w:snapToGrid w:val="0"/>
          <w:color w:val="000000"/>
          <w:spacing w:val="11"/>
          <w:kern w:val="0"/>
          <w:sz w:val="24"/>
          <w:szCs w:val="24"/>
          <w:lang w:val="en-US" w:eastAsia="zh-CN"/>
        </w:rPr>
        <w:t xml:space="preserve">     </w:t>
      </w:r>
    </w:p>
    <w:p>
      <w:pPr>
        <w:spacing w:line="130" w:lineRule="exact"/>
      </w:pPr>
    </w:p>
    <w:tbl>
      <w:tblPr>
        <w:tblStyle w:val="34"/>
        <w:tblW w:w="4993"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autofit"/>
        <w:tblCellMar>
          <w:top w:w="0" w:type="dxa"/>
          <w:left w:w="0" w:type="dxa"/>
          <w:bottom w:w="0" w:type="dxa"/>
          <w:right w:w="0" w:type="dxa"/>
        </w:tblCellMar>
      </w:tblPr>
      <w:tblGrid>
        <w:gridCol w:w="827"/>
        <w:gridCol w:w="1863"/>
        <w:gridCol w:w="1674"/>
        <w:gridCol w:w="1175"/>
        <w:gridCol w:w="1159"/>
        <w:gridCol w:w="1021"/>
        <w:gridCol w:w="910"/>
        <w:gridCol w:w="110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序号</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监测点位</w:t>
            </w:r>
          </w:p>
        </w:tc>
        <w:tc>
          <w:tcPr>
            <w:tcW w:w="85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监测时间</w:t>
            </w:r>
          </w:p>
        </w:tc>
        <w:tc>
          <w:tcPr>
            <w:tcW w:w="1198"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监测结果 (dB(A))</w:t>
            </w:r>
          </w:p>
        </w:tc>
        <w:tc>
          <w:tcPr>
            <w:tcW w:w="991"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标准值</w:t>
            </w:r>
          </w:p>
        </w:tc>
        <w:tc>
          <w:tcPr>
            <w:tcW w:w="5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是否达标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85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昼间</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夜间</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昼间</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b/>
                <w:bCs/>
                <w:spacing w:val="7"/>
                <w:sz w:val="21"/>
                <w:szCs w:val="21"/>
              </w:rPr>
            </w:pPr>
            <w:r>
              <w:rPr>
                <w:rFonts w:ascii="Times New Roman" w:hAnsi="Times New Roman" w:eastAsia="宋体" w:cs="Times New Roman"/>
                <w:b/>
                <w:bCs/>
                <w:spacing w:val="7"/>
                <w:sz w:val="21"/>
                <w:szCs w:val="21"/>
              </w:rPr>
              <w:t>夜间</w:t>
            </w:r>
          </w:p>
        </w:tc>
        <w:tc>
          <w:tcPr>
            <w:tcW w:w="5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N1</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厂界东面外1m处</w:t>
            </w:r>
          </w:p>
        </w:tc>
        <w:tc>
          <w:tcPr>
            <w:tcW w:w="85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56</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46</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85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57</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46</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N2</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厂界南面外1m处</w:t>
            </w: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55</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46</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57</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46</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N3</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厂界西面外1m处</w:t>
            </w: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56</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47</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56</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47</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N4</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厂界北面外1m处</w:t>
            </w: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57</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46</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55</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45</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N5</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项目北侧100m处居民</w:t>
            </w: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52</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44</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52</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44</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N6</w:t>
            </w:r>
          </w:p>
        </w:tc>
        <w:tc>
          <w:tcPr>
            <w:tcW w:w="95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项目东侧宁远县中医医院</w:t>
            </w: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2024.7.31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56</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47</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454" w:hRule="atLeast"/>
        </w:trPr>
        <w:tc>
          <w:tcPr>
            <w:tcW w:w="425"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7"/>
                <w:sz w:val="21"/>
                <w:szCs w:val="21"/>
                <w:lang w:val="en-US" w:eastAsia="zh-CN"/>
              </w:rPr>
            </w:pPr>
          </w:p>
        </w:tc>
        <w:tc>
          <w:tcPr>
            <w:tcW w:w="95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7"/>
                <w:sz w:val="21"/>
                <w:szCs w:val="21"/>
                <w:lang w:val="en-US" w:eastAsia="zh-CN"/>
              </w:rPr>
            </w:pPr>
          </w:p>
        </w:tc>
        <w:tc>
          <w:tcPr>
            <w:tcW w:w="167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hint="eastAsia" w:ascii="Times New Roman" w:hAnsi="Times New Roman" w:eastAsia="宋体" w:cs="Times New Roman"/>
                <w:spacing w:val="7"/>
                <w:sz w:val="21"/>
                <w:szCs w:val="21"/>
                <w:lang w:val="en-US" w:eastAsia="zh-CN"/>
              </w:rPr>
              <w:t>2024.8.1</w:t>
            </w:r>
          </w:p>
        </w:tc>
        <w:tc>
          <w:tcPr>
            <w:tcW w:w="60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55</w:t>
            </w:r>
          </w:p>
        </w:tc>
        <w:tc>
          <w:tcPr>
            <w:tcW w:w="59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7"/>
                <w:sz w:val="21"/>
                <w:szCs w:val="21"/>
                <w:lang w:val="en-US" w:eastAsia="zh-CN"/>
              </w:rPr>
            </w:pPr>
            <w:r>
              <w:rPr>
                <w:rFonts w:hint="eastAsia" w:ascii="Times New Roman" w:hAnsi="Times New Roman" w:eastAsia="宋体" w:cs="Times New Roman"/>
                <w:spacing w:val="7"/>
                <w:sz w:val="21"/>
                <w:szCs w:val="21"/>
                <w:lang w:val="en-US" w:eastAsia="zh-CN"/>
              </w:rPr>
              <w:t>45</w:t>
            </w:r>
          </w:p>
        </w:tc>
        <w:tc>
          <w:tcPr>
            <w:tcW w:w="5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60</w:t>
            </w:r>
          </w:p>
        </w:tc>
        <w:tc>
          <w:tcPr>
            <w:tcW w:w="46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50</w:t>
            </w:r>
          </w:p>
        </w:tc>
        <w:tc>
          <w:tcPr>
            <w:tcW w:w="5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spacing w:val="7"/>
                <w:sz w:val="21"/>
                <w:szCs w:val="21"/>
              </w:rPr>
            </w:pPr>
            <w:r>
              <w:rPr>
                <w:rFonts w:ascii="Times New Roman" w:hAnsi="Times New Roman" w:eastAsia="宋体" w:cs="Times New Roman"/>
                <w:spacing w:val="7"/>
                <w:sz w:val="21"/>
                <w:szCs w:val="21"/>
              </w:rPr>
              <w:t>达标</w:t>
            </w:r>
          </w:p>
        </w:tc>
      </w:tr>
    </w:tbl>
    <w:p>
      <w:pPr>
        <w:spacing w:before="0" w:beforeLines="50" w:beforeAutospacing="0"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监测结果表明：项目厂界四周昼夜间现状环境噪声监测值均能达到《声环境质量标准》(GB3096-2008)2类区标准：昼间≤60dB(A)、夜间≤50dB(A)；</w:t>
      </w:r>
      <w:r>
        <w:rPr>
          <w:rFonts w:hint="eastAsia" w:ascii="Times New Roman" w:hAnsi="Times New Roman" w:eastAsia="宋体" w:cs="Times New Roman"/>
          <w:b w:val="0"/>
          <w:bCs w:val="0"/>
          <w:snapToGrid w:val="0"/>
          <w:color w:val="000000"/>
          <w:spacing w:val="11"/>
          <w:kern w:val="0"/>
          <w:sz w:val="24"/>
          <w:szCs w:val="24"/>
          <w:lang w:val="en-US" w:eastAsia="zh-CN"/>
        </w:rPr>
        <w:t>周边敏感点</w:t>
      </w:r>
      <w:r>
        <w:rPr>
          <w:rFonts w:hint="default" w:ascii="Times New Roman" w:hAnsi="Times New Roman" w:eastAsia="宋体" w:cs="Times New Roman"/>
          <w:b w:val="0"/>
          <w:bCs w:val="0"/>
          <w:snapToGrid w:val="0"/>
          <w:color w:val="000000"/>
          <w:spacing w:val="11"/>
          <w:kern w:val="0"/>
          <w:sz w:val="24"/>
          <w:szCs w:val="24"/>
          <w:lang w:val="en-US" w:eastAsia="zh-CN"/>
        </w:rPr>
        <w:t>昼夜间现状环境噪声监测值均能达到《声环境质量标准》(GB3096-2008)2类区标准</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昼间≤60dB(A)、夜间≤50dB(A)。</w:t>
      </w:r>
    </w:p>
    <w:p>
      <w:pPr>
        <w:pStyle w:val="3"/>
        <w:bidi w:val="0"/>
        <w:rPr>
          <w:rFonts w:hint="default"/>
          <w:lang w:val="en-US" w:eastAsia="zh-CN"/>
        </w:rPr>
      </w:pPr>
      <w:bookmarkStart w:id="72" w:name="_Toc26466"/>
      <w:r>
        <w:rPr>
          <w:rFonts w:hint="eastAsia"/>
          <w:lang w:val="en-US" w:eastAsia="zh-CN"/>
        </w:rPr>
        <w:t>4.5</w:t>
      </w:r>
      <w:r>
        <w:rPr>
          <w:rFonts w:hint="default"/>
          <w:lang w:val="en-US" w:eastAsia="zh-CN"/>
        </w:rPr>
        <w:t>地下水环境质量现状调查与评价</w:t>
      </w:r>
      <w:bookmarkEnd w:id="72"/>
    </w:p>
    <w:p>
      <w:pPr>
        <w:spacing w:before="0" w:beforeLines="50" w:beforeAutospacing="0" w:line="360" w:lineRule="auto"/>
        <w:ind w:firstLine="480"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pacing w:val="0"/>
          <w:sz w:val="24"/>
          <w:szCs w:val="24"/>
          <w:lang w:val="en-US" w:eastAsia="zh-CN"/>
        </w:rPr>
        <w:t>根据《环境影响评价技术导则地下水环境》（HJ610-2016）附录A地下水环境影响评价行业分类表，本项目属于“V 社会事业与服务业-160、疾病预防控制中心”中“其他”，不涉及环境敏感区，属</w:t>
      </w:r>
      <w:r>
        <w:rPr>
          <w:rFonts w:hint="default" w:ascii="Times New Roman" w:hAnsi="Times New Roman" w:eastAsia="宋体" w:cs="Times New Roman"/>
          <w:b w:val="0"/>
          <w:bCs w:val="0"/>
          <w:spacing w:val="0"/>
          <w:sz w:val="24"/>
          <w:szCs w:val="24"/>
          <w:lang w:val="en-US" w:eastAsia="zh-CN"/>
        </w:rPr>
        <w:t>Ⅳ</w:t>
      </w:r>
      <w:r>
        <w:rPr>
          <w:rFonts w:hint="eastAsia" w:ascii="Times New Roman" w:hAnsi="Times New Roman" w:eastAsia="宋体" w:cs="Times New Roman"/>
          <w:b w:val="0"/>
          <w:bCs w:val="0"/>
          <w:spacing w:val="0"/>
          <w:sz w:val="24"/>
          <w:szCs w:val="24"/>
          <w:lang w:val="en-US" w:eastAsia="zh-CN"/>
        </w:rPr>
        <w:t>类建设项目。可不开展地下水环境影响评价</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
        <w:bidi w:val="0"/>
      </w:pPr>
      <w:bookmarkStart w:id="73" w:name="_Toc10357"/>
      <w:r>
        <w:rPr>
          <w:rFonts w:hint="eastAsia"/>
          <w:lang w:val="en-US" w:eastAsia="zh-CN"/>
        </w:rPr>
        <w:t>4.6</w:t>
      </w:r>
      <w:r>
        <w:t>土壤环境现状调查与评价</w:t>
      </w:r>
      <w:bookmarkEnd w:id="73"/>
    </w:p>
    <w:p>
      <w:pPr>
        <w:pStyle w:val="24"/>
        <w:spacing w:line="360" w:lineRule="auto"/>
        <w:ind w:left="55" w:leftChars="26" w:firstLine="524" w:firstLineChars="200"/>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eastAsia" w:ascii="Times New Roman" w:hAnsi="Times New Roman" w:eastAsia="宋体" w:cs="Times New Roman"/>
          <w:b w:val="0"/>
          <w:bCs w:val="0"/>
          <w:snapToGrid w:val="0"/>
          <w:color w:val="000000"/>
          <w:spacing w:val="11"/>
          <w:kern w:val="0"/>
          <w:sz w:val="24"/>
          <w:szCs w:val="24"/>
          <w:lang w:val="en-US" w:eastAsia="zh-CN" w:bidi="ar-SA"/>
        </w:rPr>
        <w:t>根据《环境影响评价技术导则 土壤环境》（HJ964-2018）附录A，项目类别为IV类，因此项目可不开展土壤环境影响评价</w:t>
      </w:r>
      <w:r>
        <w:rPr>
          <w:rFonts w:hint="default" w:ascii="Times New Roman" w:hAnsi="Times New Roman" w:eastAsia="宋体" w:cs="Times New Roman"/>
          <w:b w:val="0"/>
          <w:bCs w:val="0"/>
          <w:snapToGrid w:val="0"/>
          <w:color w:val="000000"/>
          <w:spacing w:val="11"/>
          <w:kern w:val="0"/>
          <w:sz w:val="24"/>
          <w:szCs w:val="24"/>
          <w:lang w:val="en-US" w:eastAsia="zh-CN" w:bidi="ar-SA"/>
        </w:rPr>
        <w:t>。</w:t>
      </w:r>
    </w:p>
    <w:p>
      <w:pPr>
        <w:pStyle w:val="3"/>
        <w:bidi w:val="0"/>
        <w:rPr>
          <w:rFonts w:hint="default"/>
          <w:lang w:val="en-US" w:eastAsia="zh-CN"/>
        </w:rPr>
      </w:pPr>
      <w:bookmarkStart w:id="74" w:name="_Toc6222"/>
      <w:bookmarkStart w:id="75" w:name="_Toc31751"/>
      <w:r>
        <w:rPr>
          <w:rFonts w:hint="eastAsia"/>
          <w:lang w:val="en-US" w:eastAsia="zh-CN"/>
        </w:rPr>
        <w:t>4.7生</w:t>
      </w:r>
      <w:r>
        <w:rPr>
          <w:rFonts w:hint="default"/>
          <w:lang w:val="en-US" w:eastAsia="zh-CN"/>
        </w:rPr>
        <w:t>态环境现状调查评价</w:t>
      </w:r>
      <w:bookmarkEnd w:id="74"/>
      <w:bookmarkEnd w:id="75"/>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根据现场调查，本项目所在区域临近城区，属于城市生态环境，项目所在区域生态环境受到一定破坏，生态系统结构产生变化，项目区内地表植被以茶树与自然植被为主，自然植被主要为灌木、荒草，其植物种类均为当地广布种。项目所在区域主要作物为茶树、水稻及辣椒等常见农产品，山体植物多为灌木草丛等，未发现珍稀保护物种。评价范围内不涉及国家一、二类保护动物的集中分布区，未发现有其他受国家Ⅰ、Ⅱ级重点和省重点保护的陆生珍稀或濒危野生动物分布，无大中型野生动物，不涉及动物迁徙通道，仅有鼠、鸟等小型动物。</w:t>
      </w:r>
    </w:p>
    <w:p>
      <w:pPr>
        <w:pStyle w:val="3"/>
        <w:bidi w:val="0"/>
        <w:rPr>
          <w:rFonts w:hint="default"/>
          <w:lang w:val="en-US" w:eastAsia="zh-CN"/>
        </w:rPr>
      </w:pPr>
      <w:bookmarkStart w:id="76" w:name="_Toc7780"/>
      <w:r>
        <w:rPr>
          <w:rFonts w:hint="eastAsia"/>
          <w:lang w:val="en-US" w:eastAsia="zh-CN"/>
        </w:rPr>
        <w:t>4.8</w:t>
      </w:r>
      <w:r>
        <w:rPr>
          <w:rFonts w:hint="default"/>
          <w:lang w:val="en-US" w:eastAsia="zh-CN"/>
        </w:rPr>
        <w:t>项目区域污染源调查</w:t>
      </w:r>
      <w:bookmarkEnd w:id="76"/>
    </w:p>
    <w:p>
      <w:pPr>
        <w:bidi w:val="0"/>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根据现场调查，项目所在地区域属于</w:t>
      </w:r>
      <w:r>
        <w:rPr>
          <w:rFonts w:hint="eastAsia" w:ascii="Times New Roman" w:hAnsi="Times New Roman" w:eastAsia="宋体" w:cs="Times New Roman"/>
          <w:b w:val="0"/>
          <w:bCs w:val="0"/>
          <w:snapToGrid w:val="0"/>
          <w:color w:val="000000"/>
          <w:spacing w:val="11"/>
          <w:kern w:val="0"/>
          <w:sz w:val="24"/>
          <w:szCs w:val="24"/>
          <w:lang w:val="en-US" w:eastAsia="zh-CN" w:bidi="ar-SA"/>
        </w:rPr>
        <w:t>城市</w:t>
      </w:r>
      <w:r>
        <w:rPr>
          <w:rFonts w:hint="default" w:ascii="Times New Roman" w:hAnsi="Times New Roman" w:eastAsia="宋体" w:cs="Times New Roman"/>
          <w:b w:val="0"/>
          <w:bCs w:val="0"/>
          <w:snapToGrid w:val="0"/>
          <w:color w:val="000000"/>
          <w:spacing w:val="11"/>
          <w:kern w:val="0"/>
          <w:sz w:val="24"/>
          <w:szCs w:val="24"/>
          <w:lang w:val="en-US" w:eastAsia="zh-CN" w:bidi="ar-SA"/>
        </w:rPr>
        <w:t>环境，项目</w:t>
      </w:r>
      <w:r>
        <w:rPr>
          <w:rFonts w:hint="eastAsia" w:ascii="Times New Roman" w:hAnsi="Times New Roman" w:eastAsia="宋体" w:cs="Times New Roman"/>
          <w:b w:val="0"/>
          <w:bCs w:val="0"/>
          <w:snapToGrid w:val="0"/>
          <w:color w:val="000000"/>
          <w:spacing w:val="11"/>
          <w:kern w:val="0"/>
          <w:sz w:val="24"/>
          <w:szCs w:val="24"/>
          <w:lang w:val="en-US" w:eastAsia="zh-CN" w:bidi="ar-SA"/>
        </w:rPr>
        <w:t>周边主要为宁远县中医医院、居民区和学校</w:t>
      </w:r>
      <w:r>
        <w:rPr>
          <w:rFonts w:hint="default" w:ascii="Times New Roman" w:hAnsi="Times New Roman" w:eastAsia="宋体" w:cs="Times New Roman"/>
          <w:b w:val="0"/>
          <w:bCs w:val="0"/>
          <w:snapToGrid w:val="0"/>
          <w:color w:val="000000"/>
          <w:spacing w:val="11"/>
          <w:kern w:val="0"/>
          <w:sz w:val="24"/>
          <w:szCs w:val="24"/>
          <w:lang w:val="en-US" w:eastAsia="zh-CN" w:bidi="ar-SA"/>
        </w:rPr>
        <w:t>等</w:t>
      </w:r>
      <w:r>
        <w:rPr>
          <w:rFonts w:hint="eastAsia" w:ascii="Times New Roman" w:hAnsi="Times New Roman" w:eastAsia="宋体" w:cs="Times New Roman"/>
          <w:b w:val="0"/>
          <w:bCs w:val="0"/>
          <w:snapToGrid w:val="0"/>
          <w:color w:val="000000"/>
          <w:spacing w:val="11"/>
          <w:kern w:val="0"/>
          <w:sz w:val="24"/>
          <w:szCs w:val="24"/>
          <w:lang w:val="en-US" w:eastAsia="zh-CN" w:bidi="ar-SA"/>
        </w:rPr>
        <w:t>，存在一家沥青混凝土搅拌站，详细情况见下表。</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表4.8-1   项目区域污染源调查情况一览表</w:t>
      </w:r>
    </w:p>
    <w:p>
      <w:pPr>
        <w:spacing w:line="98" w:lineRule="exact"/>
      </w:pPr>
    </w:p>
    <w:tbl>
      <w:tblPr>
        <w:tblStyle w:val="34"/>
        <w:tblW w:w="4995"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3"/>
        <w:gridCol w:w="2222"/>
        <w:gridCol w:w="1138"/>
        <w:gridCol w:w="1048"/>
        <w:gridCol w:w="1008"/>
        <w:gridCol w:w="1543"/>
        <w:gridCol w:w="205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序号</w:t>
            </w:r>
          </w:p>
        </w:tc>
        <w:tc>
          <w:tcPr>
            <w:tcW w:w="114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企业名称</w:t>
            </w:r>
          </w:p>
        </w:tc>
        <w:tc>
          <w:tcPr>
            <w:tcW w:w="58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行业类别</w:t>
            </w:r>
          </w:p>
        </w:tc>
        <w:tc>
          <w:tcPr>
            <w:tcW w:w="53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运行状态</w:t>
            </w:r>
          </w:p>
        </w:tc>
        <w:tc>
          <w:tcPr>
            <w:tcW w:w="51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相对</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距离</w:t>
            </w:r>
          </w:p>
        </w:tc>
        <w:tc>
          <w:tcPr>
            <w:tcW w:w="79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环保手续</w:t>
            </w:r>
          </w:p>
        </w:tc>
        <w:tc>
          <w:tcPr>
            <w:tcW w:w="10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主要污染物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7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1</w:t>
            </w:r>
          </w:p>
        </w:tc>
        <w:tc>
          <w:tcPr>
            <w:tcW w:w="114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宁远县力源建材有限公司</w:t>
            </w:r>
          </w:p>
        </w:tc>
        <w:tc>
          <w:tcPr>
            <w:tcW w:w="58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spacing w:val="3"/>
                <w:sz w:val="21"/>
                <w:szCs w:val="21"/>
                <w:lang w:val="en-US" w:eastAsia="zh-CN"/>
              </w:rPr>
              <w:t>非金属矿物制品业</w:t>
            </w:r>
          </w:p>
        </w:tc>
        <w:tc>
          <w:tcPr>
            <w:tcW w:w="53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运行</w:t>
            </w:r>
          </w:p>
        </w:tc>
        <w:tc>
          <w:tcPr>
            <w:tcW w:w="51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南侧580m</w:t>
            </w:r>
          </w:p>
        </w:tc>
        <w:tc>
          <w:tcPr>
            <w:tcW w:w="79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环评批复：宁环评〔2024〕3号</w:t>
            </w:r>
          </w:p>
        </w:tc>
        <w:tc>
          <w:tcPr>
            <w:tcW w:w="10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噪声、颗粒物、</w:t>
            </w:r>
            <w:r>
              <w:rPr>
                <w:rFonts w:hint="default" w:ascii="Times New Roman" w:hAnsi="Times New Roman" w:eastAsia="宋体" w:cs="Times New Roman"/>
                <w:caps w:val="0"/>
                <w:spacing w:val="0"/>
                <w:w w:val="100"/>
                <w:position w:val="0"/>
                <w:sz w:val="21"/>
              </w:rPr>
              <w:t>SO</w:t>
            </w:r>
            <w:r>
              <w:rPr>
                <w:rFonts w:hint="default" w:ascii="Times New Roman" w:hAnsi="Times New Roman" w:eastAsia="宋体" w:cs="Times New Roman"/>
                <w:caps w:val="0"/>
                <w:spacing w:val="0"/>
                <w:w w:val="100"/>
                <w:position w:val="0"/>
                <w:sz w:val="13"/>
              </w:rPr>
              <w:t>2</w:t>
            </w:r>
            <w:r>
              <w:rPr>
                <w:rFonts w:hint="default" w:ascii="Times New Roman" w:hAnsi="Times New Roman" w:eastAsia="宋体" w:cs="Times New Roman"/>
                <w:caps w:val="0"/>
                <w:spacing w:val="0"/>
                <w:w w:val="100"/>
                <w:position w:val="0"/>
                <w:sz w:val="21"/>
              </w:rPr>
              <w:t>、NO</w:t>
            </w:r>
            <w:r>
              <w:rPr>
                <w:rFonts w:hint="default" w:ascii="Times New Roman" w:hAnsi="Times New Roman" w:eastAsia="宋体" w:cs="Times New Roman"/>
                <w:caps w:val="0"/>
                <w:spacing w:val="0"/>
                <w:w w:val="100"/>
                <w:position w:val="0"/>
                <w:sz w:val="13"/>
              </w:rPr>
              <w:t>X</w:t>
            </w:r>
            <w:r>
              <w:rPr>
                <w:rFonts w:hint="eastAsia" w:ascii="Times New Roman" w:hAnsi="Times New Roman" w:eastAsia="宋体" w:cs="Times New Roman"/>
                <w:spacing w:val="3"/>
                <w:sz w:val="21"/>
                <w:szCs w:val="21"/>
                <w:lang w:val="en-US" w:eastAsia="zh-CN"/>
              </w:rPr>
              <w:t>、</w:t>
            </w:r>
            <w:r>
              <w:rPr>
                <w:rFonts w:hint="default" w:ascii="Times New Roman" w:hAnsi="Times New Roman" w:eastAsia="宋体" w:cs="Times New Roman"/>
                <w:caps w:val="0"/>
                <w:spacing w:val="0"/>
                <w:w w:val="100"/>
                <w:position w:val="0"/>
                <w:sz w:val="21"/>
              </w:rPr>
              <w:t>沥青烟、苯并芘、非甲烷总烃</w:t>
            </w:r>
            <w:r>
              <w:rPr>
                <w:rFonts w:hint="eastAsia" w:ascii="Times New Roman" w:hAnsi="Times New Roman" w:eastAsia="宋体" w:cs="Times New Roman"/>
                <w:spacing w:val="3"/>
                <w:sz w:val="21"/>
                <w:szCs w:val="21"/>
                <w:lang w:val="en-US" w:eastAsia="zh-CN"/>
              </w:rPr>
              <w:t>、</w:t>
            </w:r>
            <w:r>
              <w:rPr>
                <w:rFonts w:hint="default" w:ascii="Times New Roman" w:hAnsi="Times New Roman" w:eastAsia="宋体" w:cs="Times New Roman"/>
                <w:caps w:val="0"/>
                <w:spacing w:val="0"/>
                <w:w w:val="100"/>
                <w:position w:val="0"/>
                <w:sz w:val="21"/>
                <w:lang w:eastAsia="zh-CN"/>
              </w:rPr>
              <w:t>除尘灰、废活性炭、</w:t>
            </w:r>
            <w:r>
              <w:rPr>
                <w:rFonts w:hint="default" w:ascii="Times New Roman" w:hAnsi="Times New Roman" w:eastAsia="宋体" w:cs="Times New Roman"/>
                <w:caps w:val="0"/>
                <w:spacing w:val="0"/>
                <w:w w:val="100"/>
                <w:position w:val="0"/>
                <w:sz w:val="21"/>
              </w:rPr>
              <w:t>不合格骨料</w:t>
            </w:r>
            <w:r>
              <w:rPr>
                <w:rFonts w:hint="eastAsia" w:ascii="Times New Roman" w:hAnsi="Times New Roman" w:eastAsia="宋体" w:cs="Times New Roman"/>
                <w:spacing w:val="3"/>
                <w:sz w:val="21"/>
                <w:szCs w:val="21"/>
                <w:lang w:val="en-US" w:eastAsia="zh-CN"/>
              </w:rPr>
              <w:t>、危险废物等</w:t>
            </w:r>
          </w:p>
        </w:tc>
      </w:tr>
    </w:tbl>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sectPr>
          <w:headerReference r:id="rId14" w:type="default"/>
          <w:footerReference r:id="rId15" w:type="default"/>
          <w:pgSz w:w="11906" w:h="16839"/>
          <w:pgMar w:top="1440" w:right="1080" w:bottom="1440" w:left="1080" w:header="878" w:footer="996" w:gutter="0"/>
          <w:pgBorders w:offsetFrom="page">
            <w:top w:val="none" w:sz="0" w:space="0"/>
            <w:left w:val="none" w:sz="0" w:space="0"/>
            <w:bottom w:val="none" w:sz="0" w:space="0"/>
            <w:right w:val="none" w:sz="0" w:space="0"/>
          </w:pgBorders>
          <w:pgNumType w:fmt="decimal"/>
          <w:cols w:space="720" w:num="1"/>
        </w:sectPr>
      </w:pPr>
    </w:p>
    <w:p>
      <w:pPr>
        <w:pStyle w:val="2"/>
        <w:bidi w:val="0"/>
        <w:jc w:val="center"/>
        <w:rPr>
          <w:rFonts w:hint="default" w:ascii="Times New Roman" w:hAnsi="Times New Roman" w:eastAsia="宋体" w:cs="Times New Roman"/>
          <w:b w:val="0"/>
          <w:bCs w:val="0"/>
          <w:snapToGrid w:val="0"/>
          <w:color w:val="000000"/>
          <w:spacing w:val="11"/>
          <w:kern w:val="0"/>
          <w:sz w:val="24"/>
          <w:szCs w:val="24"/>
          <w:lang w:val="en-US" w:eastAsia="zh-CN" w:bidi="ar-SA"/>
        </w:rPr>
      </w:pPr>
      <w:bookmarkStart w:id="77" w:name="_Toc31683"/>
      <w:r>
        <w:rPr>
          <w:rFonts w:hint="default"/>
          <w:lang w:val="en-US" w:eastAsia="zh-CN"/>
        </w:rPr>
        <w:t>第</w:t>
      </w:r>
      <w:r>
        <w:rPr>
          <w:rFonts w:hint="eastAsia"/>
          <w:lang w:val="en-US" w:eastAsia="zh-CN"/>
        </w:rPr>
        <w:t>五</w:t>
      </w:r>
      <w:r>
        <w:rPr>
          <w:rFonts w:hint="default"/>
          <w:lang w:val="en-US" w:eastAsia="zh-CN"/>
        </w:rPr>
        <w:t>章 环境影响预测与评价</w:t>
      </w:r>
      <w:bookmarkEnd w:id="77"/>
    </w:p>
    <w:p>
      <w:pPr>
        <w:pStyle w:val="3"/>
        <w:bidi w:val="0"/>
        <w:rPr>
          <w:rFonts w:hint="default"/>
          <w:lang w:val="en-US" w:eastAsia="zh-CN"/>
        </w:rPr>
      </w:pPr>
      <w:bookmarkStart w:id="78" w:name="_Toc820"/>
      <w:r>
        <w:rPr>
          <w:rFonts w:hint="eastAsia"/>
          <w:lang w:val="en-US" w:eastAsia="zh-CN"/>
        </w:rPr>
        <w:t>5</w:t>
      </w:r>
      <w:r>
        <w:rPr>
          <w:rFonts w:hint="default"/>
          <w:lang w:val="en-US" w:eastAsia="zh-CN"/>
        </w:rPr>
        <w:t>.1 施工期环境影响预测与评价</w:t>
      </w:r>
      <w:bookmarkEnd w:id="78"/>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eastAsia" w:ascii="Times New Roman" w:hAnsi="Times New Roman" w:eastAsia="宋体" w:cs="Times New Roman"/>
          <w:b w:val="0"/>
          <w:bCs w:val="0"/>
          <w:snapToGrid w:val="0"/>
          <w:color w:val="000000"/>
          <w:spacing w:val="11"/>
          <w:kern w:val="0"/>
          <w:sz w:val="24"/>
          <w:szCs w:val="24"/>
          <w:lang w:val="en-US" w:eastAsia="zh-CN" w:bidi="ar-SA"/>
        </w:rPr>
        <w:t>本项目的建设均依托在建妇女儿童医院已建成的主体工程基础上进行建设，不涉及拆除重建，不新征用地。</w:t>
      </w:r>
    </w:p>
    <w:p>
      <w:pPr>
        <w:pStyle w:val="4"/>
        <w:bidi w:val="0"/>
        <w:rPr>
          <w:rFonts w:hint="default"/>
          <w:lang w:val="en-US" w:eastAsia="zh-CN"/>
        </w:rPr>
      </w:pPr>
      <w:r>
        <w:rPr>
          <w:rFonts w:hint="eastAsia"/>
          <w:lang w:val="en-US" w:eastAsia="zh-CN"/>
        </w:rPr>
        <w:t>5.1.</w:t>
      </w:r>
      <w:r>
        <w:rPr>
          <w:rFonts w:hint="default"/>
          <w:lang w:val="en-US" w:eastAsia="zh-CN"/>
        </w:rPr>
        <w:t>1 施工期环境空气影响预测与评价</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项目建设阶段</w:t>
      </w:r>
      <w:r>
        <w:rPr>
          <w:rFonts w:hint="eastAsia" w:ascii="Times New Roman" w:hAnsi="Times New Roman" w:eastAsia="宋体" w:cs="Times New Roman"/>
          <w:b w:val="0"/>
          <w:bCs w:val="0"/>
          <w:snapToGrid w:val="0"/>
          <w:color w:val="000000"/>
          <w:spacing w:val="11"/>
          <w:kern w:val="0"/>
          <w:sz w:val="24"/>
          <w:szCs w:val="24"/>
          <w:lang w:val="en-US" w:eastAsia="zh-CN" w:bidi="ar-SA"/>
        </w:rPr>
        <w:t>不涉及</w:t>
      </w:r>
      <w:r>
        <w:rPr>
          <w:rFonts w:hint="default" w:ascii="Times New Roman" w:hAnsi="Times New Roman" w:eastAsia="宋体" w:cs="Times New Roman"/>
          <w:b w:val="0"/>
          <w:bCs w:val="0"/>
          <w:snapToGrid w:val="0"/>
          <w:color w:val="000000"/>
          <w:spacing w:val="11"/>
          <w:kern w:val="0"/>
          <w:sz w:val="24"/>
          <w:szCs w:val="24"/>
          <w:lang w:val="en-US" w:eastAsia="zh-CN" w:bidi="ar-SA"/>
        </w:rPr>
        <w:t>土方挖掘及运输、土地平整</w:t>
      </w:r>
      <w:r>
        <w:rPr>
          <w:rFonts w:hint="eastAsia" w:ascii="Times New Roman" w:hAnsi="Times New Roman" w:eastAsia="宋体" w:cs="Times New Roman"/>
          <w:b w:val="0"/>
          <w:bCs w:val="0"/>
          <w:snapToGrid w:val="0"/>
          <w:color w:val="000000"/>
          <w:spacing w:val="11"/>
          <w:kern w:val="0"/>
          <w:sz w:val="24"/>
          <w:szCs w:val="24"/>
          <w:lang w:val="en-US" w:eastAsia="zh-CN" w:bidi="ar-SA"/>
        </w:rPr>
        <w:t>、建筑</w:t>
      </w:r>
      <w:r>
        <w:rPr>
          <w:rFonts w:hint="default" w:ascii="Times New Roman" w:hAnsi="Times New Roman" w:eastAsia="宋体" w:cs="Times New Roman"/>
          <w:b w:val="0"/>
          <w:bCs w:val="0"/>
          <w:snapToGrid w:val="0"/>
          <w:color w:val="000000"/>
          <w:spacing w:val="11"/>
          <w:kern w:val="0"/>
          <w:sz w:val="24"/>
          <w:szCs w:val="24"/>
          <w:lang w:val="en-US" w:eastAsia="zh-CN" w:bidi="ar-SA"/>
        </w:rPr>
        <w:t>工程施工</w:t>
      </w:r>
      <w:r>
        <w:rPr>
          <w:rFonts w:hint="eastAsia" w:ascii="Times New Roman" w:hAnsi="Times New Roman" w:eastAsia="宋体" w:cs="Times New Roman"/>
          <w:b w:val="0"/>
          <w:bCs w:val="0"/>
          <w:snapToGrid w:val="0"/>
          <w:color w:val="000000"/>
          <w:spacing w:val="11"/>
          <w:kern w:val="0"/>
          <w:sz w:val="24"/>
          <w:szCs w:val="24"/>
          <w:lang w:val="en-US" w:eastAsia="zh-CN" w:bidi="ar-SA"/>
        </w:rPr>
        <w:t>，仅存在</w:t>
      </w:r>
      <w:r>
        <w:rPr>
          <w:rFonts w:hint="default" w:ascii="Times New Roman" w:hAnsi="Times New Roman" w:eastAsia="宋体" w:cs="Times New Roman"/>
          <w:b w:val="0"/>
          <w:bCs w:val="0"/>
          <w:snapToGrid w:val="0"/>
          <w:color w:val="000000"/>
          <w:spacing w:val="11"/>
          <w:kern w:val="0"/>
          <w:sz w:val="24"/>
          <w:szCs w:val="24"/>
          <w:lang w:val="en-US" w:eastAsia="zh-CN" w:bidi="ar-SA"/>
        </w:rPr>
        <w:t>建筑</w:t>
      </w:r>
      <w:r>
        <w:rPr>
          <w:rFonts w:hint="eastAsia" w:ascii="Times New Roman" w:hAnsi="Times New Roman" w:eastAsia="宋体" w:cs="Times New Roman"/>
          <w:b w:val="0"/>
          <w:bCs w:val="0"/>
          <w:snapToGrid w:val="0"/>
          <w:color w:val="000000"/>
          <w:spacing w:val="11"/>
          <w:kern w:val="0"/>
          <w:sz w:val="24"/>
          <w:szCs w:val="24"/>
          <w:lang w:val="en-US" w:eastAsia="zh-CN" w:bidi="ar-SA"/>
        </w:rPr>
        <w:t>装修</w:t>
      </w:r>
      <w:r>
        <w:rPr>
          <w:rFonts w:hint="default" w:ascii="Times New Roman" w:hAnsi="Times New Roman" w:eastAsia="宋体" w:cs="Times New Roman"/>
          <w:b w:val="0"/>
          <w:bCs w:val="0"/>
          <w:snapToGrid w:val="0"/>
          <w:color w:val="000000"/>
          <w:spacing w:val="11"/>
          <w:kern w:val="0"/>
          <w:sz w:val="24"/>
          <w:szCs w:val="24"/>
          <w:lang w:val="en-US" w:eastAsia="zh-CN" w:bidi="ar-SA"/>
        </w:rPr>
        <w:t>材料装卸及堆存、</w:t>
      </w:r>
      <w:r>
        <w:rPr>
          <w:rFonts w:hint="eastAsia" w:ascii="Times New Roman" w:hAnsi="Times New Roman" w:eastAsia="宋体" w:cs="Times New Roman"/>
          <w:b w:val="0"/>
          <w:bCs w:val="0"/>
          <w:snapToGrid w:val="0"/>
          <w:color w:val="000000"/>
          <w:spacing w:val="11"/>
          <w:kern w:val="0"/>
          <w:sz w:val="24"/>
          <w:szCs w:val="24"/>
          <w:lang w:val="en-US" w:eastAsia="zh-CN" w:bidi="ar-SA"/>
        </w:rPr>
        <w:t>装修施工、</w:t>
      </w:r>
      <w:r>
        <w:rPr>
          <w:rFonts w:hint="default" w:ascii="Times New Roman" w:hAnsi="Times New Roman" w:eastAsia="宋体" w:cs="Times New Roman"/>
          <w:b w:val="0"/>
          <w:bCs w:val="0"/>
          <w:snapToGrid w:val="0"/>
          <w:color w:val="000000"/>
          <w:spacing w:val="11"/>
          <w:kern w:val="0"/>
          <w:sz w:val="24"/>
          <w:szCs w:val="24"/>
          <w:lang w:val="en-US" w:eastAsia="zh-CN" w:bidi="ar-SA"/>
        </w:rPr>
        <w:t>车辆行驶等过程产生的</w:t>
      </w:r>
      <w:r>
        <w:rPr>
          <w:rFonts w:hint="eastAsia" w:ascii="Times New Roman" w:hAnsi="Times New Roman" w:eastAsia="宋体" w:cs="Times New Roman"/>
          <w:b w:val="0"/>
          <w:bCs w:val="0"/>
          <w:snapToGrid w:val="0"/>
          <w:color w:val="000000"/>
          <w:spacing w:val="11"/>
          <w:kern w:val="0"/>
          <w:sz w:val="24"/>
          <w:szCs w:val="24"/>
          <w:lang w:val="en-US" w:eastAsia="zh-CN" w:bidi="ar-SA"/>
        </w:rPr>
        <w:t>废气</w:t>
      </w:r>
      <w:r>
        <w:rPr>
          <w:rFonts w:hint="default" w:ascii="Times New Roman" w:hAnsi="Times New Roman" w:eastAsia="宋体" w:cs="Times New Roman"/>
          <w:b w:val="0"/>
          <w:bCs w:val="0"/>
          <w:snapToGrid w:val="0"/>
          <w:color w:val="000000"/>
          <w:spacing w:val="11"/>
          <w:kern w:val="0"/>
          <w:sz w:val="24"/>
          <w:szCs w:val="24"/>
          <w:lang w:val="en-US" w:eastAsia="zh-CN" w:bidi="ar-SA"/>
        </w:rPr>
        <w:t>，对周边环境空气产生一定的影响。</w:t>
      </w:r>
    </w:p>
    <w:p>
      <w:pPr>
        <w:pStyle w:val="30"/>
        <w:spacing w:line="360" w:lineRule="auto"/>
        <w:ind w:firstLine="524" w:firstLineChars="200"/>
        <w:jc w:val="both"/>
        <w:rPr>
          <w:rFonts w:hint="default"/>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bidi="ar-SA"/>
        </w:rPr>
        <w:t>5.1.1.1装修废气</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装修阶段油漆和涂料喷涂产生有机废气，装修过程中主要污染物因子是涂料挥发废气，该废气的排放属于无组织排放，由于装修阶段的装修废气排放周期短，且装修面积较少，作业点分散，产生量小。</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本项目装修时使用环保型建筑材料及装修材料，加强室内的通风换气，装修结束完成后，每天进行通风换气一至二个月后才营业，确保室内空气质量符合《室内空气质量标准》（GB/T18883-2002）中有关要求。</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eastAsia" w:ascii="Times New Roman" w:hAnsi="Times New Roman" w:eastAsia="宋体" w:cs="Times New Roman"/>
          <w:b w:val="0"/>
          <w:bCs w:val="0"/>
          <w:snapToGrid w:val="0"/>
          <w:color w:val="000000"/>
          <w:spacing w:val="11"/>
          <w:kern w:val="0"/>
          <w:sz w:val="24"/>
          <w:szCs w:val="24"/>
          <w:lang w:val="en-US" w:eastAsia="zh-CN" w:bidi="ar-SA"/>
        </w:rPr>
        <w:t>5.1.1.2</w:t>
      </w:r>
      <w:r>
        <w:rPr>
          <w:rFonts w:hint="default" w:ascii="Times New Roman" w:hAnsi="Times New Roman" w:eastAsia="宋体" w:cs="Times New Roman"/>
          <w:b w:val="0"/>
          <w:bCs w:val="0"/>
          <w:snapToGrid w:val="0"/>
          <w:color w:val="000000"/>
          <w:spacing w:val="11"/>
          <w:kern w:val="0"/>
          <w:sz w:val="24"/>
          <w:szCs w:val="24"/>
          <w:lang w:val="en-US" w:eastAsia="zh-CN" w:bidi="ar-SA"/>
        </w:rPr>
        <w:t>汽车和施工机械设备尾气</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工程施工期间，使用液体燃料的施工机械及运输车辆的发动机排放的尾气中含有 NO</w:t>
      </w:r>
      <w:r>
        <w:rPr>
          <w:rFonts w:hint="default" w:ascii="Times New Roman" w:hAnsi="Times New Roman" w:eastAsia="宋体" w:cs="Times New Roman"/>
          <w:b w:val="0"/>
          <w:bCs w:val="0"/>
          <w:snapToGrid w:val="0"/>
          <w:color w:val="000000"/>
          <w:spacing w:val="11"/>
          <w:kern w:val="0"/>
          <w:sz w:val="24"/>
          <w:szCs w:val="24"/>
          <w:vertAlign w:val="subscript"/>
          <w:lang w:val="en-US" w:eastAsia="zh-CN" w:bidi="ar-SA"/>
        </w:rPr>
        <w:t>2</w:t>
      </w:r>
      <w:r>
        <w:rPr>
          <w:rFonts w:hint="default" w:ascii="Times New Roman" w:hAnsi="Times New Roman" w:eastAsia="宋体" w:cs="Times New Roman"/>
          <w:b w:val="0"/>
          <w:bCs w:val="0"/>
          <w:snapToGrid w:val="0"/>
          <w:color w:val="000000"/>
          <w:spacing w:val="11"/>
          <w:kern w:val="0"/>
          <w:sz w:val="24"/>
          <w:szCs w:val="24"/>
          <w:lang w:val="en-US" w:eastAsia="zh-CN" w:bidi="ar-SA"/>
        </w:rPr>
        <w:t>、CO、THC等污染物。根据工程分析，本建设项目工程量不大，所用施工机械设备和汽车数量均比较少，汽车和施工机械设备尾气产生量不大，影响范围有限，故可以认为施工机械废气对大气环境的影响轻微。</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类比同类工程施工机械的实际运行情况，施工机械废气经10～20m的大气稀释扩散后，对周边环境空气影响轻微。项目施工场地平整、施工过程中土石方开挖、回填量不大，施工过程中用到的机械设备主要是运输卡车，施工期汽车尾气污染物排放量不大，影响范围有限，施工机械废气对周围环境敏感点影响不大。</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总的来说，本建设项目施工期汽车和施工机械设备尾气影响不是很大，但是为了进一步降低施工期其尾气对当地大气环境的影响。施工单位应通过采取限速、限载和加强汽车维护保养等措施来降低汽车尾气污染物的排放量，通过采取加强施工机械设备维护保养、保证其良好运转状态等措施来降低施工机械设备尾气污染物的排放量。</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综上所述，通过采取上述措施，项目建设阶段对周边环境空气影响较小。随着建设阶段的结束以及厂区内的硬化和绿化，施工影响也将结束。施工过程对环境空气的不利影响是局部的、短期的，项目建设完成后，影响就会消失，施工期废气对周围环境空气的影响可以接受。</w:t>
      </w:r>
    </w:p>
    <w:p>
      <w:pPr>
        <w:pStyle w:val="4"/>
        <w:bidi w:val="0"/>
        <w:rPr>
          <w:rFonts w:hint="default"/>
          <w:lang w:val="en-US" w:eastAsia="zh-CN"/>
        </w:rPr>
      </w:pPr>
      <w:r>
        <w:rPr>
          <w:rFonts w:hint="eastAsia"/>
          <w:lang w:val="en-US" w:eastAsia="zh-CN"/>
        </w:rPr>
        <w:t>5.1.2</w:t>
      </w:r>
      <w:r>
        <w:rPr>
          <w:rFonts w:hint="default"/>
          <w:lang w:val="en-US" w:eastAsia="zh-CN"/>
        </w:rPr>
        <w:t>施工期水环境影响预测与评价</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根据工程分析，本项目施工期内不会产生明显的地表径流，施工过程中产生的废水主要为</w:t>
      </w:r>
      <w:r>
        <w:rPr>
          <w:rFonts w:hint="eastAsia" w:ascii="Times New Roman" w:hAnsi="Times New Roman" w:eastAsia="宋体" w:cs="Times New Roman"/>
          <w:b w:val="0"/>
          <w:bCs w:val="0"/>
          <w:snapToGrid w:val="0"/>
          <w:color w:val="000000"/>
          <w:spacing w:val="11"/>
          <w:kern w:val="0"/>
          <w:sz w:val="24"/>
          <w:szCs w:val="24"/>
          <w:lang w:val="en-US" w:eastAsia="zh-CN" w:bidi="ar-SA"/>
        </w:rPr>
        <w:t>装修</w:t>
      </w:r>
      <w:r>
        <w:rPr>
          <w:rFonts w:hint="default" w:ascii="Times New Roman" w:hAnsi="Times New Roman" w:eastAsia="宋体" w:cs="Times New Roman"/>
          <w:b w:val="0"/>
          <w:bCs w:val="0"/>
          <w:snapToGrid w:val="0"/>
          <w:color w:val="000000"/>
          <w:spacing w:val="11"/>
          <w:kern w:val="0"/>
          <w:sz w:val="24"/>
          <w:szCs w:val="24"/>
          <w:lang w:val="en-US" w:eastAsia="zh-CN" w:bidi="ar-SA"/>
        </w:rPr>
        <w:t xml:space="preserve">人员产生的生活污水。 </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eastAsia="宋体" w:cs="Times New Roman"/>
          <w:b w:val="0"/>
          <w:bCs w:val="0"/>
          <w:snapToGrid w:val="0"/>
          <w:color w:val="000000"/>
          <w:spacing w:val="11"/>
          <w:kern w:val="0"/>
          <w:sz w:val="24"/>
          <w:szCs w:val="24"/>
          <w:lang w:val="en-US" w:eastAsia="zh-CN"/>
        </w:rPr>
        <w:t>本项目不设施工营地，</w:t>
      </w:r>
      <w:r>
        <w:rPr>
          <w:rFonts w:hint="eastAsia" w:eastAsia="宋体" w:cs="Times New Roman"/>
          <w:b w:val="0"/>
          <w:bCs w:val="0"/>
          <w:snapToGrid w:val="0"/>
          <w:color w:val="000000"/>
          <w:spacing w:val="11"/>
          <w:kern w:val="0"/>
          <w:sz w:val="24"/>
          <w:szCs w:val="24"/>
          <w:lang w:val="en-US" w:eastAsia="zh-CN"/>
        </w:rPr>
        <w:t>装修</w:t>
      </w:r>
      <w:r>
        <w:rPr>
          <w:rFonts w:hint="default" w:eastAsia="宋体" w:cs="Times New Roman"/>
          <w:b w:val="0"/>
          <w:bCs w:val="0"/>
          <w:snapToGrid w:val="0"/>
          <w:color w:val="000000"/>
          <w:spacing w:val="11"/>
          <w:kern w:val="0"/>
          <w:sz w:val="24"/>
          <w:szCs w:val="24"/>
          <w:lang w:val="en-US" w:eastAsia="zh-CN"/>
        </w:rPr>
        <w:t>施工人员为居住在附近的居民，</w:t>
      </w:r>
      <w:r>
        <w:rPr>
          <w:rFonts w:hint="eastAsia" w:eastAsia="宋体" w:cs="Times New Roman"/>
          <w:b w:val="0"/>
          <w:bCs w:val="0"/>
          <w:snapToGrid w:val="0"/>
          <w:color w:val="000000"/>
          <w:spacing w:val="11"/>
          <w:kern w:val="0"/>
          <w:sz w:val="24"/>
          <w:szCs w:val="24"/>
          <w:lang w:val="en-US" w:eastAsia="zh-CN"/>
        </w:rPr>
        <w:t>生活污水经已建设完成的三级化粪池预处理后排入市政污水管网</w:t>
      </w:r>
      <w:r>
        <w:rPr>
          <w:rFonts w:hint="default" w:ascii="Times New Roman" w:hAnsi="Times New Roman" w:eastAsia="宋体" w:cs="Times New Roman"/>
          <w:b w:val="0"/>
          <w:bCs w:val="0"/>
          <w:snapToGrid w:val="0"/>
          <w:color w:val="000000"/>
          <w:spacing w:val="11"/>
          <w:kern w:val="0"/>
          <w:sz w:val="24"/>
          <w:szCs w:val="24"/>
          <w:lang w:val="en-US" w:eastAsia="zh-CN" w:bidi="ar-SA"/>
        </w:rPr>
        <w:t xml:space="preserve">。 </w:t>
      </w:r>
    </w:p>
    <w:p>
      <w:pPr>
        <w:bidi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bidi="ar-SA"/>
        </w:rPr>
      </w:pPr>
      <w:r>
        <w:rPr>
          <w:rFonts w:hint="default" w:ascii="Times New Roman" w:hAnsi="Times New Roman" w:eastAsia="宋体" w:cs="Times New Roman"/>
          <w:b w:val="0"/>
          <w:bCs w:val="0"/>
          <w:snapToGrid w:val="0"/>
          <w:color w:val="000000"/>
          <w:spacing w:val="11"/>
          <w:kern w:val="0"/>
          <w:sz w:val="24"/>
          <w:szCs w:val="24"/>
          <w:lang w:val="en-US" w:eastAsia="zh-CN" w:bidi="ar-SA"/>
        </w:rPr>
        <w:t>项目施工期经落实上述措施后，通过加强施工管理，施工期废水不会对周边地表水造成明显影响。</w:t>
      </w:r>
    </w:p>
    <w:p>
      <w:pPr>
        <w:pStyle w:val="4"/>
        <w:bidi w:val="0"/>
        <w:rPr>
          <w:rFonts w:hint="default"/>
          <w:lang w:val="en-US" w:eastAsia="zh-CN"/>
        </w:rPr>
      </w:pPr>
      <w:r>
        <w:rPr>
          <w:rFonts w:hint="eastAsia"/>
          <w:lang w:val="en-US" w:eastAsia="zh-CN"/>
        </w:rPr>
        <w:t>5.1.3</w:t>
      </w:r>
      <w:r>
        <w:t>施工期声环境影响</w:t>
      </w:r>
      <w:r>
        <w:rPr>
          <w:rFonts w:hint="default"/>
          <w:lang w:val="en-US" w:eastAsia="zh-CN"/>
        </w:rPr>
        <w:t>预测与评价</w:t>
      </w:r>
    </w:p>
    <w:p>
      <w:pPr>
        <w:pStyle w:val="36"/>
        <w:keepNext w:val="0"/>
        <w:keepLines w:val="0"/>
        <w:pageBreakBefore w:val="0"/>
        <w:widowControl w:val="0"/>
        <w:numPr>
          <w:ilvl w:val="0"/>
          <w:numId w:val="6"/>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噪声源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施工期噪声主要为各种施工机械设备运行产生的噪声和运输车辆行驶时产生的噪声，主要噪声源为</w:t>
      </w:r>
      <w:r>
        <w:rPr>
          <w:rFonts w:hint="eastAsia" w:eastAsia="宋体" w:cs="Times New Roman"/>
          <w:b w:val="0"/>
          <w:bCs w:val="0"/>
          <w:snapToGrid w:val="0"/>
          <w:color w:val="000000"/>
          <w:spacing w:val="11"/>
          <w:kern w:val="0"/>
          <w:sz w:val="24"/>
          <w:szCs w:val="24"/>
          <w:lang w:val="en-US" w:eastAsia="zh-CN"/>
        </w:rPr>
        <w:t>运输</w:t>
      </w:r>
      <w:r>
        <w:rPr>
          <w:rFonts w:hint="default" w:eastAsia="宋体" w:cs="Times New Roman"/>
          <w:b w:val="0"/>
          <w:bCs w:val="0"/>
          <w:snapToGrid w:val="0"/>
          <w:color w:val="000000"/>
          <w:spacing w:val="11"/>
          <w:kern w:val="0"/>
          <w:sz w:val="24"/>
          <w:szCs w:val="24"/>
          <w:lang w:val="en-US" w:eastAsia="zh-CN"/>
        </w:rPr>
        <w:t>车、电锯等。各类施工机械噪声源</w:t>
      </w:r>
      <w:r>
        <w:rPr>
          <w:rFonts w:hint="eastAsia" w:eastAsia="宋体" w:cs="Times New Roman"/>
          <w:b w:val="0"/>
          <w:bCs w:val="0"/>
          <w:snapToGrid w:val="0"/>
          <w:color w:val="000000"/>
          <w:spacing w:val="11"/>
          <w:kern w:val="0"/>
          <w:sz w:val="24"/>
          <w:szCs w:val="24"/>
          <w:lang w:val="en-US" w:eastAsia="zh-CN"/>
        </w:rPr>
        <w:t>强度</w:t>
      </w:r>
      <w:r>
        <w:rPr>
          <w:rFonts w:hint="default" w:eastAsia="宋体" w:cs="Times New Roman"/>
          <w:b w:val="0"/>
          <w:bCs w:val="0"/>
          <w:snapToGrid w:val="0"/>
          <w:color w:val="000000"/>
          <w:spacing w:val="11"/>
          <w:kern w:val="0"/>
          <w:sz w:val="24"/>
          <w:szCs w:val="24"/>
          <w:lang w:val="en-US" w:eastAsia="zh-CN"/>
        </w:rPr>
        <w:t>见下表。</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表5.1-1  各种施工机械噪声值</w:t>
      </w:r>
      <w:r>
        <w:rPr>
          <w:rFonts w:hint="eastAsia" w:ascii="Times New Roman" w:hAnsi="Times New Roman" w:eastAsia="宋体" w:cs="Times New Roman"/>
          <w:b/>
          <w:bCs/>
          <w:snapToGrid w:val="0"/>
          <w:color w:val="000000"/>
          <w:spacing w:val="0"/>
          <w:kern w:val="0"/>
          <w:sz w:val="21"/>
          <w:szCs w:val="21"/>
          <w:lang w:val="en-US" w:eastAsia="zh-CN"/>
        </w:rPr>
        <w:tab/>
      </w:r>
      <w:r>
        <w:rPr>
          <w:rFonts w:hint="eastAsia" w:ascii="Times New Roman" w:hAnsi="Times New Roman" w:eastAsia="宋体" w:cs="Times New Roman"/>
          <w:b/>
          <w:bCs/>
          <w:snapToGrid w:val="0"/>
          <w:color w:val="000000"/>
          <w:spacing w:val="0"/>
          <w:kern w:val="0"/>
          <w:sz w:val="21"/>
          <w:szCs w:val="21"/>
          <w:lang w:val="en-US" w:eastAsia="zh-CN"/>
        </w:rPr>
        <w:t>单位：Leq dB(A)</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11"/>
        <w:gridCol w:w="3139"/>
        <w:gridCol w:w="2796"/>
        <w:gridCol w:w="219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机械类型</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声源特点</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噪声值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w w:val="100"/>
                <w:sz w:val="21"/>
                <w:szCs w:val="21"/>
              </w:rPr>
              <w:t>1</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搅拌机</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固定稳态</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w w:val="100"/>
                <w:sz w:val="21"/>
                <w:szCs w:val="21"/>
                <w:lang w:val="en-US" w:eastAsia="zh-CN"/>
              </w:rPr>
              <w:t>2</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起重机</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流动非稳态</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w w:val="100"/>
                <w:sz w:val="21"/>
                <w:szCs w:val="21"/>
                <w:lang w:val="en-US" w:eastAsia="zh-CN"/>
              </w:rPr>
              <w:t>3</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卡车</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流动非稳态</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w w:val="100"/>
                <w:sz w:val="21"/>
                <w:szCs w:val="21"/>
                <w:lang w:val="en-US" w:eastAsia="zh-CN"/>
              </w:rPr>
              <w:t>4</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电锯</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流动非稳态</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w w:val="100"/>
                <w:sz w:val="21"/>
                <w:szCs w:val="21"/>
                <w:lang w:val="en-US" w:eastAsia="zh-CN"/>
              </w:rPr>
              <w:t>5</w:t>
            </w:r>
          </w:p>
        </w:tc>
        <w:tc>
          <w:tcPr>
            <w:tcW w:w="161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振捣器</w:t>
            </w:r>
          </w:p>
        </w:tc>
        <w:tc>
          <w:tcPr>
            <w:tcW w:w="14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流动非稳态</w:t>
            </w:r>
          </w:p>
        </w:tc>
        <w:tc>
          <w:tcPr>
            <w:tcW w:w="11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92</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（2）施工期</w:t>
      </w:r>
      <w:r>
        <w:rPr>
          <w:rFonts w:hint="default" w:eastAsia="宋体" w:cs="Times New Roman"/>
          <w:b w:val="0"/>
          <w:bCs w:val="0"/>
          <w:snapToGrid w:val="0"/>
          <w:color w:val="000000"/>
          <w:spacing w:val="11"/>
          <w:kern w:val="0"/>
          <w:sz w:val="24"/>
          <w:szCs w:val="24"/>
          <w:lang w:val="en-US" w:eastAsia="zh-CN"/>
        </w:rPr>
        <w:t>噪声影响</w:t>
      </w:r>
      <w:r>
        <w:rPr>
          <w:rFonts w:hint="eastAsia" w:eastAsia="宋体" w:cs="Times New Roman"/>
          <w:b w:val="0"/>
          <w:bCs w:val="0"/>
          <w:snapToGrid w:val="0"/>
          <w:color w:val="000000"/>
          <w:spacing w:val="11"/>
          <w:kern w:val="0"/>
          <w:sz w:val="24"/>
          <w:szCs w:val="24"/>
          <w:lang w:val="en-US" w:eastAsia="zh-CN"/>
        </w:rPr>
        <w:t>预测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建设阶段噪声影响预测采用点声源距离衰减预测模式，预测各施工机械噪声不同距离衰减后的噪声值，并据此分析建设阶段噪声对周围环境影响。采用的声级衰减模式为：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LA(r)=LA(ro)-20Lg(r/ro)</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LA(r)——距声源 r 处的 A 声级，dB(A)；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LA(ro)——距声源 ro处的 A 声级，dB(A)；</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r——预测点距声源的距离，（m）；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ro——参考位置距声源的距离，（m）。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评价标准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建设项目施工期的噪声评价标准采用《建筑施工场界环境噪声排放标准》(GB12523-2011)，各施工阶段作业噪声的场界限值见表</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1-</w:t>
      </w: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表5.1-2  建筑施工场界噪声标准限值  单位：dB  (A)</w:t>
      </w:r>
    </w:p>
    <w:p>
      <w:pPr>
        <w:spacing w:line="148" w:lineRule="exact"/>
      </w:pP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007"/>
        <w:gridCol w:w="3150"/>
        <w:gridCol w:w="258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主要噪声源</w:t>
            </w:r>
          </w:p>
        </w:tc>
        <w:tc>
          <w:tcPr>
            <w:tcW w:w="16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昼间限值</w:t>
            </w:r>
          </w:p>
        </w:tc>
        <w:tc>
          <w:tcPr>
            <w:tcW w:w="13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夜间限值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建筑施工场界</w:t>
            </w:r>
          </w:p>
        </w:tc>
        <w:tc>
          <w:tcPr>
            <w:tcW w:w="16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132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55</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(4) 预测结果分析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按上述模式预测建设阶段机械噪声在不同距离衰减后的贡献值见表5.1-</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 5.1-3   各种施工机械在不同距离的噪声预测值  单位：dB  (A)</w:t>
      </w:r>
    </w:p>
    <w:p>
      <w:pPr>
        <w:spacing w:line="130" w:lineRule="exact"/>
      </w:pPr>
    </w:p>
    <w:tbl>
      <w:tblPr>
        <w:tblStyle w:val="34"/>
        <w:tblW w:w="4993"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351"/>
        <w:gridCol w:w="2165"/>
        <w:gridCol w:w="678"/>
        <w:gridCol w:w="756"/>
        <w:gridCol w:w="756"/>
        <w:gridCol w:w="756"/>
        <w:gridCol w:w="890"/>
        <w:gridCol w:w="752"/>
        <w:gridCol w:w="820"/>
        <w:gridCol w:w="80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施工阶段</w:t>
            </w: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施工设备</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1m</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结构阶段</w:t>
            </w: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混凝土搅拌</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84</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64.0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58.0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52.0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48.4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45.9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44.0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38.0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机振捣棒</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9</w:t>
            </w:r>
            <w:r>
              <w:rPr>
                <w:rFonts w:hint="eastAsia" w:eastAsia="宋体" w:cs="Times New Roman"/>
                <w:sz w:val="21"/>
                <w:szCs w:val="21"/>
                <w:lang w:val="en-US" w:eastAsia="zh-CN"/>
              </w:rPr>
              <w:t>2</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72.0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66.0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60.0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56.4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53.9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52.0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46.0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电锯、电刨</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84</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64.0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58.0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52.0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48.4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45.9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44.0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38.0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装修阶段</w:t>
            </w: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snapToGrid w:val="0"/>
                <w:color w:val="000000"/>
                <w:kern w:val="0"/>
                <w:sz w:val="21"/>
                <w:szCs w:val="21"/>
              </w:rPr>
            </w:pPr>
            <w:r>
              <w:rPr>
                <w:rFonts w:hint="eastAsia" w:eastAsia="宋体" w:cs="Times New Roman"/>
                <w:sz w:val="21"/>
                <w:szCs w:val="21"/>
                <w:lang w:val="en-US" w:eastAsia="zh-CN"/>
              </w:rPr>
              <w:t>起重</w:t>
            </w:r>
            <w:r>
              <w:rPr>
                <w:rFonts w:ascii="Times New Roman" w:hAnsi="Times New Roman" w:eastAsia="宋体" w:cs="Times New Roman"/>
                <w:sz w:val="21"/>
                <w:szCs w:val="21"/>
              </w:rPr>
              <w:t>机</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kern w:val="0"/>
                <w:sz w:val="21"/>
                <w:szCs w:val="21"/>
                <w:lang w:eastAsia="zh-CN"/>
              </w:rPr>
            </w:pPr>
            <w:r>
              <w:rPr>
                <w:rFonts w:ascii="Times New Roman" w:hAnsi="Times New Roman" w:eastAsia="宋体" w:cs="Times New Roman"/>
                <w:sz w:val="21"/>
                <w:szCs w:val="21"/>
              </w:rPr>
              <w:t>8</w:t>
            </w:r>
            <w:r>
              <w:rPr>
                <w:rFonts w:hint="eastAsia" w:eastAsia="宋体" w:cs="Times New Roman"/>
                <w:sz w:val="21"/>
                <w:szCs w:val="21"/>
                <w:lang w:val="en-US" w:eastAsia="zh-CN"/>
              </w:rPr>
              <w:t>2</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62.0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56.0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50.0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46.4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43.9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42.0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36.0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电锯</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8</w:t>
            </w:r>
            <w:r>
              <w:rPr>
                <w:rFonts w:hint="eastAsia" w:eastAsia="宋体" w:cs="Times New Roman"/>
                <w:sz w:val="21"/>
                <w:szCs w:val="21"/>
                <w:lang w:val="en-US" w:eastAsia="zh-CN"/>
              </w:rPr>
              <w:t>4</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64.0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58.0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52.0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48.4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45.9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44.0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38.0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施工期</w:t>
            </w:r>
          </w:p>
        </w:tc>
        <w:tc>
          <w:tcPr>
            <w:tcW w:w="11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运输车辆</w:t>
            </w:r>
          </w:p>
        </w:tc>
        <w:tc>
          <w:tcPr>
            <w:tcW w:w="3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85</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65.0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59.0 </w:t>
            </w:r>
          </w:p>
        </w:tc>
        <w:tc>
          <w:tcPr>
            <w:tcW w:w="3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53.0 </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49.4 </w:t>
            </w:r>
          </w:p>
        </w:tc>
        <w:tc>
          <w:tcPr>
            <w:tcW w:w="38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46.9 </w:t>
            </w:r>
          </w:p>
        </w:tc>
        <w:tc>
          <w:tcPr>
            <w:tcW w:w="4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45.0 </w:t>
            </w:r>
          </w:p>
        </w:tc>
        <w:tc>
          <w:tcPr>
            <w:tcW w:w="4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39.0 </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从表</w:t>
      </w:r>
      <w:r>
        <w:rPr>
          <w:rFonts w:hint="eastAsia" w:eastAsia="宋体" w:cs="Times New Roman"/>
          <w:b w:val="0"/>
          <w:bCs w:val="0"/>
          <w:snapToGrid w:val="0"/>
          <w:color w:val="000000"/>
          <w:spacing w:val="11"/>
          <w:kern w:val="0"/>
          <w:sz w:val="24"/>
          <w:szCs w:val="24"/>
          <w:lang w:val="en-US" w:eastAsia="zh-CN"/>
        </w:rPr>
        <w:t>5.1-3</w:t>
      </w:r>
      <w:r>
        <w:rPr>
          <w:rFonts w:hint="default" w:eastAsia="宋体" w:cs="Times New Roman"/>
          <w:b w:val="0"/>
          <w:bCs w:val="0"/>
          <w:snapToGrid w:val="0"/>
          <w:color w:val="000000"/>
          <w:spacing w:val="11"/>
          <w:kern w:val="0"/>
          <w:sz w:val="24"/>
          <w:szCs w:val="24"/>
          <w:lang w:val="en-US" w:eastAsia="zh-CN"/>
        </w:rPr>
        <w:t>可知，施工期各种机械设备和工程车辆产生的噪声峰值均明显高于《建筑施工场界环境噪声排放标准》(GB12523-2011)相关标准。但根据噪声随距离的衰减规律，随着距离的增加，对外界的影响不断地减少；由于本项目夜间不进行</w:t>
      </w:r>
      <w:r>
        <w:rPr>
          <w:rFonts w:hint="eastAsia" w:eastAsia="宋体" w:cs="Times New Roman"/>
          <w:b w:val="0"/>
          <w:bCs w:val="0"/>
          <w:snapToGrid w:val="0"/>
          <w:color w:val="000000"/>
          <w:spacing w:val="11"/>
          <w:kern w:val="0"/>
          <w:sz w:val="24"/>
          <w:szCs w:val="24"/>
          <w:lang w:val="en-US" w:eastAsia="zh-CN"/>
        </w:rPr>
        <w:t>装修</w:t>
      </w:r>
      <w:r>
        <w:rPr>
          <w:rFonts w:hint="default" w:eastAsia="宋体" w:cs="Times New Roman"/>
          <w:b w:val="0"/>
          <w:bCs w:val="0"/>
          <w:snapToGrid w:val="0"/>
          <w:color w:val="000000"/>
          <w:spacing w:val="11"/>
          <w:kern w:val="0"/>
          <w:sz w:val="24"/>
          <w:szCs w:val="24"/>
          <w:lang w:val="en-US" w:eastAsia="zh-CN"/>
        </w:rPr>
        <w:t>施工作业，因此，噪声源在距离声源40m处声值已满足《建筑施工场界环境噪声排放标准》(GB12523-2011)的限值，影响程度已明显减轻；距离本项目最近的环境保护目标为北</w:t>
      </w:r>
      <w:r>
        <w:rPr>
          <w:rFonts w:hint="eastAsia" w:eastAsia="宋体" w:cs="Times New Roman"/>
          <w:b w:val="0"/>
          <w:bCs w:val="0"/>
          <w:snapToGrid w:val="0"/>
          <w:color w:val="000000"/>
          <w:spacing w:val="11"/>
          <w:kern w:val="0"/>
          <w:sz w:val="24"/>
          <w:szCs w:val="24"/>
          <w:lang w:val="en-US" w:eastAsia="zh-CN"/>
        </w:rPr>
        <w:t>100</w:t>
      </w:r>
      <w:r>
        <w:rPr>
          <w:rFonts w:hint="default" w:eastAsia="宋体" w:cs="Times New Roman"/>
          <w:b w:val="0"/>
          <w:bCs w:val="0"/>
          <w:snapToGrid w:val="0"/>
          <w:color w:val="000000"/>
          <w:spacing w:val="11"/>
          <w:kern w:val="0"/>
          <w:sz w:val="24"/>
          <w:szCs w:val="24"/>
          <w:lang w:val="en-US" w:eastAsia="zh-CN"/>
        </w:rPr>
        <w:t>m的</w:t>
      </w:r>
      <w:r>
        <w:rPr>
          <w:rFonts w:hint="eastAsia" w:eastAsia="宋体" w:cs="Times New Roman"/>
          <w:b w:val="0"/>
          <w:bCs w:val="0"/>
          <w:snapToGrid w:val="0"/>
          <w:color w:val="000000"/>
          <w:spacing w:val="11"/>
          <w:kern w:val="0"/>
          <w:sz w:val="24"/>
          <w:szCs w:val="24"/>
          <w:lang w:val="en-US" w:eastAsia="zh-CN"/>
        </w:rPr>
        <w:t>居民小区</w:t>
      </w:r>
      <w:r>
        <w:rPr>
          <w:rFonts w:hint="default" w:eastAsia="宋体" w:cs="Times New Roman"/>
          <w:b w:val="0"/>
          <w:bCs w:val="0"/>
          <w:snapToGrid w:val="0"/>
          <w:color w:val="000000"/>
          <w:spacing w:val="11"/>
          <w:kern w:val="0"/>
          <w:sz w:val="24"/>
          <w:szCs w:val="24"/>
          <w:lang w:val="en-US" w:eastAsia="zh-CN"/>
        </w:rPr>
        <w:t>，因此，施工噪声对周围环境保护目标影响较小。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因此，只要建设单位在本项目场址施工时，特别注意施工时间和施工强度，控制运输车辆车速，禁止鸣笛，并围墙隔声等措施后，施工噪声可以得到有效控制。施工建设单位可通过采取安装减震垫片、消声器、设置建筑物隔音等措施来降低施工噪声，减小对外环境的影响。此外工作人员平时需要加强施工设备的维护，使施工设备运行在良好状态。随着工程的竣工，施工噪声的影响不再存在</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对环境影响较小。</w:t>
      </w:r>
    </w:p>
    <w:p>
      <w:pPr>
        <w:pStyle w:val="4"/>
        <w:bidi w:val="0"/>
        <w:rPr>
          <w:rFonts w:hint="default"/>
          <w:lang w:val="en-US" w:eastAsia="zh-CN"/>
        </w:rPr>
      </w:pPr>
      <w:r>
        <w:rPr>
          <w:rFonts w:hint="eastAsia"/>
          <w:lang w:val="en-US" w:eastAsia="zh-CN"/>
        </w:rPr>
        <w:t>5.1.4</w:t>
      </w:r>
      <w:r>
        <w:rPr>
          <w:rFonts w:hint="default"/>
          <w:lang w:val="en-US" w:eastAsia="zh-CN"/>
        </w:rPr>
        <w:t>施工期固体废物影响预测与评价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Lines="5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建设项目施工期产生的固体废物包括建筑垃圾及施工人员生活垃圾。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Lines="5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 、生活垃圾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生活垃圾主要是施工作业人员在施工现场产生的塑料、废纸和果皮等，生活垃圾量为 50kg/d。施工期生活垃圾由施工单位集中袋装收集后交由当地环卫部门送往垃圾填埋场进行填埋处置。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 、建筑垃圾影响分析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施工期间建筑工地会产生一定量的建筑垃圾，其中包括废弃的木屑、碎木块、塑料泡沫、废金属、废瓷砖、渣土及施工剩余废料等。</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根据工程分析，项目施工期间将产生约</w:t>
      </w:r>
      <w:r>
        <w:rPr>
          <w:rFonts w:hint="eastAsia" w:eastAsia="宋体" w:cs="Times New Roman"/>
          <w:b w:val="0"/>
          <w:bCs w:val="0"/>
          <w:snapToGrid w:val="0"/>
          <w:color w:val="000000"/>
          <w:spacing w:val="11"/>
          <w:kern w:val="0"/>
          <w:sz w:val="24"/>
          <w:szCs w:val="24"/>
          <w:lang w:val="en-US" w:eastAsia="zh-CN"/>
        </w:rPr>
        <w:t>160.745</w:t>
      </w:r>
      <w:r>
        <w:rPr>
          <w:rFonts w:hint="default" w:eastAsia="宋体" w:cs="Times New Roman"/>
          <w:b w:val="0"/>
          <w:bCs w:val="0"/>
          <w:snapToGrid w:val="0"/>
          <w:color w:val="000000"/>
          <w:spacing w:val="11"/>
          <w:kern w:val="0"/>
          <w:sz w:val="24"/>
          <w:szCs w:val="24"/>
          <w:lang w:val="en-US" w:eastAsia="zh-CN"/>
        </w:rPr>
        <w:t>t的建筑垃圾。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建设项目建筑垃圾在堆放和运输过程中，如不妥善处置，则会阻碍交通，污染环境。开挖弃土如果无组织堆放、倒弃，如遇暴雨冲刷，则会造成水土流失，在靠近河涌地段，泥浆水沿着水沟排入附近水体，增加河水的含沙量，造成河床沉积。同时泥浆水还夹带施工场地的水泥、油污等污染物进入水体，造成水体污染。</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为减少余土在堆放和运输过程中对环境的影响，建设单位应该采取如下措施：要求施工单位必须严格执行相关法规，向有关部门提出申请，按规定办理建筑垃圾排放的手续，获得批准后方可在指定的受纳地点弃土；车辆运输散体物和废弃物时，必须密封、包扎、覆盖，避免沿途撒漏。</w:t>
      </w:r>
    </w:p>
    <w:p>
      <w:pPr>
        <w:pStyle w:val="4"/>
        <w:bidi w:val="0"/>
        <w:rPr>
          <w:rFonts w:hint="default"/>
          <w:lang w:val="en-US" w:eastAsia="zh-CN"/>
        </w:rPr>
      </w:pPr>
      <w:r>
        <w:rPr>
          <w:rFonts w:hint="eastAsia"/>
          <w:lang w:val="en-US" w:eastAsia="zh-CN"/>
        </w:rPr>
        <w:t>5.1.5施工期</w:t>
      </w:r>
      <w:r>
        <w:rPr>
          <w:rFonts w:hint="default"/>
          <w:lang w:val="en-US" w:eastAsia="zh-CN"/>
        </w:rPr>
        <w:t>生态环境影响预测与评价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施工期生态环境影响主要包括两方面：一是项目永久及临时占地对土地资源的占用和原地貌植被的破坏，二是项目施工过程中造成的水土流失。</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1、占地引起的生态环境影响分析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（1）对土地利用的影响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w:t>
      </w:r>
      <w:r>
        <w:rPr>
          <w:rFonts w:hint="eastAsia" w:eastAsia="宋体" w:cs="Times New Roman"/>
          <w:b w:val="0"/>
          <w:bCs w:val="0"/>
          <w:snapToGrid w:val="0"/>
          <w:color w:val="000000"/>
          <w:spacing w:val="11"/>
          <w:kern w:val="0"/>
          <w:sz w:val="24"/>
          <w:szCs w:val="24"/>
          <w:lang w:val="en-US" w:eastAsia="zh-CN"/>
        </w:rPr>
        <w:t>为搬迁项目，利用原在建妇女儿童医院建筑物进行建设</w:t>
      </w:r>
      <w:r>
        <w:rPr>
          <w:rFonts w:hint="default" w:eastAsia="宋体" w:cs="Times New Roman"/>
          <w:b w:val="0"/>
          <w:bCs w:val="0"/>
          <w:snapToGrid w:val="0"/>
          <w:color w:val="000000"/>
          <w:spacing w:val="11"/>
          <w:kern w:val="0"/>
          <w:sz w:val="24"/>
          <w:szCs w:val="24"/>
          <w:lang w:val="en-US" w:eastAsia="zh-CN"/>
        </w:rPr>
        <w:t>，占地类型为</w:t>
      </w:r>
      <w:r>
        <w:rPr>
          <w:rFonts w:hint="eastAsia" w:eastAsia="宋体" w:cs="Times New Roman"/>
          <w:b w:val="0"/>
          <w:bCs w:val="0"/>
          <w:snapToGrid w:val="0"/>
          <w:color w:val="000000"/>
          <w:spacing w:val="11"/>
          <w:kern w:val="0"/>
          <w:sz w:val="24"/>
          <w:szCs w:val="24"/>
          <w:lang w:val="en-US" w:eastAsia="zh-CN"/>
        </w:rPr>
        <w:t>医疗卫生</w:t>
      </w:r>
      <w:r>
        <w:rPr>
          <w:rFonts w:hint="default" w:eastAsia="宋体" w:cs="Times New Roman"/>
          <w:b w:val="0"/>
          <w:bCs w:val="0"/>
          <w:snapToGrid w:val="0"/>
          <w:color w:val="000000"/>
          <w:spacing w:val="11"/>
          <w:kern w:val="0"/>
          <w:sz w:val="24"/>
          <w:szCs w:val="24"/>
          <w:lang w:val="en-US" w:eastAsia="zh-CN"/>
        </w:rPr>
        <w:t>用地，不新增用地，项目建设对项目土地利用的影响较小。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（2）对植被的影响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本工程</w:t>
      </w:r>
      <w:r>
        <w:rPr>
          <w:rFonts w:hint="eastAsia" w:eastAsia="宋体" w:cs="Times New Roman"/>
          <w:b w:val="0"/>
          <w:bCs w:val="0"/>
          <w:snapToGrid w:val="0"/>
          <w:color w:val="000000"/>
          <w:spacing w:val="11"/>
          <w:kern w:val="0"/>
          <w:sz w:val="24"/>
          <w:szCs w:val="24"/>
          <w:lang w:val="en-US" w:eastAsia="zh-CN"/>
        </w:rPr>
        <w:t>利用原在建妇女儿童医院建筑物进行建设，主体工程建筑物已建设完成。</w:t>
      </w:r>
      <w:r>
        <w:rPr>
          <w:rFonts w:hint="default" w:eastAsia="宋体" w:cs="Times New Roman"/>
          <w:b w:val="0"/>
          <w:bCs w:val="0"/>
          <w:snapToGrid w:val="0"/>
          <w:color w:val="000000"/>
          <w:spacing w:val="11"/>
          <w:kern w:val="0"/>
          <w:sz w:val="24"/>
          <w:szCs w:val="24"/>
          <w:lang w:val="en-US" w:eastAsia="zh-CN"/>
        </w:rPr>
        <w:t>场地开挖时对原有植被造成一定破坏。建议在施工过程中对能保留的原始植被应尽量予以保留，对不能保留的地段，在施工后期或结束后，能恢复的地段应及时开展绿化恢复，尽量减少施工对植被的破坏。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（3）对区域动植物资源的影响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工程占地范围内主要植被为灌木和茅草；动物主要为蛇、麻雀、野兔等小型野生动物种类。这些动植物种类均为常见种，评价区内广泛分布，本工程占地对地表植被的破坏，不会造成影响区内任何一种植物资源的消失，工程建设对评价区植物资源种类无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工程施工时对区域生态环境的干扰将导致区域内生活的野生动物迁移至附近的生境中生活，对其种类不会有影响。工程施工不会改变评价区内的群落结构。</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（4）对珍稀动植物的影响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对项目区域现场勘察时未发现有国家级和省级重点保护植物，也未发现有列入中国珍稀濒危植物红皮书和濒危野生动植物物种国际贸易公约附录中的物种，因而不存在对珍惜濒危野生动植物的影响。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2、水土流失引起的生态环境影响分析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施工期对生态环境影响主要表现在水土流失。工程施工破坏地表植被，若不及时采取措施也将引起水土流失，影响生态系统的稳定性，影响景观。根据现场踏勘，</w:t>
      </w:r>
      <w:r>
        <w:rPr>
          <w:rFonts w:hint="eastAsia" w:eastAsia="宋体" w:cs="Times New Roman"/>
          <w:b w:val="0"/>
          <w:bCs w:val="0"/>
          <w:snapToGrid w:val="0"/>
          <w:color w:val="000000"/>
          <w:spacing w:val="11"/>
          <w:kern w:val="0"/>
          <w:sz w:val="24"/>
          <w:szCs w:val="24"/>
          <w:lang w:val="en-US" w:eastAsia="zh-CN"/>
        </w:rPr>
        <w:t>本项目所利用的原在建建筑物对</w:t>
      </w:r>
      <w:r>
        <w:rPr>
          <w:rFonts w:hint="default" w:eastAsia="宋体" w:cs="Times New Roman"/>
          <w:b w:val="0"/>
          <w:bCs w:val="0"/>
          <w:snapToGrid w:val="0"/>
          <w:color w:val="000000"/>
          <w:spacing w:val="11"/>
          <w:kern w:val="0"/>
          <w:sz w:val="24"/>
          <w:szCs w:val="24"/>
          <w:lang w:val="en-US" w:eastAsia="zh-CN"/>
        </w:rPr>
        <w:t>周边生态环境影响较小，无现有生态问题。</w:t>
      </w:r>
      <w:r>
        <w:rPr>
          <w:rFonts w:hint="eastAsia" w:eastAsia="宋体" w:cs="Times New Roman"/>
          <w:b w:val="0"/>
          <w:bCs w:val="0"/>
          <w:snapToGrid w:val="0"/>
          <w:color w:val="000000"/>
          <w:spacing w:val="11"/>
          <w:kern w:val="0"/>
          <w:sz w:val="24"/>
          <w:szCs w:val="24"/>
          <w:lang w:val="en-US" w:eastAsia="zh-CN"/>
        </w:rPr>
        <w:t>本项目后续装修施工阶段不会造成水土流失现象</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综上所述，项目施工过程采取有效防治措施后对生态环境的影响在可接受范围内。</w:t>
      </w:r>
    </w:p>
    <w:p>
      <w:pPr>
        <w:pStyle w:val="3"/>
        <w:bidi w:val="0"/>
        <w:rPr>
          <w:rFonts w:hint="default"/>
          <w:lang w:val="en-US" w:eastAsia="zh-CN"/>
        </w:rPr>
      </w:pPr>
      <w:bookmarkStart w:id="79" w:name="_Toc1899"/>
      <w:r>
        <w:rPr>
          <w:rFonts w:hint="eastAsia"/>
          <w:lang w:val="en-US" w:eastAsia="zh-CN"/>
        </w:rPr>
        <w:t xml:space="preserve">5.2 </w:t>
      </w:r>
      <w:r>
        <w:rPr>
          <w:rFonts w:hint="default"/>
          <w:lang w:val="en-US" w:eastAsia="zh-CN"/>
        </w:rPr>
        <w:t>营运期</w:t>
      </w:r>
      <w:r>
        <w:rPr>
          <w:rFonts w:hint="eastAsia"/>
          <w:lang w:val="en-US" w:eastAsia="zh-CN"/>
        </w:rPr>
        <w:t>大气</w:t>
      </w:r>
      <w:r>
        <w:rPr>
          <w:rFonts w:hint="default"/>
          <w:lang w:val="en-US" w:eastAsia="zh-CN"/>
        </w:rPr>
        <w:t>环境影响预测与评价</w:t>
      </w:r>
      <w:bookmarkEnd w:id="79"/>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根据《环境影响评价技术导则 大气环境》(HJ2.2-2018)要求，本项目大气环境影响评价为二级评价。二级评价项目不进行进一步预测与评价，只对污染物排放量进行核算。因此，本次评价以AERSCREEN估算模型的计算结果作为预测与分析的依据。</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估算模式 (AERSCREEN) 是一种单源预测模式，可计算点源、面源和体源等污染源最大地面浓度，建筑物下洗和熏烟等特殊条件下最大地面浓度。</w:t>
      </w:r>
    </w:p>
    <w:p>
      <w:pPr>
        <w:pStyle w:val="4"/>
        <w:bidi w:val="0"/>
        <w:rPr>
          <w:rFonts w:hint="default"/>
          <w:lang w:val="en-US" w:eastAsia="zh-CN"/>
        </w:rPr>
      </w:pPr>
      <w:r>
        <w:rPr>
          <w:rFonts w:hint="eastAsia"/>
          <w:lang w:val="en-US" w:eastAsia="zh-CN"/>
        </w:rPr>
        <w:t>5.2.1气象特征</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宁远县土地宽广肥沃，温暖湿润，属中亚热带湿润气候区。年平均气温为18.4℃；最高气温40.1℃；最低气温为-6.2℃。年平均降雨量为1450.8mm，年日照时数近1610小时，无霜期289天，被专家誉为"天然温室"，有发展农业生产得天独厚的条件。年平均相对湿度79%；年平均降雨量为1450.8mm；常年主导风向为NNE，年平均风速为2.</w:t>
      </w:r>
      <w:r>
        <w:rPr>
          <w:rFonts w:hint="default" w:eastAsia="宋体" w:cs="Times New Roman"/>
          <w:b w:val="0"/>
          <w:bCs w:val="0"/>
          <w:snapToGrid w:val="0"/>
          <w:color w:val="000000"/>
          <w:spacing w:val="11"/>
          <w:kern w:val="0"/>
          <w:sz w:val="24"/>
          <w:szCs w:val="24"/>
          <w:lang w:val="en-US" w:eastAsia="zh-CN"/>
        </w:rPr>
        <w:t>4</w:t>
      </w:r>
      <w:r>
        <w:rPr>
          <w:rFonts w:hint="eastAsia" w:eastAsia="宋体" w:cs="Times New Roman"/>
          <w:b w:val="0"/>
          <w:bCs w:val="0"/>
          <w:snapToGrid w:val="0"/>
          <w:color w:val="000000"/>
          <w:spacing w:val="11"/>
          <w:kern w:val="0"/>
          <w:sz w:val="24"/>
          <w:szCs w:val="24"/>
          <w:lang w:val="en-US" w:eastAsia="zh-CN"/>
        </w:rPr>
        <w:t>m/s</w:t>
      </w:r>
      <w:r>
        <w:rPr>
          <w:rFonts w:hint="default" w:eastAsia="宋体" w:cs="Times New Roman"/>
          <w:b w:val="0"/>
          <w:bCs w:val="0"/>
          <w:snapToGrid w:val="0"/>
          <w:color w:val="000000"/>
          <w:spacing w:val="11"/>
          <w:kern w:val="0"/>
          <w:sz w:val="24"/>
          <w:szCs w:val="24"/>
          <w:lang w:val="en-US" w:eastAsia="zh-CN"/>
        </w:rPr>
        <w:t>。</w:t>
      </w:r>
    </w:p>
    <w:p>
      <w:pPr>
        <w:jc w:val="center"/>
        <w:rPr>
          <w:rFonts w:ascii="Times New Roman" w:hAnsi="Times New Roman"/>
          <w:b/>
          <w:bCs/>
          <w:color w:val="000000"/>
        </w:rPr>
      </w:pPr>
      <w:r>
        <w:rPr>
          <w:rFonts w:ascii="Times New Roman" w:hAnsi="Times New Roman"/>
          <w:b/>
          <w:bCs/>
          <w:color w:val="000000"/>
        </w:rPr>
        <w:t xml:space="preserve">表5.2-1  </w:t>
      </w:r>
      <w:r>
        <w:rPr>
          <w:rFonts w:hint="eastAsia" w:ascii="Times New Roman" w:hAnsi="Times New Roman"/>
          <w:b/>
          <w:bCs/>
          <w:color w:val="000000"/>
        </w:rPr>
        <w:t>宁远县常规气象要素统计值</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20"/>
        <w:gridCol w:w="1325"/>
        <w:gridCol w:w="1327"/>
        <w:gridCol w:w="1656"/>
        <w:gridCol w:w="1658"/>
        <w:gridCol w:w="1492"/>
        <w:gridCol w:w="13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月份</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平均最高气温</w:t>
            </w:r>
            <w:r>
              <w:rPr>
                <w:rFonts w:hint="eastAsia" w:ascii="Times New Roman" w:hAnsi="Times New Roman" w:eastAsia="宋体" w:cs="Times New Roman"/>
                <w:sz w:val="21"/>
                <w:szCs w:val="21"/>
              </w:rPr>
              <w:t>℃</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平均最低气温℃</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平均气压</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k</w:t>
            </w:r>
            <w:r>
              <w:rPr>
                <w:rFonts w:ascii="Times New Roman" w:hAnsi="Times New Roman" w:eastAsia="宋体" w:cs="Times New Roman"/>
                <w:sz w:val="21"/>
                <w:szCs w:val="21"/>
              </w:rPr>
              <w:t>pa</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平均相对湿度%</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平均降水量</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mm</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平均风速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99.1</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82</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75.3</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99.2</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82</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102.8</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83</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142.7</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206.9</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241.7</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31</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99.5</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163.0</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34</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126.8</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100.4</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77</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144.3</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99.7</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69.2</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99.6</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80.0</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55.3</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665"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w:t>
            </w:r>
          </w:p>
        </w:tc>
        <w:tc>
          <w:tcPr>
            <w:tcW w:w="666"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43.0</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2"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全年</w:t>
            </w:r>
          </w:p>
        </w:tc>
        <w:tc>
          <w:tcPr>
            <w:tcW w:w="1331" w:type="pct"/>
            <w:gridSpan w:val="2"/>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w:t>
            </w:r>
          </w:p>
        </w:tc>
        <w:tc>
          <w:tcPr>
            <w:tcW w:w="831"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100.4</w:t>
            </w:r>
          </w:p>
        </w:tc>
        <w:tc>
          <w:tcPr>
            <w:tcW w:w="832"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79</w:t>
            </w:r>
          </w:p>
        </w:tc>
        <w:tc>
          <w:tcPr>
            <w:tcW w:w="748" w:type="pc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1450.8</w:t>
            </w:r>
          </w:p>
        </w:tc>
        <w:tc>
          <w:tcPr>
            <w:tcW w:w="694"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r>
    </w:tbl>
    <w:p>
      <w:pPr>
        <w:adjustRightInd w:val="0"/>
        <w:snapToGrid w:val="0"/>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宁远县气象站近20年来风向频率统计表，图5.2-1是相应的风向频率玫瑰图。</w:t>
      </w:r>
    </w:p>
    <w:p>
      <w:pPr>
        <w:adjustRightInd w:val="0"/>
        <w:snapToGrid w:val="0"/>
        <w:jc w:val="center"/>
        <w:rPr>
          <w:rFonts w:ascii="Times New Roman" w:hAnsi="Times New Roman"/>
          <w:b/>
        </w:rPr>
      </w:pPr>
      <w:r>
        <w:rPr>
          <w:rFonts w:ascii="Times New Roman" w:hAnsi="Times New Roman"/>
          <w:b/>
        </w:rPr>
        <w:t xml:space="preserve">表5.2-2  </w:t>
      </w:r>
      <w:r>
        <w:rPr>
          <w:rFonts w:hint="eastAsia" w:ascii="Times New Roman" w:hAnsi="Times New Roman"/>
          <w:b/>
        </w:rPr>
        <w:t>宁远</w:t>
      </w:r>
      <w:r>
        <w:rPr>
          <w:rFonts w:ascii="Times New Roman" w:hAnsi="Times New Roman"/>
          <w:b/>
        </w:rPr>
        <w:t>气象站全年及四季风向频率（%）分布</w:t>
      </w:r>
    </w:p>
    <w:tbl>
      <w:tblPr>
        <w:tblStyle w:val="25"/>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37"/>
        <w:gridCol w:w="426"/>
        <w:gridCol w:w="648"/>
        <w:gridCol w:w="496"/>
        <w:gridCol w:w="625"/>
        <w:gridCol w:w="345"/>
        <w:gridCol w:w="590"/>
        <w:gridCol w:w="462"/>
        <w:gridCol w:w="578"/>
        <w:gridCol w:w="333"/>
        <w:gridCol w:w="648"/>
        <w:gridCol w:w="531"/>
        <w:gridCol w:w="730"/>
        <w:gridCol w:w="531"/>
        <w:gridCol w:w="730"/>
        <w:gridCol w:w="566"/>
        <w:gridCol w:w="718"/>
        <w:gridCol w:w="35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N</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NNE</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NE</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ENE</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E</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ESE</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SE</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SSE</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SSW</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SW</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WSW</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SW</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WSW</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NW</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NNW</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春</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夏</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秋</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冬</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3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全年</w:t>
            </w:r>
          </w:p>
        </w:tc>
        <w:tc>
          <w:tcPr>
            <w:tcW w:w="216"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320"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24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309"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9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3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87"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7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2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6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5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81"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5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83"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r>
    </w:tbl>
    <w:p>
      <w:pPr>
        <w:rPr>
          <w:vanish/>
        </w:rPr>
      </w:pPr>
    </w:p>
    <w:tbl>
      <w:tblPr>
        <w:tblStyle w:val="25"/>
        <w:tblW w:w="0" w:type="auto"/>
        <w:tblInd w:w="0" w:type="dxa"/>
        <w:tblLayout w:type="fixed"/>
        <w:tblCellMar>
          <w:top w:w="0" w:type="dxa"/>
          <w:left w:w="108" w:type="dxa"/>
          <w:bottom w:w="0" w:type="dxa"/>
          <w:right w:w="108" w:type="dxa"/>
        </w:tblCellMar>
      </w:tblPr>
      <w:tblGrid>
        <w:gridCol w:w="9819"/>
      </w:tblGrid>
      <w:tr>
        <w:tblPrEx>
          <w:tblCellMar>
            <w:top w:w="0" w:type="dxa"/>
            <w:left w:w="108" w:type="dxa"/>
            <w:bottom w:w="0" w:type="dxa"/>
            <w:right w:w="108" w:type="dxa"/>
          </w:tblCellMar>
        </w:tblPrEx>
        <w:tc>
          <w:tcPr>
            <w:tcW w:w="9819" w:type="dxa"/>
            <w:shd w:val="clear" w:color="auto" w:fill="auto"/>
            <w:noWrap w:val="0"/>
            <w:vAlign w:val="top"/>
          </w:tcPr>
          <w:p>
            <w:pPr>
              <w:pStyle w:val="13"/>
              <w:spacing w:line="240" w:lineRule="auto"/>
              <w:jc w:val="center"/>
              <w:rPr>
                <w:rFonts w:ascii="Times New Roman" w:hAnsi="Times New Roman"/>
                <w:color w:val="000000"/>
                <w:sz w:val="21"/>
                <w:szCs w:val="21"/>
              </w:rPr>
            </w:pPr>
            <w:r>
              <w:drawing>
                <wp:inline distT="0" distB="0" distL="114300" distR="114300">
                  <wp:extent cx="3917315" cy="3910330"/>
                  <wp:effectExtent l="0" t="0" r="6985" b="13970"/>
                  <wp:docPr id="49" name="图片 1" descr="岳阳市风玫瑰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 descr="岳阳市风玫瑰图"/>
                          <pic:cNvPicPr>
                            <a:picLocks noChangeAspect="true"/>
                          </pic:cNvPicPr>
                        </pic:nvPicPr>
                        <pic:blipFill>
                          <a:blip r:embed="rId31"/>
                          <a:srcRect l="813" t="26393" r="79" b="2777"/>
                          <a:stretch>
                            <a:fillRect/>
                          </a:stretch>
                        </pic:blipFill>
                        <pic:spPr>
                          <a:xfrm>
                            <a:off x="0" y="0"/>
                            <a:ext cx="3917315" cy="3910330"/>
                          </a:xfrm>
                          <a:prstGeom prst="rect">
                            <a:avLst/>
                          </a:prstGeom>
                          <a:noFill/>
                          <a:ln>
                            <a:noFill/>
                          </a:ln>
                        </pic:spPr>
                      </pic:pic>
                    </a:graphicData>
                  </a:graphic>
                </wp:inline>
              </w:drawing>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sz w:val="24"/>
          <w:szCs w:val="24"/>
          <w:lang w:val="en-US" w:eastAsia="zh-CN"/>
        </w:rPr>
      </w:pPr>
      <w:r>
        <w:rPr>
          <w:rFonts w:ascii="Times New Roman" w:hAnsi="Times New Roman"/>
          <w:b/>
          <w:bCs/>
          <w:color w:val="000000"/>
          <w:sz w:val="24"/>
        </w:rPr>
        <w:t>图5.2-1 评价区风向玫瑰图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80"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ascii="Times New Roman" w:hAnsi="Times New Roman"/>
          <w:color w:val="000000"/>
          <w:sz w:val="24"/>
        </w:rPr>
        <w:t>从图表中可以看出：该区域常年主导风向为NNE，频率为18%，春季主导风向为NNE风，频率高达17%，夏季主导风向为SSE风，频率高达15%，秋季主导风向为NNE风，频率为20%，冬季主导风向为NNE，频率为22%，年平均风速为2.</w:t>
      </w:r>
      <w:r>
        <w:rPr>
          <w:rFonts w:ascii="Times New Roman" w:hAnsi="Times New Roman"/>
          <w:color w:val="000000"/>
          <w:sz w:val="24"/>
        </w:rPr>
        <w:t>4</w:t>
      </w:r>
      <w:r>
        <w:rPr>
          <w:rFonts w:hint="eastAsia" w:ascii="Times New Roman" w:hAnsi="Times New Roman"/>
          <w:color w:val="000000"/>
          <w:sz w:val="24"/>
        </w:rPr>
        <w:t>m/s</w:t>
      </w:r>
      <w:r>
        <w:rPr>
          <w:rFonts w:hint="default"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5.2.2</w:t>
      </w:r>
      <w:r>
        <w:rPr>
          <w:rFonts w:hint="default"/>
          <w:lang w:val="en-US" w:eastAsia="zh-CN"/>
        </w:rPr>
        <w:t>评价标准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本报告书中对环境空气预测结果的分析评价采用《环境空气质量标准》 (GB3095-2012) 及修改单中 1 小时平均取样时间的二级标准浓度限值。</w:t>
      </w:r>
    </w:p>
    <w:p>
      <w:pPr>
        <w:pStyle w:val="4"/>
        <w:bidi w:val="0"/>
        <w:rPr>
          <w:rFonts w:hint="default"/>
          <w:lang w:val="en-US" w:eastAsia="zh-CN"/>
        </w:rPr>
      </w:pPr>
      <w:r>
        <w:rPr>
          <w:rFonts w:hint="eastAsia"/>
          <w:lang w:val="en-US" w:eastAsia="zh-CN"/>
        </w:rPr>
        <w:t>5</w:t>
      </w:r>
      <w:r>
        <w:rPr>
          <w:rFonts w:hint="default"/>
          <w:lang w:val="en-US" w:eastAsia="zh-CN"/>
        </w:rPr>
        <w:t>.2.3 估算评价因子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根据工程分析，项目大气环境影响评价因子为</w:t>
      </w:r>
      <w:r>
        <w:rPr>
          <w:rFonts w:hint="eastAsia" w:eastAsia="宋体" w:cs="Times New Roman"/>
          <w:b w:val="0"/>
          <w:bCs w:val="0"/>
          <w:snapToGrid w:val="0"/>
          <w:color w:val="000000"/>
          <w:spacing w:val="11"/>
          <w:kern w:val="0"/>
          <w:sz w:val="24"/>
          <w:szCs w:val="24"/>
          <w:lang w:val="en-US" w:eastAsia="zh-CN"/>
        </w:rPr>
        <w:t>氨</w:t>
      </w:r>
      <w:r>
        <w:rPr>
          <w:rFonts w:hint="default" w:eastAsia="宋体" w:cs="Times New Roman"/>
          <w:b w:val="0"/>
          <w:bCs w:val="0"/>
          <w:snapToGrid w:val="0"/>
          <w:color w:val="000000"/>
          <w:spacing w:val="11"/>
          <w:kern w:val="0"/>
          <w:sz w:val="24"/>
          <w:szCs w:val="24"/>
          <w:lang w:val="en-US" w:eastAsia="zh-CN"/>
        </w:rPr>
        <w:t>、NO</w:t>
      </w:r>
      <w:r>
        <w:rPr>
          <w:rFonts w:hint="eastAsia" w:eastAsia="宋体" w:cs="Times New Roman"/>
          <w:b w:val="0"/>
          <w:bCs w:val="0"/>
          <w:snapToGrid w:val="0"/>
          <w:color w:val="000000"/>
          <w:spacing w:val="11"/>
          <w:kern w:val="0"/>
          <w:sz w:val="24"/>
          <w:szCs w:val="24"/>
          <w:vertAlign w:val="subscript"/>
          <w:lang w:val="en-US" w:eastAsia="zh-CN"/>
        </w:rPr>
        <w:t>x</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硫化氢</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氯化氢、非甲烷总烃、</w:t>
      </w:r>
      <w:r>
        <w:rPr>
          <w:rFonts w:hint="default" w:eastAsia="宋体" w:cs="Times New Roman"/>
          <w:b w:val="0"/>
          <w:bCs w:val="0"/>
          <w:snapToGrid w:val="0"/>
          <w:color w:val="000000"/>
          <w:spacing w:val="11"/>
          <w:kern w:val="0"/>
          <w:sz w:val="24"/>
          <w:szCs w:val="24"/>
          <w:lang w:val="en-US" w:eastAsia="zh-CN"/>
        </w:rPr>
        <w:t>硫酸雾</w:t>
      </w:r>
      <w:r>
        <w:rPr>
          <w:rFonts w:hint="eastAsia" w:eastAsia="宋体" w:cs="Times New Roman"/>
          <w:b w:val="0"/>
          <w:bCs w:val="0"/>
          <w:snapToGrid w:val="0"/>
          <w:color w:val="000000"/>
          <w:spacing w:val="11"/>
          <w:kern w:val="0"/>
          <w:sz w:val="24"/>
          <w:szCs w:val="24"/>
          <w:lang w:val="en-US" w:eastAsia="zh-CN"/>
        </w:rPr>
        <w:t>。</w:t>
      </w:r>
    </w:p>
    <w:p>
      <w:pPr>
        <w:pStyle w:val="4"/>
        <w:bidi w:val="0"/>
        <w:rPr>
          <w:rFonts w:hint="eastAsia"/>
          <w:lang w:val="en-US" w:eastAsia="zh-CN"/>
        </w:rPr>
      </w:pPr>
      <w:r>
        <w:rPr>
          <w:rFonts w:hint="eastAsia"/>
          <w:lang w:val="en-US" w:eastAsia="zh-CN"/>
        </w:rPr>
        <w:t>5.2.4评价参数及污染源源强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宋体" w:hAnsi="宋体" w:eastAsia="宋体" w:cs="宋体"/>
          <w:sz w:val="23"/>
          <w:szCs w:val="23"/>
        </w:rPr>
      </w:pPr>
      <w:r>
        <w:rPr>
          <w:rFonts w:ascii="Times New Roman" w:hAnsi="Times New Roman" w:eastAsia="宋体" w:cs="Times New Roman"/>
          <w:spacing w:val="-1"/>
          <w:sz w:val="24"/>
          <w:szCs w:val="24"/>
        </w:rPr>
        <w:t>估算</w:t>
      </w:r>
      <w:r>
        <w:rPr>
          <w:rFonts w:ascii="Times New Roman" w:hAnsi="Times New Roman" w:eastAsia="宋体" w:cs="Times New Roman"/>
          <w:sz w:val="24"/>
          <w:szCs w:val="24"/>
        </w:rPr>
        <w:t>模型计算参数见表</w:t>
      </w:r>
      <w:r>
        <w:rPr>
          <w:rFonts w:hint="eastAsia" w:ascii="Times New Roman" w:hAnsi="Times New Roman" w:eastAsia="宋体" w:cs="Times New Roman"/>
          <w:sz w:val="24"/>
          <w:szCs w:val="24"/>
          <w:lang w:val="en-US" w:eastAsia="zh-CN"/>
        </w:rPr>
        <w:t>5.2</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rPr>
        <w:t>点源及面源污染源强数据见表</w:t>
      </w:r>
      <w:r>
        <w:rPr>
          <w:rFonts w:hint="eastAsia" w:ascii="Times New Roman" w:hAnsi="Times New Roman" w:eastAsia="宋体" w:cs="Times New Roman"/>
          <w:sz w:val="24"/>
          <w:szCs w:val="24"/>
          <w:lang w:val="en-US" w:eastAsia="zh-CN"/>
        </w:rPr>
        <w:t>5.2</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5、5.2-6</w:t>
      </w:r>
      <w:r>
        <w:rPr>
          <w:rFonts w:hint="eastAsia" w:ascii="Times New Roman" w:hAnsi="Times New Roman" w:eastAsia="宋体" w:cs="Times New Roman"/>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表5.2-4   估算模型参数表</w:t>
      </w:r>
    </w:p>
    <w:tbl>
      <w:tblPr>
        <w:tblStyle w:val="34"/>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056"/>
        <w:gridCol w:w="3107"/>
        <w:gridCol w:w="458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b/>
                <w:bCs/>
                <w:sz w:val="21"/>
              </w:rPr>
              <w:t>参数</w:t>
            </w:r>
          </w:p>
        </w:tc>
        <w:tc>
          <w:tcPr>
            <w:tcW w:w="2350" w:type="pct"/>
            <w:tcBorders>
              <w:tl2br w:val="nil"/>
              <w:tr2bl w:val="nil"/>
            </w:tcBorders>
            <w:vAlign w:val="center"/>
          </w:tcPr>
          <w:p>
            <w:pPr>
              <w:spacing w:before="38" w:line="227" w:lineRule="auto"/>
              <w:jc w:val="center"/>
              <w:rPr>
                <w:rFonts w:hint="eastAsia" w:ascii="Times New Roman" w:hAnsi="Times New Roman" w:eastAsia="宋体" w:cs="Times New Roman"/>
                <w:b/>
                <w:bCs/>
                <w:spacing w:val="5"/>
                <w:sz w:val="21"/>
                <w:szCs w:val="21"/>
                <w:lang w:val="en-US" w:eastAsia="zh-CN"/>
              </w:rPr>
            </w:pPr>
            <w:r>
              <w:rPr>
                <w:rFonts w:hint="eastAsia" w:ascii="Times New Roman" w:hAnsi="Times New Roman" w:eastAsia="宋体" w:cs="Times New Roman"/>
                <w:b/>
                <w:bCs/>
                <w:spacing w:val="5"/>
                <w:sz w:val="21"/>
                <w:szCs w:val="21"/>
                <w:lang w:val="en-US" w:eastAsia="zh-CN"/>
              </w:rPr>
              <w:t>取值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城市/农村选项</w:t>
            </w:r>
          </w:p>
        </w:tc>
        <w:tc>
          <w:tcPr>
            <w:tcW w:w="2350" w:type="pct"/>
            <w:tcBorders>
              <w:tl2br w:val="nil"/>
              <w:tr2bl w:val="nil"/>
            </w:tcBorders>
            <w:vAlign w:val="center"/>
          </w:tcPr>
          <w:p>
            <w:pPr>
              <w:spacing w:before="38" w:line="227" w:lineRule="auto"/>
              <w:jc w:val="center"/>
              <w:rPr>
                <w:rFonts w:hint="eastAsia"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城市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最高环境温度/℃</w:t>
            </w:r>
          </w:p>
        </w:tc>
        <w:tc>
          <w:tcPr>
            <w:tcW w:w="2350" w:type="pct"/>
            <w:tcBorders>
              <w:tl2br w:val="nil"/>
              <w:tr2bl w:val="nil"/>
            </w:tcBorders>
            <w:vAlign w:val="center"/>
          </w:tcPr>
          <w:p>
            <w:pPr>
              <w:spacing w:before="38" w:line="227" w:lineRule="auto"/>
              <w:jc w:val="center"/>
              <w:rPr>
                <w:rFonts w:hint="default"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40.1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最低环境温度/℃</w:t>
            </w:r>
          </w:p>
        </w:tc>
        <w:tc>
          <w:tcPr>
            <w:tcW w:w="2350" w:type="pct"/>
            <w:tcBorders>
              <w:tl2br w:val="nil"/>
              <w:tr2bl w:val="nil"/>
            </w:tcBorders>
            <w:vAlign w:val="center"/>
          </w:tcPr>
          <w:p>
            <w:pPr>
              <w:spacing w:before="38" w:line="227" w:lineRule="auto"/>
              <w:jc w:val="center"/>
              <w:rPr>
                <w:rFonts w:hint="default" w:ascii="Times New Roman" w:hAnsi="Times New Roman" w:eastAsia="宋体" w:cs="Times New Roman"/>
                <w:spacing w:val="5"/>
                <w:sz w:val="21"/>
                <w:szCs w:val="21"/>
                <w:lang w:val="en-US" w:eastAsia="zh-CN"/>
              </w:rPr>
            </w:pPr>
            <w:r>
              <w:rPr>
                <w:rFonts w:hint="eastAsia" w:ascii="Times New Roman" w:hAnsi="Times New Roman" w:eastAsia="宋体" w:cs="Times New Roman"/>
                <w:spacing w:val="5"/>
                <w:sz w:val="21"/>
                <w:szCs w:val="21"/>
                <w:lang w:val="en-US" w:eastAsia="zh-CN"/>
              </w:rPr>
              <w:t>-6.2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土地利用类型</w:t>
            </w:r>
          </w:p>
        </w:tc>
        <w:tc>
          <w:tcPr>
            <w:tcW w:w="2350" w:type="pct"/>
            <w:tcBorders>
              <w:tl2br w:val="nil"/>
              <w:tr2bl w:val="nil"/>
            </w:tcBorders>
            <w:vAlign w:val="center"/>
          </w:tcPr>
          <w:p>
            <w:pPr>
              <w:spacing w:before="38" w:line="227"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5"/>
                <w:sz w:val="21"/>
                <w:szCs w:val="21"/>
                <w:lang w:val="en-US" w:eastAsia="zh-CN"/>
              </w:rPr>
              <w:t>建设用地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区域湿度条件</w:t>
            </w:r>
          </w:p>
        </w:tc>
        <w:tc>
          <w:tcPr>
            <w:tcW w:w="2350" w:type="pct"/>
            <w:tcBorders>
              <w:tl2br w:val="nil"/>
              <w:tr2bl w:val="nil"/>
            </w:tcBorders>
            <w:vAlign w:val="center"/>
          </w:tcPr>
          <w:p>
            <w:pPr>
              <w:spacing w:before="38" w:line="228" w:lineRule="auto"/>
              <w:jc w:val="center"/>
              <w:rPr>
                <w:rFonts w:ascii="Times New Roman" w:hAnsi="Times New Roman" w:eastAsia="宋体" w:cs="Times New Roman"/>
                <w:sz w:val="21"/>
                <w:szCs w:val="21"/>
              </w:rPr>
            </w:pPr>
            <w:r>
              <w:rPr>
                <w:rFonts w:ascii="Times New Roman" w:hAnsi="Times New Roman" w:eastAsia="宋体" w:cs="Times New Roman"/>
                <w:spacing w:val="9"/>
                <w:sz w:val="21"/>
                <w:szCs w:val="21"/>
              </w:rPr>
              <w:t>潮</w:t>
            </w:r>
            <w:r>
              <w:rPr>
                <w:rFonts w:ascii="Times New Roman" w:hAnsi="Times New Roman" w:eastAsia="宋体" w:cs="Times New Roman"/>
                <w:spacing w:val="7"/>
                <w:sz w:val="21"/>
                <w:szCs w:val="21"/>
              </w:rPr>
              <w:t>湿气候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是否考虑地形</w:t>
            </w:r>
          </w:p>
        </w:tc>
        <w:tc>
          <w:tcPr>
            <w:tcW w:w="15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考虑地形</w:t>
            </w:r>
          </w:p>
        </w:tc>
        <w:tc>
          <w:tcPr>
            <w:tcW w:w="2350" w:type="pct"/>
            <w:tcBorders>
              <w:tl2br w:val="nil"/>
              <w:tr2bl w:val="nil"/>
            </w:tcBorders>
            <w:vAlign w:val="center"/>
          </w:tcPr>
          <w:p>
            <w:pPr>
              <w:spacing w:before="39" w:line="228" w:lineRule="auto"/>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w:t>
            </w:r>
            <w:r>
              <w:rPr>
                <w:rFonts w:ascii="Times New Roman" w:hAnsi="Times New Roman" w:eastAsia="宋体" w:cs="Times New Roman"/>
                <w:spacing w:val="3"/>
                <w:sz w:val="21"/>
                <w:szCs w:val="21"/>
              </w:rPr>
              <w:t>是</w:t>
            </w:r>
            <w:r>
              <w:rPr>
                <w:rFonts w:ascii="Times New Roman" w:hAnsi="Times New Roman" w:eastAsia="宋体" w:cs="Times New Roman"/>
                <w:spacing w:val="2"/>
                <w:sz w:val="21"/>
                <w:szCs w:val="21"/>
              </w:rPr>
              <w:t xml:space="preserve"> □否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trPr>
        <w:tc>
          <w:tcPr>
            <w:tcW w:w="105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p>
        </w:tc>
        <w:tc>
          <w:tcPr>
            <w:tcW w:w="15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地形数据分辨率/m</w:t>
            </w:r>
          </w:p>
        </w:tc>
        <w:tc>
          <w:tcPr>
            <w:tcW w:w="2350" w:type="pct"/>
            <w:tcBorders>
              <w:tl2br w:val="nil"/>
              <w:tr2bl w:val="nil"/>
            </w:tcBorders>
            <w:vAlign w:val="center"/>
          </w:tcPr>
          <w:p>
            <w:pPr>
              <w:spacing w:before="75" w:line="195" w:lineRule="auto"/>
              <w:jc w:val="center"/>
              <w:rPr>
                <w:rFonts w:ascii="Times New Roman" w:hAnsi="Times New Roman" w:eastAsia="宋体" w:cs="Times New Roman"/>
                <w:sz w:val="21"/>
                <w:szCs w:val="21"/>
              </w:rPr>
            </w:pPr>
            <w:r>
              <w:rPr>
                <w:rFonts w:ascii="Times New Roman" w:hAnsi="Times New Roman" w:eastAsia="宋体" w:cs="Times New Roman"/>
                <w:spacing w:val="5"/>
                <w:sz w:val="21"/>
                <w:szCs w:val="21"/>
              </w:rPr>
              <w:t>9</w:t>
            </w:r>
            <w:r>
              <w:rPr>
                <w:rFonts w:ascii="Times New Roman" w:hAnsi="Times New Roman" w:eastAsia="宋体" w:cs="Times New Roman"/>
                <w:spacing w:val="4"/>
                <w:sz w:val="21"/>
                <w:szCs w:val="21"/>
              </w:rPr>
              <w:t>0</w:t>
            </w:r>
            <w:r>
              <w:rPr>
                <w:rFonts w:ascii="Times New Roman" w:hAnsi="Times New Roman" w:eastAsia="宋体" w:cs="Times New Roman"/>
                <w:sz w:val="21"/>
                <w:szCs w:val="21"/>
              </w:rPr>
              <w:t>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是否考虑岸线熏烟</w:t>
            </w:r>
          </w:p>
        </w:tc>
        <w:tc>
          <w:tcPr>
            <w:tcW w:w="15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考虑岸线熏烟</w:t>
            </w:r>
          </w:p>
        </w:tc>
        <w:tc>
          <w:tcPr>
            <w:tcW w:w="2350" w:type="pct"/>
            <w:tcBorders>
              <w:tl2br w:val="nil"/>
              <w:tr2bl w:val="nil"/>
            </w:tcBorders>
            <w:vAlign w:val="center"/>
          </w:tcPr>
          <w:p>
            <w:pPr>
              <w:spacing w:before="40" w:line="228" w:lineRule="auto"/>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w:t>
            </w:r>
            <w:r>
              <w:rPr>
                <w:rFonts w:ascii="Times New Roman" w:hAnsi="Times New Roman" w:eastAsia="宋体" w:cs="Times New Roman"/>
                <w:spacing w:val="3"/>
                <w:sz w:val="21"/>
                <w:szCs w:val="21"/>
              </w:rPr>
              <w:t>是</w:t>
            </w:r>
            <w:r>
              <w:rPr>
                <w:rFonts w:ascii="Times New Roman" w:hAnsi="Times New Roman" w:eastAsia="宋体" w:cs="Times New Roman"/>
                <w:spacing w:val="2"/>
                <w:sz w:val="21"/>
                <w:szCs w:val="21"/>
              </w:rPr>
              <w:t xml:space="preserve"> ■否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p>
        </w:tc>
        <w:tc>
          <w:tcPr>
            <w:tcW w:w="15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岸线距离/km</w:t>
            </w:r>
          </w:p>
        </w:tc>
        <w:tc>
          <w:tcPr>
            <w:tcW w:w="2350" w:type="pct"/>
            <w:tcBorders>
              <w:tl2br w:val="nil"/>
              <w:tr2bl w:val="nil"/>
            </w:tcBorders>
            <w:vAlign w:val="center"/>
          </w:tcPr>
          <w:p>
            <w:pPr>
              <w:spacing w:before="1" w:line="281" w:lineRule="exact"/>
              <w:ind w:left="540"/>
              <w:jc w:val="center"/>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项目周边3</w:t>
            </w:r>
            <w:r>
              <w:rPr>
                <w:rFonts w:ascii="Times New Roman" w:hAnsi="Times New Roman" w:eastAsia="宋体" w:cs="Times New Roman"/>
                <w:position w:val="1"/>
                <w:sz w:val="21"/>
                <w:szCs w:val="21"/>
              </w:rPr>
              <w:t>km</w:t>
            </w:r>
            <w:r>
              <w:rPr>
                <w:rFonts w:ascii="Times New Roman" w:hAnsi="Times New Roman" w:eastAsia="宋体" w:cs="Times New Roman"/>
                <w:spacing w:val="5"/>
                <w:position w:val="1"/>
                <w:sz w:val="21"/>
                <w:szCs w:val="21"/>
              </w:rPr>
              <w:t>范围内没有大型水</w:t>
            </w:r>
            <w:r>
              <w:rPr>
                <w:rFonts w:ascii="Times New Roman" w:hAnsi="Times New Roman" w:eastAsia="宋体" w:cs="Times New Roman"/>
                <w:spacing w:val="4"/>
                <w:position w:val="1"/>
                <w:sz w:val="21"/>
                <w:szCs w:val="21"/>
              </w:rPr>
              <w:t>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p>
        </w:tc>
        <w:tc>
          <w:tcPr>
            <w:tcW w:w="159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rPr>
            </w:pPr>
            <w:r>
              <w:rPr>
                <w:rFonts w:hint="default"/>
                <w:sz w:val="21"/>
              </w:rPr>
              <w:t>岸线方向/°</w:t>
            </w:r>
          </w:p>
        </w:tc>
        <w:tc>
          <w:tcPr>
            <w:tcW w:w="2350" w:type="pct"/>
            <w:tcBorders>
              <w:tl2br w:val="nil"/>
              <w:tr2bl w:val="nil"/>
            </w:tcBorders>
            <w:vAlign w:val="center"/>
          </w:tcPr>
          <w:p>
            <w:pPr>
              <w:spacing w:before="1" w:line="281" w:lineRule="exact"/>
              <w:jc w:val="center"/>
              <w:rPr>
                <w:rFonts w:ascii="Times New Roman" w:hAnsi="Times New Roman" w:eastAsia="宋体" w:cs="Times New Roman"/>
                <w:sz w:val="21"/>
                <w:szCs w:val="21"/>
              </w:rPr>
            </w:pPr>
            <w:r>
              <w:rPr>
                <w:rFonts w:ascii="Times New Roman" w:hAnsi="Times New Roman" w:eastAsia="宋体" w:cs="Times New Roman"/>
                <w:spacing w:val="2"/>
                <w:position w:val="2"/>
                <w:sz w:val="21"/>
                <w:szCs w:val="21"/>
              </w:rPr>
              <w:t>/</w:t>
            </w:r>
          </w:p>
        </w:tc>
      </w:tr>
    </w:tbl>
    <w:p>
      <w:pPr>
        <w:pStyle w:val="8"/>
        <w:tabs>
          <w:tab w:val="left" w:pos="0"/>
        </w:tabs>
        <w:bidi w:val="0"/>
        <w:ind w:left="425" w:leftChars="0" w:hanging="425" w:firstLineChars="0"/>
        <w:rPr>
          <w:rFonts w:hint="default"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表5.2-5 本项目污染源（无组织）排放情况一览表</w:t>
      </w:r>
    </w:p>
    <w:tbl>
      <w:tblPr>
        <w:tblStyle w:val="25"/>
        <w:tblW w:w="4995"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autofit"/>
        <w:tblCellMar>
          <w:top w:w="0" w:type="dxa"/>
          <w:left w:w="0" w:type="dxa"/>
          <w:bottom w:w="0" w:type="dxa"/>
          <w:right w:w="0" w:type="dxa"/>
        </w:tblCellMar>
      </w:tblPr>
      <w:tblGrid>
        <w:gridCol w:w="419"/>
        <w:gridCol w:w="1218"/>
        <w:gridCol w:w="1115"/>
        <w:gridCol w:w="776"/>
        <w:gridCol w:w="1349"/>
        <w:gridCol w:w="881"/>
        <w:gridCol w:w="1031"/>
        <w:gridCol w:w="684"/>
        <w:gridCol w:w="517"/>
        <w:gridCol w:w="873"/>
        <w:gridCol w:w="8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vMerge w:val="restart"/>
            <w:tcBorders>
              <w:top w:val="single" w:color="auto" w:sz="12" w:space="0"/>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197" w:type="pct"/>
            <w:gridSpan w:val="2"/>
            <w:tcBorders>
              <w:top w:val="single" w:color="auto" w:sz="12" w:space="0"/>
              <w:bottom w:val="single" w:color="000000"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面源起点坐标/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p>
        </w:tc>
        <w:tc>
          <w:tcPr>
            <w:tcW w:w="398"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面源海拔高度/m</w:t>
            </w:r>
          </w:p>
        </w:tc>
        <w:tc>
          <w:tcPr>
            <w:tcW w:w="69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面源</w:t>
            </w:r>
            <w:r>
              <w:rPr>
                <w:rFonts w:hint="eastAsia" w:eastAsia="宋体" w:cs="Times New Roman"/>
                <w:sz w:val="21"/>
                <w:szCs w:val="21"/>
                <w:lang w:eastAsia="zh-CN"/>
              </w:rPr>
              <w:t>面积</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2</w:t>
            </w:r>
          </w:p>
        </w:tc>
        <w:tc>
          <w:tcPr>
            <w:tcW w:w="45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与正北向夹角/°</w:t>
            </w:r>
          </w:p>
        </w:tc>
        <w:tc>
          <w:tcPr>
            <w:tcW w:w="529"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面源有效排放高度/m</w:t>
            </w:r>
          </w:p>
        </w:tc>
        <w:tc>
          <w:tcPr>
            <w:tcW w:w="351"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年排放小时数/h</w:t>
            </w:r>
          </w:p>
        </w:tc>
        <w:tc>
          <w:tcPr>
            <w:tcW w:w="265"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排放工况</w:t>
            </w:r>
          </w:p>
        </w:tc>
        <w:tc>
          <w:tcPr>
            <w:tcW w:w="448" w:type="pct"/>
            <w:vMerge w:val="restart"/>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硫化氢</w:t>
            </w:r>
            <w:r>
              <w:rPr>
                <w:rFonts w:hint="default" w:ascii="Times New Roman" w:hAnsi="Times New Roman" w:eastAsia="宋体" w:cs="Times New Roman"/>
                <w:sz w:val="21"/>
                <w:szCs w:val="21"/>
              </w:rPr>
              <w:t>排放速率/（kg/h）</w:t>
            </w:r>
          </w:p>
        </w:tc>
        <w:tc>
          <w:tcPr>
            <w:tcW w:w="448" w:type="pct"/>
            <w:vMerge w:val="restart"/>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氨</w:t>
            </w:r>
            <w:r>
              <w:rPr>
                <w:rFonts w:hint="default" w:ascii="Times New Roman" w:hAnsi="Times New Roman" w:eastAsia="宋体" w:cs="Times New Roman"/>
                <w:sz w:val="21"/>
                <w:szCs w:val="21"/>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vMerge w:val="continue"/>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25" w:type="pct"/>
            <w:tcBorders>
              <w:top w:val="single" w:color="000000" w:sz="12"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经度</w:t>
            </w:r>
          </w:p>
        </w:tc>
        <w:tc>
          <w:tcPr>
            <w:tcW w:w="571" w:type="pct"/>
            <w:tcBorders>
              <w:top w:val="single" w:color="000000" w:sz="12" w:space="0"/>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纬度</w:t>
            </w:r>
          </w:p>
        </w:tc>
        <w:tc>
          <w:tcPr>
            <w:tcW w:w="398"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9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5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529"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351"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5"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48" w:type="pct"/>
            <w:vMerge w:val="continue"/>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448" w:type="pct"/>
            <w:vMerge w:val="continue"/>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215" w:type="pct"/>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污水处理站</w:t>
            </w:r>
          </w:p>
        </w:tc>
        <w:tc>
          <w:tcPr>
            <w:tcW w:w="625" w:type="pct"/>
            <w:tcBorders>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111.95035765</w:t>
            </w:r>
          </w:p>
        </w:tc>
        <w:tc>
          <w:tcPr>
            <w:tcW w:w="571" w:type="pct"/>
            <w:tcBorders>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25.54483201</w:t>
            </w:r>
          </w:p>
        </w:tc>
        <w:tc>
          <w:tcPr>
            <w:tcW w:w="398"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227</w:t>
            </w:r>
          </w:p>
        </w:tc>
        <w:tc>
          <w:tcPr>
            <w:tcW w:w="69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w:t>
            </w:r>
          </w:p>
        </w:tc>
        <w:tc>
          <w:tcPr>
            <w:tcW w:w="45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529"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351"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60</w:t>
            </w:r>
            <w:r>
              <w:rPr>
                <w:rFonts w:hint="default" w:ascii="Times New Roman" w:hAnsi="Times New Roman" w:eastAsia="宋体" w:cs="Times New Roman"/>
                <w:color w:val="auto"/>
                <w:sz w:val="21"/>
                <w:szCs w:val="21"/>
              </w:rPr>
              <w:t>00</w:t>
            </w:r>
          </w:p>
        </w:tc>
        <w:tc>
          <w:tcPr>
            <w:tcW w:w="265"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w:t>
            </w:r>
          </w:p>
        </w:tc>
        <w:tc>
          <w:tcPr>
            <w:tcW w:w="44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eastAsia="宋体" w:cs="Times New Roman"/>
                <w:sz w:val="21"/>
                <w:szCs w:val="21"/>
                <w:lang w:val="en-US" w:eastAsia="zh-CN"/>
              </w:rPr>
              <w:t>000001</w:t>
            </w:r>
          </w:p>
        </w:tc>
        <w:tc>
          <w:tcPr>
            <w:tcW w:w="44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0.000018</w:t>
            </w:r>
          </w:p>
        </w:tc>
      </w:tr>
    </w:tbl>
    <w:p>
      <w:pPr>
        <w:pStyle w:val="8"/>
        <w:tabs>
          <w:tab w:val="left" w:pos="0"/>
        </w:tabs>
        <w:bidi w:val="0"/>
        <w:ind w:left="425" w:leftChars="0" w:hanging="425" w:firstLineChars="0"/>
        <w:rPr>
          <w:rFonts w:hint="default" w:ascii="Times New Roman" w:hAnsi="Times New Roman" w:eastAsia="宋体" w:cs="Times New Roman"/>
          <w:b/>
          <w:bCs/>
          <w:snapToGrid w:val="0"/>
          <w:color w:val="000000"/>
          <w:spacing w:val="0"/>
          <w:kern w:val="0"/>
          <w:sz w:val="21"/>
          <w:szCs w:val="21"/>
          <w:lang w:val="en-US" w:eastAsia="zh-CN"/>
        </w:rPr>
      </w:pPr>
      <w:r>
        <w:rPr>
          <w:rFonts w:hint="eastAsia" w:ascii="Times New Roman" w:hAnsi="Times New Roman" w:eastAsia="宋体" w:cs="Times New Roman"/>
          <w:b/>
          <w:bCs/>
          <w:snapToGrid w:val="0"/>
          <w:color w:val="000000"/>
          <w:spacing w:val="0"/>
          <w:kern w:val="0"/>
          <w:sz w:val="21"/>
          <w:szCs w:val="21"/>
          <w:lang w:val="en-US" w:eastAsia="zh-CN"/>
        </w:rPr>
        <w:t>表5.2-6 本项目污染源（有组织）排放情况一览表</w:t>
      </w:r>
    </w:p>
    <w:tbl>
      <w:tblPr>
        <w:tblStyle w:val="25"/>
        <w:tblW w:w="4993"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Layout w:type="fixed"/>
        <w:tblCellMar>
          <w:top w:w="0" w:type="dxa"/>
          <w:left w:w="0" w:type="dxa"/>
          <w:bottom w:w="0" w:type="dxa"/>
          <w:right w:w="0" w:type="dxa"/>
        </w:tblCellMar>
      </w:tblPr>
      <w:tblGrid>
        <w:gridCol w:w="907"/>
        <w:gridCol w:w="1230"/>
        <w:gridCol w:w="1170"/>
        <w:gridCol w:w="555"/>
        <w:gridCol w:w="480"/>
        <w:gridCol w:w="495"/>
        <w:gridCol w:w="525"/>
        <w:gridCol w:w="495"/>
        <w:gridCol w:w="510"/>
        <w:gridCol w:w="434"/>
        <w:gridCol w:w="732"/>
        <w:gridCol w:w="732"/>
        <w:gridCol w:w="732"/>
        <w:gridCol w:w="7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vMerge w:val="restart"/>
            <w:tcBorders>
              <w:top w:val="single" w:color="auto" w:sz="12" w:space="0"/>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32" w:type="pct"/>
            <w:gridSpan w:val="2"/>
            <w:tcBorders>
              <w:top w:val="single" w:color="auto" w:sz="12" w:space="0"/>
              <w:bottom w:val="single" w:color="000000"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排气筒底部中心</w:t>
            </w:r>
            <w:r>
              <w:rPr>
                <w:rFonts w:hint="default" w:ascii="Times New Roman" w:hAnsi="Times New Roman" w:eastAsia="宋体" w:cs="Times New Roman"/>
                <w:sz w:val="21"/>
                <w:szCs w:val="21"/>
              </w:rPr>
              <w:t>坐标/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p>
        </w:tc>
        <w:tc>
          <w:tcPr>
            <w:tcW w:w="285"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筒底</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部海</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拔高</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度/m</w:t>
            </w:r>
          </w:p>
        </w:tc>
        <w:tc>
          <w:tcPr>
            <w:tcW w:w="246"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筒出</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口内</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径/m</w:t>
            </w:r>
          </w:p>
        </w:tc>
        <w:tc>
          <w:tcPr>
            <w:tcW w:w="254"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流速</w:t>
            </w: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269"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烟气温度(℃)</w:t>
            </w:r>
          </w:p>
        </w:tc>
        <w:tc>
          <w:tcPr>
            <w:tcW w:w="254"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排气筒</w:t>
            </w:r>
            <w:r>
              <w:rPr>
                <w:rFonts w:hint="default" w:ascii="Times New Roman" w:hAnsi="Times New Roman" w:eastAsia="宋体" w:cs="Times New Roman"/>
                <w:sz w:val="21"/>
                <w:szCs w:val="21"/>
              </w:rPr>
              <w:t>高度/m</w:t>
            </w:r>
          </w:p>
        </w:tc>
        <w:tc>
          <w:tcPr>
            <w:tcW w:w="261"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年排放小时数/h</w:t>
            </w:r>
          </w:p>
        </w:tc>
        <w:tc>
          <w:tcPr>
            <w:tcW w:w="222" w:type="pct"/>
            <w:vMerge w:val="restar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排放工况</w:t>
            </w:r>
          </w:p>
        </w:tc>
        <w:tc>
          <w:tcPr>
            <w:tcW w:w="1506" w:type="pct"/>
            <w:gridSpan w:val="4"/>
            <w:tcBorders>
              <w:top w:val="single" w:color="auto" w:sz="12" w:space="0"/>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污染物</w:t>
            </w:r>
            <w:r>
              <w:rPr>
                <w:rFonts w:hint="default" w:ascii="Times New Roman" w:hAnsi="Times New Roman" w:eastAsia="宋体" w:cs="Times New Roman"/>
                <w:sz w:val="21"/>
                <w:szCs w:val="21"/>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vMerge w:val="continue"/>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631" w:type="pct"/>
            <w:tcBorders>
              <w:top w:val="single" w:color="000000" w:sz="12"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经度</w:t>
            </w:r>
          </w:p>
        </w:tc>
        <w:tc>
          <w:tcPr>
            <w:tcW w:w="601" w:type="pct"/>
            <w:tcBorders>
              <w:top w:val="single" w:color="000000" w:sz="12" w:space="0"/>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纬度</w:t>
            </w:r>
          </w:p>
        </w:tc>
        <w:tc>
          <w:tcPr>
            <w:tcW w:w="285"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46"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54"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9"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54"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61"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222" w:type="pct"/>
            <w:vMerge w:val="continue"/>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氯化氢</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非甲烷总烃</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NO</w:t>
            </w:r>
            <w:r>
              <w:rPr>
                <w:rFonts w:hint="eastAsia" w:eastAsia="宋体" w:cs="Times New Roman"/>
                <w:sz w:val="21"/>
                <w:szCs w:val="21"/>
                <w:vertAlign w:val="subscript"/>
                <w:lang w:val="en-US" w:eastAsia="zh-CN"/>
              </w:rPr>
              <w:t>x</w:t>
            </w:r>
          </w:p>
        </w:tc>
        <w:tc>
          <w:tcPr>
            <w:tcW w:w="37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65" w:type="pct"/>
            <w:tcBorders>
              <w:lef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实验室废气</w:t>
            </w:r>
            <w:r>
              <w:rPr>
                <w:rFonts w:hint="eastAsia" w:ascii="Times New Roman" w:hAnsi="Times New Roman" w:eastAsia="宋体" w:cs="Times New Roman"/>
                <w:sz w:val="21"/>
                <w:szCs w:val="21"/>
                <w:lang w:val="en-US" w:eastAsia="zh-CN"/>
              </w:rPr>
              <w:t>排气筒</w:t>
            </w:r>
          </w:p>
        </w:tc>
        <w:tc>
          <w:tcPr>
            <w:tcW w:w="631" w:type="pct"/>
            <w:tcBorders>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111.95041544</w:t>
            </w:r>
          </w:p>
        </w:tc>
        <w:tc>
          <w:tcPr>
            <w:tcW w:w="601" w:type="pct"/>
            <w:tcBorders>
              <w:lef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25.54491195</w:t>
            </w:r>
          </w:p>
        </w:tc>
        <w:tc>
          <w:tcPr>
            <w:tcW w:w="285"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227</w:t>
            </w:r>
          </w:p>
        </w:tc>
        <w:tc>
          <w:tcPr>
            <w:tcW w:w="246"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0.3</w:t>
            </w:r>
          </w:p>
        </w:tc>
        <w:tc>
          <w:tcPr>
            <w:tcW w:w="254"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4.9</w:t>
            </w:r>
          </w:p>
        </w:tc>
        <w:tc>
          <w:tcPr>
            <w:tcW w:w="269"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254"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w:t>
            </w:r>
          </w:p>
        </w:tc>
        <w:tc>
          <w:tcPr>
            <w:tcW w:w="261"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20</w:t>
            </w:r>
            <w:r>
              <w:rPr>
                <w:rFonts w:hint="default" w:ascii="Times New Roman" w:hAnsi="Times New Roman" w:eastAsia="宋体" w:cs="Times New Roman"/>
                <w:color w:val="auto"/>
                <w:sz w:val="21"/>
                <w:szCs w:val="21"/>
              </w:rPr>
              <w:t>00</w:t>
            </w:r>
          </w:p>
        </w:tc>
        <w:tc>
          <w:tcPr>
            <w:tcW w:w="222" w:type="pct"/>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0.0035</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0.0045</w:t>
            </w:r>
          </w:p>
        </w:tc>
        <w:tc>
          <w:tcPr>
            <w:tcW w:w="376"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0.0021</w:t>
            </w:r>
          </w:p>
        </w:tc>
        <w:tc>
          <w:tcPr>
            <w:tcW w:w="378" w:type="pct"/>
            <w:tcBorders>
              <w:right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w:t>
            </w:r>
            <w:r>
              <w:rPr>
                <w:rFonts w:hint="eastAsia" w:eastAsia="宋体" w:cs="Times New Roman"/>
                <w:sz w:val="21"/>
                <w:szCs w:val="21"/>
                <w:lang w:val="en-US" w:eastAsia="zh-CN"/>
              </w:rPr>
              <w:t>055</w:t>
            </w:r>
          </w:p>
        </w:tc>
      </w:tr>
    </w:tbl>
    <w:p>
      <w:pPr>
        <w:pStyle w:val="4"/>
        <w:bidi w:val="0"/>
        <w:rPr>
          <w:rFonts w:hint="default"/>
          <w:lang w:val="en-US" w:eastAsia="zh-CN"/>
        </w:rPr>
      </w:pPr>
      <w:r>
        <w:rPr>
          <w:rFonts w:hint="eastAsia"/>
          <w:lang w:val="en-US" w:eastAsia="zh-CN"/>
        </w:rPr>
        <w:t>5.2.5</w:t>
      </w:r>
      <w:r>
        <w:rPr>
          <w:rFonts w:hint="default"/>
          <w:lang w:val="en-US" w:eastAsia="zh-CN"/>
        </w:rPr>
        <w:t>预测结果与评价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1、正常排放情况下预测结果与评价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正常排放预测结果见表</w:t>
      </w: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.2-</w:t>
      </w:r>
      <w:r>
        <w:rPr>
          <w:rFonts w:hint="eastAsia" w:eastAsia="宋体" w:cs="Times New Roman"/>
          <w:b w:val="0"/>
          <w:bCs w:val="0"/>
          <w:snapToGrid w:val="0"/>
          <w:color w:val="000000"/>
          <w:spacing w:val="11"/>
          <w:kern w:val="0"/>
          <w:sz w:val="24"/>
          <w:szCs w:val="24"/>
          <w:lang w:val="en-US" w:eastAsia="zh-CN"/>
        </w:rPr>
        <w:t>7</w:t>
      </w:r>
      <w:r>
        <w:rPr>
          <w:rFonts w:hint="default" w:eastAsia="宋体" w:cs="Times New Roman"/>
          <w:b w:val="0"/>
          <w:bCs w:val="0"/>
          <w:snapToGrid w:val="0"/>
          <w:color w:val="000000"/>
          <w:spacing w:val="11"/>
          <w:kern w:val="0"/>
          <w:sz w:val="24"/>
          <w:szCs w:val="24"/>
          <w:lang w:val="en-US" w:eastAsia="zh-CN"/>
        </w:rPr>
        <w:t>，正常排放情况下，①排气筒落地浓度无超标点，对周边环境影响不大，满足《环境空气质量标准》</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GB3095-201</w:t>
      </w: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中二级标准要求</w:t>
      </w:r>
      <w:r>
        <w:rPr>
          <w:rFonts w:hint="eastAsia" w:eastAsia="宋体" w:cs="Times New Roman"/>
          <w:b w:val="0"/>
          <w:bCs w:val="0"/>
          <w:snapToGrid w:val="0"/>
          <w:color w:val="000000"/>
          <w:spacing w:val="11"/>
          <w:kern w:val="0"/>
          <w:sz w:val="24"/>
          <w:szCs w:val="24"/>
          <w:lang w:val="en-US" w:eastAsia="zh-CN"/>
        </w:rPr>
        <w:t>和</w:t>
      </w:r>
      <w:r>
        <w:rPr>
          <w:rFonts w:hint="eastAsia" w:ascii="Times New Roman" w:hAnsi="Times New Roman" w:eastAsia="宋体" w:cs="Times New Roman"/>
          <w:b w:val="0"/>
          <w:bCs w:val="0"/>
          <w:spacing w:val="11"/>
          <w:sz w:val="24"/>
          <w:szCs w:val="24"/>
          <w:lang w:val="en-US" w:eastAsia="zh-CN"/>
        </w:rPr>
        <w:t>《环境影响评价技术导则 大气环境》  (HJ2.2-2018) 附录 D表D. 1其他污染物空气质量浓度参考限值</w:t>
      </w:r>
      <w:r>
        <w:rPr>
          <w:rFonts w:hint="eastAsia" w:eastAsia="宋体" w:cs="Times New Roman"/>
          <w:b w:val="0"/>
          <w:bCs w:val="0"/>
          <w:spacing w:val="11"/>
          <w:sz w:val="24"/>
          <w:szCs w:val="24"/>
          <w:lang w:val="en-US" w:eastAsia="zh-CN"/>
        </w:rPr>
        <w:t>要求</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②污染物无组织排放没有超标情况，满足</w:t>
      </w:r>
      <w:r>
        <w:rPr>
          <w:rFonts w:hint="eastAsia" w:ascii="Times New Roman" w:hAnsi="Times New Roman" w:eastAsia="宋体" w:cs="Times New Roman"/>
          <w:b w:val="0"/>
          <w:bCs w:val="0"/>
          <w:spacing w:val="11"/>
          <w:sz w:val="24"/>
          <w:szCs w:val="24"/>
          <w:lang w:val="en-US" w:eastAsia="zh-CN"/>
        </w:rPr>
        <w:t>《环境影响评价技术导则 大气环境》  (HJ2.2-2018) 附录 D表D. 1其他污染物空气质量浓度参考限值</w:t>
      </w:r>
      <w:r>
        <w:rPr>
          <w:rFonts w:hint="default" w:eastAsia="宋体" w:cs="Times New Roman"/>
          <w:b w:val="0"/>
          <w:bCs w:val="0"/>
          <w:snapToGrid w:val="0"/>
          <w:color w:val="000000"/>
          <w:spacing w:val="11"/>
          <w:kern w:val="0"/>
          <w:sz w:val="24"/>
          <w:szCs w:val="24"/>
          <w:lang w:val="en-US" w:eastAsia="zh-CN"/>
        </w:rPr>
        <w:t>要求。</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pPr>
      <w:r>
        <w:rPr>
          <w:rFonts w:hint="eastAsia" w:ascii="Times New Roman" w:hAnsi="Times New Roman" w:eastAsia="宋体" w:cs="Times New Roman"/>
          <w:b/>
          <w:bCs/>
          <w:spacing w:val="0"/>
          <w:sz w:val="21"/>
          <w:szCs w:val="21"/>
          <w:lang w:val="en-US" w:eastAsia="zh-CN"/>
        </w:rPr>
        <w:t>表 5.2-7     大气主要污染源估算模型计算结果表</w:t>
      </w:r>
    </w:p>
    <w:tbl>
      <w:tblPr>
        <w:tblStyle w:val="34"/>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8"/>
        <w:gridCol w:w="1949"/>
        <w:gridCol w:w="1723"/>
        <w:gridCol w:w="1927"/>
        <w:gridCol w:w="1705"/>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70" w:type="pct"/>
            <w:gridSpan w:val="2"/>
            <w:tcBorders>
              <w:top w:val="single" w:color="000000" w:sz="12" w:space="0"/>
              <w:left w:val="nil"/>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污染源</w:t>
            </w:r>
          </w:p>
        </w:tc>
        <w:tc>
          <w:tcPr>
            <w:tcW w:w="885"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污染因子</w:t>
            </w:r>
          </w:p>
        </w:tc>
        <w:tc>
          <w:tcPr>
            <w:tcW w:w="990"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最大质量浓度 (μg/m</w:t>
            </w:r>
            <w:r>
              <w:rPr>
                <w:rFonts w:ascii="Times New Roman" w:hAnsi="Times New Roman" w:eastAsia="宋体" w:cs="Times New Roman"/>
                <w:b/>
                <w:bCs/>
                <w:spacing w:val="13"/>
                <w:position w:val="1"/>
                <w:sz w:val="21"/>
                <w:szCs w:val="21"/>
                <w:vertAlign w:val="superscript"/>
              </w:rPr>
              <w:t>3</w:t>
            </w:r>
            <w:r>
              <w:rPr>
                <w:rFonts w:ascii="Times New Roman" w:hAnsi="Times New Roman" w:eastAsia="宋体" w:cs="Times New Roman"/>
                <w:b/>
                <w:bCs/>
                <w:spacing w:val="13"/>
                <w:position w:val="1"/>
                <w:sz w:val="21"/>
                <w:szCs w:val="21"/>
              </w:rPr>
              <w:t>)</w:t>
            </w:r>
          </w:p>
        </w:tc>
        <w:tc>
          <w:tcPr>
            <w:tcW w:w="876" w:type="pct"/>
            <w:tcBorders>
              <w:top w:val="single" w:color="000000" w:sz="12" w:space="0"/>
              <w:bottom w:val="single" w:color="000000" w:sz="2" w:space="0"/>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最大浓度占标率%</w:t>
            </w:r>
          </w:p>
        </w:tc>
        <w:tc>
          <w:tcPr>
            <w:tcW w:w="876" w:type="pct"/>
            <w:tcBorders>
              <w:top w:val="single" w:color="000000" w:sz="12" w:space="0"/>
              <w:bottom w:val="single" w:color="000000" w:sz="2" w:space="0"/>
              <w:right w:val="nil"/>
            </w:tcBorders>
            <w:vAlign w:val="center"/>
          </w:tcPr>
          <w:p>
            <w:pPr>
              <w:spacing w:before="2" w:line="281" w:lineRule="exact"/>
              <w:jc w:val="center"/>
              <w:rPr>
                <w:rFonts w:ascii="Times New Roman" w:hAnsi="Times New Roman" w:eastAsia="宋体" w:cs="Times New Roman"/>
                <w:b/>
                <w:bCs/>
                <w:spacing w:val="13"/>
                <w:position w:val="1"/>
                <w:sz w:val="21"/>
                <w:szCs w:val="21"/>
              </w:rPr>
            </w:pPr>
            <w:r>
              <w:rPr>
                <w:rFonts w:ascii="Times New Roman" w:hAnsi="Times New Roman" w:eastAsia="宋体" w:cs="Times New Roman"/>
                <w:b/>
                <w:bCs/>
                <w:spacing w:val="13"/>
                <w:position w:val="1"/>
                <w:sz w:val="21"/>
                <w:szCs w:val="21"/>
              </w:rPr>
              <w:t>D</w:t>
            </w:r>
            <w:r>
              <w:rPr>
                <w:rFonts w:ascii="Times New Roman" w:hAnsi="Times New Roman" w:eastAsia="宋体" w:cs="Times New Roman"/>
                <w:b/>
                <w:bCs/>
                <w:spacing w:val="13"/>
                <w:position w:val="1"/>
                <w:sz w:val="21"/>
                <w:szCs w:val="21"/>
                <w:vertAlign w:val="subscript"/>
              </w:rPr>
              <w:t>10%</w:t>
            </w:r>
            <w:r>
              <w:rPr>
                <w:rFonts w:ascii="Times New Roman" w:hAnsi="Times New Roman" w:eastAsia="宋体" w:cs="Times New Roman"/>
                <w:b/>
                <w:bCs/>
                <w:spacing w:val="13"/>
                <w:position w:val="1"/>
                <w:sz w:val="21"/>
                <w:szCs w:val="21"/>
              </w:rPr>
              <w:t>浓度最大落地距离m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restart"/>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点源</w:t>
            </w:r>
          </w:p>
        </w:tc>
        <w:tc>
          <w:tcPr>
            <w:tcW w:w="1001" w:type="pct"/>
            <w:vMerge w:val="restart"/>
            <w:tcBorders>
              <w:top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lang w:val="en-US" w:eastAsia="zh-CN"/>
              </w:rPr>
              <w:t>DA001实验室废气</w:t>
            </w:r>
            <w:r>
              <w:rPr>
                <w:rFonts w:ascii="Times New Roman" w:hAnsi="Times New Roman" w:eastAsia="宋体" w:cs="Times New Roman"/>
                <w:spacing w:val="13"/>
                <w:position w:val="1"/>
                <w:sz w:val="21"/>
                <w:szCs w:val="21"/>
              </w:rPr>
              <w:t>排气筒</w:t>
            </w: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napToGrid w:val="0"/>
                <w:color w:val="000000"/>
                <w:spacing w:val="13"/>
                <w:kern w:val="0"/>
                <w:position w:val="1"/>
                <w:sz w:val="21"/>
                <w:szCs w:val="21"/>
                <w:lang w:val="en-US" w:eastAsia="zh-CN"/>
              </w:rPr>
            </w:pPr>
            <w:r>
              <w:rPr>
                <w:rFonts w:ascii="Times New Roman" w:hAnsi="Times New Roman" w:eastAsia="宋体" w:cs="Times New Roman"/>
                <w:spacing w:val="13"/>
                <w:position w:val="1"/>
                <w:sz w:val="21"/>
                <w:szCs w:val="21"/>
              </w:rPr>
              <w:t>硫酸</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5.1665</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1.72</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非甲烷总烃</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4.2265</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0.21</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000000" w:sz="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000000" w:sz="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ascii="Times New Roman" w:hAnsi="Times New Roman" w:eastAsia="宋体" w:cs="Times New Roman"/>
                <w:spacing w:val="13"/>
                <w:position w:val="1"/>
                <w:sz w:val="21"/>
                <w:szCs w:val="21"/>
              </w:rPr>
              <w:t>NO</w:t>
            </w:r>
            <w:r>
              <w:rPr>
                <w:rFonts w:hint="eastAsia" w:ascii="Times New Roman" w:hAnsi="Times New Roman" w:eastAsia="宋体" w:cs="Times New Roman"/>
                <w:spacing w:val="13"/>
                <w:position w:val="1"/>
                <w:sz w:val="21"/>
                <w:szCs w:val="21"/>
                <w:vertAlign w:val="subscript"/>
                <w:lang w:val="en-US" w:eastAsia="zh-CN"/>
              </w:rPr>
              <w:t>x</w:t>
            </w:r>
          </w:p>
        </w:tc>
        <w:tc>
          <w:tcPr>
            <w:tcW w:w="990"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1.9723</w:t>
            </w:r>
          </w:p>
        </w:tc>
        <w:tc>
          <w:tcPr>
            <w:tcW w:w="876" w:type="pct"/>
            <w:tcBorders>
              <w:top w:val="single" w:color="000000" w:sz="2" w:space="0"/>
              <w:bottom w:val="single" w:color="000000" w:sz="2" w:space="0"/>
            </w:tcBorders>
            <w:vAlign w:val="center"/>
          </w:tcPr>
          <w:p>
            <w:pPr>
              <w:spacing w:before="2" w:line="281" w:lineRule="exact"/>
              <w:jc w:val="center"/>
              <w:rPr>
                <w:rFonts w:hint="default"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0.79</w:t>
            </w:r>
          </w:p>
        </w:tc>
        <w:tc>
          <w:tcPr>
            <w:tcW w:w="876" w:type="pct"/>
            <w:tcBorders>
              <w:top w:val="single" w:color="000000" w:sz="2" w:space="0"/>
              <w:bottom w:val="single" w:color="000000" w:sz="2"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top w:val="single" w:color="000000" w:sz="2" w:space="0"/>
              <w:left w:val="nil"/>
              <w:bottom w:val="single" w:color="auto" w:sz="4"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tcBorders>
              <w:bottom w:val="single" w:color="auto" w:sz="4"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885" w:type="pct"/>
            <w:tcBorders>
              <w:top w:val="single" w:color="000000" w:sz="2" w:space="0"/>
              <w:bottom w:val="single" w:color="auto" w:sz="4"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氯化氢</w:t>
            </w:r>
          </w:p>
        </w:tc>
        <w:tc>
          <w:tcPr>
            <w:tcW w:w="990" w:type="pct"/>
            <w:tcBorders>
              <w:top w:val="single" w:color="000000" w:sz="2"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3.2827</w:t>
            </w:r>
          </w:p>
        </w:tc>
        <w:tc>
          <w:tcPr>
            <w:tcW w:w="876" w:type="pct"/>
            <w:tcBorders>
              <w:top w:val="single" w:color="000000" w:sz="2"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6.57</w:t>
            </w:r>
          </w:p>
        </w:tc>
        <w:tc>
          <w:tcPr>
            <w:tcW w:w="876" w:type="pct"/>
            <w:tcBorders>
              <w:top w:val="single" w:color="000000" w:sz="2" w:space="0"/>
              <w:bottom w:val="single" w:color="auto" w:sz="4" w:space="0"/>
              <w:righ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restart"/>
            <w:tcBorders>
              <w:top w:val="single" w:color="auto" w:sz="4" w:space="0"/>
              <w:left w:val="nil"/>
            </w:tcBorders>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面源</w:t>
            </w:r>
          </w:p>
        </w:tc>
        <w:tc>
          <w:tcPr>
            <w:tcW w:w="1001" w:type="pct"/>
            <w:vMerge w:val="restart"/>
            <w:tcBorders>
              <w:top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污水处理站</w:t>
            </w:r>
          </w:p>
        </w:tc>
        <w:tc>
          <w:tcPr>
            <w:tcW w:w="885" w:type="pct"/>
            <w:tcBorders>
              <w:top w:val="single" w:color="auto" w:sz="4" w:space="0"/>
              <w:bottom w:val="single" w:color="auto" w:sz="4" w:space="0"/>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氨</w:t>
            </w:r>
          </w:p>
        </w:tc>
        <w:tc>
          <w:tcPr>
            <w:tcW w:w="990" w:type="pct"/>
            <w:tcBorders>
              <w:top w:val="single" w:color="auto" w:sz="4"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1.1529</w:t>
            </w:r>
          </w:p>
        </w:tc>
        <w:tc>
          <w:tcPr>
            <w:tcW w:w="876" w:type="pct"/>
            <w:tcBorders>
              <w:top w:val="single" w:color="auto" w:sz="4" w:space="0"/>
              <w:bottom w:val="single" w:color="auto" w:sz="4"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0.58</w:t>
            </w:r>
          </w:p>
        </w:tc>
        <w:tc>
          <w:tcPr>
            <w:tcW w:w="876" w:type="pct"/>
            <w:tcBorders>
              <w:top w:val="single" w:color="auto" w:sz="4" w:space="0"/>
              <w:bottom w:val="single" w:color="auto" w:sz="4" w:space="0"/>
              <w:right w:val="nil"/>
            </w:tcBorders>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r>
              <w:rPr>
                <w:rFonts w:hint="eastAsia" w:ascii="Times New Roman" w:hAnsi="Times New Roman" w:eastAsia="宋体" w:cs="Times New Roman"/>
                <w:spacing w:val="13"/>
                <w:position w:val="1"/>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69" w:type="pct"/>
            <w:vMerge w:val="continue"/>
            <w:tcBorders>
              <w:left w:val="nil"/>
              <w:bottom w:val="single" w:color="auto" w:sz="12" w:space="0"/>
            </w:tcBorders>
            <w:vAlign w:val="center"/>
          </w:tcPr>
          <w:p>
            <w:pPr>
              <w:spacing w:before="2" w:line="281" w:lineRule="exact"/>
              <w:jc w:val="center"/>
              <w:rPr>
                <w:rFonts w:ascii="Times New Roman" w:hAnsi="Times New Roman" w:eastAsia="宋体" w:cs="Times New Roman"/>
                <w:spacing w:val="13"/>
                <w:position w:val="1"/>
                <w:sz w:val="21"/>
                <w:szCs w:val="21"/>
              </w:rPr>
            </w:pPr>
          </w:p>
        </w:tc>
        <w:tc>
          <w:tcPr>
            <w:tcW w:w="1001" w:type="pct"/>
            <w:vMerge w:val="continue"/>
            <w:tcBorders>
              <w:bottom w:val="single" w:color="auto" w:sz="1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p>
        </w:tc>
        <w:tc>
          <w:tcPr>
            <w:tcW w:w="885" w:type="pct"/>
            <w:tcBorders>
              <w:top w:val="single" w:color="auto" w:sz="4" w:space="0"/>
              <w:bottom w:val="single" w:color="auto" w:sz="12" w:space="0"/>
            </w:tcBorders>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硫化氢</w:t>
            </w:r>
          </w:p>
        </w:tc>
        <w:tc>
          <w:tcPr>
            <w:tcW w:w="990" w:type="pct"/>
            <w:tcBorders>
              <w:top w:val="single" w:color="auto" w:sz="4" w:space="0"/>
              <w:bottom w:val="single" w:color="auto" w:sz="1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0.0641</w:t>
            </w:r>
          </w:p>
        </w:tc>
        <w:tc>
          <w:tcPr>
            <w:tcW w:w="876" w:type="pct"/>
            <w:tcBorders>
              <w:top w:val="single" w:color="auto" w:sz="4" w:space="0"/>
              <w:bottom w:val="single" w:color="auto" w:sz="12" w:space="0"/>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0.64</w:t>
            </w:r>
          </w:p>
        </w:tc>
        <w:tc>
          <w:tcPr>
            <w:tcW w:w="876" w:type="pct"/>
            <w:tcBorders>
              <w:top w:val="single" w:color="auto" w:sz="4" w:space="0"/>
              <w:bottom w:val="single" w:color="auto" w:sz="12" w:space="0"/>
              <w:right w:val="nil"/>
            </w:tcBorders>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2、其他废气影响分析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（1）危险废物暂存间恶臭</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恶臭气体是多组分、低浓度化学物质形成的混合物，故恶臭是一个感官性指标，无法定量，本环评仅对恶臭进行定性描述分析。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本项目设置有 1 个危险废物暂存间，各危险废物使用专用桶或专用袋密闭保存，并及时交由具有危险废物处置资质的单位及时运走处理，危险废物暂存间内应定时喷洒消毒液、除臭药剂，避免以为外溢对周边环境空气造成影响。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（2）生活垃圾收集点臭气</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恶臭气体是多组分、低浓度化学物质形成的混合物，故恶臭是一个感官性指标，无法定量，本环评仅对恶臭进行定性描述分析。据资料调查，预测该项目运营期产生的恶臭其主要成分为氨、硫化氢和甲硫醇、三甲胺等脂肪族类物质，其嗅觉值均较低。本项目在疾控中心内部均匀布设垃圾箱，生活垃圾分类收集后堆放至垃圾收集点，由当地环卫部门每天统一清运处理，产生的臭气量很少，垃圾收集点定期喷洒除臭剂、消毒剂，减少恶臭的产生，降低对周边环境空气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（3）消毒异味</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项目实验室、污水处理站、危废暂存间等区域需要使用消毒液进行消毒，消毒剂主要有效成分为次氯酸钠。在使用过程中会有氯化氢、氯气等废气产生，由于恶臭产生量极小，且无法定量，本次环评只做定性分析。消毒异味经空气扩散后产生量极小，对周边环境空气影响不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（4）汽车尾气影响分析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本项目为地面生态停车位，一般汽车进出停车场时会排放汽车尾气，其中含有 NOx 、CO等污染物，汽车主要是燃汽油的轻型车，车载进出时，在怠速状态下排放的尾气中的主要污染物为 HC 和 NOx，属于无组织扩散，对周边环境空气影响较小。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（5）备用发电机废气的环境影响分析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本项目设置 1 台 15kW 的备用柴油发电机作为应急备用电源，在当地电网断电后通过人工开启运行。发电机采用优质 0#柴油作为燃料，燃油废气主要污染物为颗粒物、SO</w:t>
      </w:r>
      <w:r>
        <w:rPr>
          <w:rFonts w:hint="eastAsia" w:eastAsia="宋体" w:cs="Times New Roman"/>
          <w:b w:val="0"/>
          <w:bCs w:val="0"/>
          <w:snapToGrid w:val="0"/>
          <w:color w:val="000000"/>
          <w:spacing w:val="11"/>
          <w:kern w:val="0"/>
          <w:sz w:val="24"/>
          <w:szCs w:val="24"/>
          <w:vertAlign w:val="subscript"/>
          <w:lang w:val="en-US" w:eastAsia="zh-CN"/>
        </w:rPr>
        <w:t>2</w:t>
      </w:r>
      <w:r>
        <w:rPr>
          <w:rFonts w:hint="eastAsia" w:eastAsia="宋体" w:cs="Times New Roman"/>
          <w:b w:val="0"/>
          <w:bCs w:val="0"/>
          <w:snapToGrid w:val="0"/>
          <w:color w:val="000000"/>
          <w:spacing w:val="11"/>
          <w:kern w:val="0"/>
          <w:sz w:val="24"/>
          <w:szCs w:val="24"/>
          <w:lang w:val="en-US" w:eastAsia="zh-CN"/>
        </w:rPr>
        <w:t>、NOx，废气由专用烟道引至柴油发电机房屋顶排放排放。根据工程分析，项目备用柴油发电机废气各污染物排放浓度均能达到《大气污染物综合排放标准》 （GB16297-1996）中新污染源最高允许排放浓度要求。备用柴油发电机作为备用电源，仅在停电时使用，废气排放量小，对环境的影响较小。</w:t>
      </w:r>
    </w:p>
    <w:p>
      <w:pPr>
        <w:pStyle w:val="4"/>
        <w:bidi w:val="0"/>
        <w:rPr>
          <w:rFonts w:hint="default"/>
          <w:lang w:val="en-US" w:eastAsia="zh-CN"/>
        </w:rPr>
      </w:pPr>
      <w:r>
        <w:rPr>
          <w:rFonts w:hint="eastAsia"/>
          <w:lang w:val="en-US" w:eastAsia="zh-CN"/>
        </w:rPr>
        <w:t>5.2.6</w:t>
      </w:r>
      <w:r>
        <w:rPr>
          <w:rFonts w:hint="default"/>
          <w:lang w:val="en-US" w:eastAsia="zh-CN"/>
        </w:rPr>
        <w:t>大气环境</w:t>
      </w:r>
      <w:r>
        <w:rPr>
          <w:rFonts w:hint="eastAsia"/>
          <w:lang w:val="en-US" w:eastAsia="zh-CN"/>
        </w:rPr>
        <w:t>污染物排放量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w:t>
      </w:r>
      <w:r>
        <w:rPr>
          <w:rFonts w:hint="default" w:eastAsia="宋体" w:cs="Times New Roman"/>
          <w:b w:val="0"/>
          <w:bCs w:val="0"/>
          <w:snapToGrid w:val="0"/>
          <w:color w:val="000000"/>
          <w:spacing w:val="11"/>
          <w:kern w:val="0"/>
          <w:sz w:val="24"/>
          <w:szCs w:val="24"/>
          <w:lang w:val="en-US" w:eastAsia="zh-CN"/>
        </w:rPr>
        <w:t>项目大气环境影响评价等级为二级评价，根据《环境影响评价技术导则 大气环境》（HJ2.2-2018）的工作要求，二级评价项目不进行进一步预测与评价，只对污染物排放量进行核算。</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拟建项目大气污染物有组织排放量核算表和无组织排放量核算表见表5.2-</w:t>
      </w:r>
      <w:r>
        <w:rPr>
          <w:rFonts w:hint="eastAsia" w:eastAsia="宋体" w:cs="Times New Roman"/>
          <w:b w:val="0"/>
          <w:bCs w:val="0"/>
          <w:snapToGrid w:val="0"/>
          <w:color w:val="000000"/>
          <w:spacing w:val="11"/>
          <w:kern w:val="0"/>
          <w:sz w:val="24"/>
          <w:szCs w:val="24"/>
          <w:lang w:val="en-US" w:eastAsia="zh-CN"/>
        </w:rPr>
        <w:t>8</w:t>
      </w:r>
      <w:r>
        <w:rPr>
          <w:rFonts w:hint="default" w:eastAsia="宋体" w:cs="Times New Roman"/>
          <w:b w:val="0"/>
          <w:bCs w:val="0"/>
          <w:snapToGrid w:val="0"/>
          <w:color w:val="000000"/>
          <w:spacing w:val="11"/>
          <w:kern w:val="0"/>
          <w:sz w:val="24"/>
          <w:szCs w:val="24"/>
          <w:lang w:val="en-US" w:eastAsia="zh-CN"/>
        </w:rPr>
        <w:t xml:space="preserve"> 和表5.2-</w:t>
      </w:r>
      <w:r>
        <w:rPr>
          <w:rFonts w:hint="eastAsia" w:eastAsia="宋体" w:cs="Times New Roman"/>
          <w:b w:val="0"/>
          <w:bCs w:val="0"/>
          <w:snapToGrid w:val="0"/>
          <w:color w:val="000000"/>
          <w:spacing w:val="11"/>
          <w:kern w:val="0"/>
          <w:sz w:val="24"/>
          <w:szCs w:val="24"/>
          <w:lang w:val="en-US" w:eastAsia="zh-CN"/>
        </w:rPr>
        <w:t>9</w:t>
      </w:r>
      <w:r>
        <w:rPr>
          <w:rFonts w:hint="default" w:eastAsia="宋体" w:cs="Times New Roman"/>
          <w:b w:val="0"/>
          <w:bCs w:val="0"/>
          <w:snapToGrid w:val="0"/>
          <w:color w:val="000000"/>
          <w:spacing w:val="11"/>
          <w:kern w:val="0"/>
          <w:sz w:val="24"/>
          <w:szCs w:val="24"/>
          <w:lang w:val="en-US" w:eastAsia="zh-CN"/>
        </w:rPr>
        <w:t>。大气污染物年排放量核算表见表5.2-1</w:t>
      </w:r>
      <w:r>
        <w:rPr>
          <w:rFonts w:hint="eastAsia" w:eastAsia="宋体" w:cs="Times New Roman"/>
          <w:b w:val="0"/>
          <w:bCs w:val="0"/>
          <w:snapToGrid w:val="0"/>
          <w:color w:val="000000"/>
          <w:spacing w:val="11"/>
          <w:kern w:val="0"/>
          <w:sz w:val="24"/>
          <w:szCs w:val="24"/>
          <w:lang w:val="en-US" w:eastAsia="zh-CN"/>
        </w:rPr>
        <w:t>0</w:t>
      </w:r>
      <w:r>
        <w:rPr>
          <w:rFonts w:hint="default" w:eastAsia="宋体" w:cs="Times New Roman"/>
          <w:b w:val="0"/>
          <w:bCs w:val="0"/>
          <w:snapToGrid w:val="0"/>
          <w:color w:val="000000"/>
          <w:spacing w:val="11"/>
          <w:kern w:val="0"/>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表5.2-8  大气污染物有组织排放量核算表</w:t>
      </w:r>
    </w:p>
    <w:tbl>
      <w:tblPr>
        <w:tblStyle w:val="25"/>
        <w:tblpPr w:leftFromText="180" w:rightFromText="180" w:vertAnchor="text" w:horzAnchor="page" w:tblpX="1120" w:tblpY="140"/>
        <w:tblOverlap w:val="never"/>
        <w:tblW w:w="498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1659"/>
        <w:gridCol w:w="1844"/>
        <w:gridCol w:w="1427"/>
        <w:gridCol w:w="1671"/>
        <w:gridCol w:w="1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bookmarkStart w:id="80" w:name="_Hlk76562622"/>
            <w:r>
              <w:rPr>
                <w:rFonts w:hint="eastAsia" w:ascii="Times New Roman" w:hAnsi="Times New Roman" w:eastAsia="宋体" w:cs="Times New Roman"/>
                <w:b/>
                <w:bCs/>
                <w:color w:val="auto"/>
                <w:spacing w:val="13"/>
                <w:position w:val="1"/>
                <w:sz w:val="21"/>
                <w:szCs w:val="21"/>
              </w:rPr>
              <w:t>序号</w:t>
            </w:r>
          </w:p>
        </w:tc>
        <w:tc>
          <w:tcPr>
            <w:tcW w:w="835"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排放口编号</w:t>
            </w:r>
          </w:p>
        </w:tc>
        <w:tc>
          <w:tcPr>
            <w:tcW w:w="928"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污染物</w:t>
            </w:r>
          </w:p>
        </w:tc>
        <w:tc>
          <w:tcPr>
            <w:tcW w:w="718"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排放浓度</w:t>
            </w:r>
          </w:p>
          <w:p>
            <w:pPr>
              <w:spacing w:before="2" w:line="281" w:lineRule="exact"/>
              <w:jc w:val="center"/>
              <w:rPr>
                <w:rFonts w:ascii="Times New Roman" w:hAnsi="Times New Roman" w:eastAsia="宋体" w:cs="Times New Roman"/>
                <w:b/>
                <w:bCs/>
                <w:color w:val="auto"/>
                <w:spacing w:val="13"/>
                <w:position w:val="1"/>
                <w:sz w:val="21"/>
                <w:szCs w:val="21"/>
              </w:rPr>
            </w:pPr>
            <w:r>
              <w:rPr>
                <w:rFonts w:ascii="Times New Roman" w:hAnsi="Times New Roman" w:eastAsia="宋体" w:cs="Times New Roman"/>
                <w:b/>
                <w:bCs/>
                <w:color w:val="auto"/>
                <w:spacing w:val="13"/>
                <w:position w:val="1"/>
                <w:sz w:val="21"/>
                <w:szCs w:val="21"/>
              </w:rPr>
              <w:t>mg/m</w:t>
            </w:r>
            <w:r>
              <w:rPr>
                <w:rFonts w:ascii="Times New Roman" w:hAnsi="Times New Roman" w:eastAsia="宋体" w:cs="Times New Roman"/>
                <w:b/>
                <w:bCs/>
                <w:color w:val="auto"/>
                <w:spacing w:val="13"/>
                <w:position w:val="1"/>
                <w:sz w:val="21"/>
                <w:szCs w:val="21"/>
                <w:vertAlign w:val="superscript"/>
              </w:rPr>
              <w:t>3</w:t>
            </w:r>
          </w:p>
        </w:tc>
        <w:tc>
          <w:tcPr>
            <w:tcW w:w="841"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排放速率</w:t>
            </w:r>
          </w:p>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k</w:t>
            </w:r>
            <w:r>
              <w:rPr>
                <w:rFonts w:ascii="Times New Roman" w:hAnsi="Times New Roman" w:eastAsia="宋体" w:cs="Times New Roman"/>
                <w:b/>
                <w:bCs/>
                <w:color w:val="auto"/>
                <w:spacing w:val="13"/>
                <w:position w:val="1"/>
                <w:sz w:val="21"/>
                <w:szCs w:val="21"/>
              </w:rPr>
              <w:t>g/h</w:t>
            </w:r>
          </w:p>
        </w:tc>
        <w:tc>
          <w:tcPr>
            <w:tcW w:w="858" w:type="pct"/>
            <w:tcBorders>
              <w:tl2br w:val="nil"/>
              <w:tr2bl w:val="nil"/>
            </w:tcBorders>
            <w:noWrap w:val="0"/>
            <w:vAlign w:val="center"/>
          </w:tcPr>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rPr>
              <w:t>年排放量</w:t>
            </w:r>
          </w:p>
          <w:p>
            <w:pPr>
              <w:spacing w:before="2" w:line="281" w:lineRule="exact"/>
              <w:jc w:val="center"/>
              <w:rPr>
                <w:rFonts w:ascii="Times New Roman" w:hAnsi="Times New Roman" w:eastAsia="宋体" w:cs="Times New Roman"/>
                <w:b/>
                <w:bCs/>
                <w:color w:val="auto"/>
                <w:spacing w:val="13"/>
                <w:position w:val="1"/>
                <w:sz w:val="21"/>
                <w:szCs w:val="21"/>
              </w:rPr>
            </w:pPr>
            <w:r>
              <w:rPr>
                <w:rFonts w:hint="eastAsia" w:ascii="Times New Roman" w:hAnsi="Times New Roman" w:eastAsia="宋体" w:cs="Times New Roman"/>
                <w:b/>
                <w:bCs/>
                <w:color w:val="auto"/>
                <w:spacing w:val="13"/>
                <w:position w:val="1"/>
                <w:sz w:val="21"/>
                <w:szCs w:val="21"/>
                <w:lang w:val="en-US" w:eastAsia="zh-CN"/>
              </w:rPr>
              <w:t>kg</w:t>
            </w:r>
            <w:r>
              <w:rPr>
                <w:rFonts w:ascii="Times New Roman" w:hAnsi="Times New Roman" w:eastAsia="宋体" w:cs="Times New Roman"/>
                <w:b/>
                <w:bCs/>
                <w:color w:val="auto"/>
                <w:spacing w:val="13"/>
                <w:position w:val="1"/>
                <w:sz w:val="21"/>
                <w:szCs w:val="21"/>
              </w:rPr>
              <w:t>/</w:t>
            </w:r>
            <w:r>
              <w:rPr>
                <w:rFonts w:hint="eastAsia" w:ascii="Times New Roman" w:hAnsi="Times New Roman" w:eastAsia="宋体" w:cs="Times New Roman"/>
                <w:b/>
                <w:bCs/>
                <w:color w:val="auto"/>
                <w:spacing w:val="13"/>
                <w:position w:val="1"/>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1</w:t>
            </w:r>
          </w:p>
        </w:tc>
        <w:tc>
          <w:tcPr>
            <w:tcW w:w="835" w:type="pct"/>
            <w:vMerge w:val="restart"/>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r>
              <w:rPr>
                <w:rFonts w:ascii="Times New Roman" w:hAnsi="Times New Roman" w:eastAsia="宋体" w:cs="Times New Roman"/>
                <w:spacing w:val="13"/>
                <w:position w:val="1"/>
                <w:sz w:val="21"/>
                <w:szCs w:val="21"/>
              </w:rPr>
              <w:t>DA001</w:t>
            </w:r>
          </w:p>
        </w:tc>
        <w:tc>
          <w:tcPr>
            <w:tcW w:w="1844"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氯化氢</w:t>
            </w:r>
          </w:p>
        </w:tc>
        <w:tc>
          <w:tcPr>
            <w:tcW w:w="1427"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0.71 </w:t>
            </w:r>
          </w:p>
        </w:tc>
        <w:tc>
          <w:tcPr>
            <w:tcW w:w="167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0.0035 </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2</w:t>
            </w:r>
          </w:p>
        </w:tc>
        <w:tc>
          <w:tcPr>
            <w:tcW w:w="835"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eastAsia="zh-CN"/>
              </w:rPr>
            </w:pPr>
          </w:p>
        </w:tc>
        <w:tc>
          <w:tcPr>
            <w:tcW w:w="1844"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硫酸雾</w:t>
            </w:r>
          </w:p>
        </w:tc>
        <w:tc>
          <w:tcPr>
            <w:tcW w:w="1427"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1.10 </w:t>
            </w:r>
          </w:p>
        </w:tc>
        <w:tc>
          <w:tcPr>
            <w:tcW w:w="167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0.0055 </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17"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3</w:t>
            </w:r>
          </w:p>
        </w:tc>
        <w:tc>
          <w:tcPr>
            <w:tcW w:w="835" w:type="pct"/>
            <w:vMerge w:val="continue"/>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p>
        </w:tc>
        <w:tc>
          <w:tcPr>
            <w:tcW w:w="1844"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非甲烷总烃</w:t>
            </w:r>
          </w:p>
        </w:tc>
        <w:tc>
          <w:tcPr>
            <w:tcW w:w="1427"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0.90 </w:t>
            </w:r>
          </w:p>
        </w:tc>
        <w:tc>
          <w:tcPr>
            <w:tcW w:w="167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0.0045 </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4</w:t>
            </w:r>
          </w:p>
        </w:tc>
        <w:tc>
          <w:tcPr>
            <w:tcW w:w="835" w:type="pct"/>
            <w:vMerge w:val="continue"/>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p>
        </w:tc>
        <w:tc>
          <w:tcPr>
            <w:tcW w:w="1844"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氮氧化物</w:t>
            </w:r>
          </w:p>
        </w:tc>
        <w:tc>
          <w:tcPr>
            <w:tcW w:w="1427"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0.42 </w:t>
            </w:r>
          </w:p>
        </w:tc>
        <w:tc>
          <w:tcPr>
            <w:tcW w:w="167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 xml:space="preserve">0.0021 </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restart"/>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一般排放口合计</w:t>
            </w: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氯化氢</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硫酸雾</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非甲烷总烃</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氮氧化物</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restart"/>
            <w:tcBorders>
              <w:tl2br w:val="nil"/>
              <w:tr2bl w:val="nil"/>
            </w:tcBorders>
            <w:noWrap w:val="0"/>
            <w:vAlign w:val="center"/>
          </w:tcPr>
          <w:p>
            <w:pPr>
              <w:spacing w:before="2" w:line="281" w:lineRule="exact"/>
              <w:jc w:val="center"/>
              <w:rPr>
                <w:rFonts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有组织排放总计</w:t>
            </w: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氯化氢</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硫酸雾</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非甲烷总烃</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2" w:type="pct"/>
            <w:gridSpan w:val="2"/>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944" w:type="dxa"/>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spacing w:val="13"/>
                <w:kern w:val="0"/>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氮氧化物</w:t>
            </w:r>
          </w:p>
        </w:tc>
        <w:tc>
          <w:tcPr>
            <w:tcW w:w="1709"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r>
      <w:bookmarkEnd w:id="80"/>
    </w:tbl>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表5.2-9 大气污染物无组织排放量核算表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934"/>
        <w:gridCol w:w="1341"/>
        <w:gridCol w:w="1738"/>
        <w:gridCol w:w="2620"/>
        <w:gridCol w:w="1418"/>
        <w:gridCol w:w="1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bookmarkStart w:id="81" w:name="_Hlk76562636"/>
            <w:r>
              <w:rPr>
                <w:rFonts w:hint="eastAsia" w:ascii="Times New Roman" w:hAnsi="Times New Roman" w:eastAsia="宋体" w:cs="Times New Roman"/>
                <w:b/>
                <w:bCs/>
                <w:spacing w:val="13"/>
                <w:position w:val="1"/>
                <w:sz w:val="21"/>
                <w:szCs w:val="21"/>
              </w:rPr>
              <w:t>序号</w:t>
            </w:r>
          </w:p>
        </w:tc>
        <w:tc>
          <w:tcPr>
            <w:tcW w:w="469"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排放口编号</w:t>
            </w:r>
          </w:p>
        </w:tc>
        <w:tc>
          <w:tcPr>
            <w:tcW w:w="673"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产污环节</w:t>
            </w:r>
          </w:p>
        </w:tc>
        <w:tc>
          <w:tcPr>
            <w:tcW w:w="872"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污染物</w:t>
            </w:r>
          </w:p>
        </w:tc>
        <w:tc>
          <w:tcPr>
            <w:tcW w:w="2027" w:type="pct"/>
            <w:gridSpan w:val="2"/>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国家或地方污染物排放标准</w:t>
            </w:r>
          </w:p>
        </w:tc>
        <w:tc>
          <w:tcPr>
            <w:tcW w:w="621"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年排放量(</w:t>
            </w:r>
            <w:r>
              <w:rPr>
                <w:rFonts w:hint="eastAsia" w:ascii="Times New Roman" w:hAnsi="Times New Roman" w:eastAsia="宋体" w:cs="Times New Roman"/>
                <w:b/>
                <w:bCs/>
                <w:spacing w:val="13"/>
                <w:position w:val="1"/>
                <w:sz w:val="21"/>
                <w:szCs w:val="21"/>
                <w:lang w:val="en-US" w:eastAsia="zh-CN"/>
              </w:rPr>
              <w:t>kg</w:t>
            </w:r>
            <w:r>
              <w:rPr>
                <w:rFonts w:hint="eastAsia" w:ascii="Times New Roman" w:hAnsi="Times New Roman" w:eastAsia="宋体" w:cs="Times New Roman"/>
                <w:b/>
                <w:bCs/>
                <w:spacing w:val="13"/>
                <w:position w:val="1"/>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469"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673"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872"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1315" w:type="pc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标准名称</w:t>
            </w:r>
          </w:p>
        </w:tc>
        <w:tc>
          <w:tcPr>
            <w:tcW w:w="712" w:type="pc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浓度限值</w:t>
            </w:r>
          </w:p>
        </w:tc>
        <w:tc>
          <w:tcPr>
            <w:tcW w:w="621"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1</w:t>
            </w:r>
          </w:p>
        </w:tc>
        <w:tc>
          <w:tcPr>
            <w:tcW w:w="469"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w:t>
            </w:r>
          </w:p>
        </w:tc>
        <w:tc>
          <w:tcPr>
            <w:tcW w:w="673" w:type="pct"/>
            <w:vMerge w:val="restart"/>
            <w:tcBorders>
              <w:tl2br w:val="nil"/>
              <w:tr2bl w:val="nil"/>
            </w:tcBorders>
            <w:noWrap w:val="0"/>
            <w:vAlign w:val="center"/>
          </w:tcPr>
          <w:p>
            <w:pPr>
              <w:spacing w:before="2" w:line="281" w:lineRule="exact"/>
              <w:jc w:val="center"/>
              <w:rPr>
                <w:rFonts w:hint="default" w:ascii="Times New Roman" w:hAnsi="Times New Roman" w:eastAsia="宋体" w:cs="Times New Roman"/>
                <w:spacing w:val="13"/>
                <w:position w:val="1"/>
                <w:sz w:val="21"/>
                <w:szCs w:val="21"/>
                <w:lang w:val="en-US"/>
              </w:rPr>
            </w:pPr>
            <w:r>
              <w:rPr>
                <w:rFonts w:hint="eastAsia" w:ascii="Times New Roman" w:hAnsi="Times New Roman" w:eastAsia="宋体" w:cs="Times New Roman"/>
                <w:spacing w:val="13"/>
                <w:position w:val="1"/>
                <w:sz w:val="21"/>
                <w:szCs w:val="21"/>
                <w:lang w:val="en-US" w:eastAsia="zh-CN"/>
              </w:rPr>
              <w:t>污水处理</w:t>
            </w:r>
          </w:p>
        </w:tc>
        <w:tc>
          <w:tcPr>
            <w:tcW w:w="872"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硫化氢</w:t>
            </w:r>
          </w:p>
        </w:tc>
        <w:tc>
          <w:tcPr>
            <w:tcW w:w="1315" w:type="pct"/>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《医疗机构水污染</w:t>
            </w:r>
          </w:p>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物排放标准》</w:t>
            </w:r>
          </w:p>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（GB18466-2005）</w:t>
            </w:r>
          </w:p>
        </w:tc>
        <w:tc>
          <w:tcPr>
            <w:tcW w:w="71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lang w:val="en-US" w:eastAsia="zh-CN"/>
              </w:rPr>
              <w:t>0.03</w:t>
            </w:r>
            <w:r>
              <w:rPr>
                <w:rFonts w:ascii="Times New Roman" w:hAnsi="Times New Roman" w:eastAsia="宋体" w:cs="Times New Roman"/>
                <w:spacing w:val="13"/>
                <w:position w:val="1"/>
                <w:sz w:val="21"/>
                <w:szCs w:val="21"/>
              </w:rPr>
              <w:t>mg/m</w:t>
            </w:r>
            <w:r>
              <w:rPr>
                <w:rFonts w:ascii="Times New Roman" w:hAnsi="Times New Roman" w:eastAsia="宋体" w:cs="Times New Roman"/>
                <w:spacing w:val="13"/>
                <w:position w:val="1"/>
                <w:sz w:val="21"/>
                <w:szCs w:val="21"/>
                <w:vertAlign w:val="superscript"/>
              </w:rPr>
              <w:t>3</w:t>
            </w:r>
          </w:p>
        </w:tc>
        <w:tc>
          <w:tcPr>
            <w:tcW w:w="621"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2</w:t>
            </w:r>
          </w:p>
        </w:tc>
        <w:tc>
          <w:tcPr>
            <w:tcW w:w="469"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w:t>
            </w:r>
          </w:p>
        </w:tc>
        <w:tc>
          <w:tcPr>
            <w:tcW w:w="673" w:type="pct"/>
            <w:vMerge w:val="continue"/>
            <w:tcBorders>
              <w:tl2br w:val="nil"/>
              <w:tr2bl w:val="nil"/>
            </w:tcBorders>
            <w:noWrap w:val="0"/>
            <w:vAlign w:val="center"/>
          </w:tcPr>
          <w:p>
            <w:pPr>
              <w:spacing w:before="2" w:line="281" w:lineRule="exact"/>
              <w:jc w:val="center"/>
              <w:rPr>
                <w:rFonts w:hint="default" w:ascii="Times New Roman" w:hAnsi="Times New Roman" w:eastAsia="宋体" w:cs="Times New Roman"/>
                <w:spacing w:val="13"/>
                <w:position w:val="1"/>
                <w:sz w:val="21"/>
                <w:szCs w:val="21"/>
              </w:rPr>
            </w:pPr>
          </w:p>
        </w:tc>
        <w:tc>
          <w:tcPr>
            <w:tcW w:w="872"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b w:val="0"/>
                <w:bCs w:val="0"/>
                <w:snapToGrid w:val="0"/>
                <w:color w:val="000000"/>
                <w:spacing w:val="11"/>
                <w:kern w:val="0"/>
                <w:sz w:val="21"/>
                <w:szCs w:val="21"/>
                <w:vertAlign w:val="baseline"/>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氨</w:t>
            </w:r>
          </w:p>
        </w:tc>
        <w:tc>
          <w:tcPr>
            <w:tcW w:w="1315" w:type="pct"/>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71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1.0</w:t>
            </w:r>
            <w:r>
              <w:rPr>
                <w:rFonts w:ascii="Times New Roman" w:hAnsi="Times New Roman" w:eastAsia="宋体" w:cs="Times New Roman"/>
                <w:spacing w:val="13"/>
                <w:position w:val="1"/>
                <w:sz w:val="21"/>
                <w:szCs w:val="21"/>
              </w:rPr>
              <w:t>mg/m</w:t>
            </w:r>
            <w:r>
              <w:rPr>
                <w:rFonts w:ascii="Times New Roman" w:hAnsi="Times New Roman" w:eastAsia="宋体" w:cs="Times New Roman"/>
                <w:spacing w:val="13"/>
                <w:position w:val="1"/>
                <w:sz w:val="21"/>
                <w:szCs w:val="21"/>
                <w:vertAlign w:val="superscript"/>
              </w:rPr>
              <w:t>3</w:t>
            </w:r>
          </w:p>
        </w:tc>
        <w:tc>
          <w:tcPr>
            <w:tcW w:w="621"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8" w:type="pct"/>
            <w:gridSpan w:val="3"/>
            <w:vMerge w:val="restar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无组织排放总计</w:t>
            </w:r>
          </w:p>
        </w:tc>
        <w:tc>
          <w:tcPr>
            <w:tcW w:w="2900" w:type="pct"/>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硫化氢</w:t>
            </w:r>
          </w:p>
        </w:tc>
        <w:tc>
          <w:tcPr>
            <w:tcW w:w="621"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8" w:type="pct"/>
            <w:gridSpan w:val="3"/>
            <w:vMerge w:val="continue"/>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p>
        </w:tc>
        <w:tc>
          <w:tcPr>
            <w:tcW w:w="2900" w:type="pct"/>
            <w:gridSpan w:val="3"/>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氨</w:t>
            </w:r>
          </w:p>
        </w:tc>
        <w:tc>
          <w:tcPr>
            <w:tcW w:w="621" w:type="pct"/>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0.105</w:t>
            </w:r>
          </w:p>
        </w:tc>
      </w:tr>
      <w:bookmarkEnd w:id="81"/>
    </w:tbl>
    <w:p>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0"/>
        <w:jc w:val="center"/>
        <w:textAlignment w:val="baseline"/>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表5.2-10  大气污染物年排放量核算表</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14"/>
        <w:gridCol w:w="4123"/>
        <w:gridCol w:w="33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bookmarkStart w:id="82" w:name="_Hlk85102180"/>
            <w:r>
              <w:rPr>
                <w:rFonts w:hint="eastAsia" w:ascii="Times New Roman" w:hAnsi="Times New Roman" w:eastAsia="宋体" w:cs="Times New Roman"/>
                <w:b/>
                <w:bCs/>
                <w:spacing w:val="13"/>
                <w:position w:val="1"/>
                <w:sz w:val="21"/>
                <w:szCs w:val="21"/>
              </w:rPr>
              <w:t>序号</w:t>
            </w:r>
          </w:p>
        </w:tc>
        <w:tc>
          <w:tcPr>
            <w:tcW w:w="2070" w:type="pc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污染物</w:t>
            </w:r>
          </w:p>
        </w:tc>
        <w:tc>
          <w:tcPr>
            <w:tcW w:w="1667" w:type="pct"/>
            <w:tcBorders>
              <w:tl2br w:val="nil"/>
              <w:tr2bl w:val="nil"/>
            </w:tcBorders>
            <w:noWrap w:val="0"/>
            <w:vAlign w:val="center"/>
          </w:tcPr>
          <w:p>
            <w:pPr>
              <w:spacing w:before="2" w:line="281" w:lineRule="exact"/>
              <w:jc w:val="center"/>
              <w:rPr>
                <w:rFonts w:hint="eastAsia" w:ascii="Times New Roman" w:hAnsi="Times New Roman" w:eastAsia="宋体" w:cs="Times New Roman"/>
                <w:b/>
                <w:bCs/>
                <w:spacing w:val="13"/>
                <w:position w:val="1"/>
                <w:sz w:val="21"/>
                <w:szCs w:val="21"/>
              </w:rPr>
            </w:pPr>
            <w:r>
              <w:rPr>
                <w:rFonts w:hint="eastAsia" w:ascii="Times New Roman" w:hAnsi="Times New Roman" w:eastAsia="宋体" w:cs="Times New Roman"/>
                <w:b/>
                <w:bCs/>
                <w:spacing w:val="13"/>
                <w:position w:val="1"/>
                <w:sz w:val="21"/>
                <w:szCs w:val="21"/>
              </w:rPr>
              <w:t>年排放量（</w:t>
            </w:r>
            <w:r>
              <w:rPr>
                <w:rFonts w:hint="eastAsia" w:ascii="Times New Roman" w:hAnsi="Times New Roman" w:eastAsia="宋体" w:cs="Times New Roman"/>
                <w:b/>
                <w:bCs/>
                <w:spacing w:val="13"/>
                <w:position w:val="1"/>
                <w:sz w:val="21"/>
                <w:szCs w:val="21"/>
                <w:lang w:val="en-US" w:eastAsia="zh-CN"/>
              </w:rPr>
              <w:t>kg</w:t>
            </w:r>
            <w:r>
              <w:rPr>
                <w:rFonts w:hint="eastAsia" w:ascii="Times New Roman" w:hAnsi="Times New Roman" w:eastAsia="宋体" w:cs="Times New Roman"/>
                <w:b/>
                <w:bCs/>
                <w:spacing w:val="13"/>
                <w:position w:val="1"/>
                <w:sz w:val="21"/>
                <w:szCs w:val="21"/>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spacing w:val="13"/>
                <w:position w:val="1"/>
                <w:sz w:val="21"/>
                <w:szCs w:val="21"/>
              </w:rPr>
              <w:t>1</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氯化氢</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7.08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2</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硫酸雾</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11.04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126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3</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default" w:ascii="Times New Roman" w:hAnsi="Times New Roman" w:eastAsia="宋体" w:cs="Times New Roman"/>
                <w:b w:val="0"/>
                <w:bCs w:val="0"/>
                <w:snapToGrid w:val="0"/>
                <w:color w:val="000000"/>
                <w:spacing w:val="11"/>
                <w:kern w:val="0"/>
                <w:sz w:val="21"/>
                <w:szCs w:val="21"/>
                <w:vertAlign w:val="baseline"/>
                <w:lang w:val="en-US" w:eastAsia="zh-CN"/>
              </w:rPr>
              <w:t>非甲烷总烃</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eastAsia"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4</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氮氧化物</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napToGrid w:val="0"/>
                <w:color w:val="000000"/>
                <w:kern w:val="0"/>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4.23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5</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硫化氢</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ascii="Times New Roman" w:hAnsi="Times New Roman" w:eastAsia="宋体" w:cs="Times New Roman"/>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62" w:type="pct"/>
            <w:tcBorders>
              <w:tl2br w:val="nil"/>
              <w:tr2bl w:val="nil"/>
            </w:tcBorders>
            <w:noWrap w:val="0"/>
            <w:vAlign w:val="center"/>
          </w:tcPr>
          <w:p>
            <w:pPr>
              <w:spacing w:before="2" w:line="281" w:lineRule="exact"/>
              <w:jc w:val="center"/>
              <w:rPr>
                <w:rFonts w:hint="default" w:ascii="Times New Roman" w:hAnsi="Times New Roman" w:eastAsia="宋体" w:cs="Times New Roman"/>
                <w:spacing w:val="13"/>
                <w:position w:val="1"/>
                <w:sz w:val="21"/>
                <w:szCs w:val="21"/>
                <w:lang w:val="en-US" w:eastAsia="zh-CN"/>
              </w:rPr>
            </w:pPr>
            <w:r>
              <w:rPr>
                <w:rFonts w:hint="eastAsia" w:ascii="Times New Roman" w:hAnsi="Times New Roman" w:eastAsia="宋体" w:cs="Times New Roman"/>
                <w:spacing w:val="13"/>
                <w:position w:val="1"/>
                <w:sz w:val="21"/>
                <w:szCs w:val="21"/>
                <w:lang w:val="en-US" w:eastAsia="zh-CN"/>
              </w:rPr>
              <w:t>6</w:t>
            </w:r>
          </w:p>
        </w:tc>
        <w:tc>
          <w:tcPr>
            <w:tcW w:w="4123"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hint="eastAsia" w:ascii="Times New Roman" w:hAnsi="Times New Roman" w:eastAsia="宋体" w:cs="Times New Roman"/>
                <w:spacing w:val="13"/>
                <w:position w:val="1"/>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氨</w:t>
            </w:r>
          </w:p>
        </w:tc>
        <w:tc>
          <w:tcPr>
            <w:tcW w:w="3321" w:type="dxa"/>
            <w:tcBorders>
              <w:tl2br w:val="nil"/>
              <w:tr2bl w:val="nil"/>
            </w:tcBorders>
            <w:noWrap w:val="0"/>
            <w:vAlign w:val="center"/>
          </w:tcPr>
          <w:p>
            <w:pPr>
              <w:pStyle w:val="14"/>
              <w:widowControl w:val="0"/>
              <w:spacing w:after="0" w:line="240" w:lineRule="auto"/>
              <w:ind w:left="0" w:leftChars="0" w:firstLine="0" w:firstLineChars="0"/>
              <w:contextualSpacing/>
              <w:jc w:val="center"/>
              <w:rPr>
                <w:rFonts w:ascii="Times New Roman" w:hAnsi="Times New Roman" w:eastAsia="宋体" w:cs="Times New Roman"/>
                <w:sz w:val="21"/>
                <w:szCs w:val="21"/>
              </w:rPr>
            </w:pPr>
            <w:r>
              <w:rPr>
                <w:rFonts w:hint="eastAsia" w:ascii="Times New Roman" w:hAnsi="Times New Roman" w:eastAsia="宋体" w:cs="Times New Roman"/>
                <w:b w:val="0"/>
                <w:bCs w:val="0"/>
                <w:snapToGrid w:val="0"/>
                <w:color w:val="000000"/>
                <w:spacing w:val="11"/>
                <w:kern w:val="0"/>
                <w:sz w:val="21"/>
                <w:szCs w:val="21"/>
                <w:vertAlign w:val="baseline"/>
                <w:lang w:val="en-US" w:eastAsia="zh-CN"/>
              </w:rPr>
              <w:t>0.105</w:t>
            </w:r>
          </w:p>
        </w:tc>
      </w:tr>
      <w:bookmarkEnd w:id="82"/>
    </w:tbl>
    <w:p>
      <w:pPr>
        <w:pStyle w:val="4"/>
        <w:bidi w:val="0"/>
        <w:rPr>
          <w:rFonts w:hint="default"/>
          <w:lang w:val="en-US" w:eastAsia="zh-CN"/>
        </w:rPr>
      </w:pPr>
      <w:r>
        <w:rPr>
          <w:rFonts w:hint="eastAsia"/>
          <w:lang w:val="en-US" w:eastAsia="zh-CN"/>
        </w:rPr>
        <w:t>5.2.7</w:t>
      </w:r>
      <w:r>
        <w:rPr>
          <w:rFonts w:hint="default"/>
          <w:lang w:val="en-US" w:eastAsia="zh-CN"/>
        </w:rPr>
        <w:t>大气环境防护距离</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依据前文判定结果，本项目大气环境评价等级为二级，且项目无组织排放源均无超标点，故本项目无需设大气环境防护距离。</w:t>
      </w:r>
    </w:p>
    <w:p>
      <w:pPr>
        <w:pStyle w:val="3"/>
        <w:bidi w:val="0"/>
        <w:rPr>
          <w:rFonts w:hint="default"/>
          <w:lang w:val="en-US" w:eastAsia="zh-CN"/>
        </w:rPr>
      </w:pPr>
      <w:bookmarkStart w:id="83" w:name="_Toc32662"/>
      <w:r>
        <w:rPr>
          <w:rFonts w:hint="eastAsia"/>
          <w:lang w:val="en-US" w:eastAsia="zh-CN"/>
        </w:rPr>
        <w:t xml:space="preserve">5.3 </w:t>
      </w:r>
      <w:r>
        <w:rPr>
          <w:rFonts w:hint="default"/>
          <w:lang w:val="en-US" w:eastAsia="zh-CN"/>
        </w:rPr>
        <w:t>营运期地表水环境影响预测与评价</w:t>
      </w:r>
      <w:bookmarkEnd w:id="83"/>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根据前述章节的分析，判定项目地表水环境影响评价等级为三级B评价，根据《环境影响评价技术导则 地表水环境》（HJ2.3-2018）的地表水环境影响预测与评价的总体要求，水污染型三级 B 评价可不进行水环境影响预测，仅对水污染控制和水环境影响减缓措施有效性进行评价。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w:t>
      </w:r>
      <w:r>
        <w:rPr>
          <w:rFonts w:hint="default" w:eastAsia="宋体" w:cs="Times New Roman"/>
          <w:b w:val="0"/>
          <w:bCs w:val="0"/>
          <w:snapToGrid w:val="0"/>
          <w:color w:val="000000"/>
          <w:spacing w:val="11"/>
          <w:kern w:val="0"/>
          <w:sz w:val="24"/>
          <w:szCs w:val="24"/>
          <w:lang w:val="en-US" w:eastAsia="zh-CN"/>
        </w:rPr>
        <w:t>水污染控制和水环境影响减缓措施有效性评价：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①</w:t>
      </w:r>
      <w:r>
        <w:rPr>
          <w:rFonts w:hint="eastAsia" w:eastAsia="宋体" w:cs="Times New Roman"/>
          <w:b w:val="0"/>
          <w:bCs w:val="0"/>
          <w:snapToGrid w:val="0"/>
          <w:color w:val="000000"/>
          <w:spacing w:val="11"/>
          <w:kern w:val="0"/>
          <w:sz w:val="24"/>
          <w:szCs w:val="24"/>
          <w:lang w:val="en-US" w:eastAsia="zh-CN"/>
        </w:rPr>
        <w:t>实验室</w:t>
      </w:r>
      <w:r>
        <w:rPr>
          <w:rFonts w:hint="default" w:eastAsia="宋体" w:cs="Times New Roman"/>
          <w:b w:val="0"/>
          <w:bCs w:val="0"/>
          <w:snapToGrid w:val="0"/>
          <w:color w:val="000000"/>
          <w:spacing w:val="11"/>
          <w:kern w:val="0"/>
          <w:sz w:val="24"/>
          <w:szCs w:val="24"/>
          <w:lang w:val="en-US" w:eastAsia="zh-CN"/>
        </w:rPr>
        <w:t>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实验室废水中的特殊性质污水来源于理化实验室，主要为酸性废</w:t>
      </w:r>
      <w:r>
        <w:rPr>
          <w:rFonts w:hint="eastAsia" w:eastAsia="宋体" w:cs="Times New Roman"/>
          <w:b w:val="0"/>
          <w:bCs w:val="0"/>
          <w:snapToGrid w:val="0"/>
          <w:color w:val="000000"/>
          <w:spacing w:val="11"/>
          <w:kern w:val="0"/>
          <w:sz w:val="24"/>
          <w:szCs w:val="24"/>
          <w:lang w:val="en-US" w:eastAsia="zh-CN"/>
        </w:rPr>
        <w:t>液</w:t>
      </w:r>
      <w:r>
        <w:rPr>
          <w:rFonts w:hint="default" w:ascii="Times New Roman" w:hAnsi="Times New Roman" w:eastAsia="宋体" w:cs="Times New Roman"/>
          <w:b w:val="0"/>
          <w:bCs w:val="0"/>
          <w:snapToGrid w:val="0"/>
          <w:color w:val="000000"/>
          <w:spacing w:val="11"/>
          <w:kern w:val="0"/>
          <w:sz w:val="24"/>
          <w:szCs w:val="24"/>
          <w:lang w:val="en-US" w:eastAsia="zh-CN"/>
        </w:rPr>
        <w:t>水、碱性废</w:t>
      </w:r>
      <w:r>
        <w:rPr>
          <w:rFonts w:hint="eastAsia" w:eastAsia="宋体" w:cs="Times New Roman"/>
          <w:b w:val="0"/>
          <w:bCs w:val="0"/>
          <w:snapToGrid w:val="0"/>
          <w:color w:val="000000"/>
          <w:spacing w:val="11"/>
          <w:kern w:val="0"/>
          <w:sz w:val="24"/>
          <w:szCs w:val="24"/>
          <w:lang w:val="en-US" w:eastAsia="zh-CN"/>
        </w:rPr>
        <w:t>液</w:t>
      </w:r>
      <w:r>
        <w:rPr>
          <w:rFonts w:hint="default" w:ascii="Times New Roman" w:hAnsi="Times New Roman" w:eastAsia="宋体" w:cs="Times New Roman"/>
          <w:b w:val="0"/>
          <w:bCs w:val="0"/>
          <w:snapToGrid w:val="0"/>
          <w:color w:val="000000"/>
          <w:spacing w:val="11"/>
          <w:kern w:val="0"/>
          <w:sz w:val="24"/>
          <w:szCs w:val="24"/>
          <w:lang w:val="en-US" w:eastAsia="zh-CN"/>
        </w:rPr>
        <w:t>、重金属废液</w:t>
      </w:r>
      <w:r>
        <w:rPr>
          <w:rFonts w:hint="eastAsia" w:eastAsia="宋体" w:cs="Times New Roman"/>
          <w:b w:val="0"/>
          <w:bCs w:val="0"/>
          <w:snapToGrid w:val="0"/>
          <w:color w:val="000000"/>
          <w:spacing w:val="11"/>
          <w:kern w:val="0"/>
          <w:sz w:val="24"/>
          <w:szCs w:val="24"/>
          <w:lang w:val="en-US" w:eastAsia="zh-CN"/>
        </w:rPr>
        <w:t>和</w:t>
      </w:r>
      <w:r>
        <w:rPr>
          <w:rFonts w:hint="default" w:ascii="Times New Roman" w:hAnsi="Times New Roman" w:eastAsia="宋体" w:cs="Times New Roman"/>
          <w:b w:val="0"/>
          <w:bCs w:val="0"/>
          <w:snapToGrid w:val="0"/>
          <w:color w:val="000000"/>
          <w:spacing w:val="11"/>
          <w:kern w:val="0"/>
          <w:sz w:val="24"/>
          <w:szCs w:val="24"/>
          <w:lang w:val="en-US" w:eastAsia="zh-CN"/>
        </w:rPr>
        <w:t>有机试剂废液</w:t>
      </w:r>
      <w:r>
        <w:rPr>
          <w:rFonts w:hint="eastAsia" w:eastAsia="宋体" w:cs="Times New Roman"/>
          <w:b w:val="0"/>
          <w:bCs w:val="0"/>
          <w:snapToGrid w:val="0"/>
          <w:color w:val="000000"/>
          <w:spacing w:val="11"/>
          <w:kern w:val="0"/>
          <w:sz w:val="24"/>
          <w:szCs w:val="24"/>
          <w:lang w:val="en-US" w:eastAsia="zh-CN"/>
        </w:rPr>
        <w:t>等</w:t>
      </w:r>
      <w:r>
        <w:rPr>
          <w:rFonts w:hint="default" w:ascii="Times New Roman" w:hAnsi="Times New Roman" w:eastAsia="宋体" w:cs="Times New Roman"/>
          <w:b w:val="0"/>
          <w:bCs w:val="0"/>
          <w:snapToGrid w:val="0"/>
          <w:color w:val="000000"/>
          <w:spacing w:val="11"/>
          <w:kern w:val="0"/>
          <w:sz w:val="24"/>
          <w:szCs w:val="24"/>
          <w:lang w:val="en-US" w:eastAsia="zh-CN"/>
        </w:rPr>
        <w:t>，这部分废液主要含重金属、含氰、含铬，废液产生量小但是单独处理难度较大，成本也高，因此，特殊废液直接按危险废物管理，在理化实验室产生特殊废液区域设置有防渗、防腐专用收集桶，收集后作为危险废物暂存于危险废物暂存间内，定期交由有资质的单位处理。本项目理化实验室产生的含重金属、含氰废水、含铬废水污水纳入危险废物，不计入项目污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其余的实验器具清洗废水、洗消灭菌废水等排入实验室下水专设管道，进入自建污水处理站处理，处理工艺为“深度处理+消毒工艺”，经污水处理站处理后的水质达到《医疗机构水污染物排放标准》（GB18466-2005）表 2 中的预处理标准后排入市政污水管网内，经过宁远县污水处理厂深度处理，最后排放至泠江</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②生活污水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营运期</w:t>
      </w:r>
      <w:r>
        <w:rPr>
          <w:rFonts w:hint="eastAsia" w:eastAsia="宋体" w:cs="Times New Roman"/>
          <w:b w:val="0"/>
          <w:bCs w:val="0"/>
          <w:snapToGrid w:val="0"/>
          <w:color w:val="000000"/>
          <w:spacing w:val="11"/>
          <w:kern w:val="0"/>
          <w:sz w:val="24"/>
          <w:szCs w:val="24"/>
          <w:lang w:val="en-US" w:eastAsia="zh-CN"/>
        </w:rPr>
        <w:t>职</w:t>
      </w:r>
      <w:r>
        <w:rPr>
          <w:rFonts w:hint="default" w:eastAsia="宋体" w:cs="Times New Roman"/>
          <w:b w:val="0"/>
          <w:bCs w:val="0"/>
          <w:snapToGrid w:val="0"/>
          <w:color w:val="000000"/>
          <w:spacing w:val="11"/>
          <w:kern w:val="0"/>
          <w:sz w:val="24"/>
          <w:szCs w:val="24"/>
          <w:lang w:val="en-US" w:eastAsia="zh-CN"/>
        </w:rPr>
        <w:t>工生活污水主要污染物为COD</w:t>
      </w:r>
      <w:r>
        <w:rPr>
          <w:rFonts w:hint="eastAsia" w:eastAsia="宋体" w:cs="Times New Roman"/>
          <w:b w:val="0"/>
          <w:bCs w:val="0"/>
          <w:snapToGrid w:val="0"/>
          <w:color w:val="000000"/>
          <w:spacing w:val="11"/>
          <w:kern w:val="0"/>
          <w:sz w:val="24"/>
          <w:szCs w:val="24"/>
          <w:lang w:val="en-US" w:eastAsia="zh-CN"/>
        </w:rPr>
        <w:t>cr</w:t>
      </w:r>
      <w:r>
        <w:rPr>
          <w:rFonts w:hint="default" w:eastAsia="宋体" w:cs="Times New Roman"/>
          <w:b w:val="0"/>
          <w:bCs w:val="0"/>
          <w:snapToGrid w:val="0"/>
          <w:color w:val="000000"/>
          <w:spacing w:val="11"/>
          <w:kern w:val="0"/>
          <w:sz w:val="24"/>
          <w:szCs w:val="24"/>
          <w:lang w:val="en-US" w:eastAsia="zh-CN"/>
        </w:rPr>
        <w:t>、BOD</w:t>
      </w:r>
      <w:r>
        <w:rPr>
          <w:rFonts w:hint="default" w:eastAsia="宋体" w:cs="Times New Roman"/>
          <w:b w:val="0"/>
          <w:bCs w:val="0"/>
          <w:snapToGrid w:val="0"/>
          <w:color w:val="000000"/>
          <w:spacing w:val="11"/>
          <w:kern w:val="0"/>
          <w:sz w:val="24"/>
          <w:szCs w:val="24"/>
          <w:vertAlign w:val="subscript"/>
          <w:lang w:val="en-US" w:eastAsia="zh-CN"/>
        </w:rPr>
        <w:t>5</w:t>
      </w:r>
      <w:r>
        <w:rPr>
          <w:rFonts w:hint="default" w:eastAsia="宋体" w:cs="Times New Roman"/>
          <w:b w:val="0"/>
          <w:bCs w:val="0"/>
          <w:snapToGrid w:val="0"/>
          <w:color w:val="000000"/>
          <w:spacing w:val="11"/>
          <w:kern w:val="0"/>
          <w:sz w:val="24"/>
          <w:szCs w:val="24"/>
          <w:lang w:val="en-US" w:eastAsia="zh-CN"/>
        </w:rPr>
        <w:t>、NH</w:t>
      </w:r>
      <w:r>
        <w:rPr>
          <w:rFonts w:hint="default" w:eastAsia="宋体" w:cs="Times New Roman"/>
          <w:b w:val="0"/>
          <w:bCs w:val="0"/>
          <w:snapToGrid w:val="0"/>
          <w:color w:val="000000"/>
          <w:spacing w:val="11"/>
          <w:kern w:val="0"/>
          <w:sz w:val="24"/>
          <w:szCs w:val="24"/>
          <w:vertAlign w:val="subscript"/>
          <w:lang w:val="en-US" w:eastAsia="zh-CN"/>
        </w:rPr>
        <w:t>3</w:t>
      </w:r>
      <w:r>
        <w:rPr>
          <w:rFonts w:hint="default" w:eastAsia="宋体" w:cs="Times New Roman"/>
          <w:b w:val="0"/>
          <w:bCs w:val="0"/>
          <w:snapToGrid w:val="0"/>
          <w:color w:val="000000"/>
          <w:spacing w:val="11"/>
          <w:kern w:val="0"/>
          <w:sz w:val="24"/>
          <w:szCs w:val="24"/>
          <w:lang w:val="en-US" w:eastAsia="zh-CN"/>
        </w:rPr>
        <w:t>-N</w:t>
      </w:r>
      <w:r>
        <w:rPr>
          <w:rFonts w:hint="eastAsia"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生活污水产生量约</w:t>
      </w:r>
      <w:r>
        <w:rPr>
          <w:rFonts w:hint="eastAsia" w:eastAsia="宋体" w:cs="Times New Roman"/>
          <w:b w:val="0"/>
          <w:bCs w:val="0"/>
          <w:snapToGrid w:val="0"/>
          <w:color w:val="000000"/>
          <w:spacing w:val="11"/>
          <w:kern w:val="0"/>
          <w:sz w:val="24"/>
          <w:szCs w:val="24"/>
          <w:lang w:val="en-US" w:eastAsia="zh-CN"/>
        </w:rPr>
        <w:t>730</w:t>
      </w:r>
      <w:r>
        <w:rPr>
          <w:rFonts w:hint="eastAsia" w:ascii="Times New Roman" w:hAnsi="Times New Roman" w:eastAsia="宋体" w:cs="Times New Roman"/>
          <w:b w:val="0"/>
          <w:bCs w:val="0"/>
          <w:snapToGrid w:val="0"/>
          <w:color w:val="000000"/>
          <w:spacing w:val="11"/>
          <w:kern w:val="0"/>
          <w:sz w:val="24"/>
          <w:szCs w:val="24"/>
          <w:lang w:val="en-US" w:eastAsia="zh-CN"/>
        </w:rPr>
        <w:t>m</w:t>
      </w:r>
      <w:r>
        <w:rPr>
          <w:rFonts w:hint="eastAsia" w:ascii="Times New Roman" w:hAnsi="Times New Roman" w:eastAsia="宋体" w:cs="Times New Roman"/>
          <w:b w:val="0"/>
          <w:bCs w:val="0"/>
          <w:snapToGrid w:val="0"/>
          <w:color w:val="000000"/>
          <w:spacing w:val="11"/>
          <w:kern w:val="0"/>
          <w:sz w:val="24"/>
          <w:szCs w:val="24"/>
          <w:vertAlign w:val="superscript"/>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生活污水经</w:t>
      </w:r>
      <w:r>
        <w:rPr>
          <w:rFonts w:hint="eastAsia" w:ascii="Times New Roman" w:hAnsi="Times New Roman" w:eastAsia="宋体" w:cs="Times New Roman"/>
          <w:b w:val="0"/>
          <w:bCs w:val="0"/>
          <w:snapToGrid w:val="0"/>
          <w:color w:val="000000"/>
          <w:spacing w:val="11"/>
          <w:kern w:val="0"/>
          <w:sz w:val="24"/>
          <w:szCs w:val="24"/>
          <w:lang w:val="en-US" w:eastAsia="zh-CN"/>
        </w:rPr>
        <w:t>化粪池处理</w:t>
      </w:r>
      <w:r>
        <w:rPr>
          <w:rFonts w:hint="eastAsia" w:eastAsia="宋体" w:cs="Times New Roman"/>
          <w:b w:val="0"/>
          <w:bCs w:val="0"/>
          <w:snapToGrid w:val="0"/>
          <w:color w:val="000000"/>
          <w:spacing w:val="11"/>
          <w:kern w:val="0"/>
          <w:sz w:val="24"/>
          <w:szCs w:val="24"/>
          <w:lang w:val="en-US" w:eastAsia="zh-CN"/>
        </w:rPr>
        <w:t>达标</w:t>
      </w:r>
      <w:r>
        <w:rPr>
          <w:rFonts w:hint="eastAsia" w:ascii="Times New Roman" w:hAnsi="Times New Roman" w:eastAsia="宋体" w:cs="Times New Roman"/>
          <w:b w:val="0"/>
          <w:bCs w:val="0"/>
          <w:snapToGrid w:val="0"/>
          <w:color w:val="000000"/>
          <w:spacing w:val="11"/>
          <w:kern w:val="0"/>
          <w:sz w:val="24"/>
          <w:szCs w:val="24"/>
          <w:lang w:val="en-US" w:eastAsia="zh-CN"/>
        </w:rPr>
        <w:t>后</w:t>
      </w:r>
      <w:r>
        <w:rPr>
          <w:rFonts w:hint="eastAsia" w:eastAsia="宋体" w:cs="Times New Roman"/>
          <w:b w:val="0"/>
          <w:bCs w:val="0"/>
          <w:snapToGrid w:val="0"/>
          <w:color w:val="000000"/>
          <w:spacing w:val="11"/>
          <w:kern w:val="0"/>
          <w:sz w:val="24"/>
          <w:szCs w:val="24"/>
          <w:lang w:val="en-US" w:eastAsia="zh-CN"/>
        </w:rPr>
        <w:t>排入市政污水管网，经过宁远县污水处理厂深度处理，最后排放至泠江</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③</w:t>
      </w:r>
      <w:r>
        <w:rPr>
          <w:rFonts w:hint="eastAsia" w:eastAsia="宋体" w:cs="Times New Roman"/>
          <w:b w:val="0"/>
          <w:bCs w:val="0"/>
          <w:snapToGrid w:val="0"/>
          <w:color w:val="000000"/>
          <w:spacing w:val="11"/>
          <w:kern w:val="0"/>
          <w:sz w:val="24"/>
          <w:szCs w:val="24"/>
          <w:lang w:val="en-US" w:eastAsia="zh-CN"/>
        </w:rPr>
        <w:t>纯水制备浓水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项目理化实验室配套一套纯水制备系统，产生的纯水主要用于理化试验和微生物实验。其浓盐水产生量为自来水用水量的40%计，则浓盐水产生量为1.3</w:t>
      </w:r>
      <w:r>
        <w:rPr>
          <w:rFonts w:hint="eastAsia" w:eastAsia="宋体" w:cs="Times New Roman"/>
          <w:b w:val="0"/>
          <w:bCs w:val="0"/>
          <w:snapToGrid w:val="0"/>
          <w:color w:val="000000"/>
          <w:spacing w:val="11"/>
          <w:kern w:val="0"/>
          <w:sz w:val="24"/>
          <w:szCs w:val="24"/>
          <w:lang w:val="en-US" w:eastAsia="zh-CN"/>
        </w:rPr>
        <w:t>33</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/d，</w:t>
      </w:r>
      <w:r>
        <w:rPr>
          <w:rFonts w:hint="eastAsia" w:eastAsia="宋体" w:cs="Times New Roman"/>
          <w:b w:val="0"/>
          <w:bCs w:val="0"/>
          <w:snapToGrid w:val="0"/>
          <w:color w:val="000000"/>
          <w:spacing w:val="11"/>
          <w:kern w:val="0"/>
          <w:sz w:val="24"/>
          <w:szCs w:val="24"/>
          <w:lang w:val="en-US" w:eastAsia="zh-CN"/>
        </w:rPr>
        <w:t>333.25</w:t>
      </w:r>
      <w:r>
        <w:rPr>
          <w:rFonts w:hint="default" w:eastAsia="宋体" w:cs="Times New Roman"/>
          <w:b w:val="0"/>
          <w:bCs w:val="0"/>
          <w:snapToGrid w:val="0"/>
          <w:color w:val="000000"/>
          <w:spacing w:val="11"/>
          <w:kern w:val="0"/>
          <w:sz w:val="24"/>
          <w:szCs w:val="24"/>
          <w:lang w:val="en-US" w:eastAsia="zh-CN"/>
        </w:rPr>
        <w:t>m</w:t>
      </w:r>
      <w:r>
        <w:rPr>
          <w:rFonts w:hint="default" w:eastAsia="宋体" w:cs="Times New Roman"/>
          <w:b w:val="0"/>
          <w:bCs w:val="0"/>
          <w:snapToGrid w:val="0"/>
          <w:color w:val="000000"/>
          <w:spacing w:val="11"/>
          <w:kern w:val="0"/>
          <w:sz w:val="24"/>
          <w:szCs w:val="24"/>
          <w:vertAlign w:val="superscript"/>
          <w:lang w:val="en-US" w:eastAsia="zh-CN"/>
        </w:rPr>
        <w:t>3</w:t>
      </w:r>
      <w:r>
        <w:rPr>
          <w:rFonts w:hint="default" w:eastAsia="宋体" w:cs="Times New Roman"/>
          <w:b w:val="0"/>
          <w:bCs w:val="0"/>
          <w:snapToGrid w:val="0"/>
          <w:color w:val="000000"/>
          <w:spacing w:val="11"/>
          <w:kern w:val="0"/>
          <w:sz w:val="24"/>
          <w:szCs w:val="24"/>
          <w:lang w:val="en-US" w:eastAsia="zh-CN"/>
        </w:rPr>
        <w:t>/a。</w:t>
      </w:r>
      <w:r>
        <w:rPr>
          <w:rFonts w:hint="eastAsia" w:eastAsia="宋体" w:cs="Times New Roman"/>
          <w:b w:val="0"/>
          <w:bCs w:val="0"/>
          <w:snapToGrid w:val="0"/>
          <w:color w:val="000000"/>
          <w:spacing w:val="11"/>
          <w:kern w:val="0"/>
          <w:sz w:val="24"/>
          <w:szCs w:val="24"/>
          <w:lang w:val="en-US" w:eastAsia="zh-CN"/>
        </w:rPr>
        <w:t>其主要污染物为SS和含盐量，可作为清净下水排入市政污水管道</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2、依托宁远县第二污水处理厂环境可行性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①污水处理厂介绍</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宁远县第二污水处理厂位于宁远县舜陵街道仁山庙下瑶村现有厂区内，占地16359.18m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，总投资</w:t>
      </w:r>
      <w:r>
        <w:rPr>
          <w:rFonts w:hint="default" w:ascii="Times New Roman" w:hAnsi="Times New Roman" w:eastAsia="宋体" w:cs="Times New Roman"/>
          <w:b w:val="0"/>
          <w:bCs w:val="0"/>
          <w:snapToGrid w:val="0"/>
          <w:color w:val="000000"/>
          <w:spacing w:val="11"/>
          <w:kern w:val="0"/>
          <w:sz w:val="24"/>
          <w:szCs w:val="24"/>
          <w:lang w:val="en-US" w:eastAsia="zh-CN"/>
        </w:rPr>
        <w:t>6228.24</w:t>
      </w:r>
      <w:r>
        <w:rPr>
          <w:rFonts w:hint="eastAsia" w:ascii="Times New Roman" w:hAnsi="Times New Roman" w:eastAsia="宋体" w:cs="Times New Roman"/>
          <w:b w:val="0"/>
          <w:bCs w:val="0"/>
          <w:snapToGrid w:val="0"/>
          <w:color w:val="000000"/>
          <w:spacing w:val="11"/>
          <w:kern w:val="0"/>
          <w:sz w:val="24"/>
          <w:szCs w:val="24"/>
          <w:lang w:val="en-US" w:eastAsia="zh-CN"/>
        </w:rPr>
        <w:t>万元，宁远县第二污水处理厂设计规模为日处理</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万吨。采用改良型</w:t>
      </w:r>
      <w:r>
        <w:rPr>
          <w:rFonts w:hint="default" w:ascii="Times New Roman" w:hAnsi="Times New Roman" w:eastAsia="宋体" w:cs="Times New Roman"/>
          <w:b w:val="0"/>
          <w:bCs w:val="0"/>
          <w:snapToGrid w:val="0"/>
          <w:color w:val="000000"/>
          <w:spacing w:val="11"/>
          <w:kern w:val="0"/>
          <w:sz w:val="24"/>
          <w:szCs w:val="24"/>
          <w:lang w:val="en-US" w:eastAsia="zh-CN"/>
        </w:rPr>
        <w:t>A</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O</w:t>
      </w:r>
      <w:r>
        <w:rPr>
          <w:rFonts w:hint="eastAsia" w:ascii="Times New Roman" w:hAnsi="Times New Roman" w:eastAsia="宋体" w:cs="Times New Roman"/>
          <w:b w:val="0"/>
          <w:bCs w:val="0"/>
          <w:snapToGrid w:val="0"/>
          <w:color w:val="000000"/>
          <w:spacing w:val="11"/>
          <w:kern w:val="0"/>
          <w:sz w:val="24"/>
          <w:szCs w:val="24"/>
          <w:lang w:val="en-US" w:eastAsia="zh-CN"/>
        </w:rPr>
        <w:t>污水处理工艺，处理后的污水水质可达《城镇污水处理厂污染物排放标准》</w:t>
      </w:r>
      <w:r>
        <w:rPr>
          <w:rFonts w:hint="default" w:ascii="Times New Roman" w:hAnsi="Times New Roman" w:eastAsia="宋体" w:cs="Times New Roman"/>
          <w:b w:val="0"/>
          <w:bCs w:val="0"/>
          <w:snapToGrid w:val="0"/>
          <w:color w:val="000000"/>
          <w:spacing w:val="11"/>
          <w:kern w:val="0"/>
          <w:sz w:val="24"/>
          <w:szCs w:val="24"/>
          <w:lang w:val="en-US" w:eastAsia="zh-CN"/>
        </w:rPr>
        <w:t xml:space="preserve">GB18918-2002 </w:t>
      </w:r>
      <w:r>
        <w:rPr>
          <w:rFonts w:hint="eastAsia" w:ascii="Times New Roman" w:hAnsi="Times New Roman" w:eastAsia="宋体" w:cs="Times New Roman"/>
          <w:b w:val="0"/>
          <w:bCs w:val="0"/>
          <w:snapToGrid w:val="0"/>
          <w:color w:val="000000"/>
          <w:spacing w:val="11"/>
          <w:kern w:val="0"/>
          <w:sz w:val="24"/>
          <w:szCs w:val="24"/>
          <w:lang w:val="en-US" w:eastAsia="zh-CN"/>
        </w:rPr>
        <w:t xml:space="preserve">中一级 </w:t>
      </w:r>
      <w:r>
        <w:rPr>
          <w:rFonts w:hint="default" w:ascii="Times New Roman" w:hAnsi="Times New Roman" w:eastAsia="宋体" w:cs="Times New Roman"/>
          <w:b w:val="0"/>
          <w:bCs w:val="0"/>
          <w:snapToGrid w:val="0"/>
          <w:color w:val="000000"/>
          <w:spacing w:val="11"/>
          <w:kern w:val="0"/>
          <w:sz w:val="24"/>
          <w:szCs w:val="24"/>
          <w:lang w:val="en-US" w:eastAsia="zh-CN"/>
        </w:rPr>
        <w:t xml:space="preserve">A </w:t>
      </w:r>
      <w:r>
        <w:rPr>
          <w:rFonts w:hint="eastAsia" w:ascii="Times New Roman" w:hAnsi="Times New Roman" w:eastAsia="宋体" w:cs="Times New Roman"/>
          <w:b w:val="0"/>
          <w:bCs w:val="0"/>
          <w:snapToGrid w:val="0"/>
          <w:color w:val="000000"/>
          <w:spacing w:val="11"/>
          <w:kern w:val="0"/>
          <w:sz w:val="24"/>
          <w:szCs w:val="24"/>
          <w:lang w:val="en-US" w:eastAsia="zh-CN"/>
        </w:rPr>
        <w:t xml:space="preserve">标准。 </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本项目医疗废水量为废水量为2.746</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/d</w:t>
      </w:r>
      <w:r>
        <w:rPr>
          <w:rFonts w:hint="eastAsia" w:ascii="Times New Roman" w:hAnsi="Times New Roman" w:eastAsia="宋体" w:cs="Times New Roman"/>
          <w:b w:val="0"/>
          <w:bCs w:val="0"/>
          <w:snapToGrid w:val="0"/>
          <w:color w:val="000000"/>
          <w:spacing w:val="11"/>
          <w:kern w:val="0"/>
          <w:sz w:val="24"/>
          <w:szCs w:val="24"/>
          <w:lang w:val="en-US" w:eastAsia="zh-CN"/>
        </w:rPr>
        <w:t>，686.375</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/a</w:t>
      </w:r>
      <w:r>
        <w:rPr>
          <w:rFonts w:hint="eastAsia" w:ascii="Times New Roman" w:hAnsi="Times New Roman" w:eastAsia="宋体" w:cs="Times New Roman"/>
          <w:b w:val="0"/>
          <w:bCs w:val="0"/>
          <w:snapToGrid w:val="0"/>
          <w:color w:val="000000"/>
          <w:spacing w:val="11"/>
          <w:kern w:val="0"/>
          <w:sz w:val="24"/>
          <w:szCs w:val="24"/>
          <w:lang w:val="en-US" w:eastAsia="zh-CN"/>
        </w:rPr>
        <w:t xml:space="preserve">。根据污水处理厂纳污范围，待污水处理厂纳污管网全部铺设完成后，本项目污水全部纳入污水处理厂处理。由于该项目污水排放量相对较小，对宁远县第二污水处理厂不会产生较大的处理负荷。项目依托的污水处理环保设施是可行的。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②污水处理厂处理工艺 </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宁远县第二污水处理厂污水处理工艺采用泥水分离改良型 </w:t>
      </w:r>
      <w:r>
        <w:rPr>
          <w:rFonts w:hint="default" w:ascii="Times New Roman" w:hAnsi="Times New Roman" w:eastAsia="宋体" w:cs="Times New Roman"/>
          <w:b w:val="0"/>
          <w:bCs w:val="0"/>
          <w:snapToGrid w:val="0"/>
          <w:color w:val="000000"/>
          <w:spacing w:val="11"/>
          <w:kern w:val="0"/>
          <w:sz w:val="24"/>
          <w:szCs w:val="24"/>
          <w:lang w:val="en-US" w:eastAsia="zh-CN"/>
        </w:rPr>
        <w:t xml:space="preserve">A/A/O </w:t>
      </w:r>
      <w:r>
        <w:rPr>
          <w:rFonts w:hint="eastAsia" w:ascii="Times New Roman" w:hAnsi="Times New Roman" w:eastAsia="宋体" w:cs="Times New Roman"/>
          <w:b w:val="0"/>
          <w:bCs w:val="0"/>
          <w:snapToGrid w:val="0"/>
          <w:color w:val="000000"/>
          <w:spacing w:val="11"/>
          <w:kern w:val="0"/>
          <w:sz w:val="24"/>
          <w:szCs w:val="24"/>
          <w:lang w:val="en-US" w:eastAsia="zh-CN"/>
        </w:rPr>
        <w:t>工艺作为污水处理工艺。</w:t>
      </w:r>
      <w:r>
        <w:rPr>
          <w:rFonts w:hint="default" w:ascii="Times New Roman" w:hAnsi="Times New Roman" w:eastAsia="宋体" w:cs="Times New Roman"/>
          <w:b w:val="0"/>
          <w:bCs w:val="0"/>
          <w:snapToGrid w:val="0"/>
          <w:color w:val="000000"/>
          <w:spacing w:val="11"/>
          <w:kern w:val="0"/>
          <w:sz w:val="24"/>
          <w:szCs w:val="24"/>
          <w:lang w:val="en-US" w:eastAsia="zh-CN"/>
        </w:rPr>
        <w:t xml:space="preserve">A/A/O </w:t>
      </w:r>
      <w:r>
        <w:rPr>
          <w:rFonts w:hint="eastAsia" w:ascii="Times New Roman" w:hAnsi="Times New Roman" w:eastAsia="宋体" w:cs="Times New Roman"/>
          <w:b w:val="0"/>
          <w:bCs w:val="0"/>
          <w:snapToGrid w:val="0"/>
          <w:color w:val="000000"/>
          <w:spacing w:val="11"/>
          <w:kern w:val="0"/>
          <w:sz w:val="24"/>
          <w:szCs w:val="24"/>
          <w:lang w:val="en-US" w:eastAsia="zh-CN"/>
        </w:rPr>
        <w:t>系统设计成具有三个相对独立的分区，即厌氧区、缺氧区、曝气区，根据不同的处理目标，通过调整参数使系统的去处能力得到提高。这是一个典型的除磷脱氮工艺，厌氧池的</w:t>
      </w:r>
      <w:r>
        <w:rPr>
          <w:rFonts w:hint="default" w:ascii="Times New Roman" w:hAnsi="Times New Roman" w:eastAsia="宋体" w:cs="Times New Roman"/>
          <w:b w:val="0"/>
          <w:bCs w:val="0"/>
          <w:snapToGrid w:val="0"/>
          <w:color w:val="000000"/>
          <w:spacing w:val="11"/>
          <w:kern w:val="0"/>
          <w:sz w:val="24"/>
          <w:szCs w:val="24"/>
          <w:lang w:val="en-US" w:eastAsia="zh-CN"/>
        </w:rPr>
        <w:t>DO</w:t>
      </w:r>
      <w:r>
        <w:rPr>
          <w:rFonts w:hint="eastAsia" w:ascii="Times New Roman" w:hAnsi="Times New Roman" w:eastAsia="宋体" w:cs="Times New Roman"/>
          <w:b w:val="0"/>
          <w:bCs w:val="0"/>
          <w:snapToGrid w:val="0"/>
          <w:color w:val="000000"/>
          <w:spacing w:val="11"/>
          <w:kern w:val="0"/>
          <w:sz w:val="24"/>
          <w:szCs w:val="24"/>
          <w:lang w:val="en-US" w:eastAsia="zh-CN"/>
        </w:rPr>
        <w:t>控制在</w:t>
      </w:r>
      <w:r>
        <w:rPr>
          <w:rFonts w:hint="default" w:ascii="Times New Roman" w:hAnsi="Times New Roman" w:eastAsia="宋体" w:cs="Times New Roman"/>
          <w:b w:val="0"/>
          <w:bCs w:val="0"/>
          <w:snapToGrid w:val="0"/>
          <w:color w:val="000000"/>
          <w:spacing w:val="11"/>
          <w:kern w:val="0"/>
          <w:sz w:val="24"/>
          <w:szCs w:val="24"/>
          <w:lang w:val="en-US" w:eastAsia="zh-CN"/>
        </w:rPr>
        <w:t>0-0.5mg/</w:t>
      </w:r>
      <w:r>
        <w:rPr>
          <w:rFonts w:hint="eastAsia" w:ascii="Times New Roman" w:hAnsi="Times New Roman" w:eastAsia="宋体" w:cs="Times New Roman"/>
          <w:b w:val="0"/>
          <w:bCs w:val="0"/>
          <w:snapToGrid w:val="0"/>
          <w:color w:val="000000"/>
          <w:spacing w:val="11"/>
          <w:kern w:val="0"/>
          <w:sz w:val="24"/>
          <w:szCs w:val="24"/>
          <w:lang w:val="en-US" w:eastAsia="zh-CN"/>
        </w:rPr>
        <w:t>L，缺氧区控制在</w:t>
      </w:r>
      <w:r>
        <w:rPr>
          <w:rFonts w:hint="default" w:ascii="Times New Roman" w:hAnsi="Times New Roman" w:eastAsia="宋体" w:cs="Times New Roman"/>
          <w:b w:val="0"/>
          <w:bCs w:val="0"/>
          <w:snapToGrid w:val="0"/>
          <w:color w:val="000000"/>
          <w:spacing w:val="11"/>
          <w:kern w:val="0"/>
          <w:sz w:val="24"/>
          <w:szCs w:val="24"/>
          <w:lang w:val="en-US" w:eastAsia="zh-CN"/>
        </w:rPr>
        <w:t>0.5-1mg/</w:t>
      </w:r>
      <w:r>
        <w:rPr>
          <w:rFonts w:hint="eastAsia" w:ascii="Times New Roman" w:hAnsi="Times New Roman" w:eastAsia="宋体" w:cs="Times New Roman"/>
          <w:b w:val="0"/>
          <w:bCs w:val="0"/>
          <w:snapToGrid w:val="0"/>
          <w:color w:val="000000"/>
          <w:spacing w:val="11"/>
          <w:kern w:val="0"/>
          <w:sz w:val="24"/>
          <w:szCs w:val="24"/>
          <w:lang w:val="en-US" w:eastAsia="zh-CN"/>
        </w:rPr>
        <w:t>L，曝气区控制在</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2.5mg/</w:t>
      </w:r>
      <w:r>
        <w:rPr>
          <w:rFonts w:hint="eastAsia" w:ascii="Times New Roman" w:hAnsi="Times New Roman" w:eastAsia="宋体" w:cs="Times New Roman"/>
          <w:b w:val="0"/>
          <w:bCs w:val="0"/>
          <w:snapToGrid w:val="0"/>
          <w:color w:val="000000"/>
          <w:spacing w:val="11"/>
          <w:kern w:val="0"/>
          <w:sz w:val="24"/>
          <w:szCs w:val="24"/>
          <w:lang w:val="en-US" w:eastAsia="zh-CN"/>
        </w:rPr>
        <w:t xml:space="preserve">L，从而造成有氧和无氧的生物环境，达到生物降解及除磷脱氮的目的。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泠江河属中河，多年平均流量</w:t>
      </w:r>
      <w:r>
        <w:rPr>
          <w:rFonts w:hint="default" w:ascii="Times New Roman" w:hAnsi="Times New Roman" w:eastAsia="宋体" w:cs="Times New Roman"/>
          <w:b w:val="0"/>
          <w:bCs w:val="0"/>
          <w:snapToGrid w:val="0"/>
          <w:color w:val="000000"/>
          <w:spacing w:val="11"/>
          <w:kern w:val="0"/>
          <w:sz w:val="24"/>
          <w:szCs w:val="24"/>
          <w:lang w:val="en-US" w:eastAsia="zh-CN"/>
        </w:rPr>
        <w:t>20.6m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/s</w:t>
      </w:r>
      <w:r>
        <w:rPr>
          <w:rFonts w:hint="eastAsia" w:ascii="Times New Roman" w:hAnsi="Times New Roman" w:eastAsia="宋体" w:cs="Times New Roman"/>
          <w:b w:val="0"/>
          <w:bCs w:val="0"/>
          <w:snapToGrid w:val="0"/>
          <w:color w:val="000000"/>
          <w:spacing w:val="11"/>
          <w:kern w:val="0"/>
          <w:sz w:val="24"/>
          <w:szCs w:val="24"/>
          <w:lang w:val="en-US" w:eastAsia="zh-CN"/>
        </w:rPr>
        <w:t xml:space="preserve">，水质现状保持较好，只要污水处理厂不超负荷运行，在正常运行情况下，对泠江河河流水质影响不大。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③项目区域纳污管网建设进度与本项目的匹配性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位于宁远县第二污水处理厂纳污范围内，周边道路纳污管网已敷设到位，该区域废污水能顺利全部纳入宁远县第二污水处理厂。雨水经雨水口、雨水斗收集，雨水地表径流分散就近排至城市雨水管网；污水排放路径为项目内污水管网</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九嶷大道</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泠江河沿线市政污水管道</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宁远县第二污水处理厂</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泠江河</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3"/>
        <w:bidi w:val="0"/>
        <w:rPr>
          <w:rFonts w:hint="default"/>
          <w:lang w:val="en-US" w:eastAsia="zh-CN"/>
        </w:rPr>
      </w:pPr>
      <w:bookmarkStart w:id="84" w:name="_Toc19282"/>
      <w:r>
        <w:rPr>
          <w:rFonts w:hint="eastAsia"/>
          <w:lang w:val="en-US" w:eastAsia="zh-CN"/>
        </w:rPr>
        <w:t xml:space="preserve">5.4 </w:t>
      </w:r>
      <w:r>
        <w:rPr>
          <w:rFonts w:hint="default"/>
          <w:lang w:val="en-US" w:eastAsia="zh-CN"/>
        </w:rPr>
        <w:t>营运期地下水的影响预测与评价</w:t>
      </w:r>
      <w:bookmarkEnd w:id="84"/>
    </w:p>
    <w:p>
      <w:pPr>
        <w:pStyle w:val="4"/>
        <w:bidi w:val="0"/>
        <w:rPr>
          <w:rFonts w:hint="default"/>
          <w:lang w:val="en-US" w:eastAsia="zh-CN"/>
        </w:rPr>
      </w:pPr>
      <w:r>
        <w:rPr>
          <w:rFonts w:hint="eastAsia"/>
          <w:lang w:val="en-US" w:eastAsia="zh-CN"/>
        </w:rPr>
        <w:t>5</w:t>
      </w:r>
      <w:r>
        <w:rPr>
          <w:rFonts w:hint="default"/>
          <w:lang w:val="en-US" w:eastAsia="zh-CN"/>
        </w:rPr>
        <w:t>.</w:t>
      </w:r>
      <w:r>
        <w:rPr>
          <w:rFonts w:hint="eastAsia"/>
          <w:lang w:val="en-US" w:eastAsia="zh-CN"/>
        </w:rPr>
        <w:t>4</w:t>
      </w:r>
      <w:r>
        <w:rPr>
          <w:rFonts w:hint="default"/>
          <w:lang w:val="en-US" w:eastAsia="zh-CN"/>
        </w:rPr>
        <w:t>.1评价等级确定</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根据《环境影响评价技术导则地下水环境》（HJ 610-2016）附录 A 地下环境影响评价行业分类表，项目属于 V、社会事业及服务业 160、疾病预防控制中心，地下水环境评价项目类别为Ⅳ类，可不开展地下水环境影响评价。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但因本项目涉及到自建污水处理设施和危废暂存间的建设，本评价对地下水进行简单影响分析</w:t>
      </w:r>
      <w:r>
        <w:rPr>
          <w:rFonts w:hint="eastAsia"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 xml:space="preserve">5.4.2 </w:t>
      </w:r>
      <w:r>
        <w:rPr>
          <w:rFonts w:hint="default"/>
          <w:lang w:val="en-US" w:eastAsia="zh-CN"/>
        </w:rPr>
        <w:t>地下水环境影响分析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本项目生活污水</w:t>
      </w:r>
      <w:r>
        <w:rPr>
          <w:rFonts w:hint="eastAsia" w:eastAsia="宋体" w:cs="Times New Roman"/>
          <w:b w:val="0"/>
          <w:bCs w:val="0"/>
          <w:snapToGrid w:val="0"/>
          <w:color w:val="000000"/>
          <w:spacing w:val="11"/>
          <w:kern w:val="0"/>
          <w:sz w:val="24"/>
          <w:szCs w:val="24"/>
          <w:lang w:val="en-US" w:eastAsia="zh-CN"/>
        </w:rPr>
        <w:t>经化粪池预处理达到《污水综合排放标准》（GB8978-1996）表4中三级标准</w:t>
      </w:r>
      <w:r>
        <w:rPr>
          <w:rFonts w:hint="default" w:eastAsia="宋体" w:cs="Times New Roman"/>
          <w:b w:val="0"/>
          <w:bCs w:val="0"/>
          <w:snapToGrid w:val="0"/>
          <w:color w:val="000000"/>
          <w:spacing w:val="11"/>
          <w:kern w:val="0"/>
          <w:sz w:val="24"/>
          <w:szCs w:val="24"/>
          <w:lang w:val="en-US" w:eastAsia="zh-CN"/>
        </w:rPr>
        <w:t>及</w:t>
      </w:r>
      <w:r>
        <w:rPr>
          <w:rFonts w:hint="eastAsia" w:eastAsia="宋体" w:cs="Times New Roman"/>
          <w:b w:val="0"/>
          <w:bCs w:val="0"/>
          <w:snapToGrid w:val="0"/>
          <w:color w:val="000000"/>
          <w:spacing w:val="11"/>
          <w:kern w:val="0"/>
          <w:sz w:val="24"/>
          <w:szCs w:val="24"/>
          <w:lang w:val="en-US" w:eastAsia="zh-CN"/>
        </w:rPr>
        <w:t>宁远县第二</w:t>
      </w:r>
      <w:r>
        <w:rPr>
          <w:rFonts w:hint="default" w:eastAsia="宋体" w:cs="Times New Roman"/>
          <w:b w:val="0"/>
          <w:bCs w:val="0"/>
          <w:snapToGrid w:val="0"/>
          <w:color w:val="000000"/>
          <w:spacing w:val="11"/>
          <w:kern w:val="0"/>
          <w:sz w:val="24"/>
          <w:szCs w:val="24"/>
          <w:lang w:val="en-US" w:eastAsia="zh-CN"/>
        </w:rPr>
        <w:t>污水处理厂进水水质标准后进入市政污水管网</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实验废水经处理达到《医疗机构水污染物排放标准》（GB18466-2005）表 2 预处理标准及</w:t>
      </w:r>
      <w:r>
        <w:rPr>
          <w:rFonts w:hint="eastAsia" w:eastAsia="宋体" w:cs="Times New Roman"/>
          <w:b w:val="0"/>
          <w:bCs w:val="0"/>
          <w:snapToGrid w:val="0"/>
          <w:color w:val="000000"/>
          <w:spacing w:val="11"/>
          <w:kern w:val="0"/>
          <w:sz w:val="24"/>
          <w:szCs w:val="24"/>
          <w:lang w:val="en-US" w:eastAsia="zh-CN"/>
        </w:rPr>
        <w:t>宁远县第二</w:t>
      </w:r>
      <w:r>
        <w:rPr>
          <w:rFonts w:hint="default" w:eastAsia="宋体" w:cs="Times New Roman"/>
          <w:b w:val="0"/>
          <w:bCs w:val="0"/>
          <w:snapToGrid w:val="0"/>
          <w:color w:val="000000"/>
          <w:spacing w:val="11"/>
          <w:kern w:val="0"/>
          <w:sz w:val="24"/>
          <w:szCs w:val="24"/>
          <w:lang w:val="en-US" w:eastAsia="zh-CN"/>
        </w:rPr>
        <w:t>污水处理厂进水水质标准后进入市政污水管网，最终</w:t>
      </w:r>
      <w:r>
        <w:rPr>
          <w:rFonts w:hint="eastAsia" w:eastAsia="宋体" w:cs="Times New Roman"/>
          <w:b w:val="0"/>
          <w:bCs w:val="0"/>
          <w:snapToGrid w:val="0"/>
          <w:color w:val="000000"/>
          <w:spacing w:val="11"/>
          <w:kern w:val="0"/>
          <w:sz w:val="24"/>
          <w:szCs w:val="24"/>
          <w:lang w:val="en-US" w:eastAsia="zh-CN"/>
        </w:rPr>
        <w:t>废水均</w:t>
      </w:r>
      <w:r>
        <w:rPr>
          <w:rFonts w:hint="default" w:eastAsia="宋体" w:cs="Times New Roman"/>
          <w:b w:val="0"/>
          <w:bCs w:val="0"/>
          <w:snapToGrid w:val="0"/>
          <w:color w:val="000000"/>
          <w:spacing w:val="11"/>
          <w:kern w:val="0"/>
          <w:sz w:val="24"/>
          <w:szCs w:val="24"/>
          <w:lang w:val="en-US" w:eastAsia="zh-CN"/>
        </w:rPr>
        <w:t>排入</w:t>
      </w:r>
      <w:r>
        <w:rPr>
          <w:rFonts w:hint="eastAsia" w:eastAsia="宋体" w:cs="Times New Roman"/>
          <w:b w:val="0"/>
          <w:bCs w:val="0"/>
          <w:snapToGrid w:val="0"/>
          <w:color w:val="000000"/>
          <w:spacing w:val="11"/>
          <w:kern w:val="0"/>
          <w:sz w:val="24"/>
          <w:szCs w:val="24"/>
          <w:lang w:val="en-US" w:eastAsia="zh-CN"/>
        </w:rPr>
        <w:t>宁远县第二</w:t>
      </w:r>
      <w:r>
        <w:rPr>
          <w:rFonts w:hint="default" w:eastAsia="宋体" w:cs="Times New Roman"/>
          <w:b w:val="0"/>
          <w:bCs w:val="0"/>
          <w:snapToGrid w:val="0"/>
          <w:color w:val="000000"/>
          <w:spacing w:val="11"/>
          <w:kern w:val="0"/>
          <w:sz w:val="24"/>
          <w:szCs w:val="24"/>
          <w:lang w:val="en-US" w:eastAsia="zh-CN"/>
        </w:rPr>
        <w:t>污水处理厂。因此，在项目自建污水处理站运行正常的情况下，对项目区域地下水环境影响较小。</w:t>
      </w:r>
    </w:p>
    <w:p>
      <w:pPr>
        <w:pStyle w:val="4"/>
        <w:bidi w:val="0"/>
        <w:rPr>
          <w:rFonts w:hint="eastAsia"/>
          <w:lang w:val="en-US" w:eastAsia="zh-CN"/>
        </w:rPr>
      </w:pPr>
      <w:r>
        <w:rPr>
          <w:rFonts w:hint="eastAsia"/>
          <w:lang w:val="en-US" w:eastAsia="zh-CN"/>
        </w:rPr>
        <w:t>5.4.3 地下水防渗措施</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（1）重点防渗区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为防止厂区污水、固废对土壤和地下水造成污染，结合现场踏查建设单位拟采取的防渗措施，提出具体落实措施及应采取措施如下：</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① 对危险废物暂存间、医疗废物暂存间、污水处理站、事故应急池及相应的污水收集管道等采取了全面防渗处理，防渗要求为等效黏土防渗层 Mb≥6.0m，渗透系数 K≤10</w:t>
      </w:r>
      <w:r>
        <w:rPr>
          <w:rFonts w:hint="eastAsia" w:eastAsia="宋体" w:cs="Times New Roman"/>
          <w:b w:val="0"/>
          <w:bCs w:val="0"/>
          <w:snapToGrid w:val="0"/>
          <w:color w:val="000000"/>
          <w:spacing w:val="11"/>
          <w:kern w:val="0"/>
          <w:sz w:val="24"/>
          <w:szCs w:val="24"/>
          <w:vertAlign w:val="superscript"/>
          <w:lang w:val="en-US" w:eastAsia="zh-CN"/>
        </w:rPr>
        <w:t>-7</w:t>
      </w:r>
      <w:r>
        <w:rPr>
          <w:rFonts w:hint="eastAsia" w:eastAsia="宋体" w:cs="Times New Roman"/>
          <w:b w:val="0"/>
          <w:bCs w:val="0"/>
          <w:snapToGrid w:val="0"/>
          <w:color w:val="000000"/>
          <w:spacing w:val="11"/>
          <w:kern w:val="0"/>
          <w:sz w:val="24"/>
          <w:szCs w:val="24"/>
          <w:lang w:val="en-US" w:eastAsia="zh-CN"/>
        </w:rPr>
        <w:t>cm/s 或参照 《危险废物贮存污染控制标准》（GB18597-2023）执行；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② 污水排放、输送系统等拟采取防渗漏处理；选用优质设备和管件，建议加强日常环境管理，管网维护、日常巡查、对易腐蚀的管网及附属设施等采取防腐蚀措施，严格控制设备和管道的跑、冒、滴、漏现象；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③管道、阀门防渗漏措施</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建设单位针对阀门采用了优质产品，对于地上管道、阀门派专人负责随时观察，如出现渗漏问题及时解决。对工艺要求必须地下走管的管道、阀门设专用防渗管沟，管沟上设活动观察顶盖，以便出现渗漏问题及时观察、解决，管沟与污水集水井相连，并设计合理的排水坡度，便于废水排至集水井，再由污水处理预处理系统统一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由污染途径及对应措施分析可知，项目对可能产生地下水影响的各项途径均进行有效预防，在确保各项防渗措施得以落实，并加强维护和厂区环境管理的前提下，可有效控制项目产生的污染物下渗现象，避免污染地下水，因此项目不会对区域地下水环境产生明显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（2）一般防渗区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实验区各个实验室做一般防渗处理，防渗要求等效黏土防渗层 Mb≥1.5m，渗透系数K≤10</w:t>
      </w:r>
      <w:r>
        <w:rPr>
          <w:rFonts w:hint="eastAsia" w:eastAsia="宋体" w:cs="Times New Roman"/>
          <w:b w:val="0"/>
          <w:bCs w:val="0"/>
          <w:snapToGrid w:val="0"/>
          <w:color w:val="000000"/>
          <w:spacing w:val="11"/>
          <w:kern w:val="0"/>
          <w:sz w:val="24"/>
          <w:szCs w:val="24"/>
          <w:vertAlign w:val="superscript"/>
          <w:lang w:val="en-US" w:eastAsia="zh-CN"/>
        </w:rPr>
        <w:t>-7</w:t>
      </w:r>
      <w:r>
        <w:rPr>
          <w:rFonts w:hint="eastAsia" w:eastAsia="宋体" w:cs="Times New Roman"/>
          <w:b w:val="0"/>
          <w:bCs w:val="0"/>
          <w:snapToGrid w:val="0"/>
          <w:color w:val="000000"/>
          <w:spacing w:val="11"/>
          <w:kern w:val="0"/>
          <w:sz w:val="24"/>
          <w:szCs w:val="24"/>
          <w:lang w:val="en-US" w:eastAsia="zh-CN"/>
        </w:rPr>
        <w:t>cm/s 或参照 《生活垃圾填埋场污染控制标准》（GB16889-2008）执行。</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（3）简单防渗区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lang w:val="en-US" w:eastAsia="zh-CN"/>
        </w:rPr>
      </w:pPr>
      <w:r>
        <w:rPr>
          <w:rFonts w:hint="eastAsia" w:eastAsia="宋体" w:cs="Times New Roman"/>
          <w:b w:val="0"/>
          <w:bCs w:val="0"/>
          <w:snapToGrid w:val="0"/>
          <w:color w:val="000000"/>
          <w:spacing w:val="11"/>
          <w:kern w:val="0"/>
          <w:sz w:val="24"/>
          <w:szCs w:val="24"/>
          <w:lang w:val="en-US" w:eastAsia="zh-CN"/>
        </w:rPr>
        <w:t>项目场地其他区域为简单防渗区，一般地面硬化即可</w:t>
      </w:r>
      <w:r>
        <w:rPr>
          <w:rFonts w:hint="eastAsia"/>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因此，在建设单位严格采取防渗措施后，各功能区及各单元的渗透系数均较低，本项目废水、固废向地下水发生渗透的概率较小，因此对区域内地下水污染产生的不利影响较小。</w:t>
      </w:r>
    </w:p>
    <w:p>
      <w:pPr>
        <w:pStyle w:val="3"/>
        <w:bidi w:val="0"/>
        <w:rPr>
          <w:rFonts w:hint="default"/>
          <w:lang w:val="en-US" w:eastAsia="zh-CN"/>
        </w:rPr>
      </w:pPr>
      <w:bookmarkStart w:id="85" w:name="_Toc17238"/>
      <w:r>
        <w:rPr>
          <w:rFonts w:hint="eastAsia"/>
          <w:lang w:val="en-US" w:eastAsia="zh-CN"/>
        </w:rPr>
        <w:t>5</w:t>
      </w:r>
      <w:r>
        <w:rPr>
          <w:rFonts w:hint="default"/>
          <w:lang w:val="en-US" w:eastAsia="zh-CN"/>
        </w:rPr>
        <w:t>.</w:t>
      </w:r>
      <w:r>
        <w:rPr>
          <w:rFonts w:hint="eastAsia"/>
          <w:lang w:val="en-US" w:eastAsia="zh-CN"/>
        </w:rPr>
        <w:t xml:space="preserve">5 </w:t>
      </w:r>
      <w:r>
        <w:rPr>
          <w:rFonts w:hint="default"/>
          <w:lang w:val="en-US" w:eastAsia="zh-CN"/>
        </w:rPr>
        <w:t>营运期声环境影响预测与评价</w:t>
      </w:r>
      <w:bookmarkEnd w:id="85"/>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主要噪声源为实验设备运行噪声、水泵噪声、空调噪声、发电机噪声、车辆行驶噪声、办公人员产生的社会生活噪，以及停电时备用发电机噪声。建设单位拟选用低噪声设备，对高噪声设备采取隔声减振等措施，尽量远离厂界布置。</w:t>
      </w:r>
    </w:p>
    <w:p>
      <w:pPr>
        <w:pStyle w:val="4"/>
        <w:bidi w:val="0"/>
        <w:rPr>
          <w:rFonts w:hint="default"/>
          <w:lang w:val="en-US" w:eastAsia="zh-CN"/>
        </w:rPr>
      </w:pPr>
      <w:r>
        <w:rPr>
          <w:rFonts w:hint="eastAsia"/>
          <w:lang w:val="en-US" w:eastAsia="zh-CN"/>
        </w:rPr>
        <w:t>5.5.1</w:t>
      </w:r>
      <w:r>
        <w:rPr>
          <w:rFonts w:hint="default"/>
          <w:lang w:val="en-US" w:eastAsia="zh-CN"/>
        </w:rPr>
        <w:t>噪声源及源强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由工程分析可知，项目建成投产后，本项目噪声源主要为</w:t>
      </w:r>
      <w:r>
        <w:rPr>
          <w:rFonts w:hint="eastAsia" w:eastAsia="宋体" w:cs="Times New Roman"/>
          <w:b w:val="0"/>
          <w:bCs w:val="0"/>
          <w:snapToGrid w:val="0"/>
          <w:color w:val="000000"/>
          <w:spacing w:val="11"/>
          <w:kern w:val="0"/>
          <w:sz w:val="24"/>
          <w:szCs w:val="24"/>
          <w:lang w:val="en-US" w:eastAsia="zh-CN"/>
        </w:rPr>
        <w:t>空调机组、风机、</w:t>
      </w:r>
      <w:r>
        <w:rPr>
          <w:rFonts w:hint="default" w:eastAsia="宋体" w:cs="Times New Roman"/>
          <w:b w:val="0"/>
          <w:bCs w:val="0"/>
          <w:snapToGrid w:val="0"/>
          <w:color w:val="000000"/>
          <w:spacing w:val="11"/>
          <w:kern w:val="0"/>
          <w:sz w:val="24"/>
          <w:szCs w:val="24"/>
          <w:lang w:val="en-US" w:eastAsia="zh-CN"/>
        </w:rPr>
        <w:t>水泵等</w:t>
      </w:r>
      <w:r>
        <w:rPr>
          <w:rFonts w:hint="eastAsia" w:eastAsia="宋体" w:cs="Times New Roman"/>
          <w:b w:val="0"/>
          <w:bCs w:val="0"/>
          <w:snapToGrid w:val="0"/>
          <w:color w:val="000000"/>
          <w:spacing w:val="11"/>
          <w:kern w:val="0"/>
          <w:sz w:val="24"/>
          <w:szCs w:val="24"/>
          <w:lang w:val="en-US" w:eastAsia="zh-CN"/>
        </w:rPr>
        <w:t>机械</w:t>
      </w:r>
      <w:r>
        <w:rPr>
          <w:rFonts w:hint="default" w:eastAsia="宋体" w:cs="Times New Roman"/>
          <w:b w:val="0"/>
          <w:bCs w:val="0"/>
          <w:snapToGrid w:val="0"/>
          <w:color w:val="000000"/>
          <w:spacing w:val="11"/>
          <w:kern w:val="0"/>
          <w:sz w:val="24"/>
          <w:szCs w:val="24"/>
          <w:lang w:val="en-US" w:eastAsia="zh-CN"/>
        </w:rPr>
        <w:t>设备噪声，源强 75~95dB(A)</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主要采取隔声、减震等噪声污染综合防治措施</w:t>
      </w:r>
      <w:r>
        <w:rPr>
          <w:rFonts w:hint="eastAsia" w:eastAsia="宋体" w:cs="Times New Roman"/>
          <w:b w:val="0"/>
          <w:bCs w:val="0"/>
          <w:snapToGrid w:val="0"/>
          <w:color w:val="000000"/>
          <w:spacing w:val="11"/>
          <w:kern w:val="0"/>
          <w:sz w:val="24"/>
          <w:szCs w:val="24"/>
          <w:lang w:val="en-US" w:eastAsia="zh-CN"/>
        </w:rPr>
        <w:t>，相同设备噪声源强经过叠加作为点声源进行预测</w:t>
      </w:r>
      <w:r>
        <w:rPr>
          <w:rFonts w:hint="default"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详见表5.5-1、5.5-2</w:t>
      </w:r>
      <w:r>
        <w:rPr>
          <w:rFonts w:hint="default" w:eastAsia="宋体" w:cs="Times New Roman"/>
          <w:b w:val="0"/>
          <w:bCs w:val="0"/>
          <w:snapToGrid w:val="0"/>
          <w:color w:val="000000"/>
          <w:spacing w:val="11"/>
          <w:kern w:val="0"/>
          <w:sz w:val="24"/>
          <w:szCs w:val="24"/>
          <w:lang w:val="en-US" w:eastAsia="zh-CN"/>
        </w:rPr>
        <w:t>。</w:t>
      </w:r>
    </w:p>
    <w:p>
      <w:pPr>
        <w:spacing w:line="480" w:lineRule="exact"/>
        <w:jc w:val="center"/>
        <w:rPr>
          <w:b/>
          <w:color w:val="000000"/>
          <w:szCs w:val="21"/>
        </w:rPr>
      </w:pPr>
      <w:r>
        <w:rPr>
          <w:b/>
          <w:color w:val="000000"/>
          <w:szCs w:val="21"/>
        </w:rPr>
        <w:t>表</w:t>
      </w:r>
      <w:r>
        <w:rPr>
          <w:rFonts w:hint="eastAsia" w:ascii="Times New Roman" w:hAnsi="Times New Roman" w:eastAsia="宋体" w:cs="Times New Roman"/>
          <w:b/>
          <w:color w:val="000000"/>
          <w:szCs w:val="21"/>
          <w:lang w:val="en-US" w:eastAsia="zh-CN"/>
        </w:rPr>
        <w:t>5.5-1</w:t>
      </w:r>
      <w:r>
        <w:rPr>
          <w:b/>
          <w:color w:val="000000"/>
          <w:szCs w:val="21"/>
        </w:rPr>
        <w:t xml:space="preserve"> </w:t>
      </w:r>
      <w:r>
        <w:rPr>
          <w:rFonts w:hint="eastAsia"/>
          <w:b/>
          <w:color w:val="000000"/>
          <w:szCs w:val="21"/>
        </w:rPr>
        <w:t xml:space="preserve"> 工业企业噪声源强调查清单（室</w:t>
      </w:r>
      <w:r>
        <w:rPr>
          <w:rFonts w:hint="eastAsia"/>
          <w:b/>
          <w:color w:val="000000"/>
          <w:szCs w:val="21"/>
          <w:lang w:eastAsia="zh-CN"/>
        </w:rPr>
        <w:t>外</w:t>
      </w:r>
      <w:r>
        <w:rPr>
          <w:rFonts w:hint="eastAsia"/>
          <w:b/>
          <w:color w:val="000000"/>
          <w:szCs w:val="21"/>
        </w:rPr>
        <w:t>声源）</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606"/>
        <w:gridCol w:w="1377"/>
        <w:gridCol w:w="791"/>
        <w:gridCol w:w="791"/>
        <w:gridCol w:w="795"/>
        <w:gridCol w:w="1116"/>
        <w:gridCol w:w="1441"/>
        <w:gridCol w:w="14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restart"/>
            <w:noWrap w:val="0"/>
            <w:vAlign w:val="center"/>
          </w:tcPr>
          <w:p>
            <w:pPr>
              <w:jc w:val="center"/>
              <w:rPr>
                <w:b/>
                <w:bCs/>
                <w:color w:val="000000"/>
                <w:szCs w:val="21"/>
              </w:rPr>
            </w:pPr>
            <w:r>
              <w:rPr>
                <w:b/>
                <w:bCs/>
                <w:color w:val="000000"/>
                <w:szCs w:val="21"/>
              </w:rPr>
              <w:t>序号</w:t>
            </w:r>
          </w:p>
        </w:tc>
        <w:tc>
          <w:tcPr>
            <w:tcW w:w="806" w:type="pct"/>
            <w:vMerge w:val="restart"/>
            <w:noWrap w:val="0"/>
            <w:vAlign w:val="center"/>
          </w:tcPr>
          <w:p>
            <w:pPr>
              <w:jc w:val="center"/>
              <w:rPr>
                <w:rFonts w:hint="eastAsia" w:eastAsia="宋体"/>
                <w:b/>
                <w:bCs/>
                <w:color w:val="000000"/>
                <w:szCs w:val="21"/>
                <w:lang w:eastAsia="zh-CN"/>
              </w:rPr>
            </w:pPr>
            <w:r>
              <w:rPr>
                <w:b/>
                <w:bCs/>
                <w:color w:val="000000"/>
                <w:szCs w:val="21"/>
              </w:rPr>
              <w:t>声源</w:t>
            </w:r>
            <w:r>
              <w:rPr>
                <w:rFonts w:hint="eastAsia"/>
                <w:b/>
                <w:bCs/>
                <w:color w:val="000000"/>
                <w:szCs w:val="21"/>
                <w:lang w:eastAsia="zh-CN"/>
              </w:rPr>
              <w:t>名称</w:t>
            </w:r>
          </w:p>
        </w:tc>
        <w:tc>
          <w:tcPr>
            <w:tcW w:w="691" w:type="pct"/>
            <w:vMerge w:val="restart"/>
            <w:noWrap w:val="0"/>
            <w:vAlign w:val="center"/>
          </w:tcPr>
          <w:p>
            <w:pPr>
              <w:jc w:val="center"/>
              <w:rPr>
                <w:rFonts w:hint="eastAsia" w:eastAsia="宋体"/>
                <w:b/>
                <w:bCs/>
                <w:color w:val="000000"/>
                <w:szCs w:val="21"/>
                <w:lang w:eastAsia="zh-CN"/>
              </w:rPr>
            </w:pPr>
            <w:r>
              <w:rPr>
                <w:rFonts w:hint="eastAsia"/>
                <w:b/>
                <w:bCs/>
                <w:color w:val="000000"/>
                <w:szCs w:val="21"/>
                <w:lang w:eastAsia="zh-CN"/>
              </w:rPr>
              <w:t>型号</w:t>
            </w:r>
          </w:p>
        </w:tc>
        <w:tc>
          <w:tcPr>
            <w:tcW w:w="1193" w:type="pct"/>
            <w:gridSpan w:val="3"/>
            <w:noWrap w:val="0"/>
            <w:vAlign w:val="center"/>
          </w:tcPr>
          <w:p>
            <w:pPr>
              <w:jc w:val="center"/>
              <w:rPr>
                <w:b/>
                <w:bCs/>
                <w:color w:val="000000"/>
                <w:szCs w:val="21"/>
              </w:rPr>
            </w:pPr>
            <w:r>
              <w:rPr>
                <w:b/>
                <w:bCs/>
                <w:spacing w:val="-2"/>
                <w:sz w:val="18"/>
                <w:szCs w:val="18"/>
              </w:rPr>
              <w:t>空间相对位置</w:t>
            </w:r>
            <w:r>
              <w:rPr>
                <w:rFonts w:ascii="Times New Roman" w:hAnsi="Times New Roman" w:eastAsia="Times New Roman" w:cs="Times New Roman"/>
                <w:b/>
                <w:bCs/>
                <w:spacing w:val="-2"/>
                <w:sz w:val="18"/>
                <w:szCs w:val="18"/>
              </w:rPr>
              <w:t>/m</w:t>
            </w:r>
          </w:p>
        </w:tc>
        <w:tc>
          <w:tcPr>
            <w:tcW w:w="560" w:type="pct"/>
            <w:vMerge w:val="restart"/>
            <w:noWrap w:val="0"/>
            <w:vAlign w:val="center"/>
          </w:tcPr>
          <w:p>
            <w:pPr>
              <w:jc w:val="center"/>
              <w:rPr>
                <w:b/>
                <w:bCs/>
                <w:color w:val="000000"/>
                <w:szCs w:val="21"/>
              </w:rPr>
            </w:pPr>
            <w:r>
              <w:rPr>
                <w:b/>
                <w:bCs/>
                <w:spacing w:val="-1"/>
                <w:sz w:val="18"/>
                <w:szCs w:val="18"/>
              </w:rPr>
              <w:t>声功率级</w:t>
            </w:r>
            <w:r>
              <w:rPr>
                <w:rFonts w:ascii="Times New Roman" w:hAnsi="Times New Roman" w:eastAsia="Times New Roman" w:cs="Times New Roman"/>
                <w:b/>
                <w:bCs/>
                <w:spacing w:val="-1"/>
                <w:sz w:val="18"/>
                <w:szCs w:val="18"/>
              </w:rPr>
              <w:t>/(dB(A))</w:t>
            </w:r>
          </w:p>
        </w:tc>
        <w:tc>
          <w:tcPr>
            <w:tcW w:w="723" w:type="pct"/>
            <w:vMerge w:val="restart"/>
            <w:noWrap w:val="0"/>
            <w:vAlign w:val="center"/>
          </w:tcPr>
          <w:p>
            <w:pPr>
              <w:jc w:val="center"/>
              <w:rPr>
                <w:b/>
                <w:bCs/>
                <w:color w:val="000000"/>
                <w:szCs w:val="21"/>
              </w:rPr>
            </w:pPr>
            <w:r>
              <w:rPr>
                <w:b/>
                <w:bCs/>
                <w:spacing w:val="-2"/>
                <w:sz w:val="18"/>
                <w:szCs w:val="18"/>
              </w:rPr>
              <w:t>声源控制措施</w:t>
            </w:r>
          </w:p>
        </w:tc>
        <w:tc>
          <w:tcPr>
            <w:tcW w:w="723" w:type="pct"/>
            <w:vMerge w:val="restart"/>
            <w:noWrap w:val="0"/>
            <w:vAlign w:val="center"/>
          </w:tcPr>
          <w:p>
            <w:pPr>
              <w:jc w:val="center"/>
              <w:rPr>
                <w:b/>
                <w:bCs/>
                <w:color w:val="000000"/>
                <w:szCs w:val="21"/>
              </w:rPr>
            </w:pPr>
            <w:r>
              <w:rPr>
                <w:b/>
                <w:bCs/>
                <w:spacing w:val="-2"/>
                <w:sz w:val="18"/>
                <w:szCs w:val="18"/>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vMerge w:val="continue"/>
            <w:noWrap w:val="0"/>
            <w:vAlign w:val="center"/>
          </w:tcPr>
          <w:p>
            <w:pPr>
              <w:jc w:val="center"/>
              <w:rPr>
                <w:b/>
                <w:bCs/>
                <w:color w:val="000000"/>
                <w:szCs w:val="21"/>
              </w:rPr>
            </w:pPr>
          </w:p>
        </w:tc>
        <w:tc>
          <w:tcPr>
            <w:tcW w:w="806" w:type="pct"/>
            <w:vMerge w:val="continue"/>
            <w:noWrap w:val="0"/>
            <w:vAlign w:val="center"/>
          </w:tcPr>
          <w:p>
            <w:pPr>
              <w:jc w:val="center"/>
              <w:rPr>
                <w:b/>
                <w:bCs/>
                <w:color w:val="000000"/>
                <w:szCs w:val="21"/>
              </w:rPr>
            </w:pPr>
          </w:p>
        </w:tc>
        <w:tc>
          <w:tcPr>
            <w:tcW w:w="691" w:type="pct"/>
            <w:vMerge w:val="continue"/>
            <w:noWrap w:val="0"/>
            <w:vAlign w:val="center"/>
          </w:tcPr>
          <w:p>
            <w:pPr>
              <w:jc w:val="center"/>
              <w:rPr>
                <w:b/>
                <w:bCs/>
                <w:color w:val="000000"/>
                <w:szCs w:val="21"/>
              </w:rPr>
            </w:pPr>
          </w:p>
        </w:tc>
        <w:tc>
          <w:tcPr>
            <w:tcW w:w="397"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X</w:t>
            </w:r>
          </w:p>
        </w:tc>
        <w:tc>
          <w:tcPr>
            <w:tcW w:w="397"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Y</w:t>
            </w:r>
          </w:p>
        </w:tc>
        <w:tc>
          <w:tcPr>
            <w:tcW w:w="399" w:type="pct"/>
            <w:noWrap w:val="0"/>
            <w:vAlign w:val="center"/>
          </w:tcPr>
          <w:p>
            <w:pPr>
              <w:spacing w:before="62" w:line="185" w:lineRule="auto"/>
              <w:jc w:val="center"/>
              <w:rPr>
                <w:b/>
                <w:bCs/>
                <w:color w:val="000000"/>
                <w:szCs w:val="21"/>
              </w:rPr>
            </w:pPr>
            <w:r>
              <w:rPr>
                <w:rFonts w:ascii="Times New Roman" w:hAnsi="Times New Roman" w:eastAsia="Times New Roman" w:cs="Times New Roman"/>
                <w:b/>
                <w:bCs/>
                <w:sz w:val="18"/>
                <w:szCs w:val="18"/>
              </w:rPr>
              <w:t>Z</w:t>
            </w:r>
          </w:p>
        </w:tc>
        <w:tc>
          <w:tcPr>
            <w:tcW w:w="560" w:type="pct"/>
            <w:vMerge w:val="continue"/>
            <w:noWrap w:val="0"/>
            <w:vAlign w:val="center"/>
          </w:tcPr>
          <w:p>
            <w:pPr>
              <w:jc w:val="center"/>
              <w:rPr>
                <w:b/>
                <w:bCs/>
                <w:color w:val="000000"/>
                <w:szCs w:val="21"/>
              </w:rPr>
            </w:pPr>
          </w:p>
        </w:tc>
        <w:tc>
          <w:tcPr>
            <w:tcW w:w="723" w:type="pct"/>
            <w:vMerge w:val="continue"/>
            <w:noWrap w:val="0"/>
            <w:vAlign w:val="center"/>
          </w:tcPr>
          <w:p>
            <w:pPr>
              <w:jc w:val="center"/>
              <w:rPr>
                <w:b/>
                <w:bCs/>
                <w:color w:val="000000"/>
                <w:szCs w:val="21"/>
              </w:rPr>
            </w:pPr>
          </w:p>
        </w:tc>
        <w:tc>
          <w:tcPr>
            <w:tcW w:w="723" w:type="pct"/>
            <w:vMerge w:val="continue"/>
            <w:noWrap w:val="0"/>
            <w:vAlign w:val="center"/>
          </w:tcPr>
          <w:p>
            <w:pPr>
              <w:jc w:val="center"/>
              <w:rPr>
                <w:b/>
                <w:bCs/>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空调室外机组</w:t>
            </w:r>
          </w:p>
        </w:tc>
        <w:tc>
          <w:tcPr>
            <w:tcW w:w="691"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560"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75</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通风设备</w:t>
            </w:r>
          </w:p>
        </w:tc>
        <w:tc>
          <w:tcPr>
            <w:tcW w:w="691"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560"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80</w:t>
            </w:r>
          </w:p>
        </w:tc>
        <w:tc>
          <w:tcPr>
            <w:tcW w:w="723"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9" w:type="pct"/>
            <w:noWrap w:val="0"/>
            <w:vAlign w:val="center"/>
          </w:tcPr>
          <w:p>
            <w:pPr>
              <w:jc w:val="center"/>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806"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风机</w:t>
            </w:r>
          </w:p>
        </w:tc>
        <w:tc>
          <w:tcPr>
            <w:tcW w:w="691"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39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39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560" w:type="pct"/>
            <w:noWrap w:val="0"/>
            <w:vAlign w:val="center"/>
          </w:tcPr>
          <w:p>
            <w:pPr>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80</w:t>
            </w:r>
          </w:p>
        </w:tc>
        <w:tc>
          <w:tcPr>
            <w:tcW w:w="723"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减振、隔声</w:t>
            </w:r>
          </w:p>
        </w:tc>
        <w:tc>
          <w:tcPr>
            <w:tcW w:w="723" w:type="pct"/>
            <w:noWrap w:val="0"/>
            <w:vAlign w:val="center"/>
          </w:tcPr>
          <w:p>
            <w:pPr>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rPr>
              <w:t>:00～</w:t>
            </w:r>
            <w:r>
              <w:rPr>
                <w:rFonts w:hint="eastAsia" w:ascii="Times New Roman" w:hAnsi="Times New Roman" w:eastAsia="宋体" w:cs="Times New Roman"/>
                <w:color w:val="000000"/>
                <w:sz w:val="21"/>
                <w:szCs w:val="21"/>
                <w:lang w:val="en-US" w:eastAsia="zh-CN"/>
              </w:rPr>
              <w:t>18</w:t>
            </w:r>
            <w:r>
              <w:rPr>
                <w:rFonts w:hint="eastAsia" w:ascii="Times New Roman" w:hAnsi="Times New Roman" w:eastAsia="宋体" w:cs="Times New Roman"/>
                <w:color w:val="000000"/>
                <w:sz w:val="21"/>
                <w:szCs w:val="21"/>
              </w:rPr>
              <w:t>:00</w:t>
            </w:r>
          </w:p>
        </w:tc>
      </w:tr>
    </w:tbl>
    <w:p>
      <w:pPr>
        <w:spacing w:before="120" w:beforeLines="50" w:line="360" w:lineRule="auto"/>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备注：以厂区中心为坐标原点</w:t>
      </w:r>
      <w:r>
        <w:rPr>
          <w:rFonts w:hint="default" w:ascii="Times New Roman" w:hAnsi="Times New Roman" w:eastAsia="宋体" w:cs="Times New Roman"/>
          <w:color w:val="000000"/>
          <w:kern w:val="0"/>
          <w:sz w:val="18"/>
          <w:szCs w:val="18"/>
          <w:lang w:val="en-US" w:eastAsia="zh-CN" w:bidi="ar"/>
        </w:rPr>
        <w:t>(0,0,0)</w:t>
      </w:r>
      <w:r>
        <w:rPr>
          <w:rFonts w:hint="eastAsia" w:ascii="宋体" w:hAnsi="宋体" w:eastAsia="宋体" w:cs="宋体"/>
          <w:color w:val="000000"/>
          <w:kern w:val="0"/>
          <w:sz w:val="18"/>
          <w:szCs w:val="18"/>
          <w:lang w:val="en-US" w:eastAsia="zh-CN" w:bidi="ar"/>
        </w:rPr>
        <w:t xml:space="preserve">，以西向东为 </w:t>
      </w:r>
      <w:r>
        <w:rPr>
          <w:rFonts w:hint="default" w:ascii="Times New Roman" w:hAnsi="Times New Roman" w:eastAsia="宋体" w:cs="Times New Roman"/>
          <w:color w:val="000000"/>
          <w:kern w:val="0"/>
          <w:sz w:val="18"/>
          <w:szCs w:val="18"/>
          <w:lang w:val="en-US" w:eastAsia="zh-CN" w:bidi="ar"/>
        </w:rPr>
        <w:t xml:space="preserve">X </w:t>
      </w:r>
      <w:r>
        <w:rPr>
          <w:rFonts w:hint="eastAsia" w:ascii="宋体" w:hAnsi="宋体" w:eastAsia="宋体" w:cs="宋体"/>
          <w:color w:val="000000"/>
          <w:kern w:val="0"/>
          <w:sz w:val="18"/>
          <w:szCs w:val="18"/>
          <w:lang w:val="en-US" w:eastAsia="zh-CN" w:bidi="ar"/>
        </w:rPr>
        <w:t xml:space="preserve">轴，以南向北为 </w:t>
      </w:r>
      <w:r>
        <w:rPr>
          <w:rFonts w:hint="default" w:ascii="Times New Roman" w:hAnsi="Times New Roman" w:eastAsia="宋体" w:cs="Times New Roman"/>
          <w:color w:val="000000"/>
          <w:kern w:val="0"/>
          <w:sz w:val="18"/>
          <w:szCs w:val="18"/>
          <w:lang w:val="en-US" w:eastAsia="zh-CN" w:bidi="ar"/>
        </w:rPr>
        <w:t xml:space="preserve">Y </w:t>
      </w:r>
      <w:r>
        <w:rPr>
          <w:rFonts w:hint="eastAsia" w:ascii="宋体" w:hAnsi="宋体" w:eastAsia="宋体" w:cs="宋体"/>
          <w:color w:val="000000"/>
          <w:kern w:val="0"/>
          <w:sz w:val="18"/>
          <w:szCs w:val="18"/>
          <w:lang w:val="en-US" w:eastAsia="zh-CN" w:bidi="ar"/>
        </w:rPr>
        <w:t xml:space="preserve">轴，地面垂直向上为 </w:t>
      </w:r>
      <w:r>
        <w:rPr>
          <w:rFonts w:hint="default" w:ascii="Times New Roman" w:hAnsi="Times New Roman" w:eastAsia="宋体" w:cs="Times New Roman"/>
          <w:color w:val="000000"/>
          <w:kern w:val="0"/>
          <w:sz w:val="18"/>
          <w:szCs w:val="18"/>
          <w:lang w:val="en-US" w:eastAsia="zh-CN" w:bidi="ar"/>
        </w:rPr>
        <w:t xml:space="preserve">Z </w:t>
      </w:r>
      <w:r>
        <w:rPr>
          <w:rFonts w:hint="eastAsia" w:ascii="宋体" w:hAnsi="宋体" w:eastAsia="宋体" w:cs="宋体"/>
          <w:color w:val="000000"/>
          <w:kern w:val="0"/>
          <w:sz w:val="18"/>
          <w:szCs w:val="18"/>
          <w:lang w:val="en-US" w:eastAsia="zh-CN" w:bidi="ar"/>
        </w:rPr>
        <w:t>轴。</w:t>
      </w:r>
    </w:p>
    <w:p>
      <w:pPr>
        <w:spacing w:line="480" w:lineRule="exact"/>
        <w:jc w:val="center"/>
        <w:rPr>
          <w:rFonts w:hint="eastAsia"/>
          <w:b/>
          <w:color w:val="000000"/>
          <w:szCs w:val="21"/>
        </w:rPr>
      </w:pPr>
      <w:r>
        <w:rPr>
          <w:rFonts w:hint="eastAsia"/>
          <w:b/>
          <w:color w:val="000000"/>
          <w:szCs w:val="21"/>
        </w:rPr>
        <w:t>表</w:t>
      </w:r>
      <w:r>
        <w:rPr>
          <w:rFonts w:hint="eastAsia" w:ascii="Times New Roman" w:hAnsi="Times New Roman" w:eastAsia="宋体" w:cs="Times New Roman"/>
          <w:b/>
          <w:color w:val="000000"/>
          <w:szCs w:val="21"/>
          <w:lang w:val="en-US" w:eastAsia="zh-CN"/>
        </w:rPr>
        <w:t>5.5-2</w:t>
      </w:r>
      <w:r>
        <w:rPr>
          <w:rFonts w:hint="eastAsia"/>
          <w:b/>
          <w:color w:val="000000"/>
          <w:szCs w:val="21"/>
        </w:rPr>
        <w:t xml:space="preserve"> 工业企业噪声源强调查清单（室内声源）</w:t>
      </w:r>
    </w:p>
    <w:tbl>
      <w:tblPr>
        <w:tblStyle w:val="34"/>
        <w:tblW w:w="4946"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607"/>
        <w:gridCol w:w="639"/>
        <w:gridCol w:w="1224"/>
        <w:gridCol w:w="353"/>
        <w:gridCol w:w="459"/>
        <w:gridCol w:w="438"/>
        <w:gridCol w:w="391"/>
        <w:gridCol w:w="286"/>
        <w:gridCol w:w="672"/>
        <w:gridCol w:w="1039"/>
        <w:gridCol w:w="707"/>
        <w:gridCol w:w="1064"/>
        <w:gridCol w:w="830"/>
        <w:gridCol w:w="62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textDirection w:val="tbRlV"/>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314"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建筑物名 称</w:t>
            </w:r>
          </w:p>
        </w:tc>
        <w:tc>
          <w:tcPr>
            <w:tcW w:w="331"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声源名称</w:t>
            </w:r>
          </w:p>
        </w:tc>
        <w:tc>
          <w:tcPr>
            <w:tcW w:w="634"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声源源强</w:t>
            </w:r>
          </w:p>
        </w:tc>
        <w:tc>
          <w:tcPr>
            <w:tcW w:w="183" w:type="pct"/>
            <w:vMerge w:val="restart"/>
            <w:tcBorders>
              <w:tl2br w:val="nil"/>
              <w:tr2bl w:val="nil"/>
            </w:tcBorders>
            <w:noWrap w:val="0"/>
            <w:textDirection w:val="tbRlV"/>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声源控制措施</w:t>
            </w:r>
          </w:p>
        </w:tc>
        <w:tc>
          <w:tcPr>
            <w:tcW w:w="667" w:type="pct"/>
            <w:gridSpan w:val="3"/>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空间相对位置/m</w:t>
            </w:r>
          </w:p>
        </w:tc>
        <w:tc>
          <w:tcPr>
            <w:tcW w:w="496" w:type="pct"/>
            <w:gridSpan w:val="2"/>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距室内边界距离/m</w:t>
            </w:r>
          </w:p>
        </w:tc>
        <w:tc>
          <w:tcPr>
            <w:tcW w:w="538"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室内边界声级/（dB(A)）</w:t>
            </w:r>
          </w:p>
        </w:tc>
        <w:tc>
          <w:tcPr>
            <w:tcW w:w="366"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运行时段</w:t>
            </w:r>
          </w:p>
        </w:tc>
        <w:tc>
          <w:tcPr>
            <w:tcW w:w="551" w:type="pct"/>
            <w:vMerge w:val="restar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建筑物插入损失/（dB(A)）</w:t>
            </w:r>
          </w:p>
        </w:tc>
        <w:tc>
          <w:tcPr>
            <w:tcW w:w="755" w:type="pct"/>
            <w:gridSpan w:val="2"/>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建筑物外噪声</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textDirection w:val="tbRlV"/>
            <w:vAlign w:val="center"/>
          </w:tcPr>
          <w:p>
            <w:pPr>
              <w:jc w:val="center"/>
              <w:rPr>
                <w:rFonts w:ascii="Times New Roman" w:hAnsi="Times New Roman" w:eastAsia="宋体" w:cs="Times New Roman"/>
                <w:b/>
                <w:bCs/>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634"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声压级/距声源距离 /(dB(A))/m</w:t>
            </w: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b/>
                <w:bCs/>
                <w:sz w:val="21"/>
                <w:szCs w:val="21"/>
              </w:rPr>
            </w:pPr>
          </w:p>
        </w:tc>
        <w:tc>
          <w:tcPr>
            <w:tcW w:w="238"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X</w:t>
            </w:r>
          </w:p>
        </w:tc>
        <w:tc>
          <w:tcPr>
            <w:tcW w:w="227"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Y</w:t>
            </w:r>
          </w:p>
        </w:tc>
        <w:tc>
          <w:tcPr>
            <w:tcW w:w="202" w:type="pct"/>
            <w:tcBorders>
              <w:tl2br w:val="nil"/>
              <w:tr2bl w:val="nil"/>
            </w:tcBorders>
            <w:noWrap w:val="0"/>
            <w:vAlign w:val="center"/>
          </w:tcPr>
          <w:p>
            <w:pPr>
              <w:jc w:val="center"/>
              <w:rPr>
                <w:rFonts w:ascii="Times New Roman" w:hAnsi="Times New Roman" w:eastAsia="宋体" w:cs="Times New Roman"/>
                <w:b/>
                <w:bCs/>
                <w:sz w:val="21"/>
                <w:szCs w:val="21"/>
              </w:rPr>
            </w:pPr>
          </w:p>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Z</w:t>
            </w:r>
          </w:p>
        </w:tc>
        <w:tc>
          <w:tcPr>
            <w:tcW w:w="496" w:type="pct"/>
            <w:gridSpan w:val="2"/>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538"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366"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551" w:type="pct"/>
            <w:vMerge w:val="continue"/>
            <w:tcBorders>
              <w:tl2br w:val="nil"/>
              <w:tr2bl w:val="nil"/>
            </w:tcBorders>
            <w:noWrap w:val="0"/>
            <w:vAlign w:val="center"/>
          </w:tcPr>
          <w:p>
            <w:pPr>
              <w:jc w:val="center"/>
              <w:rPr>
                <w:rFonts w:ascii="Times New Roman" w:hAnsi="Times New Roman" w:eastAsia="宋体" w:cs="Times New Roman"/>
                <w:b/>
                <w:bCs/>
                <w:sz w:val="21"/>
                <w:szCs w:val="21"/>
              </w:rPr>
            </w:pPr>
          </w:p>
        </w:tc>
        <w:tc>
          <w:tcPr>
            <w:tcW w:w="430"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声压级/   （dB(A)）</w:t>
            </w:r>
          </w:p>
        </w:tc>
        <w:tc>
          <w:tcPr>
            <w:tcW w:w="325" w:type="pct"/>
            <w:tcBorders>
              <w:tl2br w:val="nil"/>
              <w:tr2bl w:val="nil"/>
            </w:tcBorders>
            <w:noWrap w:val="0"/>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建筑物外距离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14"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疾控中心</w:t>
            </w:r>
          </w:p>
        </w:tc>
        <w:tc>
          <w:tcPr>
            <w:tcW w:w="331"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b w:val="0"/>
                <w:color w:val="auto"/>
                <w:sz w:val="21"/>
                <w:szCs w:val="21"/>
                <w:highlight w:val="none"/>
                <w:u w:val="none"/>
                <w:lang w:val="en-US" w:eastAsia="zh-CN"/>
              </w:rPr>
              <w:t>配电设备</w:t>
            </w:r>
          </w:p>
        </w:tc>
        <w:tc>
          <w:tcPr>
            <w:tcW w:w="634"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90</w:t>
            </w:r>
            <w:r>
              <w:rPr>
                <w:rFonts w:ascii="Times New Roman" w:hAnsi="Times New Roman" w:eastAsia="宋体" w:cs="Times New Roman"/>
                <w:sz w:val="21"/>
                <w:szCs w:val="21"/>
              </w:rPr>
              <w:t>/1</w:t>
            </w:r>
          </w:p>
        </w:tc>
        <w:tc>
          <w:tcPr>
            <w:tcW w:w="183" w:type="pct"/>
            <w:vMerge w:val="restart"/>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墙体隔声</w:t>
            </w:r>
            <w:r>
              <w:rPr>
                <w:rFonts w:hint="eastAsia" w:ascii="Times New Roman" w:hAnsi="Times New Roman" w:eastAsia="宋体" w:cs="Times New Roman"/>
                <w:sz w:val="21"/>
                <w:szCs w:val="21"/>
                <w:lang w:eastAsia="zh-CN"/>
              </w:rPr>
              <w:t>，基础减震</w:t>
            </w:r>
          </w:p>
        </w:tc>
        <w:tc>
          <w:tcPr>
            <w:tcW w:w="238"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2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02"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东</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65.4 </w:t>
            </w:r>
          </w:p>
        </w:tc>
        <w:tc>
          <w:tcPr>
            <w:tcW w:w="366" w:type="pct"/>
            <w:vMerge w:val="restart"/>
            <w:tcBorders>
              <w:tl2br w:val="nil"/>
              <w:tr2bl w:val="nil"/>
            </w:tcBorders>
            <w:noWrap w:val="0"/>
            <w:vAlign w:val="center"/>
          </w:tcPr>
          <w:p>
            <w:pPr>
              <w:jc w:val="both"/>
              <w:rPr>
                <w:rFonts w:ascii="Times New Roman" w:hAnsi="Times New Roman" w:eastAsia="宋体" w:cs="Times New Roman"/>
                <w:sz w:val="21"/>
                <w:szCs w:val="21"/>
              </w:rPr>
            </w:pP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w:t>
            </w:r>
            <w:r>
              <w:rPr>
                <w:rFonts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18</w:t>
            </w:r>
            <w:r>
              <w:rPr>
                <w:rFonts w:ascii="Times New Roman" w:hAnsi="Times New Roman" w:eastAsia="宋体" w:cs="Times New Roman"/>
                <w:sz w:val="21"/>
                <w:szCs w:val="21"/>
              </w:rPr>
              <w:t>:00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45.4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69.2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49.2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西</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62.8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42.8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60.8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40.8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14"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rPr>
            </w:pPr>
          </w:p>
        </w:tc>
        <w:tc>
          <w:tcPr>
            <w:tcW w:w="331" w:type="pct"/>
            <w:vMerge w:val="restart"/>
            <w:tcBorders>
              <w:tl2br w:val="nil"/>
              <w:tr2bl w:val="nil"/>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b w:val="0"/>
                <w:color w:val="auto"/>
                <w:sz w:val="21"/>
                <w:szCs w:val="21"/>
                <w:highlight w:val="none"/>
                <w:u w:val="none"/>
                <w:lang w:val="en-US" w:eastAsia="zh-CN"/>
              </w:rPr>
              <w:t>水泵</w:t>
            </w:r>
          </w:p>
        </w:tc>
        <w:tc>
          <w:tcPr>
            <w:tcW w:w="634" w:type="pct"/>
            <w:vMerge w:val="restart"/>
            <w:tcBorders>
              <w:tl2br w:val="nil"/>
              <w:tr2bl w:val="nil"/>
            </w:tcBorders>
            <w:noWrap w:val="0"/>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85</w:t>
            </w:r>
            <w:r>
              <w:rPr>
                <w:rFonts w:ascii="Times New Roman" w:hAnsi="Times New Roman" w:eastAsia="宋体" w:cs="Times New Roman"/>
                <w:sz w:val="21"/>
                <w:szCs w:val="21"/>
              </w:rPr>
              <w:t>/1</w:t>
            </w: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2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02"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东</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60.9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40.9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63.4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43.4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西</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57.4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37.4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1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331"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634"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83" w:type="pct"/>
            <w:vMerge w:val="continue"/>
            <w:tcBorders>
              <w:tl2br w:val="nil"/>
              <w:tr2bl w:val="nil"/>
            </w:tcBorders>
            <w:noWrap w:val="0"/>
            <w:textDirection w:val="tbRlV"/>
            <w:vAlign w:val="center"/>
          </w:tcPr>
          <w:p>
            <w:pPr>
              <w:jc w:val="center"/>
              <w:rPr>
                <w:rFonts w:ascii="Times New Roman" w:hAnsi="Times New Roman" w:eastAsia="宋体" w:cs="Times New Roman"/>
                <w:sz w:val="21"/>
                <w:szCs w:val="21"/>
              </w:rPr>
            </w:pPr>
          </w:p>
        </w:tc>
        <w:tc>
          <w:tcPr>
            <w:tcW w:w="238"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27"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202"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148"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北</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56.1 </w:t>
            </w:r>
          </w:p>
        </w:tc>
        <w:tc>
          <w:tcPr>
            <w:tcW w:w="366" w:type="pct"/>
            <w:vMerge w:val="continue"/>
            <w:tcBorders>
              <w:tl2br w:val="nil"/>
              <w:tr2bl w:val="nil"/>
            </w:tcBorders>
            <w:noWrap w:val="0"/>
            <w:vAlign w:val="center"/>
          </w:tcPr>
          <w:p>
            <w:pPr>
              <w:jc w:val="center"/>
              <w:rPr>
                <w:rFonts w:ascii="Times New Roman" w:hAnsi="Times New Roman" w:eastAsia="宋体" w:cs="Times New Roman"/>
                <w:sz w:val="21"/>
                <w:szCs w:val="21"/>
              </w:rPr>
            </w:pPr>
          </w:p>
        </w:tc>
        <w:tc>
          <w:tcPr>
            <w:tcW w:w="551"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36.1 </w:t>
            </w:r>
          </w:p>
        </w:tc>
        <w:tc>
          <w:tcPr>
            <w:tcW w:w="325" w:type="pct"/>
            <w:tcBorders>
              <w:tl2br w:val="nil"/>
              <w:tr2bl w:val="nil"/>
            </w:tcBorders>
            <w:noWrap w:val="0"/>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1m</w:t>
            </w:r>
          </w:p>
        </w:tc>
      </w:tr>
    </w:tbl>
    <w:p>
      <w:pPr>
        <w:pStyle w:val="4"/>
        <w:bidi w:val="0"/>
        <w:rPr>
          <w:rFonts w:hint="default"/>
          <w:lang w:val="en-US" w:eastAsia="zh-CN"/>
        </w:rPr>
      </w:pPr>
      <w:r>
        <w:rPr>
          <w:rFonts w:hint="eastAsia"/>
          <w:lang w:val="en-US" w:eastAsia="zh-CN"/>
        </w:rPr>
        <w:t>5.5.2</w:t>
      </w:r>
      <w:r>
        <w:rPr>
          <w:rFonts w:hint="default"/>
          <w:lang w:val="en-US" w:eastAsia="zh-CN"/>
        </w:rPr>
        <w:t>预测模式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根据建设项目的噪声排放特点，并结合HJ2.4-20</w:t>
      </w:r>
      <w:r>
        <w:rPr>
          <w:rFonts w:hint="eastAsia" w:eastAsia="宋体" w:cs="Times New Roman"/>
          <w:b w:val="0"/>
          <w:bCs w:val="0"/>
          <w:snapToGrid w:val="0"/>
          <w:color w:val="000000"/>
          <w:spacing w:val="11"/>
          <w:kern w:val="0"/>
          <w:sz w:val="24"/>
          <w:szCs w:val="24"/>
          <w:lang w:val="en-US" w:eastAsia="zh-CN"/>
        </w:rPr>
        <w:t>21</w:t>
      </w:r>
      <w:r>
        <w:rPr>
          <w:rFonts w:hint="default" w:eastAsia="宋体" w:cs="Times New Roman"/>
          <w:b w:val="0"/>
          <w:bCs w:val="0"/>
          <w:snapToGrid w:val="0"/>
          <w:color w:val="000000"/>
          <w:spacing w:val="11"/>
          <w:kern w:val="0"/>
          <w:sz w:val="24"/>
          <w:szCs w:val="24"/>
          <w:lang w:val="en-US" w:eastAsia="zh-CN"/>
        </w:rPr>
        <w:t>的要求，选择点声源预测模式模 拟预测声源排放噪声。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（1）预测模式的确定</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采用点声源 A 声级衰减模式：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LA（r）=L</w:t>
      </w:r>
      <w:r>
        <w:rPr>
          <w:rFonts w:hint="default" w:eastAsia="宋体" w:cs="Times New Roman"/>
          <w:b w:val="0"/>
          <w:bCs w:val="0"/>
          <w:snapToGrid w:val="0"/>
          <w:color w:val="000000"/>
          <w:spacing w:val="11"/>
          <w:kern w:val="0"/>
          <w:sz w:val="24"/>
          <w:szCs w:val="24"/>
          <w:vertAlign w:val="subscript"/>
          <w:lang w:val="en-US" w:eastAsia="zh-CN"/>
        </w:rPr>
        <w:t>Aref</w:t>
      </w:r>
      <w:r>
        <w:rPr>
          <w:rFonts w:hint="default" w:eastAsia="宋体" w:cs="Times New Roman"/>
          <w:b w:val="0"/>
          <w:bCs w:val="0"/>
          <w:snapToGrid w:val="0"/>
          <w:color w:val="000000"/>
          <w:spacing w:val="11"/>
          <w:kern w:val="0"/>
          <w:sz w:val="24"/>
          <w:szCs w:val="24"/>
          <w:lang w:val="en-US" w:eastAsia="zh-CN"/>
        </w:rPr>
        <w:t>（r0）-（A</w:t>
      </w:r>
      <w:r>
        <w:rPr>
          <w:rFonts w:hint="default" w:eastAsia="宋体" w:cs="Times New Roman"/>
          <w:b w:val="0"/>
          <w:bCs w:val="0"/>
          <w:snapToGrid w:val="0"/>
          <w:color w:val="000000"/>
          <w:spacing w:val="11"/>
          <w:kern w:val="0"/>
          <w:sz w:val="24"/>
          <w:szCs w:val="24"/>
          <w:vertAlign w:val="subscript"/>
          <w:lang w:val="en-US" w:eastAsia="zh-CN"/>
        </w:rPr>
        <w:t>div</w:t>
      </w: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bar</w:t>
      </w: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atm</w:t>
      </w: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exc</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式中：LA（r）──距声源r米处的A声级；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w:t>
      </w:r>
      <w:r>
        <w:rPr>
          <w:rFonts w:hint="default" w:eastAsia="宋体" w:cs="Times New Roman"/>
          <w:b w:val="0"/>
          <w:bCs w:val="0"/>
          <w:snapToGrid w:val="0"/>
          <w:color w:val="000000"/>
          <w:spacing w:val="11"/>
          <w:kern w:val="0"/>
          <w:sz w:val="24"/>
          <w:szCs w:val="24"/>
          <w:vertAlign w:val="subscript"/>
          <w:lang w:val="en-US" w:eastAsia="zh-CN"/>
        </w:rPr>
        <w:t>Aref</w:t>
      </w:r>
      <w:r>
        <w:rPr>
          <w:rFonts w:hint="default" w:eastAsia="宋体" w:cs="Times New Roman"/>
          <w:b w:val="0"/>
          <w:bCs w:val="0"/>
          <w:snapToGrid w:val="0"/>
          <w:color w:val="000000"/>
          <w:spacing w:val="11"/>
          <w:kern w:val="0"/>
          <w:sz w:val="24"/>
          <w:szCs w:val="24"/>
          <w:lang w:val="en-US" w:eastAsia="zh-CN"/>
        </w:rPr>
        <w:t>（r0）—参考位置r0米处的A声级；</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 xml:space="preserve"> </w:t>
      </w:r>
      <w:r>
        <w:rPr>
          <w:rFonts w:hint="eastAsia" w:eastAsia="宋体" w:cs="Times New Roman"/>
          <w:b w:val="0"/>
          <w:bCs w:val="0"/>
          <w:snapToGrid w:val="0"/>
          <w:color w:val="000000"/>
          <w:spacing w:val="11"/>
          <w:kern w:val="0"/>
          <w:sz w:val="24"/>
          <w:szCs w:val="24"/>
          <w:lang w:val="en-US" w:eastAsia="zh-CN"/>
        </w:rPr>
        <w:t xml:space="preserve">          </w:t>
      </w: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div</w:t>
      </w:r>
      <w:r>
        <w:rPr>
          <w:rFonts w:hint="default" w:eastAsia="宋体" w:cs="Times New Roman"/>
          <w:b w:val="0"/>
          <w:bCs w:val="0"/>
          <w:snapToGrid w:val="0"/>
          <w:color w:val="000000"/>
          <w:spacing w:val="11"/>
          <w:kern w:val="0"/>
          <w:sz w:val="24"/>
          <w:szCs w:val="24"/>
          <w:lang w:val="en-US" w:eastAsia="zh-CN"/>
        </w:rPr>
        <w:t>──声波几何发散引起的A 声级衰减量；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bar</w:t>
      </w:r>
      <w:r>
        <w:rPr>
          <w:rFonts w:hint="default" w:eastAsia="宋体" w:cs="Times New Roman"/>
          <w:b w:val="0"/>
          <w:bCs w:val="0"/>
          <w:snapToGrid w:val="0"/>
          <w:color w:val="000000"/>
          <w:spacing w:val="11"/>
          <w:kern w:val="0"/>
          <w:sz w:val="24"/>
          <w:szCs w:val="24"/>
          <w:lang w:val="en-US" w:eastAsia="zh-CN"/>
        </w:rPr>
        <w:t>──声屏障引起的A声级衰减量；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atm</w:t>
      </w:r>
      <w:r>
        <w:rPr>
          <w:rFonts w:hint="default" w:eastAsia="宋体" w:cs="Times New Roman"/>
          <w:b w:val="0"/>
          <w:bCs w:val="0"/>
          <w:snapToGrid w:val="0"/>
          <w:color w:val="000000"/>
          <w:spacing w:val="11"/>
          <w:kern w:val="0"/>
          <w:sz w:val="24"/>
          <w:szCs w:val="24"/>
          <w:lang w:val="en-US" w:eastAsia="zh-CN"/>
        </w:rPr>
        <w:t>──空气吸收引起的 A 声级衰减量；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A</w:t>
      </w:r>
      <w:r>
        <w:rPr>
          <w:rFonts w:hint="default" w:eastAsia="宋体" w:cs="Times New Roman"/>
          <w:b w:val="0"/>
          <w:bCs w:val="0"/>
          <w:snapToGrid w:val="0"/>
          <w:color w:val="000000"/>
          <w:spacing w:val="11"/>
          <w:kern w:val="0"/>
          <w:sz w:val="24"/>
          <w:szCs w:val="24"/>
          <w:vertAlign w:val="subscript"/>
          <w:lang w:val="en-US" w:eastAsia="zh-CN"/>
        </w:rPr>
        <w:t>exc</w:t>
      </w:r>
      <w:r>
        <w:rPr>
          <w:rFonts w:hint="default" w:eastAsia="宋体" w:cs="Times New Roman"/>
          <w:b w:val="0"/>
          <w:bCs w:val="0"/>
          <w:snapToGrid w:val="0"/>
          <w:color w:val="000000"/>
          <w:spacing w:val="11"/>
          <w:kern w:val="0"/>
          <w:sz w:val="24"/>
          <w:szCs w:val="24"/>
          <w:lang w:val="en-US" w:eastAsia="zh-CN"/>
        </w:rPr>
        <w:t>──附加衰减量。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1）几何发散</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对于室外点声源，不考虑其指向性，几何发散衰减计算公式为：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048" w:firstLineChars="400"/>
        <w:jc w:val="center"/>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LA（r）=LA（r0）-20Lg（r/r0）</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对于室内声源，先计算室内 k个声源在靠近围护结构处的声级L</w:t>
      </w:r>
      <w:r>
        <w:rPr>
          <w:rFonts w:hint="default" w:eastAsia="宋体" w:cs="Times New Roman"/>
          <w:b w:val="0"/>
          <w:bCs w:val="0"/>
          <w:snapToGrid w:val="0"/>
          <w:color w:val="000000"/>
          <w:spacing w:val="11"/>
          <w:kern w:val="0"/>
          <w:sz w:val="24"/>
          <w:szCs w:val="24"/>
          <w:vertAlign w:val="subscript"/>
          <w:lang w:val="en-US" w:eastAsia="zh-CN"/>
        </w:rPr>
        <w:t>1</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然后计算室外靠近围护结构处的声级L</w:t>
      </w:r>
      <w:r>
        <w:rPr>
          <w:rFonts w:hint="default" w:eastAsia="宋体" w:cs="Times New Roman"/>
          <w:b w:val="0"/>
          <w:bCs w:val="0"/>
          <w:snapToGrid w:val="0"/>
          <w:color w:val="000000"/>
          <w:spacing w:val="11"/>
          <w:kern w:val="0"/>
          <w:sz w:val="24"/>
          <w:szCs w:val="24"/>
          <w:vertAlign w:val="subscript"/>
          <w:lang w:val="en-US" w:eastAsia="zh-CN"/>
        </w:rPr>
        <w:t>2</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jc w:val="center"/>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w:t>
      </w:r>
      <w:r>
        <w:rPr>
          <w:rFonts w:hint="default" w:eastAsia="宋体" w:cs="Times New Roman"/>
          <w:b w:val="0"/>
          <w:bCs w:val="0"/>
          <w:snapToGrid w:val="0"/>
          <w:color w:val="000000"/>
          <w:spacing w:val="11"/>
          <w:kern w:val="0"/>
          <w:sz w:val="24"/>
          <w:szCs w:val="24"/>
          <w:vertAlign w:val="subscript"/>
          <w:lang w:val="en-US" w:eastAsia="zh-CN"/>
        </w:rPr>
        <w:t>2</w:t>
      </w:r>
      <w:r>
        <w:rPr>
          <w:rFonts w:hint="default" w:eastAsia="宋体" w:cs="Times New Roman"/>
          <w:b w:val="0"/>
          <w:bCs w:val="0"/>
          <w:snapToGrid w:val="0"/>
          <w:color w:val="000000"/>
          <w:spacing w:val="11"/>
          <w:kern w:val="0"/>
          <w:sz w:val="24"/>
          <w:szCs w:val="24"/>
          <w:lang w:val="en-US" w:eastAsia="zh-CN"/>
        </w:rPr>
        <w:t>=L</w:t>
      </w:r>
      <w:r>
        <w:rPr>
          <w:rFonts w:hint="default" w:eastAsia="宋体" w:cs="Times New Roman"/>
          <w:b w:val="0"/>
          <w:bCs w:val="0"/>
          <w:snapToGrid w:val="0"/>
          <w:color w:val="000000"/>
          <w:spacing w:val="11"/>
          <w:kern w:val="0"/>
          <w:sz w:val="24"/>
          <w:szCs w:val="24"/>
          <w:vertAlign w:val="subscript"/>
          <w:lang w:val="en-US" w:eastAsia="zh-CN"/>
        </w:rPr>
        <w:t>1</w:t>
      </w:r>
      <w:r>
        <w:rPr>
          <w:rFonts w:hint="default" w:eastAsia="宋体" w:cs="Times New Roman"/>
          <w:b w:val="0"/>
          <w:bCs w:val="0"/>
          <w:snapToGrid w:val="0"/>
          <w:color w:val="000000"/>
          <w:spacing w:val="11"/>
          <w:kern w:val="0"/>
          <w:sz w:val="24"/>
          <w:szCs w:val="24"/>
          <w:lang w:val="en-US" w:eastAsia="zh-CN"/>
        </w:rPr>
        <w:t>-（TL+6）</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048" w:firstLineChars="4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式中：TL—围护结构的传声损失。</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把围护结构当作等效室外声源处理。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2）遮挡物引起的衰减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位于声源和预测点之间的实体障碍物，如围墙、建筑物、土坡或地堑等起声屏障作用，从而引起声能量的较大衰减。在环境影响评价中，可将各种形式的屏障简化为具有一定高度的薄屏障。</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3）空气吸收引起的衰减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空气吸收引起的衰减按下式计算：</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20" w:firstLineChars="200"/>
        <w:jc w:val="center"/>
        <w:textAlignment w:val="auto"/>
      </w:pPr>
      <w:r>
        <w:drawing>
          <wp:inline distT="0" distB="0" distL="114300" distR="114300">
            <wp:extent cx="1677670" cy="448945"/>
            <wp:effectExtent l="0" t="0" r="17780" b="8255"/>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32"/>
                    <a:stretch>
                      <a:fillRect/>
                    </a:stretch>
                  </pic:blipFill>
                  <pic:spPr>
                    <a:xfrm>
                      <a:off x="0" y="0"/>
                      <a:ext cx="1677670" cy="448945"/>
                    </a:xfrm>
                    <a:prstGeom prst="rect">
                      <a:avLst/>
                    </a:prstGeom>
                    <a:noFill/>
                    <a:ln>
                      <a:noFill/>
                    </a:ln>
                  </pic:spPr>
                </pic:pic>
              </a:graphicData>
            </a:graphic>
          </wp:inline>
        </w:drawing>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式中：r—预测点距声源的距离，m；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r0—参考点距声源的距离，m；</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1310" w:firstLineChars="5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α—每 100 米空气吸收系数。</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4）附加衰减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附加衰减包括声波传播过程中由于云、雾、温度梯度、风及地面效应引起的声能量衰减。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5）</w:t>
      </w:r>
      <w:r>
        <w:rPr>
          <w:rFonts w:hint="default" w:eastAsia="宋体" w:cs="Times New Roman"/>
          <w:b w:val="0"/>
          <w:bCs w:val="0"/>
          <w:snapToGrid w:val="0"/>
          <w:color w:val="000000"/>
          <w:spacing w:val="11"/>
          <w:kern w:val="0"/>
          <w:sz w:val="24"/>
          <w:szCs w:val="24"/>
          <w:lang w:val="en-US" w:eastAsia="zh-CN"/>
        </w:rPr>
        <w:t>预测点的预测等效声级计算公式：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480" w:firstLineChars="200"/>
        <w:jc w:val="center"/>
        <w:textAlignment w:val="auto"/>
        <w:rPr>
          <w:rFonts w:hint="default" w:eastAsia="宋体" w:cs="Times New Roman"/>
          <w:b w:val="0"/>
          <w:bCs w:val="0"/>
          <w:snapToGrid w:val="0"/>
          <w:color w:val="000000"/>
          <w:spacing w:val="11"/>
          <w:kern w:val="0"/>
          <w:sz w:val="24"/>
          <w:szCs w:val="24"/>
          <w:lang w:val="en-US" w:eastAsia="zh-CN"/>
        </w:rPr>
      </w:pPr>
      <w:r>
        <w:rPr>
          <w:rFonts w:ascii="Times New Roman"/>
          <w:position w:val="2"/>
          <w:sz w:val="24"/>
          <w:szCs w:val="24"/>
        </w:rPr>
        <w:t>L</w:t>
      </w:r>
      <w:r>
        <w:rPr>
          <w:rFonts w:ascii="Times New Roman"/>
          <w:sz w:val="24"/>
          <w:szCs w:val="24"/>
        </w:rPr>
        <w:t>eq</w:t>
      </w:r>
      <w:r>
        <w:rPr>
          <w:rFonts w:ascii="Times New Roman"/>
          <w:position w:val="2"/>
          <w:sz w:val="24"/>
          <w:szCs w:val="24"/>
        </w:rPr>
        <w:t>=10lg[10</w:t>
      </w:r>
      <w:r>
        <w:rPr>
          <w:rFonts w:ascii="Times New Roman"/>
          <w:position w:val="2"/>
          <w:sz w:val="24"/>
          <w:szCs w:val="24"/>
          <w:vertAlign w:val="superscript"/>
        </w:rPr>
        <w:t>L1/10</w:t>
      </w:r>
      <w:r>
        <w:rPr>
          <w:rFonts w:ascii="Times New Roman"/>
          <w:position w:val="2"/>
          <w:sz w:val="24"/>
          <w:szCs w:val="24"/>
          <w:vertAlign w:val="baseline"/>
        </w:rPr>
        <w:t>+10</w:t>
      </w:r>
      <w:r>
        <w:rPr>
          <w:rFonts w:ascii="Times New Roman"/>
          <w:position w:val="2"/>
          <w:sz w:val="24"/>
          <w:szCs w:val="24"/>
          <w:vertAlign w:val="superscript"/>
        </w:rPr>
        <w:t>L2/10</w:t>
      </w:r>
      <w:r>
        <w:rPr>
          <w:rFonts w:ascii="Times New Roman"/>
          <w:position w:val="2"/>
          <w:sz w:val="24"/>
          <w:szCs w:val="24"/>
          <w:vertAlign w:val="baseline"/>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上式中：</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w:t>
      </w:r>
      <w:r>
        <w:rPr>
          <w:rFonts w:hint="eastAsia" w:eastAsia="宋体" w:cs="Times New Roman"/>
          <w:b w:val="0"/>
          <w:bCs w:val="0"/>
          <w:snapToGrid w:val="0"/>
          <w:color w:val="000000"/>
          <w:spacing w:val="11"/>
          <w:kern w:val="0"/>
          <w:sz w:val="24"/>
          <w:szCs w:val="24"/>
          <w:lang w:val="en-US" w:eastAsia="zh-CN"/>
        </w:rPr>
        <w:t>1</w:t>
      </w:r>
      <w:r>
        <w:rPr>
          <w:rFonts w:hint="default" w:eastAsia="宋体" w:cs="Times New Roman"/>
          <w:b w:val="0"/>
          <w:bCs w:val="0"/>
          <w:snapToGrid w:val="0"/>
          <w:color w:val="000000"/>
          <w:spacing w:val="11"/>
          <w:kern w:val="0"/>
          <w:sz w:val="24"/>
          <w:szCs w:val="24"/>
          <w:lang w:val="en-US" w:eastAsia="zh-CN"/>
        </w:rPr>
        <w:t>——建设项目声源在预测点的等效声级贡献值，dB(A)</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w:t>
      </w: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——预测点的背景值，dB(A)</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Leq—噪声源噪声与背景噪声叠加值</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为评估项目噪声对周围环境的最大影响，本次预测仅考虑几何发散，不考虑大气、地面效应、</w:t>
      </w:r>
      <w:r>
        <w:rPr>
          <w:rFonts w:hint="eastAsia" w:eastAsia="宋体" w:cs="Times New Roman"/>
          <w:b w:val="0"/>
          <w:bCs w:val="0"/>
          <w:snapToGrid w:val="0"/>
          <w:color w:val="000000"/>
          <w:spacing w:val="11"/>
          <w:kern w:val="0"/>
          <w:sz w:val="24"/>
          <w:szCs w:val="24"/>
          <w:lang w:val="en-US" w:eastAsia="zh-CN"/>
        </w:rPr>
        <w:t>维护结构以外的</w:t>
      </w:r>
      <w:r>
        <w:rPr>
          <w:rFonts w:hint="default" w:eastAsia="宋体" w:cs="Times New Roman"/>
          <w:b w:val="0"/>
          <w:bCs w:val="0"/>
          <w:snapToGrid w:val="0"/>
          <w:color w:val="000000"/>
          <w:spacing w:val="11"/>
          <w:kern w:val="0"/>
          <w:sz w:val="24"/>
          <w:szCs w:val="24"/>
          <w:lang w:val="en-US" w:eastAsia="zh-CN"/>
        </w:rPr>
        <w:t>声屏障吸收和其他方面吸收效应</w:t>
      </w:r>
      <w:r>
        <w:rPr>
          <w:rFonts w:hint="eastAsia"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因此，计算结果仅代表逆温、静风条件下，除设备围护结构外无其他障碍物遮挡时，项目噪声在地面所造成的影响。</w:t>
      </w:r>
    </w:p>
    <w:p>
      <w:pPr>
        <w:pStyle w:val="4"/>
        <w:bidi w:val="0"/>
        <w:rPr>
          <w:rFonts w:hint="default"/>
          <w:lang w:val="en-US" w:eastAsia="zh-CN"/>
        </w:rPr>
      </w:pPr>
      <w:r>
        <w:rPr>
          <w:rFonts w:hint="eastAsia"/>
          <w:lang w:val="en-US" w:eastAsia="zh-CN"/>
        </w:rPr>
        <w:t>5.5.3</w:t>
      </w:r>
      <w:r>
        <w:rPr>
          <w:rFonts w:hint="default"/>
          <w:lang w:val="en-US" w:eastAsia="zh-CN"/>
        </w:rPr>
        <w:t>预测结果与评价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根据《环境影响评价技术导则 声环境》 (HJ2.4-2009)，边界噪声评价量：新建项目以工程噪声贡献值作为评价量。敏感目标噪声评价量：以敏感目标所受噪声贡献值与最大背景值叠加后的预测值作为评价量。利用模式，预测出项目各设备声源随距离衰减变化规律，本项目夜间不生产运营，具体结果详见下表5</w:t>
      </w:r>
      <w:r>
        <w:rPr>
          <w:rFonts w:hint="default" w:eastAsia="宋体" w:cs="Times New Roman"/>
          <w:b w:val="0"/>
          <w:bCs w:val="0"/>
          <w:snapToGrid w:val="0"/>
          <w:color w:val="000000"/>
          <w:spacing w:val="11"/>
          <w:kern w:val="0"/>
          <w:sz w:val="24"/>
          <w:szCs w:val="24"/>
          <w:lang w:val="en-US" w:eastAsia="zh-CN"/>
        </w:rPr>
        <w:t>.5-</w:t>
      </w: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w:t>
      </w:r>
    </w:p>
    <w:p>
      <w:pPr>
        <w:bidi w:val="0"/>
        <w:jc w:val="center"/>
        <w:rPr>
          <w:rFonts w:hint="default" w:ascii="Times New Roman" w:hAnsi="Times New Roman" w:eastAsia="宋体" w:cs="Times New Roman"/>
          <w:b/>
          <w:bCs/>
          <w:snapToGrid w:val="0"/>
          <w:color w:val="000000"/>
          <w:spacing w:val="0"/>
          <w:kern w:val="0"/>
          <w:sz w:val="21"/>
          <w:szCs w:val="21"/>
          <w:lang w:val="en-US" w:eastAsia="zh-CN"/>
        </w:rPr>
      </w:pPr>
      <w:r>
        <w:rPr>
          <w:rFonts w:hint="default" w:ascii="Times New Roman" w:hAnsi="Times New Roman" w:eastAsia="宋体" w:cs="Times New Roman"/>
          <w:b/>
          <w:bCs/>
          <w:snapToGrid w:val="0"/>
          <w:color w:val="000000"/>
          <w:spacing w:val="0"/>
          <w:kern w:val="0"/>
          <w:sz w:val="21"/>
          <w:szCs w:val="21"/>
          <w:lang w:val="en-US" w:eastAsia="zh-CN"/>
        </w:rPr>
        <w:t>表</w:t>
      </w:r>
      <w:r>
        <w:rPr>
          <w:rFonts w:hint="eastAsia" w:ascii="Times New Roman" w:hAnsi="Times New Roman" w:eastAsia="宋体" w:cs="Times New Roman"/>
          <w:b/>
          <w:bCs/>
          <w:snapToGrid w:val="0"/>
          <w:color w:val="000000"/>
          <w:spacing w:val="0"/>
          <w:kern w:val="0"/>
          <w:sz w:val="21"/>
          <w:szCs w:val="21"/>
          <w:lang w:val="en-US" w:eastAsia="zh-CN"/>
        </w:rPr>
        <w:t>5.5</w:t>
      </w:r>
      <w:r>
        <w:rPr>
          <w:rFonts w:hint="default" w:ascii="Times New Roman" w:hAnsi="Times New Roman" w:eastAsia="宋体" w:cs="Times New Roman"/>
          <w:b/>
          <w:bCs/>
          <w:snapToGrid w:val="0"/>
          <w:color w:val="000000"/>
          <w:spacing w:val="0"/>
          <w:kern w:val="0"/>
          <w:sz w:val="21"/>
          <w:szCs w:val="21"/>
          <w:lang w:val="en-US" w:eastAsia="zh-CN"/>
        </w:rPr>
        <w:t>-</w:t>
      </w:r>
      <w:r>
        <w:rPr>
          <w:rFonts w:hint="eastAsia" w:ascii="Times New Roman" w:hAnsi="Times New Roman" w:eastAsia="宋体" w:cs="Times New Roman"/>
          <w:b/>
          <w:bCs/>
          <w:snapToGrid w:val="0"/>
          <w:color w:val="000000"/>
          <w:spacing w:val="0"/>
          <w:kern w:val="0"/>
          <w:sz w:val="21"/>
          <w:szCs w:val="21"/>
          <w:lang w:val="en-US" w:eastAsia="zh-CN"/>
        </w:rPr>
        <w:t>3</w:t>
      </w:r>
      <w:r>
        <w:rPr>
          <w:rFonts w:hint="default" w:ascii="Times New Roman" w:hAnsi="Times New Roman" w:eastAsia="宋体" w:cs="Times New Roman"/>
          <w:b/>
          <w:bCs/>
          <w:snapToGrid w:val="0"/>
          <w:color w:val="000000"/>
          <w:spacing w:val="0"/>
          <w:kern w:val="0"/>
          <w:sz w:val="21"/>
          <w:szCs w:val="21"/>
          <w:lang w:val="en-US" w:eastAsia="zh-CN"/>
        </w:rPr>
        <w:t xml:space="preserve"> 项目厂界噪声预测结果</w:t>
      </w:r>
    </w:p>
    <w:tbl>
      <w:tblPr>
        <w:tblStyle w:val="25"/>
        <w:tblW w:w="4990"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2353"/>
        <w:gridCol w:w="1006"/>
        <w:gridCol w:w="831"/>
        <w:gridCol w:w="1442"/>
        <w:gridCol w:w="1539"/>
        <w:gridCol w:w="1467"/>
        <w:gridCol w:w="1089"/>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sz w:val="14"/>
                <w:u w:val="none"/>
              </w:rPr>
            </w:pPr>
          </w:p>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u w:val="none"/>
              </w:rPr>
            </w:pPr>
            <w:r>
              <w:rPr>
                <w:rFonts w:hint="eastAsia" w:eastAsia="宋体"/>
                <w:sz w:val="21"/>
                <w:u w:val="none"/>
                <w:lang w:val="en-US" w:eastAsia="zh-CN"/>
              </w:rPr>
              <w:t>预测点</w:t>
            </w:r>
            <w:r>
              <w:rPr>
                <w:sz w:val="21"/>
                <w:u w:val="none"/>
              </w:rPr>
              <w:t>名称</w:t>
            </w:r>
          </w:p>
        </w:tc>
        <w:tc>
          <w:tcPr>
            <w:tcW w:w="944"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eastAsia="宋体"/>
                <w:sz w:val="21"/>
                <w:u w:val="none"/>
                <w:lang w:eastAsia="zh-CN"/>
              </w:rPr>
            </w:pPr>
            <w:r>
              <w:rPr>
                <w:rFonts w:hint="eastAsia" w:eastAsia="宋体"/>
                <w:sz w:val="21"/>
                <w:u w:val="none"/>
                <w:lang w:val="en-US" w:eastAsia="zh-CN"/>
              </w:rPr>
              <w:t>背景值</w:t>
            </w:r>
            <w:r>
              <w:rPr>
                <w:rFonts w:ascii="Times New Roman" w:eastAsia="Times New Roman"/>
                <w:sz w:val="21"/>
                <w:u w:val="none"/>
              </w:rPr>
              <w:t>dB(A)</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eastAsia="宋体"/>
                <w:sz w:val="21"/>
                <w:u w:val="none"/>
                <w:lang w:val="en-US" w:eastAsia="zh-CN"/>
              </w:rPr>
            </w:pPr>
            <w:r>
              <w:rPr>
                <w:rFonts w:hint="eastAsia" w:eastAsia="宋体"/>
                <w:sz w:val="21"/>
                <w:u w:val="none"/>
                <w:lang w:val="en-US" w:eastAsia="zh-CN"/>
              </w:rPr>
              <w:t>贡献值</w:t>
            </w:r>
            <w:r>
              <w:rPr>
                <w:rFonts w:ascii="Times New Roman" w:eastAsia="Times New Roman"/>
                <w:sz w:val="21"/>
                <w:u w:val="none"/>
              </w:rPr>
              <w:t>dB(A)</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u w:val="none"/>
              </w:rPr>
            </w:pPr>
            <w:r>
              <w:rPr>
                <w:rFonts w:hint="eastAsia" w:eastAsia="宋体"/>
                <w:sz w:val="21"/>
                <w:u w:val="none"/>
                <w:lang w:val="en-US" w:eastAsia="zh-CN"/>
              </w:rPr>
              <w:t>叠加</w:t>
            </w:r>
            <w:r>
              <w:rPr>
                <w:sz w:val="21"/>
                <w:u w:val="none"/>
              </w:rPr>
              <w:t>值</w:t>
            </w:r>
            <w:r>
              <w:rPr>
                <w:rFonts w:ascii="Times New Roman" w:eastAsia="Times New Roman"/>
                <w:sz w:val="21"/>
                <w:u w:val="none"/>
              </w:rPr>
              <w:t>dB(A)</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标准值</w:t>
            </w:r>
            <w:r>
              <w:rPr>
                <w:rFonts w:ascii="Times New Roman" w:eastAsia="Times New Roman"/>
                <w:sz w:val="21"/>
                <w:u w:val="none"/>
              </w:rPr>
              <w:t>dB(A)</w:t>
            </w:r>
          </w:p>
        </w:tc>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eastAsia="zh-CN"/>
              </w:rPr>
            </w:pPr>
            <w:r>
              <w:rPr>
                <w:rFonts w:hint="eastAsia" w:eastAsia="宋体"/>
                <w:sz w:val="21"/>
                <w:u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厂家东侧外1m</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eastAsia="宋体"/>
                <w:sz w:val="21"/>
                <w:u w:val="none"/>
                <w:lang w:val="en-US" w:eastAsia="zh-CN"/>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57.3</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eastAsia="宋体"/>
                <w:sz w:val="21"/>
                <w:u w:val="none"/>
                <w:lang w:val="en-US" w:eastAsia="zh-CN"/>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46</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厂家南侧外1m</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57.4</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46</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厂家西侧外1m</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56</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57.7</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47</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厂家北侧外1m</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59.2</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46</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项目北侧100m处居民</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52</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19.2</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 xml:space="preserve">52.0 </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sz w:val="21"/>
                <w:u w:val="none"/>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44</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 xml:space="preserve">44.0 </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项目东侧宁远县中医医院</w:t>
            </w: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昼</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sz w:val="21"/>
                <w:u w:val="none"/>
                <w:lang w:val="en-US" w:eastAsia="zh-CN"/>
              </w:rPr>
            </w:pPr>
            <w:r>
              <w:rPr>
                <w:rFonts w:hint="eastAsia" w:eastAsia="宋体"/>
                <w:sz w:val="21"/>
                <w:u w:val="none"/>
                <w:lang w:val="en-US" w:eastAsia="zh-CN"/>
              </w:rPr>
              <w:t>56</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57.3</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 xml:space="preserve">59.7 </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60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20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u w:val="none"/>
                <w:lang w:val="en-US" w:eastAsia="zh-CN"/>
              </w:rPr>
            </w:pPr>
          </w:p>
        </w:tc>
        <w:tc>
          <w:tcPr>
            <w:tcW w:w="51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夜</w:t>
            </w:r>
          </w:p>
        </w:tc>
        <w:tc>
          <w:tcPr>
            <w:tcW w:w="42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sz w:val="21"/>
                <w:u w:val="none"/>
                <w:lang w:val="en-US" w:eastAsia="zh-CN"/>
              </w:rPr>
            </w:pPr>
            <w:r>
              <w:rPr>
                <w:rFonts w:hint="eastAsia" w:eastAsia="宋体"/>
                <w:sz w:val="21"/>
                <w:u w:val="none"/>
                <w:lang w:val="en-US" w:eastAsia="zh-CN"/>
              </w:rPr>
              <w:t>47</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eastAsia="宋体"/>
                <w:sz w:val="21"/>
                <w:u w:val="none"/>
                <w:lang w:val="en-US" w:eastAsia="zh-CN"/>
              </w:rPr>
            </w:pPr>
            <w:r>
              <w:rPr>
                <w:rFonts w:hint="eastAsia" w:eastAsia="宋体"/>
                <w:sz w:val="21"/>
                <w:u w:val="none"/>
                <w:lang w:val="en-US" w:eastAsia="zh-CN"/>
              </w:rPr>
              <w:t>0</w:t>
            </w:r>
          </w:p>
        </w:tc>
        <w:tc>
          <w:tcPr>
            <w:tcW w:w="7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u w:val="none"/>
                <w:lang w:val="en-US" w:eastAsia="zh-CN"/>
              </w:rPr>
            </w:pPr>
            <w:r>
              <w:rPr>
                <w:rFonts w:hint="eastAsia" w:eastAsia="宋体"/>
                <w:sz w:val="21"/>
                <w:u w:val="none"/>
                <w:lang w:val="en-US" w:eastAsia="zh-CN"/>
              </w:rPr>
              <w:t>47.0</w:t>
            </w:r>
          </w:p>
        </w:tc>
        <w:tc>
          <w:tcPr>
            <w:tcW w:w="75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50</w:t>
            </w:r>
          </w:p>
        </w:tc>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u w:val="none"/>
                <w:lang w:val="en-US" w:eastAsia="zh-CN"/>
              </w:rPr>
            </w:pPr>
            <w:r>
              <w:rPr>
                <w:rFonts w:hint="eastAsia" w:eastAsia="宋体"/>
                <w:sz w:val="21"/>
                <w:u w:val="none"/>
                <w:lang w:val="en-US" w:eastAsia="zh-CN"/>
              </w:rPr>
              <w:t>达标</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根据预测结果可知，本项目厂界噪声</w:t>
      </w:r>
      <w:r>
        <w:rPr>
          <w:rFonts w:hint="eastAsia" w:eastAsia="宋体" w:cs="Times New Roman"/>
          <w:b w:val="0"/>
          <w:bCs w:val="0"/>
          <w:snapToGrid w:val="0"/>
          <w:color w:val="000000"/>
          <w:spacing w:val="11"/>
          <w:kern w:val="0"/>
          <w:sz w:val="24"/>
          <w:szCs w:val="24"/>
          <w:lang w:val="en-US" w:eastAsia="zh-CN"/>
        </w:rPr>
        <w:t>贡献值</w:t>
      </w:r>
      <w:r>
        <w:rPr>
          <w:rFonts w:hint="default" w:eastAsia="宋体" w:cs="Times New Roman"/>
          <w:b w:val="0"/>
          <w:bCs w:val="0"/>
          <w:snapToGrid w:val="0"/>
          <w:color w:val="000000"/>
          <w:spacing w:val="11"/>
          <w:kern w:val="0"/>
          <w:sz w:val="24"/>
          <w:szCs w:val="24"/>
          <w:lang w:val="en-US" w:eastAsia="zh-CN"/>
        </w:rPr>
        <w:t>均可以满足《工业企业厂界环境噪声排放标准》（GB12348-2008）中的2类标准限值要求。声环境敏感点处的噪声</w:t>
      </w:r>
      <w:r>
        <w:rPr>
          <w:rFonts w:hint="eastAsia" w:eastAsia="宋体" w:cs="Times New Roman"/>
          <w:b w:val="0"/>
          <w:bCs w:val="0"/>
          <w:snapToGrid w:val="0"/>
          <w:color w:val="000000"/>
          <w:spacing w:val="11"/>
          <w:kern w:val="0"/>
          <w:sz w:val="24"/>
          <w:szCs w:val="24"/>
          <w:lang w:val="en-US" w:eastAsia="zh-CN"/>
        </w:rPr>
        <w:t>叠加值</w:t>
      </w:r>
      <w:r>
        <w:rPr>
          <w:rFonts w:hint="default" w:eastAsia="宋体" w:cs="Times New Roman"/>
          <w:b w:val="0"/>
          <w:bCs w:val="0"/>
          <w:snapToGrid w:val="0"/>
          <w:color w:val="000000"/>
          <w:spacing w:val="11"/>
          <w:kern w:val="0"/>
          <w:sz w:val="24"/>
          <w:szCs w:val="24"/>
          <w:lang w:val="en-US" w:eastAsia="zh-CN"/>
        </w:rPr>
        <w:t>均可以满足《声环境质量标准》（GB3096-2008）中的2类标准限值要求。</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综上所述，通过采取基础减振、隔声等降噪措施后，本项目设备噪声对周围环境影响较小。</w:t>
      </w:r>
    </w:p>
    <w:p>
      <w:pPr>
        <w:pStyle w:val="3"/>
        <w:bidi w:val="0"/>
        <w:rPr>
          <w:rFonts w:hint="default"/>
          <w:lang w:val="en-US" w:eastAsia="zh-CN"/>
        </w:rPr>
      </w:pPr>
      <w:bookmarkStart w:id="86" w:name="_Toc8656"/>
      <w:bookmarkStart w:id="87" w:name="_Toc10302"/>
      <w:r>
        <w:rPr>
          <w:rFonts w:hint="eastAsia"/>
          <w:lang w:val="en-US" w:eastAsia="zh-CN"/>
        </w:rPr>
        <w:t>5.6 营运期土壤</w:t>
      </w:r>
      <w:r>
        <w:rPr>
          <w:rFonts w:hint="default"/>
          <w:lang w:val="en-US" w:eastAsia="zh-CN"/>
        </w:rPr>
        <w:t>环境影响预测与评价</w:t>
      </w:r>
      <w:bookmarkEnd w:id="86"/>
      <w:bookmarkEnd w:id="87"/>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本项目土地敏感程度为不敏感且属于小型占地规模，对照《环境影响评价技术导则 土壤环境（试行）》（</w:t>
      </w:r>
      <w:r>
        <w:rPr>
          <w:rFonts w:hint="default" w:eastAsia="宋体" w:cs="Times New Roman"/>
          <w:b w:val="0"/>
          <w:bCs w:val="0"/>
          <w:snapToGrid w:val="0"/>
          <w:color w:val="000000"/>
          <w:spacing w:val="11"/>
          <w:kern w:val="0"/>
          <w:sz w:val="24"/>
          <w:szCs w:val="24"/>
          <w:lang w:val="en-US" w:eastAsia="zh-CN"/>
        </w:rPr>
        <w:t>HJ964-2018</w:t>
      </w:r>
      <w:r>
        <w:rPr>
          <w:rFonts w:hint="eastAsia" w:eastAsia="宋体" w:cs="Times New Roman"/>
          <w:b w:val="0"/>
          <w:bCs w:val="0"/>
          <w:snapToGrid w:val="0"/>
          <w:color w:val="000000"/>
          <w:spacing w:val="11"/>
          <w:kern w:val="0"/>
          <w:sz w:val="24"/>
          <w:szCs w:val="24"/>
          <w:lang w:val="en-US" w:eastAsia="zh-CN"/>
        </w:rPr>
        <w:t>）附录</w:t>
      </w:r>
      <w:r>
        <w:rPr>
          <w:rFonts w:hint="default" w:eastAsia="宋体" w:cs="Times New Roman"/>
          <w:b w:val="0"/>
          <w:bCs w:val="0"/>
          <w:snapToGrid w:val="0"/>
          <w:color w:val="000000"/>
          <w:spacing w:val="11"/>
          <w:kern w:val="0"/>
          <w:sz w:val="24"/>
          <w:szCs w:val="24"/>
          <w:lang w:val="en-US" w:eastAsia="zh-CN"/>
        </w:rPr>
        <w:t>A</w:t>
      </w:r>
      <w:r>
        <w:rPr>
          <w:rFonts w:hint="eastAsia" w:eastAsia="宋体" w:cs="Times New Roman"/>
          <w:b w:val="0"/>
          <w:bCs w:val="0"/>
          <w:snapToGrid w:val="0"/>
          <w:color w:val="000000"/>
          <w:spacing w:val="11"/>
          <w:kern w:val="0"/>
          <w:sz w:val="24"/>
          <w:szCs w:val="24"/>
          <w:lang w:val="en-US" w:eastAsia="zh-CN"/>
        </w:rPr>
        <w:t>，项目类别为</w:t>
      </w:r>
      <w:r>
        <w:rPr>
          <w:rFonts w:hint="default" w:eastAsia="宋体" w:cs="Times New Roman"/>
          <w:b w:val="0"/>
          <w:bCs w:val="0"/>
          <w:snapToGrid w:val="0"/>
          <w:color w:val="000000"/>
          <w:spacing w:val="11"/>
          <w:kern w:val="0"/>
          <w:sz w:val="24"/>
          <w:szCs w:val="24"/>
          <w:lang w:val="en-US" w:eastAsia="zh-CN"/>
        </w:rPr>
        <w:t>IV</w:t>
      </w:r>
      <w:r>
        <w:rPr>
          <w:rFonts w:hint="eastAsia" w:eastAsia="宋体" w:cs="Times New Roman"/>
          <w:b w:val="0"/>
          <w:bCs w:val="0"/>
          <w:snapToGrid w:val="0"/>
          <w:color w:val="000000"/>
          <w:spacing w:val="11"/>
          <w:kern w:val="0"/>
          <w:sz w:val="24"/>
          <w:szCs w:val="24"/>
          <w:lang w:val="en-US" w:eastAsia="zh-CN"/>
        </w:rPr>
        <w:t>类，因此项目可不开展土壤环境影响评价。但是为了避免项目运营过程中对土壤环境的影响，本环评结合《环境影响评价技术导则 土壤环境（试行）》（</w:t>
      </w:r>
      <w:r>
        <w:rPr>
          <w:rFonts w:hint="default" w:eastAsia="宋体" w:cs="Times New Roman"/>
          <w:b w:val="0"/>
          <w:bCs w:val="0"/>
          <w:snapToGrid w:val="0"/>
          <w:color w:val="000000"/>
          <w:spacing w:val="11"/>
          <w:kern w:val="0"/>
          <w:sz w:val="24"/>
          <w:szCs w:val="24"/>
          <w:lang w:val="en-US" w:eastAsia="zh-CN"/>
        </w:rPr>
        <w:t>HJ964-2018</w:t>
      </w:r>
      <w:r>
        <w:rPr>
          <w:rFonts w:hint="eastAsia" w:eastAsia="宋体" w:cs="Times New Roman"/>
          <w:b w:val="0"/>
          <w:bCs w:val="0"/>
          <w:snapToGrid w:val="0"/>
          <w:color w:val="000000"/>
          <w:spacing w:val="11"/>
          <w:kern w:val="0"/>
          <w:sz w:val="24"/>
          <w:szCs w:val="24"/>
          <w:lang w:val="en-US" w:eastAsia="zh-CN"/>
        </w:rPr>
        <w:t>）对建设单位提出以下要求和建议：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①源头控制：严格控制项目生产过程中废水、废气的产生量，对项目产生的废气、</w:t>
      </w:r>
      <w:r>
        <w:rPr>
          <w:rFonts w:hint="eastAsia" w:ascii="Times New Roman" w:hAnsi="Times New Roman" w:eastAsia="宋体" w:cs="Times New Roman"/>
          <w:b w:val="0"/>
          <w:bCs w:val="0"/>
          <w:snapToGrid w:val="0"/>
          <w:color w:val="000000"/>
          <w:spacing w:val="11"/>
          <w:kern w:val="0"/>
          <w:sz w:val="24"/>
          <w:szCs w:val="24"/>
          <w:lang w:val="en-US" w:eastAsia="zh-CN"/>
        </w:rPr>
        <w:t>废水</w:t>
      </w:r>
      <w:r>
        <w:rPr>
          <w:rFonts w:hint="default" w:ascii="Times New Roman" w:hAnsi="Times New Roman" w:eastAsia="宋体" w:cs="Times New Roman"/>
          <w:b w:val="0"/>
          <w:bCs w:val="0"/>
          <w:snapToGrid w:val="0"/>
          <w:color w:val="000000"/>
          <w:spacing w:val="11"/>
          <w:kern w:val="0"/>
          <w:sz w:val="24"/>
          <w:szCs w:val="24"/>
          <w:lang w:val="en-US" w:eastAsia="zh-CN"/>
        </w:rPr>
        <w:t>等关键污染源，应严格控制污染物排放，按照废气处理措施和废水处理措施要求处理，确保废气和废水均达到相应的标准要求。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过程防控措施：a）加强厂区占地范围内绿化措施，以种植具有较强吸附能力的植物为主；b）对于污水站、危险危废暂存间，应做好防渗措施，对厂区进行硬化处理，采用水泥防渗处理，以防止土壤环境污染；c）设备应选择先进合格的设备，且应采取相应的防渗措施，以防止土壤环境污染。</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jc w:val="both"/>
        <w:textAlignment w:val="baseline"/>
        <w:rPr>
          <w:rFonts w:hint="eastAsia"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在采取上述措施后，建设单位严格落实本环评提出的废水以及废气治理措施后，项目的实施基本可以杜绝土壤环境影响</w:t>
      </w:r>
      <w:r>
        <w:rPr>
          <w:rFonts w:hint="eastAsia" w:eastAsia="宋体" w:cs="Times New Roman"/>
          <w:b w:val="0"/>
          <w:bCs w:val="0"/>
          <w:snapToGrid w:val="0"/>
          <w:color w:val="000000"/>
          <w:spacing w:val="11"/>
          <w:kern w:val="0"/>
          <w:sz w:val="24"/>
          <w:szCs w:val="24"/>
          <w:lang w:val="en-US" w:eastAsia="zh-CN"/>
        </w:rPr>
        <w:t>。</w:t>
      </w:r>
    </w:p>
    <w:p>
      <w:pPr>
        <w:pStyle w:val="3"/>
        <w:bidi w:val="0"/>
        <w:rPr>
          <w:rFonts w:hint="default"/>
          <w:lang w:val="en-US" w:eastAsia="zh-CN"/>
        </w:rPr>
      </w:pPr>
      <w:bookmarkStart w:id="88" w:name="_Toc27197"/>
      <w:r>
        <w:rPr>
          <w:rFonts w:hint="eastAsia"/>
          <w:lang w:val="en-US" w:eastAsia="zh-CN"/>
        </w:rPr>
        <w:t xml:space="preserve">5.7 </w:t>
      </w:r>
      <w:r>
        <w:t>运营期固体废物环境影响分析</w:t>
      </w:r>
      <w:bookmarkEnd w:id="88"/>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运营期固体废物分为医疗废物</w:t>
      </w:r>
      <w:r>
        <w:rPr>
          <w:rFonts w:hint="eastAsia" w:eastAsia="宋体" w:cs="Times New Roman"/>
          <w:b w:val="0"/>
          <w:bCs w:val="0"/>
          <w:snapToGrid w:val="0"/>
          <w:color w:val="000000"/>
          <w:spacing w:val="11"/>
          <w:kern w:val="0"/>
          <w:sz w:val="24"/>
          <w:szCs w:val="24"/>
          <w:lang w:val="en-US" w:eastAsia="zh-CN"/>
        </w:rPr>
        <w:t>等危险废物、</w:t>
      </w:r>
      <w:r>
        <w:rPr>
          <w:rFonts w:hint="default" w:eastAsia="宋体" w:cs="Times New Roman"/>
          <w:b w:val="0"/>
          <w:bCs w:val="0"/>
          <w:snapToGrid w:val="0"/>
          <w:color w:val="000000"/>
          <w:spacing w:val="11"/>
          <w:kern w:val="0"/>
          <w:sz w:val="24"/>
          <w:szCs w:val="24"/>
          <w:lang w:val="en-US" w:eastAsia="zh-CN"/>
        </w:rPr>
        <w:t>生活垃圾及纯水制备系统产生定期更换的废活性炭和废反渗透膜。生活垃圾为员工办公生活垃圾，危险废物为包括废活性炭、医疗废物、废过滤介质及水处理栅渣及污泥。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 、固体废物产生及处置情况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 纯水制备系统产生的废活性炭及废反渗透膜</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本项目纯水制备系统产生定期更换的废活性炭及废反渗透膜属于一般工业固废，由厂家定期进行回收。</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 生活垃圾</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项目劳动定员为</w:t>
      </w:r>
      <w:r>
        <w:rPr>
          <w:rFonts w:hint="eastAsia" w:eastAsia="宋体" w:cs="Times New Roman"/>
          <w:b w:val="0"/>
          <w:bCs w:val="0"/>
          <w:snapToGrid w:val="0"/>
          <w:color w:val="000000"/>
          <w:spacing w:val="11"/>
          <w:kern w:val="0"/>
          <w:sz w:val="24"/>
          <w:szCs w:val="24"/>
          <w:lang w:val="en-US" w:eastAsia="zh-CN"/>
        </w:rPr>
        <w:t>73</w:t>
      </w:r>
      <w:r>
        <w:rPr>
          <w:rFonts w:hint="default" w:eastAsia="宋体" w:cs="Times New Roman"/>
          <w:b w:val="0"/>
          <w:bCs w:val="0"/>
          <w:snapToGrid w:val="0"/>
          <w:color w:val="000000"/>
          <w:spacing w:val="11"/>
          <w:kern w:val="0"/>
          <w:sz w:val="24"/>
          <w:szCs w:val="24"/>
          <w:lang w:val="en-US" w:eastAsia="zh-CN"/>
        </w:rPr>
        <w:t>人，生活垃圾产生量按</w:t>
      </w:r>
      <w:r>
        <w:rPr>
          <w:rFonts w:hint="eastAsia" w:eastAsia="宋体" w:cs="Times New Roman"/>
          <w:b w:val="0"/>
          <w:bCs w:val="0"/>
          <w:snapToGrid w:val="0"/>
          <w:color w:val="000000"/>
          <w:spacing w:val="11"/>
          <w:kern w:val="0"/>
          <w:sz w:val="24"/>
          <w:szCs w:val="24"/>
          <w:lang w:val="en-US" w:eastAsia="zh-CN"/>
        </w:rPr>
        <w:t>1.0</w:t>
      </w:r>
      <w:r>
        <w:rPr>
          <w:rFonts w:hint="default" w:eastAsia="宋体" w:cs="Times New Roman"/>
          <w:b w:val="0"/>
          <w:bCs w:val="0"/>
          <w:snapToGrid w:val="0"/>
          <w:color w:val="000000"/>
          <w:spacing w:val="11"/>
          <w:kern w:val="0"/>
          <w:sz w:val="24"/>
          <w:szCs w:val="24"/>
          <w:lang w:val="en-US" w:eastAsia="zh-CN"/>
        </w:rPr>
        <w:t>kg/d 计算，生活垃圾产生量约</w:t>
      </w:r>
      <w:r>
        <w:rPr>
          <w:rFonts w:hint="eastAsia" w:eastAsia="宋体" w:cs="Times New Roman"/>
          <w:b w:val="0"/>
          <w:bCs w:val="0"/>
          <w:snapToGrid w:val="0"/>
          <w:color w:val="000000"/>
          <w:spacing w:val="11"/>
          <w:kern w:val="0"/>
          <w:sz w:val="24"/>
          <w:szCs w:val="24"/>
          <w:lang w:val="en-US" w:eastAsia="zh-CN"/>
        </w:rPr>
        <w:t>18.25</w:t>
      </w:r>
      <w:r>
        <w:rPr>
          <w:rFonts w:hint="default" w:eastAsia="宋体" w:cs="Times New Roman"/>
          <w:b w:val="0"/>
          <w:bCs w:val="0"/>
          <w:snapToGrid w:val="0"/>
          <w:color w:val="000000"/>
          <w:spacing w:val="11"/>
          <w:kern w:val="0"/>
          <w:sz w:val="24"/>
          <w:szCs w:val="24"/>
          <w:lang w:val="en-US" w:eastAsia="zh-CN"/>
        </w:rPr>
        <w:t>t/a ，收集后由环卫部门清理运走，对垃圾堆放点进行定期的清洁消毒。</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leftChars="0"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 xml:space="preserve">(3) </w:t>
      </w:r>
      <w:r>
        <w:rPr>
          <w:rFonts w:hint="eastAsia" w:eastAsia="宋体" w:cs="Times New Roman"/>
          <w:b w:val="0"/>
          <w:bCs w:val="0"/>
          <w:snapToGrid w:val="0"/>
          <w:color w:val="000000"/>
          <w:spacing w:val="11"/>
          <w:kern w:val="0"/>
          <w:sz w:val="24"/>
          <w:szCs w:val="24"/>
          <w:lang w:val="en-US" w:eastAsia="zh-CN"/>
        </w:rPr>
        <w:t>水处理栅渣及污泥</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根据《医疗机构水污染物排放标准》（GB18466-2005）中有关污泥控制与处置的规定：栅渣、化粪池和污水处理站污泥属危险废物（HW49），应按危险废物进行处理和处置，须委托有危废资质处置。污泥及栅渣清淘前加入漂白粉对污泥进行消毒处理，并进行监测，达到《医疗机构水污染物排放标准》（GB18466-2005）中表 4 医疗机构污泥控制标准后进行清淘。清淘出的污泥及栅渣经脱水后作为危险废物由有资质单位处理</w:t>
      </w:r>
      <w:r>
        <w:rPr>
          <w:rFonts w:hint="default"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7"/>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各种危化品包装物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根据《国家危险废物名录》（2021年）可知，各种危化品包装物属于危险废物，危废编号为HW49其他废物（900-041-49），暂存于危废暂存间，委托资质单位处置。</w:t>
      </w:r>
    </w:p>
    <w:p>
      <w:pPr>
        <w:pStyle w:val="36"/>
        <w:keepNext w:val="0"/>
        <w:keepLines w:val="0"/>
        <w:pageBreakBefore w:val="0"/>
        <w:widowControl w:val="0"/>
        <w:numPr>
          <w:ilvl w:val="0"/>
          <w:numId w:val="7"/>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废过滤介质</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微生物实验室及生物安全柜废气处理采用高效空气过滤器，安装的空气过滤介质需要定期更换，产生的废过滤介质（含有或沾染毒性、感染性危险废物的废弃包装物、容器、过滤吸附介质 900-041-49）属于危险废物，暂存于危废暂存间，委托有资质的单位处置。</w:t>
      </w:r>
    </w:p>
    <w:p>
      <w:pPr>
        <w:pStyle w:val="36"/>
        <w:keepNext w:val="0"/>
        <w:keepLines w:val="0"/>
        <w:pageBreakBefore w:val="0"/>
        <w:widowControl w:val="0"/>
        <w:numPr>
          <w:ilvl w:val="0"/>
          <w:numId w:val="7"/>
        </w:numPr>
        <w:kinsoku/>
        <w:wordWrap/>
        <w:overflowPunct/>
        <w:topLinePunct w:val="0"/>
        <w:autoSpaceDE/>
        <w:autoSpaceDN/>
        <w:bidi w:val="0"/>
        <w:adjustRightInd/>
        <w:snapToGrid/>
        <w:spacing w:before="0" w:beforeAutospacing="0" w:line="360" w:lineRule="auto"/>
        <w:ind w:left="0" w:leftChars="0" w:right="0" w:rightChars="0" w:firstLine="524" w:firstLineChars="200"/>
        <w:jc w:val="both"/>
        <w:textAlignment w:val="auto"/>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医疗废物</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实验室及门诊接种体检产生的感染性废物、病理性废物、损伤性废物、药物性废物和化学性废物属于医疗废物，废物类别为HW01。实验室医疗废物主要是来自实验过程中产生的生物培养残余物、废液、废检验样品、化验检查残余物、废一次性医疗用品、遗弃废组织、实验室人员更换的防护服、眼镜、手套等。医疗废物采用内部转运箱运送至专门设置的医疗废物暂存间，收集到一定的量后定期转交给由医疗废物处置资质的单位，根据危险废物转运相关规定的要求进行转运和处理</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default" w:eastAsia="宋体" w:cs="Times New Roman"/>
          <w:b w:val="0"/>
          <w:bCs w:val="0"/>
          <w:snapToGrid w:val="0"/>
          <w:color w:val="000000"/>
          <w:spacing w:val="11"/>
          <w:kern w:val="0"/>
          <w:sz w:val="24"/>
          <w:szCs w:val="24"/>
          <w:lang w:val="en-US" w:eastAsia="zh-CN"/>
        </w:rPr>
        <w:t xml:space="preserve"> 废紫外线灯管</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eastAsia"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PCR 实验室、微生物实验室实验结束后工作台采用紫外线进行消毒，紫外设备在更换紫外线灯管时会产生一定量的废紫外线灯管，废紫外线灯管属于《国家危险废物名录（2021年版）》中的危险废物，其废物类别为 HW29含汞废物，废物代码 900-023-29。紫外线灯管更换频次为一年一次，更换的废紫外线灯管量约为0.01t，收集后于危险废物暂存间暂存，定期委托有资质单位进行处置</w:t>
      </w:r>
      <w:r>
        <w:rPr>
          <w:rFonts w:hint="eastAsia" w:eastAsia="宋体" w:cs="Times New Roman"/>
          <w:b w:val="0"/>
          <w:bCs w:val="0"/>
          <w:snapToGrid w:val="0"/>
          <w:color w:val="000000"/>
          <w:spacing w:val="11"/>
          <w:kern w:val="0"/>
          <w:sz w:val="24"/>
          <w:szCs w:val="24"/>
          <w:lang w:val="en-US"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 xml:space="preserve"> </w:t>
      </w:r>
      <w:r>
        <w:rPr>
          <w:rFonts w:hint="eastAsia" w:eastAsia="宋体" w:cs="Times New Roman"/>
          <w:b w:val="0"/>
          <w:bCs w:val="0"/>
          <w:snapToGrid w:val="0"/>
          <w:color w:val="000000"/>
          <w:spacing w:val="11"/>
          <w:kern w:val="0"/>
          <w:sz w:val="24"/>
          <w:szCs w:val="24"/>
          <w:lang w:val="en-US" w:eastAsia="zh-CN"/>
        </w:rPr>
        <w:t>2、</w:t>
      </w:r>
      <w:r>
        <w:rPr>
          <w:rFonts w:hint="default" w:eastAsia="宋体" w:cs="Times New Roman"/>
          <w:b w:val="0"/>
          <w:bCs w:val="0"/>
          <w:snapToGrid w:val="0"/>
          <w:color w:val="000000"/>
          <w:spacing w:val="11"/>
          <w:kern w:val="0"/>
          <w:sz w:val="24"/>
          <w:szCs w:val="24"/>
          <w:lang w:val="en-US" w:eastAsia="zh-CN"/>
        </w:rPr>
        <w:t>固废废物环境影响分析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（1）对大气环境影响分析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w:t>
      </w:r>
      <w:r>
        <w:rPr>
          <w:rFonts w:hint="eastAsia" w:eastAsia="宋体" w:cs="Times New Roman"/>
          <w:b w:val="0"/>
          <w:bCs w:val="0"/>
          <w:snapToGrid w:val="0"/>
          <w:color w:val="000000"/>
          <w:spacing w:val="11"/>
          <w:kern w:val="0"/>
          <w:sz w:val="24"/>
          <w:szCs w:val="24"/>
          <w:lang w:val="en-US" w:eastAsia="zh-CN"/>
        </w:rPr>
        <w:t>运营</w:t>
      </w:r>
      <w:r>
        <w:rPr>
          <w:rFonts w:hint="default" w:eastAsia="宋体" w:cs="Times New Roman"/>
          <w:b w:val="0"/>
          <w:bCs w:val="0"/>
          <w:snapToGrid w:val="0"/>
          <w:color w:val="000000"/>
          <w:spacing w:val="11"/>
          <w:kern w:val="0"/>
          <w:sz w:val="24"/>
          <w:szCs w:val="24"/>
          <w:lang w:val="en-US" w:eastAsia="zh-CN"/>
        </w:rPr>
        <w:t>过程中产生的固体废物对大气环境的影响主要发生在固体废物堆存和运输阶段。</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项目在固体废物堆存场的建设均采用室内库或建设防雨防风顶棚，避免在堆存过程中产生扬尘，造成环境空气的污染；外</w:t>
      </w:r>
      <w:r>
        <w:rPr>
          <w:rFonts w:hint="eastAsia" w:eastAsia="宋体" w:cs="Times New Roman"/>
          <w:b w:val="0"/>
          <w:bCs w:val="0"/>
          <w:snapToGrid w:val="0"/>
          <w:color w:val="000000"/>
          <w:spacing w:val="11"/>
          <w:kern w:val="0"/>
          <w:sz w:val="24"/>
          <w:szCs w:val="24"/>
          <w:lang w:val="en-US" w:eastAsia="zh-CN"/>
        </w:rPr>
        <w:t>运</w:t>
      </w:r>
      <w:r>
        <w:rPr>
          <w:rFonts w:hint="default" w:eastAsia="宋体" w:cs="Times New Roman"/>
          <w:b w:val="0"/>
          <w:bCs w:val="0"/>
          <w:snapToGrid w:val="0"/>
          <w:color w:val="000000"/>
          <w:spacing w:val="11"/>
          <w:kern w:val="0"/>
          <w:sz w:val="24"/>
          <w:szCs w:val="24"/>
          <w:lang w:val="en-US" w:eastAsia="zh-CN"/>
        </w:rPr>
        <w:t>的固体废物要求使用专用车辆进行运输，同时运输过程中注意遮盖</w:t>
      </w:r>
      <w:r>
        <w:rPr>
          <w:rFonts w:hint="eastAsia" w:eastAsia="宋体" w:cs="Times New Roman"/>
          <w:b w:val="0"/>
          <w:bCs w:val="0"/>
          <w:snapToGrid w:val="0"/>
          <w:color w:val="000000"/>
          <w:spacing w:val="11"/>
          <w:kern w:val="0"/>
          <w:sz w:val="24"/>
          <w:szCs w:val="24"/>
          <w:lang w:val="en-US" w:eastAsia="zh-CN"/>
        </w:rPr>
        <w:t>密闭</w:t>
      </w:r>
      <w:r>
        <w:rPr>
          <w:rFonts w:hint="default" w:eastAsia="宋体" w:cs="Times New Roman"/>
          <w:b w:val="0"/>
          <w:bCs w:val="0"/>
          <w:snapToGrid w:val="0"/>
          <w:color w:val="000000"/>
          <w:spacing w:val="11"/>
          <w:kern w:val="0"/>
          <w:sz w:val="24"/>
          <w:szCs w:val="24"/>
          <w:lang w:val="en-US" w:eastAsia="zh-CN"/>
        </w:rPr>
        <w:t>，避免物料遗撒，防止运输途中产生扬尘，污染道路沿线的大气环境。</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综上所述，项目建成投</w:t>
      </w:r>
      <w:r>
        <w:rPr>
          <w:rFonts w:hint="eastAsia" w:eastAsia="宋体" w:cs="Times New Roman"/>
          <w:b w:val="0"/>
          <w:bCs w:val="0"/>
          <w:snapToGrid w:val="0"/>
          <w:color w:val="000000"/>
          <w:spacing w:val="11"/>
          <w:kern w:val="0"/>
          <w:sz w:val="24"/>
          <w:szCs w:val="24"/>
          <w:lang w:val="en-US" w:eastAsia="zh-CN"/>
        </w:rPr>
        <w:t>运</w:t>
      </w:r>
      <w:r>
        <w:rPr>
          <w:rFonts w:hint="default" w:eastAsia="宋体" w:cs="Times New Roman"/>
          <w:b w:val="0"/>
          <w:bCs w:val="0"/>
          <w:snapToGrid w:val="0"/>
          <w:color w:val="000000"/>
          <w:spacing w:val="11"/>
          <w:kern w:val="0"/>
          <w:sz w:val="24"/>
          <w:szCs w:val="24"/>
          <w:lang w:val="en-US" w:eastAsia="zh-CN"/>
        </w:rPr>
        <w:t>后，厂方加强工业固体废物的管理，各类固体废物及时回用或</w:t>
      </w:r>
      <w:r>
        <w:rPr>
          <w:rFonts w:hint="eastAsia" w:eastAsia="宋体" w:cs="Times New Roman"/>
          <w:b w:val="0"/>
          <w:bCs w:val="0"/>
          <w:snapToGrid w:val="0"/>
          <w:color w:val="000000"/>
          <w:spacing w:val="11"/>
          <w:kern w:val="0"/>
          <w:sz w:val="24"/>
          <w:szCs w:val="24"/>
          <w:lang w:val="en-US" w:eastAsia="zh-CN"/>
        </w:rPr>
        <w:t>处置</w:t>
      </w:r>
      <w:r>
        <w:rPr>
          <w:rFonts w:hint="default" w:eastAsia="宋体" w:cs="Times New Roman"/>
          <w:b w:val="0"/>
          <w:bCs w:val="0"/>
          <w:snapToGrid w:val="0"/>
          <w:color w:val="000000"/>
          <w:spacing w:val="11"/>
          <w:kern w:val="0"/>
          <w:sz w:val="24"/>
          <w:szCs w:val="24"/>
          <w:lang w:val="en-US" w:eastAsia="zh-CN"/>
        </w:rPr>
        <w:t>，不会对大气环境产生大的影响。</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（2）对水环境影响分析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本项目产生的固体废物均设有专门的固废堆放点进行堆放，危险废物用专门容器盛装，并置于室内专门的暂存间内，定期委托有危险废物处置的资质单位外运处理。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为了对固体废物进行更为合理有效控制，避免对水环境的影响，各类危险废物暂存间应为室内储存间，并严格按照《危险废物贮存污染控制标准》（GB18597-2023）建设，一般固体废物临时堆场设置防雨篷、围墙、导流沟、多孔排水管、防渗地面等设施，并严格按照《一般工业固体废物贮存、处置场污染控制标准》（GB18599-2020）的要求建造。建设方应严格按照相关要求进行管理，保证雨水不进入、废水不外排、废渣不流失，在此情况下，本工程固体废物厂内暂存对水环境影响较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（3）对土壤环境影响分析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根据固体废物防治相关规定，危险废物暂存间按照《危险废物贮存污染控制标准》（GB18597-2023）要求进行防渗处理，并</w:t>
      </w:r>
      <w:r>
        <w:rPr>
          <w:rFonts w:hint="eastAsia" w:eastAsia="宋体" w:cs="Times New Roman"/>
          <w:b w:val="0"/>
          <w:bCs w:val="0"/>
          <w:snapToGrid w:val="0"/>
          <w:color w:val="000000"/>
          <w:spacing w:val="11"/>
          <w:kern w:val="0"/>
          <w:sz w:val="24"/>
          <w:szCs w:val="24"/>
          <w:lang w:val="en-US" w:eastAsia="zh-CN"/>
        </w:rPr>
        <w:t>配备防渗漏托盘</w:t>
      </w:r>
      <w:r>
        <w:rPr>
          <w:rFonts w:hint="default" w:eastAsia="宋体" w:cs="Times New Roman"/>
          <w:b w:val="0"/>
          <w:bCs w:val="0"/>
          <w:snapToGrid w:val="0"/>
          <w:color w:val="000000"/>
          <w:spacing w:val="11"/>
          <w:kern w:val="0"/>
          <w:sz w:val="24"/>
          <w:szCs w:val="24"/>
          <w:lang w:val="en-US" w:eastAsia="zh-CN"/>
        </w:rPr>
        <w:t>。各类危险废物在运输和处理过程中严格执行危险废物转运联单制度。</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实行以上防治措施后，可以有效防止固体废物污染土壤，防止雨水冲刷，确保污染物扩散，将对厂区及运输道路周围土壤的污染降至最低。</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（4）对生态环境影响分析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由于项目对厂区种植绿化植被，固化了周边土壤；同时，由于项目道路与地面的平整，使原来松动的土地硬化，减少裸土，对区域水土流失产生一定的防治作用。</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（5）固体废物的运输过程环境影响分析</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项目危险废物产生地点在各装置区，产生地点距离危险废物暂存点距离较近，危险废物均用密封箱包装，正常情况下，运输过程中不存在散落和泄漏。</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医疗废物运送车辆应满足《医疗废物转运车技术要求（试行）》（GB19217-2003）的要求，运输工作由有危险废物运输资质的单位承担，运输车采用专门设计用于运输医疗废物具有冷藏功能的专用车；要求严格按照《医疗废物转用车技术要求（试行）》（GB19217-2003）的有关规定进行配置，车厢具有高强度，高整体密闭性。抗腐蚀，易冲洗；车厢内配备紫外杀菌灯等消毒设备。此外，在运输车上须配备橡胶手套、工作手套、口罩、消毒水、急救药箱、灭火器、紧急应变手册等工具。在载运过程中，采取专车专用方式，禁止将医疗废物与旅客或是其它类型货物、垃圾在同一车上运载。</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运输车辆管理方面，必须备有车辆里程登记表，车辆驾驶人员每日要做里程登记，并且定期进行车辆维修维护检修，确保车辆安全行驶。车上配备肩背式消毒器械和手提式消毒液喷雾器，事故时就地进行消毒。建立事故应急系统，出现重大事故时，在最短时间内控制现场。车辆在通过河流、桥梁、隧道时应严格执行《汽车危险货物运输规范》及《道路危险货物运输管理规定》的有关规定，并提前报相关管理部门批准。</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在运输路线选择方面，严格按照当地公安部门与交通管理部门规定的行驶路线和行驶时段行驶，尽量避开人口密集区、学校等环境敏感点。</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eastAsia" w:eastAsia="宋体" w:cs="Times New Roman"/>
          <w:b w:val="0"/>
          <w:bCs w:val="0"/>
          <w:snapToGrid w:val="0"/>
          <w:color w:val="000000"/>
          <w:spacing w:val="11"/>
          <w:kern w:val="0"/>
          <w:sz w:val="24"/>
          <w:szCs w:val="24"/>
          <w:lang w:val="en-US" w:eastAsia="zh-CN"/>
        </w:rPr>
        <w:t>3、</w:t>
      </w:r>
      <w:r>
        <w:rPr>
          <w:rFonts w:hint="default" w:eastAsia="宋体" w:cs="Times New Roman"/>
          <w:b w:val="0"/>
          <w:bCs w:val="0"/>
          <w:snapToGrid w:val="0"/>
          <w:color w:val="000000"/>
          <w:spacing w:val="11"/>
          <w:kern w:val="0"/>
          <w:sz w:val="24"/>
          <w:szCs w:val="24"/>
          <w:lang w:val="en-US" w:eastAsia="zh-CN"/>
        </w:rPr>
        <w:t xml:space="preserve"> 固废废物影响分析结论</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项目各类固废经采取相应的治理措施后可使产生的固体废物能得到有效的处理及处置，不会对外环境产生二次污染。</w:t>
      </w:r>
    </w:p>
    <w:p>
      <w:pPr>
        <w:pStyle w:val="3"/>
        <w:bidi w:val="0"/>
        <w:rPr>
          <w:rFonts w:hint="eastAsia"/>
          <w:lang w:val="en-US" w:eastAsia="zh-CN"/>
        </w:rPr>
      </w:pPr>
      <w:bookmarkStart w:id="89" w:name="_Toc32535"/>
      <w:r>
        <w:rPr>
          <w:rFonts w:hint="eastAsia"/>
          <w:lang w:val="en-US" w:eastAsia="zh-CN"/>
        </w:rPr>
        <w:t xml:space="preserve">5.8 </w:t>
      </w:r>
      <w:r>
        <w:t>生态环境影响分析</w:t>
      </w:r>
      <w:r>
        <w:rPr>
          <w:rFonts w:hint="eastAsia"/>
          <w:lang w:val="en-US" w:eastAsia="zh-CN"/>
        </w:rPr>
        <w:t>与评价</w:t>
      </w:r>
      <w:bookmarkEnd w:id="89"/>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工程对生态环境影响主要是对地表生态景观格局的改变、水土流失、局部生态结构完整性受损引起的破碎化与</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岛屿化</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的现象，以及污染生态效应等方面。</w:t>
      </w:r>
    </w:p>
    <w:p>
      <w:pPr>
        <w:pStyle w:val="4"/>
        <w:bidi w:val="0"/>
        <w:rPr>
          <w:rFonts w:hint="default"/>
          <w:lang w:val="en-US" w:eastAsia="zh-CN"/>
        </w:rPr>
      </w:pPr>
      <w:r>
        <w:rPr>
          <w:rFonts w:hint="eastAsia"/>
          <w:lang w:val="en-US" w:eastAsia="zh-CN"/>
        </w:rPr>
        <w:t>5.8</w:t>
      </w:r>
      <w:r>
        <w:rPr>
          <w:rFonts w:hint="default"/>
          <w:lang w:val="en-US" w:eastAsia="zh-CN"/>
        </w:rPr>
        <w:t>.1 土地利用影响分析</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w:t>
      </w:r>
      <w:r>
        <w:rPr>
          <w:rFonts w:hint="eastAsia" w:ascii="Times New Roman" w:hAnsi="Times New Roman" w:eastAsia="宋体" w:cs="Times New Roman"/>
          <w:b w:val="0"/>
          <w:bCs w:val="0"/>
          <w:snapToGrid w:val="0"/>
          <w:color w:val="000000"/>
          <w:spacing w:val="11"/>
          <w:kern w:val="0"/>
          <w:sz w:val="24"/>
          <w:szCs w:val="24"/>
          <w:lang w:val="en-US" w:eastAsia="zh-CN"/>
        </w:rPr>
        <w:t>为利用原在建妇女儿童医院办公楼进行建设</w:t>
      </w:r>
      <w:r>
        <w:rPr>
          <w:rFonts w:hint="default" w:ascii="Times New Roman" w:hAnsi="Times New Roman" w:eastAsia="宋体" w:cs="Times New Roman"/>
          <w:b w:val="0"/>
          <w:bCs w:val="0"/>
          <w:snapToGrid w:val="0"/>
          <w:color w:val="000000"/>
          <w:spacing w:val="11"/>
          <w:kern w:val="0"/>
          <w:sz w:val="24"/>
          <w:szCs w:val="24"/>
          <w:lang w:val="en-US" w:eastAsia="zh-CN"/>
        </w:rPr>
        <w:t>，占地类型为</w:t>
      </w:r>
      <w:r>
        <w:rPr>
          <w:rFonts w:hint="eastAsia" w:ascii="Times New Roman" w:hAnsi="Times New Roman" w:eastAsia="宋体" w:cs="Times New Roman"/>
          <w:b w:val="0"/>
          <w:bCs w:val="0"/>
          <w:snapToGrid w:val="0"/>
          <w:color w:val="000000"/>
          <w:spacing w:val="11"/>
          <w:kern w:val="0"/>
          <w:sz w:val="24"/>
          <w:szCs w:val="24"/>
          <w:lang w:val="en-US" w:eastAsia="zh-CN"/>
        </w:rPr>
        <w:t>医疗卫生</w:t>
      </w:r>
      <w:r>
        <w:rPr>
          <w:rFonts w:hint="default" w:ascii="Times New Roman" w:hAnsi="Times New Roman" w:eastAsia="宋体" w:cs="Times New Roman"/>
          <w:b w:val="0"/>
          <w:bCs w:val="0"/>
          <w:snapToGrid w:val="0"/>
          <w:color w:val="000000"/>
          <w:spacing w:val="11"/>
          <w:kern w:val="0"/>
          <w:sz w:val="24"/>
          <w:szCs w:val="24"/>
          <w:lang w:val="en-US" w:eastAsia="zh-CN"/>
        </w:rPr>
        <w:t>用地，不新增土地</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本项目不会使土地利用结构发生变化，</w:t>
      </w:r>
      <w:r>
        <w:rPr>
          <w:rFonts w:hint="eastAsia" w:ascii="Times New Roman" w:hAnsi="Times New Roman" w:eastAsia="宋体" w:cs="Times New Roman"/>
          <w:b w:val="0"/>
          <w:bCs w:val="0"/>
          <w:snapToGrid w:val="0"/>
          <w:color w:val="000000"/>
          <w:spacing w:val="11"/>
          <w:kern w:val="0"/>
          <w:sz w:val="24"/>
          <w:szCs w:val="24"/>
          <w:lang w:val="en-US" w:eastAsia="zh-CN"/>
        </w:rPr>
        <w:t>不会产生</w:t>
      </w:r>
      <w:r>
        <w:rPr>
          <w:rFonts w:hint="default" w:ascii="Times New Roman" w:hAnsi="Times New Roman" w:eastAsia="宋体" w:cs="Times New Roman"/>
          <w:b w:val="0"/>
          <w:bCs w:val="0"/>
          <w:snapToGrid w:val="0"/>
          <w:color w:val="000000"/>
          <w:spacing w:val="11"/>
          <w:kern w:val="0"/>
          <w:sz w:val="24"/>
          <w:szCs w:val="24"/>
          <w:lang w:val="en-US" w:eastAsia="zh-CN"/>
        </w:rPr>
        <w:t>因部分土地利用类型发生变化引起的生态影响。</w:t>
      </w:r>
    </w:p>
    <w:p>
      <w:pPr>
        <w:pStyle w:val="4"/>
        <w:bidi w:val="0"/>
        <w:rPr>
          <w:rFonts w:hint="default"/>
          <w:lang w:val="en-US" w:eastAsia="zh-CN"/>
        </w:rPr>
      </w:pPr>
      <w:r>
        <w:rPr>
          <w:rFonts w:hint="eastAsia"/>
          <w:lang w:val="en-US" w:eastAsia="zh-CN"/>
        </w:rPr>
        <w:t>5.8</w:t>
      </w:r>
      <w:r>
        <w:rPr>
          <w:rFonts w:hint="default"/>
          <w:lang w:val="en-US" w:eastAsia="zh-CN"/>
        </w:rPr>
        <w:t>.</w:t>
      </w:r>
      <w:r>
        <w:rPr>
          <w:rFonts w:hint="eastAsia"/>
          <w:lang w:val="en-US" w:eastAsia="zh-CN"/>
        </w:rPr>
        <w:t>2</w:t>
      </w:r>
      <w:r>
        <w:rPr>
          <w:rFonts w:hint="default"/>
          <w:lang w:val="en-US" w:eastAsia="zh-CN"/>
        </w:rPr>
        <w:t xml:space="preserve"> 对动物资源及植被影响分析</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建设内容均在已有场地内，不再新增占地，由于受人类活动的影响，区域现有动植物资源较为单一和匮乏，对于本项目范围内来说，现有植物资源主要为灌木和茅草，动物资源主要为蛇、麻雀、野兔等常见物种，未见珍稀动植物。因此，本工程的建设</w:t>
      </w:r>
      <w:r>
        <w:rPr>
          <w:rFonts w:hint="eastAsia" w:ascii="Times New Roman" w:hAnsi="Times New Roman" w:eastAsia="宋体" w:cs="Times New Roman"/>
          <w:b w:val="0"/>
          <w:bCs w:val="0"/>
          <w:snapToGrid w:val="0"/>
          <w:color w:val="000000"/>
          <w:spacing w:val="11"/>
          <w:kern w:val="0"/>
          <w:sz w:val="24"/>
          <w:szCs w:val="24"/>
          <w:lang w:val="en-US" w:eastAsia="zh-CN"/>
        </w:rPr>
        <w:t>不会对动植物资源及植被产生大的影响</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 xml:space="preserve">5.8.3 </w:t>
      </w:r>
      <w:r>
        <w:rPr>
          <w:rFonts w:hint="default"/>
          <w:lang w:val="en-US" w:eastAsia="zh-CN"/>
        </w:rPr>
        <w:t>对水土流失的影响分析</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工程施工时要进行开挖，可能在挖方、填方处由于降雨、重力及风力侵蚀会产生水土流失的现象，将会对当地生态环境造成一定影响，也会引发自然灾害。</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但本项目为利用已建建筑物进行装修投运，不涉及大规模土石方开挖，故不会造成水土流失</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5.8.4</w:t>
      </w:r>
      <w:r>
        <w:rPr>
          <w:rFonts w:hint="default"/>
          <w:lang w:val="en-US" w:eastAsia="zh-CN"/>
        </w:rPr>
        <w:t>生物多样性影响分析</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场区主要为山地丘陵，项目所在地区以农田生态系统和人工生态系统为主，没有濒危物种。工程的建设不会引起植物物种灭绝，因此，本工程对生态多样性没有影响。</w:t>
      </w:r>
    </w:p>
    <w:p>
      <w:pPr>
        <w:pStyle w:val="4"/>
        <w:bidi w:val="0"/>
        <w:rPr>
          <w:rFonts w:hint="default"/>
          <w:lang w:val="en-US" w:eastAsia="zh-CN"/>
        </w:rPr>
      </w:pPr>
      <w:r>
        <w:rPr>
          <w:rFonts w:hint="eastAsia"/>
          <w:lang w:val="en-US" w:eastAsia="zh-CN"/>
        </w:rPr>
        <w:t>5.8.5</w:t>
      </w:r>
      <w:r>
        <w:rPr>
          <w:rFonts w:hint="default"/>
          <w:lang w:val="en-US" w:eastAsia="zh-CN"/>
        </w:rPr>
        <w:t>对敏感生态保护目标的影响分析</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由于本项目及周边无敏感生态保护目标分布，本项目实施不会对敏感生态保护目标造成影响。</w:t>
      </w:r>
    </w:p>
    <w:p>
      <w:pPr>
        <w:pStyle w:val="3"/>
        <w:bidi w:val="0"/>
        <w:rPr>
          <w:rFonts w:hint="default"/>
          <w:lang w:val="en-US" w:eastAsia="zh-CN"/>
        </w:rPr>
      </w:pPr>
      <w:bookmarkStart w:id="90" w:name="_Toc26905"/>
      <w:r>
        <w:rPr>
          <w:rFonts w:hint="eastAsia"/>
          <w:lang w:val="en-US" w:eastAsia="zh-CN"/>
        </w:rPr>
        <w:t xml:space="preserve">5.9 </w:t>
      </w:r>
      <w:r>
        <w:rPr>
          <w:rFonts w:hint="default"/>
          <w:lang w:val="en-US" w:eastAsia="zh-CN"/>
        </w:rPr>
        <w:t>环境风险评价</w:t>
      </w:r>
      <w:bookmarkEnd w:id="90"/>
    </w:p>
    <w:p>
      <w:pPr>
        <w:pStyle w:val="4"/>
        <w:bidi w:val="0"/>
        <w:rPr>
          <w:rFonts w:hint="default"/>
          <w:lang w:val="en-US" w:eastAsia="zh-CN"/>
        </w:rPr>
      </w:pPr>
      <w:r>
        <w:rPr>
          <w:rFonts w:hint="eastAsia"/>
          <w:lang w:val="en-US" w:eastAsia="zh-CN"/>
        </w:rPr>
        <w:t>5.9.1</w:t>
      </w:r>
      <w:r>
        <w:rPr>
          <w:rFonts w:hint="default"/>
          <w:lang w:val="en-US" w:eastAsia="zh-CN"/>
        </w:rPr>
        <w:t>环境风险评价目的</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环境风险评价是在分析项目事故发生概率和预测事故状态下的影响程度基础上，以</w:t>
      </w:r>
    </w:p>
    <w:p>
      <w:pPr>
        <w:spacing w:line="360" w:lineRule="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事故发生概率与事故后果的乘积来表征项目事故的风险度。评价目的指在通过风险度的分析，对项目建设和运行过程中可能存在的事故隐患（事故源）提出事故防范措施和事</w:t>
      </w:r>
    </w:p>
    <w:p>
      <w:pPr>
        <w:spacing w:line="360" w:lineRule="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故后应急措施，使建设项目的环境风险影响尽可能降到最低，风险度达到可接受水平。</w:t>
      </w:r>
    </w:p>
    <w:p>
      <w:pPr>
        <w:spacing w:line="360" w:lineRule="auto"/>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环境风险评价区别于安全评价的主要条件之一是：环境风险评价范围的着眼点是区域环境，包括自然环境、社会环境、生态环境等，因而多数情况下将针对项目发生突发性污染事故后通过污染物迁移所造成的区域环境影响进行评价，评价范围涉及厂界外的所有污染影响区域；而安全评价的范围着眼于设备安全性事故后暴露范围内的人员与财产损害，通常设备燃爆安全性事故的范围限于厂界内。因此，环境风险评价的范围为项目发生突发性污染事故后影响环境的区域。</w:t>
      </w:r>
    </w:p>
    <w:p>
      <w:pPr>
        <w:pStyle w:val="4"/>
        <w:bidi w:val="0"/>
        <w:rPr>
          <w:rFonts w:hint="default"/>
          <w:lang w:val="en-US" w:eastAsia="zh-CN"/>
        </w:rPr>
      </w:pPr>
      <w:r>
        <w:rPr>
          <w:rFonts w:hint="eastAsia"/>
          <w:lang w:val="en-US" w:eastAsia="zh-CN"/>
        </w:rPr>
        <w:t>5.9</w:t>
      </w:r>
      <w:r>
        <w:rPr>
          <w:rFonts w:hint="default"/>
          <w:lang w:val="en-US" w:eastAsia="zh-CN"/>
        </w:rPr>
        <w:t xml:space="preserve">.2 </w:t>
      </w:r>
      <w:bookmarkStart w:id="91" w:name="_Toc1609"/>
      <w:r>
        <w:rPr>
          <w:rFonts w:hint="default"/>
          <w:lang w:val="en-US" w:eastAsia="zh-CN"/>
        </w:rPr>
        <w:t>环境风险评价</w:t>
      </w:r>
      <w:bookmarkEnd w:id="91"/>
      <w:r>
        <w:rPr>
          <w:rFonts w:hint="eastAsia"/>
          <w:lang w:val="en-US" w:eastAsia="zh-CN"/>
        </w:rPr>
        <w:t>等级</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（1）风险潜势初判</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本项目涉及的有毒有害、易燃易爆等风险物质主要为</w:t>
      </w:r>
      <w:r>
        <w:rPr>
          <w:rFonts w:hint="eastAsia" w:ascii="Times New Roman" w:hAnsi="Times New Roman" w:eastAsia="宋体" w:cs="Times New Roman"/>
          <w:b w:val="0"/>
          <w:bCs w:val="0"/>
          <w:snapToGrid w:val="0"/>
          <w:color w:val="000000"/>
          <w:spacing w:val="11"/>
          <w:kern w:val="0"/>
          <w:sz w:val="24"/>
          <w:szCs w:val="24"/>
          <w:lang w:val="en-US" w:eastAsia="zh-CN"/>
        </w:rPr>
        <w:t>硫酸、盐酸、硝酸等实验室试剂及产生的危险废物</w:t>
      </w:r>
      <w:r>
        <w:rPr>
          <w:rFonts w:hint="default" w:ascii="Times New Roman" w:hAnsi="Times New Roman" w:eastAsia="宋体" w:cs="Times New Roman"/>
          <w:b w:val="0"/>
          <w:bCs w:val="0"/>
          <w:snapToGrid w:val="0"/>
          <w:color w:val="000000"/>
          <w:spacing w:val="11"/>
          <w:kern w:val="0"/>
          <w:sz w:val="24"/>
          <w:szCs w:val="24"/>
          <w:lang w:val="en-US" w:eastAsia="zh-CN"/>
        </w:rPr>
        <w:t>，经查阅《建设项目环境风险评价技术导则》（HJ</w:t>
      </w:r>
      <w:r>
        <w:rPr>
          <w:rFonts w:hint="eastAsia" w:ascii="Times New Roman" w:hAnsi="Times New Roman" w:eastAsia="宋体" w:cs="Times New Roman"/>
          <w:b w:val="0"/>
          <w:bCs w:val="0"/>
          <w:snapToGrid w:val="0"/>
          <w:color w:val="000000"/>
          <w:spacing w:val="11"/>
          <w:kern w:val="0"/>
          <w:sz w:val="24"/>
          <w:szCs w:val="24"/>
          <w:lang w:val="en-US" w:eastAsia="zh-CN"/>
        </w:rPr>
        <w:t xml:space="preserve"> </w:t>
      </w:r>
      <w:r>
        <w:rPr>
          <w:rFonts w:hint="default" w:ascii="Times New Roman" w:hAnsi="Times New Roman" w:eastAsia="宋体" w:cs="Times New Roman"/>
          <w:b w:val="0"/>
          <w:bCs w:val="0"/>
          <w:snapToGrid w:val="0"/>
          <w:color w:val="000000"/>
          <w:spacing w:val="11"/>
          <w:kern w:val="0"/>
          <w:sz w:val="24"/>
          <w:szCs w:val="24"/>
          <w:lang w:val="en-US" w:eastAsia="zh-CN"/>
        </w:rPr>
        <w:t>169－2018）附录 B物质临界量，危险物质数量与临界量的比值 Q 按下式进行计算：</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drawing>
          <wp:anchor distT="0" distB="0" distL="0" distR="0" simplePos="0" relativeHeight="251664384" behindDoc="0" locked="0" layoutInCell="1" allowOverlap="1">
            <wp:simplePos x="0" y="0"/>
            <wp:positionH relativeFrom="page">
              <wp:posOffset>3038475</wp:posOffset>
            </wp:positionH>
            <wp:positionV relativeFrom="paragraph">
              <wp:posOffset>22225</wp:posOffset>
            </wp:positionV>
            <wp:extent cx="1697990" cy="405130"/>
            <wp:effectExtent l="0" t="0" r="16510" b="13970"/>
            <wp:wrapTopAndBottom/>
            <wp:docPr id="5" name="image3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34.png"/>
                    <pic:cNvPicPr>
                      <a:picLocks noChangeAspect="true"/>
                    </pic:cNvPicPr>
                  </pic:nvPicPr>
                  <pic:blipFill>
                    <a:blip r:embed="rId33" cstate="print"/>
                    <a:stretch>
                      <a:fillRect/>
                    </a:stretch>
                  </pic:blipFill>
                  <pic:spPr>
                    <a:xfrm>
                      <a:off x="0" y="0"/>
                      <a:ext cx="1697990" cy="405130"/>
                    </a:xfrm>
                    <a:prstGeom prst="rect">
                      <a:avLst/>
                    </a:prstGeom>
                  </pic:spPr>
                </pic:pic>
              </a:graphicData>
            </a:graphic>
          </wp:anchor>
        </w:drawing>
      </w:r>
      <w:r>
        <w:rPr>
          <w:rFonts w:hint="default" w:ascii="Times New Roman" w:hAnsi="Times New Roman" w:eastAsia="宋体" w:cs="Times New Roman"/>
          <w:b w:val="0"/>
          <w:bCs w:val="0"/>
          <w:snapToGrid w:val="0"/>
          <w:color w:val="000000"/>
          <w:spacing w:val="11"/>
          <w:kern w:val="0"/>
          <w:sz w:val="24"/>
          <w:szCs w:val="24"/>
          <w:lang w:val="en-US" w:eastAsia="zh-CN"/>
        </w:rPr>
        <w:t>式中：q1，q2，...，qn——每种危险物质的最大存在总量，t；</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Q1，Q2，...，Qn——每种危险物质的临界量，t。</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当 Q＜1 时，该项目环境风险潜势为Ⅰ。</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当 Q≥1 时，将 Q 值划分为：（1）1≤Q＜10；（2）10≤Q＜100；（3）Q≥100。</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 xml:space="preserve">根据《建设项目环境风险评价技术导则》（HJ169-2018）相关规定，本项目Q值为 </w:t>
      </w:r>
      <w:r>
        <w:rPr>
          <w:rFonts w:hint="eastAsia" w:ascii="Times New Roman" w:hAnsi="Times New Roman" w:eastAsia="宋体" w:cs="Times New Roman"/>
          <w:b w:val="0"/>
          <w:bCs w:val="0"/>
          <w:snapToGrid w:val="0"/>
          <w:color w:val="auto"/>
          <w:spacing w:val="11"/>
          <w:kern w:val="0"/>
          <w:sz w:val="24"/>
          <w:szCs w:val="24"/>
          <w:lang w:val="en-US" w:eastAsia="zh-CN"/>
        </w:rPr>
        <w:t>0.0401</w:t>
      </w:r>
      <w:r>
        <w:rPr>
          <w:rFonts w:hint="default" w:ascii="Times New Roman" w:hAnsi="Times New Roman" w:eastAsia="宋体" w:cs="Times New Roman"/>
          <w:b w:val="0"/>
          <w:bCs w:val="0"/>
          <w:snapToGrid w:val="0"/>
          <w:color w:val="000000"/>
          <w:spacing w:val="11"/>
          <w:kern w:val="0"/>
          <w:sz w:val="24"/>
          <w:szCs w:val="24"/>
          <w:lang w:val="en-US" w:eastAsia="zh-CN"/>
        </w:rPr>
        <w:t>，Q 值小于 1。当 Q＜1 时，该项目环境风险潜势为Ⅰ。</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根据《建设项目环境风险评价技术导则》（HJ</w:t>
      </w:r>
      <w:r>
        <w:rPr>
          <w:rFonts w:hint="eastAsia" w:ascii="Times New Roman" w:hAnsi="Times New Roman" w:eastAsia="宋体" w:cs="Times New Roman"/>
          <w:b w:val="0"/>
          <w:bCs w:val="0"/>
          <w:snapToGrid w:val="0"/>
          <w:color w:val="000000"/>
          <w:spacing w:val="11"/>
          <w:kern w:val="0"/>
          <w:sz w:val="24"/>
          <w:szCs w:val="24"/>
          <w:lang w:val="en-US" w:eastAsia="zh-CN"/>
        </w:rPr>
        <w:t xml:space="preserve"> </w:t>
      </w:r>
      <w:r>
        <w:rPr>
          <w:rFonts w:hint="default" w:ascii="Times New Roman" w:hAnsi="Times New Roman" w:eastAsia="宋体" w:cs="Times New Roman"/>
          <w:b w:val="0"/>
          <w:bCs w:val="0"/>
          <w:snapToGrid w:val="0"/>
          <w:color w:val="000000"/>
          <w:spacing w:val="11"/>
          <w:kern w:val="0"/>
          <w:sz w:val="24"/>
          <w:szCs w:val="24"/>
          <w:lang w:val="en-US" w:eastAsia="zh-CN"/>
        </w:rPr>
        <w:t>169－2018）评价工作等级划分规定，只需对项目风险进行简单分析。</w:t>
      </w:r>
    </w:p>
    <w:p>
      <w:pPr>
        <w:keepNext w:val="0"/>
        <w:keepLines w:val="0"/>
        <w:pageBreakBefore w:val="0"/>
        <w:widowControl w:val="0"/>
        <w:kinsoku/>
        <w:wordWrap/>
        <w:overflowPunct/>
        <w:topLinePunct w:val="0"/>
        <w:autoSpaceDE/>
        <w:autoSpaceDN/>
        <w:bidi w:val="0"/>
        <w:adjustRightInd w:val="0"/>
        <w:snapToGrid w:val="0"/>
        <w:ind w:right="0" w:firstLine="420" w:firstLineChars="200"/>
        <w:jc w:val="center"/>
        <w:textAlignment w:val="auto"/>
        <w:rPr>
          <w:rFonts w:hint="default"/>
          <w:b/>
          <w:bCs/>
          <w:sz w:val="21"/>
          <w:szCs w:val="21"/>
          <w:lang w:val="en-US" w:eastAsia="zh-CN"/>
        </w:rPr>
      </w:pPr>
      <w:r>
        <w:rPr>
          <w:rFonts w:hint="default"/>
          <w:b/>
          <w:bCs/>
          <w:sz w:val="21"/>
          <w:szCs w:val="21"/>
          <w:lang w:val="en-US" w:eastAsia="zh-CN"/>
        </w:rPr>
        <w:t>表</w:t>
      </w:r>
      <w:r>
        <w:rPr>
          <w:rFonts w:hint="eastAsia"/>
          <w:b/>
          <w:bCs/>
          <w:sz w:val="21"/>
          <w:szCs w:val="21"/>
          <w:lang w:val="en-US" w:eastAsia="zh-CN"/>
        </w:rPr>
        <w:t>5.9-</w:t>
      </w:r>
      <w:r>
        <w:rPr>
          <w:rFonts w:hint="default"/>
          <w:b/>
          <w:bCs/>
          <w:sz w:val="21"/>
          <w:szCs w:val="21"/>
          <w:lang w:val="en-US" w:eastAsia="zh-CN"/>
        </w:rPr>
        <w:t>1 风险评价工作级别划分</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958"/>
        <w:gridCol w:w="1952"/>
        <w:gridCol w:w="1944"/>
        <w:gridCol w:w="1944"/>
        <w:gridCol w:w="194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环境风险潜势</w:t>
            </w:r>
          </w:p>
        </w:tc>
        <w:tc>
          <w:tcPr>
            <w:tcW w:w="100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 xml:space="preserve">IV </w:t>
            </w:r>
            <w:r>
              <w:rPr>
                <w:rFonts w:ascii="Times New Roman" w:hAnsi="Times New Roman" w:eastAsia="宋体" w:cs="Times New Roman"/>
                <w:position w:val="7"/>
                <w:sz w:val="21"/>
                <w:szCs w:val="21"/>
              </w:rPr>
              <w:t>+</w:t>
            </w:r>
            <w:r>
              <w:rPr>
                <w:rFonts w:ascii="Times New Roman" w:hAnsi="Times New Roman" w:eastAsia="宋体" w:cs="Times New Roman"/>
                <w:sz w:val="21"/>
                <w:szCs w:val="21"/>
              </w:rPr>
              <w:t>、IV</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III</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II</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w w:val="100"/>
                <w:sz w:val="21"/>
                <w:szCs w:val="21"/>
              </w:rPr>
              <w:t>I</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评价工作等级</w:t>
            </w:r>
          </w:p>
        </w:tc>
        <w:tc>
          <w:tcPr>
            <w:tcW w:w="100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w w:val="100"/>
                <w:sz w:val="21"/>
                <w:szCs w:val="21"/>
              </w:rPr>
              <w:t>一</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w w:val="100"/>
                <w:sz w:val="21"/>
                <w:szCs w:val="21"/>
              </w:rPr>
              <w:t>二</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w w:val="100"/>
                <w:sz w:val="21"/>
                <w:szCs w:val="21"/>
              </w:rPr>
              <w:t>三</w:t>
            </w:r>
          </w:p>
        </w:tc>
        <w:tc>
          <w:tcPr>
            <w:tcW w:w="9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 xml:space="preserve">简单分析 </w:t>
            </w:r>
            <w:r>
              <w:rPr>
                <w:rFonts w:ascii="Times New Roman" w:hAnsi="Times New Roman" w:eastAsia="宋体" w:cs="Times New Roman"/>
                <w:position w:val="7"/>
                <w:sz w:val="21"/>
                <w:szCs w:val="21"/>
              </w:rPr>
              <w:t>a</w:t>
            </w:r>
          </w:p>
        </w:tc>
      </w:tr>
    </w:tbl>
    <w:p>
      <w:pPr>
        <w:pStyle w:val="4"/>
        <w:bidi w:val="0"/>
        <w:rPr>
          <w:rFonts w:hint="default"/>
          <w:lang w:val="en-US" w:eastAsia="zh-CN"/>
        </w:rPr>
      </w:pPr>
      <w:r>
        <w:rPr>
          <w:rFonts w:hint="eastAsia"/>
          <w:lang w:val="en-US" w:eastAsia="zh-CN"/>
        </w:rPr>
        <w:t>5.9.3环境风险识别</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根据评价工作等级的判定，本项目环境风险潜势为Ⅰ，可以确定该项目环境风险评价为</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简单分析</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，即仅在描述危险物质、环境影响途径、环境危害后果、风险防范措施等方面给出定性的的说明。</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根据导则要求，环境风险评价的风险识别范围主要包括物质危险性识别、生产系统危险性识别以及危险物质向环境转移的途径识别。</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物质风险识别：项目使用的化学试剂的贮存和使用过程引起的环境风险事故，日常运行期间需使用各类器具及消毒剂，大部分属于危险化学品，因此，项目运行期间产生的风险主要来自于运行期间使用的危险化学品等泄漏事故排放。</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（2）生产系统危险性识别：污水处理站发生事故时，废水未经处理及消毒排放。</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（3）危险物质向环境转移的途径识别：医疗废物及污泥在收集、贮存、运送过程中的存在的风险。</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（4）发生大规模突发公共卫生事件，而疫病研究过程排风机组内设高效过滤器及废活性炭、高压灭菌装置出现故障，通风气体未经消毒直接外排。</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（5）微生物风险生物危害。</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（6）重大疾病暴发流行等突发公共卫生事件。</w:t>
      </w:r>
    </w:p>
    <w:p>
      <w:pPr>
        <w:pStyle w:val="4"/>
        <w:bidi w:val="0"/>
        <w:rPr>
          <w:rFonts w:hint="default"/>
          <w:lang w:val="en-US" w:eastAsia="zh-CN"/>
        </w:rPr>
      </w:pPr>
      <w:r>
        <w:rPr>
          <w:rFonts w:hint="eastAsia"/>
          <w:lang w:val="en-US" w:eastAsia="zh-CN"/>
        </w:rPr>
        <w:t>5.9.4</w:t>
      </w:r>
      <w:r>
        <w:rPr>
          <w:rFonts w:hint="default"/>
          <w:lang w:val="en-US" w:eastAsia="zh-CN"/>
        </w:rPr>
        <w:t>环境风险分析</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、医疗废水</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项目医疗废水处理过程中的事故因素</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医疗废水处理过程中的事故因素是操作不当或处理设施失灵，废水不能达标而直接排放。医疗废水可沾染传染性细菌和病毒等病原性微生物污染，具有传染性，可以诱发疾病或造成伤害；含有酸、碱、悬浮固体、BOD、COD和动植物油等有毒、有害物质和多种致病菌、病毒和寄生虫卵，它们在环境中具有一定的适应力，有的甚至在污水中存活较长，危害性较大；同时，这些废水如不及时处理，通过市政污水管道进入污水处理厂后，对城市污水处理厂造成冲击，导致污水处理厂处理能力下降，造成处理后水的质量下降，影响人民身体健康。</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 xml:space="preserve"> 项目医疗废水事故引起的风险影响</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因污染物防治设施非正常使用，如：管道破裂、泵设备损坏或失效、人为操作失误等，导致废水污染物未经处理直接排放至环境而引起的污染风险事故是比较常见的。且该项目废水污染物成分特殊，其影响程度要远大于达标排放。同时废水入渗影响地下水环境，主要表现为污水处理站区域等通过垂直渗透进入包气带。</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医疗废水病原细菌、病毒的影响分析</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每日接触各种病人、病原、进行各种微生物、理化实验等，因而不可避免的会在疾控中心的污水中存在各种细菌、病毒和寄生虫卵。病原细菌有沙门氏菌、痢疾志贺氏菌、霍乱菌、结核分技杆菌、布鲁氏菌属以及炭疽杆菌等。其中病原性细菌介水传播的有痢疾、伤寒、霍乱、结核杆菌等。病原性细菌具有适应环境能力强的特点，可以根据外界环境的变化而使其自身发生变异。当医疗污水消毒达不到要求时，便可使病原性细菌通过水体造成传播疾病的危险。研究资料表明，痢疾杆菌在外界生存的期限有很大的差异，少则几天，长者达数月之久。霍乱和霍乱弧菌在室温条件下的烘便中数即死亡，在阴沟或泥土中可生存 3-4d，在蔬菜或水果上可生存 3-5d，在污染的潮湿衣服上可生存数周，在海水中可以生存 2个月。结核杆菌在外界环境中的抵抗力则更强，由于其菌体内含有脂类，所以不论是在干燥的痰内、空气中，其传染力可达 8-10d。在污水中的存活时间长达 11-14个月。肠道病毒是指经肠道传播疾病的一种病毒。包括肝炎病毒、脊髓灰质炎病毒、柯萨奇病毒、ECHO病毒、REO病毒等。这此病毒都能介水传播。通过流行病学调查和细菌学检验证明，国内外历次大的传染病曝发流行几乎都与水源污染、饮用或接触被污染的水有关。带病菌的污水流入海水中还可能使海里的生物带菌，并通过食物链最终危害到人类自身的健康。医疗废水病原细菌、病毒排入水体对水环境的影响较大。</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、备用发电机柴油使用、储存风险分析</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备用发电机柴油使用、储存风险分析柴油理化性质：属于稍有粘性的棕色液体。熔点-18℃、沸点 82～338℃，相对密度 0.87～0.9、闪点大于 50℃，遇明火、高热或与氧化剂接触，有引起燃烧爆炸的危险。若遇高热，容器内压增大，有开裂和爆炸的危险。柴油属于易燃易爆物，但项目柴油发电机房内柴油贮存量低，为0.5m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。储罐泄漏或油气蒸发，遇空气且现场有明火易发生火灾，产生消防废水、一氧化碳等次生污染物，如处理不当而进入周边环境，对周围大气、地表水、地下水、土壤及生态环境容易造成污染影响。</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、医疗废物及污泥泄漏风险</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医疗垃圾及污泥中可能存在传染性病菌、病毒、化学污染物等有害物质，由于医疗垃圾具有空间污染、急性传染和潜伏性污染等特征，其病毒、病菌的危害性是普通生活垃圾的几十、几百甚至上千倍，且基本没有回收再利用的价值。在国外，医疗垃圾被视为“顶级危险”和“致命杀手”。据检测，医疗垃圾中存在着大量的病菌、病毒等，如乙肝表面抗原阳性率在未经浓缩的样品中为7.42%，医疗垃圾的阳性率则高达8.9%。有关资料证实，医疗垃圾引起的交叉感染占社会交叉感染率的20%。在我国，也早已将其列为头号危险废物。医疗垃圾残留及衍生的大量病菌是十分有害有毒的物质，如果不经分类收集等有效处理的话，很容易引起各种疾病的传播和蔓延。例如，如果项目医疗垃圾和生活垃圾混合一起的话，则可能会将还有病毒细菌的医疗垃圾经非法收集回收加工后成为人们需要的日常生活用品，如：纱布、绷带、带血棉球制成棉被、医疗废弃石膏做成豆腐等。将极大地危害人们身心健康，成为疫病流行的源头，后果是不可想象的。</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4、危险化学品泄漏风险分析</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实验室化学试剂瓶罐破裂、化学试剂发生泄漏，进而对疾控中心操作人员带来毒性、腐蚀性等不利影响。由于化学试剂瓶罐均在项目疾控中心业务大楼实验用品储藏室，项目针对实验用化学试剂制定严格的安全操作管理规定，最大限度地杜绝化学试剂瓶罐破裂泄漏现象的发生，不会对项目外环境带来显著不利影响</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5、生物安全影响分析</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按照《病原微生物实验室生物安全管理条例》第二十一条“一级、二级实验室不得从事高致病性病原微生物实验活动。”本项目不涉及高致病性病原微生物。虽然 2 级生物安全实验室涉及的微生物在通常情况下不会引起人类或者动物疾病，但若生物安全设备、操作流程或应急程序措施不完善，依然存在对人员和周边环境的影响隐患。本报告将对项目生物安全风险进行识别、分析本项目的生物安全防范措施、提出生物安全应急预案，以最大程度减少微生物对周围环境的影响。</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实验室不涉及动物实验，仅为致病性有害细菌、病毒等微生物或生物活性物质的使用分析，这些微生物或生物活性物质在储存、使用和运输过程中不慎泄露进入环境，可能对扩散区域的生物或人群造成感染，构成不同程度的健康威胁。本项目事故影响方式主要包括事故性感染和气溶胶感染。其中，事故性感染，一般是由于实验人员在操作过程中出现疏忽，使本来接触不到的微生物污染环境，直接或间接感染实验人员；气溶胶感染是指病原微生物以气溶胶形式飘散于空气中，吸入这种空气后就会造成感染。</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综上所述，从影响途径来看，致病微生物或其携带者通过直接接触或以气溶胶形式通过空气传播对吸入者造成感染，因此，采取有效隔离和防护措施，并实施全过程安全监管是防范生物安全事故的必要措施。</w:t>
      </w:r>
    </w:p>
    <w:p>
      <w:pPr>
        <w:pStyle w:val="4"/>
        <w:bidi w:val="0"/>
        <w:rPr>
          <w:rFonts w:hint="default"/>
          <w:lang w:val="en-US" w:eastAsia="zh-CN"/>
        </w:rPr>
      </w:pPr>
      <w:r>
        <w:rPr>
          <w:rFonts w:hint="eastAsia"/>
          <w:lang w:val="en-US" w:eastAsia="zh-CN"/>
        </w:rPr>
        <w:t>5.9.5</w:t>
      </w:r>
      <w:r>
        <w:rPr>
          <w:rFonts w:hint="default"/>
          <w:lang w:val="en-US" w:eastAsia="zh-CN"/>
        </w:rPr>
        <w:t xml:space="preserve"> 风险防范和管理措施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、危险废物防范措施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医疗废物必须经科学地分类收集、贮存运送后交由有资质单位回收处置。鉴于医疗垃圾的极大危害性，本项目在收集、贮存、运送医疗废物的过程中存在着一定的风险。为保证项目产生的医疗垃圾得到有效处置，使其风险减少到最小程度，而不会对周围环境造成不良影响，应具体采取如下的措施进行防范。污泥清掏前应进行监测，并进行消毒灭菌处理；废药物、药品定期收集，应按危险废物进行处理和处置。</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A、应对项目产生的医疗垃圾进行科学的分类收集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 3/4 时，应当使用有效的封口方式，使包装物或者容器的封口紧实、严密。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对于盛装医疗废物的塑料包装袋应当符合下列要求：</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①包装袋在正常使用情况下，不应出现渗漏、破裂或穿孔；</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②采用高温热处置技术处置医疗废物时，包装袋不应使用聚氯乙烯材料；</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③包装袋大小适中，便于操作，配合周转箱（桶）运输；</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④包装袋的颜色为淡黄，包装袋的明显处应印有警示标志和警告语。</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而盛装医疗废物的周转箱（桶）应符合下列要求：</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①周转箱（桶）整体应了液体渗漏，应便于清洗和消毒；</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②周转箱（桶）整体应淡黄，箱体侧面或桶身明显处应印有警示标志和警告语；</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③周转箱整体装配密闭，箱体与箱盖能牢固扣紧，扣紧后不分离；</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④推荐尺寸长×宽×高为 600×400×300（或 400）mm。</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项目产生的医疗废物中病原体的标本等高危险废物，由实验室产生部门首先在产生地点进行压力高压蒸汽灭菌或者化学消毒处理，然后按感染性废物收集处理；化学性废物中批量的废化学试剂、废消毒剂应当由药剂科交由专门机构处置；批量的含有汞的体温计、血压计等医疗器具报废时，应当由设备科交由专门机构处置。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所有锐利物都必须单独存放，并统一按医学废物处理。收集锐利物日包装容器必须使用硬质、防漏、防刺破材料。针或刀应保存在有明显标记、防泄漏、防刺破的容器内。处理含有锐利物品的感染性废料时应使用防刺破手套。另外，有害化学废物不能与一般废物、无害化学废物或感染性废物相混合。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r>
        <w:rPr>
          <w:rFonts w:hint="eastAsia"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B</w:t>
      </w:r>
      <w:r>
        <w:rPr>
          <w:rFonts w:hint="default" w:ascii="Times New Roman" w:hAnsi="Times New Roman" w:eastAsia="宋体" w:cs="Times New Roman"/>
          <w:b w:val="0"/>
          <w:bCs w:val="0"/>
          <w:snapToGrid w:val="0"/>
          <w:color w:val="000000"/>
          <w:spacing w:val="11"/>
          <w:kern w:val="0"/>
          <w:sz w:val="24"/>
          <w:szCs w:val="24"/>
          <w:lang w:val="en-US" w:eastAsia="zh-CN"/>
        </w:rPr>
        <w:t xml:space="preserve"> 、医疗废物、污泥贮存、运送过程中的事故</w:t>
      </w:r>
      <w:r>
        <w:rPr>
          <w:rFonts w:hint="eastAsia" w:ascii="Times New Roman" w:hAnsi="Times New Roman" w:eastAsia="宋体" w:cs="Times New Roman"/>
          <w:b w:val="0"/>
          <w:bCs w:val="0"/>
          <w:snapToGrid w:val="0"/>
          <w:color w:val="000000"/>
          <w:spacing w:val="11"/>
          <w:kern w:val="0"/>
          <w:sz w:val="24"/>
          <w:szCs w:val="24"/>
          <w:lang w:val="en-US" w:eastAsia="zh-CN"/>
        </w:rPr>
        <w:t>防范及</w:t>
      </w:r>
      <w:r>
        <w:rPr>
          <w:rFonts w:hint="default" w:ascii="Times New Roman" w:hAnsi="Times New Roman" w:eastAsia="宋体" w:cs="Times New Roman"/>
          <w:b w:val="0"/>
          <w:bCs w:val="0"/>
          <w:snapToGrid w:val="0"/>
          <w:color w:val="000000"/>
          <w:spacing w:val="11"/>
          <w:kern w:val="0"/>
          <w:sz w:val="24"/>
          <w:szCs w:val="24"/>
          <w:lang w:val="en-US" w:eastAsia="zh-CN"/>
        </w:rPr>
        <w:t>应急措施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①及时收集产生的医疗废物、污泥，并按照类别分置于防渗漏、防锐器穿透的专用包装物或者密闭的容器内。其中医疗废物专用包装物、容器，应当有明显的警示标识和警示说明；</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②常温下医疗废物贮存期不得超过一天；医疗废物中病原体的培养基、标本和菌种、毒种保存液等高危险废物，在交由有相应资质的单位处置前就地消毒；</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③使用防渗漏、防遗撒的专用运送工具，按照确定的内部医疗废物运送时间、路线，将医疗废物收集、运送至暂时贮存地点。医疗废物的暂时贮存设施、设备应当定期消毒和清洁；</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贮存及转运过程中若发生泄漏事故，应及时对溢出、散落的医疗废物迅速进行收集、清理和消毒处理。对于液体溢出物质采用吸附材料吸收处理。清理人员在进行清理工作时须穿戴防护服、手套、口罩、防护靴等防护用品，清理工作结束后，用具和防护用具均要进行消毒处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只要落实好上述措施，根据对各疾控中心目前的运营情况来看，发生医疗废物环境风险事故的概率也较低。本项目危险固废泄漏风险事故发生概率是可以控制在可接受的水平之内的。</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污水事故排放风险防范措施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1）疾控中心须对污水处理系统进行专项检查、定期检查，及时维修或更换老化的设备及部件，消除隐患，防止事故发生；加强管理，对污水处理系统操作人员进行环保教育和职业技能培训，做到安全正常运行。</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2）疾控中心需要对污水处理站配备应急电源，在断电时，启用应急电源，优先保证污水处理系统的用电，使其正常运转。</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3）疾控中心须备有应急消毒剂，采用人工添加消毒剂的方式对污水进行消毒处理，做到达标排放。</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4）针对实验室废水事故排放所产生的风险，本项目</w:t>
      </w:r>
      <w:r>
        <w:rPr>
          <w:rFonts w:hint="eastAsia" w:ascii="Times New Roman" w:hAnsi="Times New Roman" w:eastAsia="宋体" w:cs="Times New Roman"/>
          <w:b w:val="0"/>
          <w:bCs w:val="0"/>
          <w:snapToGrid w:val="0"/>
          <w:color w:val="000000"/>
          <w:spacing w:val="11"/>
          <w:kern w:val="0"/>
          <w:sz w:val="24"/>
          <w:szCs w:val="24"/>
          <w:lang w:val="en-US" w:eastAsia="zh-CN"/>
        </w:rPr>
        <w:t>配套建设</w:t>
      </w:r>
      <w:r>
        <w:rPr>
          <w:rFonts w:hint="default" w:ascii="Times New Roman" w:hAnsi="Times New Roman" w:eastAsia="宋体" w:cs="Times New Roman"/>
          <w:b w:val="0"/>
          <w:bCs w:val="0"/>
          <w:snapToGrid w:val="0"/>
          <w:color w:val="000000"/>
          <w:spacing w:val="11"/>
          <w:kern w:val="0"/>
          <w:sz w:val="24"/>
          <w:szCs w:val="24"/>
          <w:lang w:val="en-US" w:eastAsia="zh-CN"/>
        </w:rPr>
        <w:t xml:space="preserve">事故池，池容积为 </w:t>
      </w:r>
      <w:r>
        <w:rPr>
          <w:rFonts w:hint="eastAsia" w:ascii="Times New Roman" w:hAnsi="Times New Roman" w:eastAsia="宋体" w:cs="Times New Roman"/>
          <w:b w:val="0"/>
          <w:bCs w:val="0"/>
          <w:snapToGrid w:val="0"/>
          <w:color w:val="000000"/>
          <w:spacing w:val="11"/>
          <w:kern w:val="0"/>
          <w:sz w:val="24"/>
          <w:szCs w:val="24"/>
          <w:lang w:val="en-US" w:eastAsia="zh-CN"/>
        </w:rPr>
        <w:t>3.0</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符合</w:t>
      </w:r>
      <w:r>
        <w:rPr>
          <w:rFonts w:hint="default" w:ascii="Times New Roman" w:hAnsi="Times New Roman" w:eastAsia="宋体" w:cs="Times New Roman"/>
          <w:b w:val="0"/>
          <w:bCs w:val="0"/>
          <w:snapToGrid w:val="0"/>
          <w:color w:val="000000"/>
          <w:spacing w:val="11"/>
          <w:kern w:val="0"/>
          <w:sz w:val="24"/>
          <w:szCs w:val="24"/>
          <w:lang w:val="en-US" w:eastAsia="zh-CN"/>
        </w:rPr>
        <w:t>《医院污水处理工程技术规范》（HJ2029-2013）</w:t>
      </w:r>
      <w:r>
        <w:rPr>
          <w:rFonts w:hint="eastAsia" w:ascii="Times New Roman" w:hAnsi="Times New Roman" w:eastAsia="宋体" w:cs="Times New Roman"/>
          <w:b w:val="0"/>
          <w:bCs w:val="0"/>
          <w:snapToGrid w:val="0"/>
          <w:color w:val="000000"/>
          <w:spacing w:val="11"/>
          <w:kern w:val="0"/>
          <w:sz w:val="24"/>
          <w:szCs w:val="24"/>
          <w:lang w:val="en-US" w:eastAsia="zh-CN"/>
        </w:rPr>
        <w:t>中相关要求</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、生物</w:t>
      </w:r>
      <w:r>
        <w:rPr>
          <w:rFonts w:hint="eastAsia" w:ascii="Times New Roman" w:hAnsi="Times New Roman" w:eastAsia="宋体" w:cs="Times New Roman"/>
          <w:b w:val="0"/>
          <w:bCs w:val="0"/>
          <w:snapToGrid w:val="0"/>
          <w:color w:val="000000"/>
          <w:spacing w:val="11"/>
          <w:kern w:val="0"/>
          <w:sz w:val="24"/>
          <w:szCs w:val="24"/>
          <w:lang w:val="en-US" w:eastAsia="zh-CN"/>
        </w:rPr>
        <w:t>安全</w:t>
      </w:r>
      <w:r>
        <w:rPr>
          <w:rFonts w:hint="default" w:ascii="Times New Roman" w:hAnsi="Times New Roman" w:eastAsia="宋体" w:cs="Times New Roman"/>
          <w:b w:val="0"/>
          <w:bCs w:val="0"/>
          <w:snapToGrid w:val="0"/>
          <w:color w:val="000000"/>
          <w:spacing w:val="11"/>
          <w:kern w:val="0"/>
          <w:sz w:val="24"/>
          <w:szCs w:val="24"/>
          <w:lang w:val="en-US" w:eastAsia="zh-CN"/>
        </w:rPr>
        <w:t>防范措施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生物安全实验室设计要求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本项目生物实验严格按照</w:t>
      </w:r>
      <w:r>
        <w:rPr>
          <w:rFonts w:hint="default" w:ascii="Times New Roman" w:hAnsi="Times New Roman" w:eastAsia="宋体" w:cs="Times New Roman"/>
          <w:b w:val="0"/>
          <w:bCs w:val="0"/>
          <w:snapToGrid w:val="0"/>
          <w:color w:val="000000"/>
          <w:spacing w:val="11"/>
          <w:kern w:val="0"/>
          <w:sz w:val="24"/>
          <w:szCs w:val="24"/>
          <w:lang w:val="en-US" w:eastAsia="zh-CN"/>
        </w:rPr>
        <w:t>《微生物和生物医学实验室生物安全通用准则》（WS233-2002）、《实验室生物安全通用要求》（GB19489-2008）、《生物安全实验室建筑技术规范》（GB50346-2011）、《病原微生物实验室生物安全管理条例》（2004 年 11 月）、《微生物和生物医学实验室生物安全通用准则》（WS233-2002）等规范、条例</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从安全设备、个体防护、实验室设计和建造等方面对生物安全实验室</w:t>
      </w:r>
      <w:r>
        <w:rPr>
          <w:rFonts w:hint="eastAsia" w:ascii="Times New Roman" w:hAnsi="Times New Roman" w:eastAsia="宋体" w:cs="Times New Roman"/>
          <w:b w:val="0"/>
          <w:bCs w:val="0"/>
          <w:snapToGrid w:val="0"/>
          <w:color w:val="000000"/>
          <w:spacing w:val="11"/>
          <w:kern w:val="0"/>
          <w:sz w:val="24"/>
          <w:szCs w:val="24"/>
          <w:lang w:val="en-US" w:eastAsia="zh-CN"/>
        </w:rPr>
        <w:t>进行建设</w:t>
      </w:r>
      <w:r>
        <w:rPr>
          <w:rFonts w:hint="default" w:ascii="Times New Roman" w:hAnsi="Times New Roman" w:eastAsia="宋体" w:cs="Times New Roman"/>
          <w:b w:val="0"/>
          <w:bCs w:val="0"/>
          <w:snapToGrid w:val="0"/>
          <w:color w:val="000000"/>
          <w:spacing w:val="11"/>
          <w:kern w:val="0"/>
          <w:sz w:val="24"/>
          <w:szCs w:val="24"/>
          <w:lang w:val="en-US"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生物安全防护</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在有关生物技术的实验室和生产过程中，对职业性接触生物危害物质的操作人员必须采取以下 3 条防护策略：①积极防止操作人员在污染环境中接触危害物质；②努力设法封闭生物危害材料产生的根源，以防止其向操作的周围环境释放；③尽量减少危害材料向周围环境意外释放所造成的后果。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这些防护策略的基本观点，归根结底就是对生物危害采取遏制、封闭或称为控制的方式防患于未然，这也是生物安全技术的出发点。以下结合本项目情况对生物安全防护措施进行分析。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①生物控制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生物控制就是根据实验生物的特殊性质，从生物学角度建立一种特殊的安全防护方法。为达到生物控制效果，生物技术工业生产中都倾向于采用低危险的生物体，这样可在一定程度上降低生产中昂贵的物理控制设施要求及操作安全控制程度。但本项目非工业化生产项目，实验生物的危险性需根据社会需要而定，并不能采取选择低危险生物等措施，故从生物控制方面无法采取有效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②物理控制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物理控制是对病原微生物实验的生物危害材料，从物理学的角度进行控制的一种防护方法。它涉及到操作方法、实验设备、实验室建筑和相应的设施等多方面的内容，可分为以下 2 项。</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实验操作规程物理控制的基本内容来自微生物实验的标准操作，是病原微生物实验安全的主要手段。长期以来，在微生物实验室已经建立了相当完善的无菌操作、清洗、灭菌、溢出处理等常规操作，包括基本操作步骤、防护服装、清洁卫生、废料管理等内容。业主拟根据《实验室生物安全通用要求》、《病原微生物实验室生物安全通用准则》等规划要求，严格按照实验室操作规程进行检验检疫工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特殊操作要求对于不同危害程度的病原学因子，通过注重强化管理制度的完善和执行，采用物理控制以及风险评估的方法消除危害，针对不同等级分别提出一系列特殊的要求，包括标志制定，操作人员、实验动物和物料的出入规定，紧急应变计划等安全守则，无论是直接地还是间接地从事这类实验的全体人员都要通过培训掌握这些特殊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3）屏障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屏障是物理控制的常用方法，通过采用封闭设备和隔离设施构建而成。根据它们所处的地位和作用，设有一级屏障与二级屏障两道防线。在一所生物安全实验室里，室内的生物安全柜、个人防护装备等封闭设备、仪器发挥着主要的或第一位的屏障作用，称为一级屏障或主屏障；而整个实验室的墙壁、地坪、天花板等建筑构件和通风管道等设施，发挥着辅助的或第二位的作用，称为二级屏障或副屏障。同时，对于任何一个实验过程，由实验仪器、设备构成的若干单元操作所建立的实验系统可认为是一级屏障或主屏障，而实验室则可认为是二级屏障或副屏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①一级屏障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生物技术实验室的一级屏障可由 4 种单元构成：结构屏障；空气屏障；过滤屏障；灭活屏障。按照不同的实验要求和安全等级进行组合，构成相应的封闭实验设备或设施，最典型的是生物安全柜。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生物安全柜是用于从事致病性病原微生物检测与研究的安全防护设施，它具有保护实验操作人员、实验环境和实验对象（样本）不受污染的作用。其工作原理为：生物安全柜正常工作的情况下，实验环境的气流经高效空气过滤器过滤净化后从安全柜顶部垂直向下流动到工作台面，然后气流通过前后左右的回风栅经排风通道回到顶部再经高效空气过滤器过滤后排到室外。就是说，从生物安全柜内的气流排到室外是安全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因为，高效空气过滤器对粒子等于和大于 0.5um 粒子（这个粒径基本上包括了所有的细菌、孢子和病毒）的效率为 99.999%。典型的高效过滤器的介质是单层的硼硅酸盐纤维。摺皱的滤材又用铝盖板分开。滤材被粘合到木头、金属或塑料框架上。对于生物安全柜的有效性检测，《病原微生物实验室生物安全通用准则》中均有明确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另外，从生物安全柜中拿出的物品或实验废弃物，首先放入消毒袋中，经高压蒸汽灭菌器 121℃、30 分钟消毒灭菌后统一处理。实验完成后，还要对整个实验室进行全面消毒（过氧化氢熏蒸和紫外消毒），达到《消毒与灭菌效果的评价方法与标准》（GB15981-1995）中要求，以确保整个实验过程都是安全的。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②二级屏障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二级屏障是一级屏障的外围设施。实验室/围护结构本身就构成一种二级屏障，能够在一级屏障失效或其外部发生意外时，使其他实验室及周围人群不致暴露于释放的实验材料之中而受到保护。</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二级屏障是由实验室的建筑与工程构件加上支撑的机械系统组成的。实验室的建筑必须有一定的面积和空间、适当的建筑结构和必要的室内装饰，应该便于清洗和维护；内部的墙面、平顶和地坪必须材质坚硬、平整、光滑、无缝隙、无死角、无颗粒性物质脱落、易清洗、易消毒；与一般非控制区的连接应设置缓冲室，门要求关闭严密、造型简单，窗应密闭，仅供采光需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消毒、防护措施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实验室固体废物消毒固体废物包括：玻璃器皿、报废物品、染毒培养物等。在拟建项目主实验室内使用过的报废物品（塑料瓶、一次性注射器等）、染毒培养物及玻璃器皿等，一律放在消毒桶内进行化学消毒，消毒后将固体废物装入密封袋中密封，再经表面消毒处理后用高压蒸汽灭菌器进行消毒处理，处理后从清洗间取出，运出实验区域。针头、废弃玻璃器皿、玻璃瓶等利器，放在耐扎的不锈钢制容器中，进行灭活和化学消毒。处理后的固体废物采用符合标准的容器收集后集中放置在危废暂存间，定期交由资质单位处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②固体废物集中场所、运输车辆消毒</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项目实验室产生的固体废物集中放置在危废暂存间，定期交由具有资质单位收运处置。实验室工作人员定期对清洗间及固体废物运输通道进行喷雾消毒处理。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③个人防护装备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根据拟建项目运行后检测的病原微生物种类和实验操作内容，实验人员采用的个人防护装置包括带头套专用隔离服装、鞋套、口罩、护目镜、手套等。个人防护装备主要注意事项如下：</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a、实验室防护服：实验室应确保具备足够的有适当防护水平的清洁防护服可供使用。不用时，应将清洁的防护服置于专用存放处。污染的防护服应于适当标记的防漏袋中放置并搬运。离开实验室区域之前应脱去防护服。</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b、面部及身体防护：在处理危险材料时应有许可使用的安全眼镜、面部防护罩或其它的眼部、面部保护装置可供使用。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c、手套：手套应在实验室工作时可供使用，以防生物危害、化学品、产品污染等。手套应按所从事操作的性质符合舒服、合时、灵活、握牢、耐磨、耐扎和耐撕的要求。在工作完成或中止后应消毒、摘掉并安全处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d、鞋：鞋应舒适，鞋底防滑。根据实验要求具体选择。</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e、呼吸防护：呼吸防护装备主要包括口罩、呼吸面具等。进行容易产生高危害气溶胶的操作时，要求同时使用适当的个人防护装备、生物安全柜和/或其它物理防护设备。所有个人防护装备必须确保使用前清洁、无菌，使用后严格消毒、灭菌。除以上防护装备外，还需要注意以下内容：</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实验过程中应注意力集中，避免被利器（注射器针头、解剖刀、剪等）划伤皮肤。在接触或可能接触体液或其它污染材料后，要喷洒消毒液或更换新的手套。</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除以上必要的个人防护装置外，实验人员严格按照实验需要和操作规程进行操作，防止病原微生物的感染。</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4</w:t>
      </w:r>
      <w:r>
        <w:rPr>
          <w:rFonts w:hint="default" w:ascii="Times New Roman" w:hAnsi="Times New Roman" w:eastAsia="宋体" w:cs="Times New Roman"/>
          <w:b w:val="0"/>
          <w:bCs w:val="0"/>
          <w:snapToGrid w:val="0"/>
          <w:color w:val="000000"/>
          <w:spacing w:val="11"/>
          <w:kern w:val="0"/>
          <w:sz w:val="24"/>
          <w:szCs w:val="24"/>
          <w:lang w:val="en-US" w:eastAsia="zh-CN"/>
        </w:rPr>
        <w:t>）实验室环境管理规定</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实验室必须按照《实验室生物安全通用要求》(GB19489-2008)相关要求做好实验室设计、消防、管理等工作，制定相应的应急预案。传染病检测中按照规范要求进行分区、隔离、灭菌等，做好医疗废物以及病菌性废物的的处理处置工作，实验室操作过程中传染病检测中按照规范要求进行分区、隔离、灭菌等，要求加强标准样品管理，规范实验操作，强化实验废物处理，确保含病菌性的废水、废气、固废等均能得到有效处理，不对环境造成污染。</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①建立危险废物登记制度，对其产生的危险废物进行登记。登记内容应当包括危险废物的来源、种类、重量或者数量、处置方法、最终去向以及经办人签名等项目。登记资料至少保存 3 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②及时收集其实验活动中产生的危险废物，并按照类别分别置于防渗漏、防锐器穿透等符合国家有关环境保护要求的专用包装物、容器内，并按国家规定要求设置明显的危险废物警示标识和说明。</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③配备符合国家法律、行政法规和有关技术规范要求的危险废物暂时贮存柜（箱）或者其他设施、设备。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④按照国家有关规定对危险废物就地进行无害化处理，并根据就近集中处置的原则，及时将经无害化处理后的危险废物交由依法取得危险废物经营许可证的单位集中处置。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⑤转移危险废物的，应当按照《固体废物污染环境防治法》和国家生态环境部的有关规定，执行危险废物转移联单制度。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⑥不得随意丢弃、倾倒、堆放危险废物，不得将危险废物混入其他废物和生活垃圾中。</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5</w:t>
      </w:r>
      <w:r>
        <w:rPr>
          <w:rFonts w:hint="default" w:ascii="Times New Roman" w:hAnsi="Times New Roman" w:eastAsia="宋体" w:cs="Times New Roman"/>
          <w:b w:val="0"/>
          <w:bCs w:val="0"/>
          <w:snapToGrid w:val="0"/>
          <w:color w:val="000000"/>
          <w:spacing w:val="11"/>
          <w:kern w:val="0"/>
          <w:sz w:val="24"/>
          <w:szCs w:val="24"/>
          <w:lang w:val="en-US" w:eastAsia="zh-CN"/>
        </w:rPr>
        <w:t>）实验室有害微生物灭活措施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本项目微生物实验室、PCR 实验室有害微生物灭活采用以下措施：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①高压蒸汽消毒，121℃，102.9kPa，保持30min；</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②实验室每次检测完毕后，采用房间固定或可移动紫外灯进行紫外照射 2 小时以上；</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③每天实验后，使用0.2%含氯消毒剂或75%酒精进行实验室台面、地面清洁；实验结束后，关闭生物安全柜，采用紫外灯照射30 分钟。</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④实验使用后的感染性废物放入医疗废物垃圾袋中，包扎后使用0.2%含有效氯消毒液或 75%酒精喷洒消毒其外表面</w:t>
      </w:r>
      <w:r>
        <w:rPr>
          <w:rFonts w:hint="eastAsia"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4、备用发电机柴油使用、储存风险防范措施</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①柴油发电机房按照相关标准设计，发电机房与场区建筑物之间应满足防火距离要求。应将柴油储存于阴凉干燥处，避免阳光直射，并且设有明显的柴油警示标识和“禁止吸烟”的警示标识。</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②发电机房柴油储存围设置围堰，围堰内用混凝土层防渗。</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若发生柴油泄漏时，应用专门收集容器收集，并用木糠、沙土等吸附。小量泄漏：用活性炭或其它惰性材料吸收。大量泄漏：构筑围堤收容，围堤容量应大于储罐容量，同时日常应设置专用的空储罐，备用于收集围堤内泄漏的柴油</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④按《建筑设计防火规范》（GB50016-2006）要求，配置消防栓、干粉灭火器等消防器材，满足火灾突发事件的消防应急需求。</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5、危险化学品泄漏、爆炸和火灾风险防范措施</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1）实验室制定安全操作管理规程，每日安排专人对化学试剂的安全存放、使用进行检查，努力确保化学试剂不发生泄漏及火灾爆炸。</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2）加强对实验室操作人员的环境安全宣传教育，严格按操作规程操作，杜绝化学试剂瓶罐破裂现象的发生，不使用化学试剂时要及时将瓶罐口封闭。</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3）存在化学试剂的科室应远离明火，最大限度地杜绝火灾爆炸现象的发生。</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4）结合化学试剂的理化性质，严格控制存在化学试剂的科室的室内温度，当室内温度较高时，应尽量减少使用或不用易挥发的化学试剂。</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5）加强对化学试剂操作人员个体防护，如穿防护工作服、戴口罩及手套等。</w:t>
      </w:r>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6）易燃、易爆危险品存放地点严禁烟火，分类存放，经常检查，防止因变质、分解造成自然和爆炸事故。遇水易发生爆炸、燃烧的化学物品，不准放置在潮湿或者易积水、漏水的地点。受阳光照射容易引爆的危险品，要存放在阴凉地点；易燃易爆危险品搬运过程要轻拿轻放，防止震动、撞击、重压、倾倒和摩擦。有毒化学品存放场所应阴凉、通风、干燥，不得与其相抵触的物品混放混运。减少危险化学品储存量，专人管理，严格执行领料制度。危险品存放地点严禁闲人进入，保管人员工作结束离开前要进行安全检查。一旦发现缺损或丢失时，要立即向主管领导报告，并同时报院保卫部门。院领导每年检查一次管理及制度执行情况。</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7）各使用部门领取危险化学品必须指定专人负责，领取人要当面点清品种和数量，并在领取凭证签收，做到需要多少领多少，不准过多领取。若有剩余必须由使用科室主管人员负责上交，用过的容器、器皿、废溶液等要妥善处理，严禁乱扔乱放</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4"/>
        <w:bidi w:val="0"/>
      </w:pPr>
      <w:r>
        <w:rPr>
          <w:rFonts w:hint="eastAsia"/>
          <w:lang w:val="en-US" w:eastAsia="zh-CN"/>
        </w:rPr>
        <w:t>5.9.6</w:t>
      </w:r>
      <w:r>
        <w:rPr>
          <w:rFonts w:hint="eastAsia"/>
        </w:rPr>
        <w:t>环境风险应急预案</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根据国家环保部有关文件的要求，通过对污染事故的风险评价，各有关企业应制定重大的环境污染事故发生的工作计划，消除事故隐患及突发性事故的应急办法等。本项目环境保护应急预案应包括内容见表5.9-2。</w:t>
      </w:r>
    </w:p>
    <w:p>
      <w:pPr>
        <w:pStyle w:val="30"/>
        <w:spacing w:line="360" w:lineRule="auto"/>
        <w:jc w:val="center"/>
        <w:rPr>
          <w:b/>
          <w:sz w:val="21"/>
          <w:szCs w:val="21"/>
          <w:u w:val="none"/>
        </w:rPr>
      </w:pPr>
      <w:r>
        <w:rPr>
          <w:b/>
          <w:sz w:val="21"/>
          <w:szCs w:val="21"/>
          <w:u w:val="none"/>
        </w:rPr>
        <w:t>表</w:t>
      </w:r>
      <w:r>
        <w:rPr>
          <w:rFonts w:hint="eastAsia" w:ascii="Times New Roman" w:eastAsia="宋体" w:cs="Times New Roman"/>
          <w:b/>
          <w:sz w:val="21"/>
          <w:szCs w:val="21"/>
          <w:u w:val="none"/>
          <w:lang w:val="en-US" w:eastAsia="zh-CN"/>
        </w:rPr>
        <w:t>5.9-</w:t>
      </w:r>
      <w:r>
        <w:rPr>
          <w:rFonts w:hint="eastAsia" w:ascii="Times New Roman" w:cs="Times New Roman"/>
          <w:b/>
          <w:sz w:val="21"/>
          <w:szCs w:val="21"/>
          <w:u w:val="none"/>
          <w:lang w:val="en-US" w:eastAsia="zh-CN"/>
        </w:rPr>
        <w:t>2</w:t>
      </w:r>
      <w:r>
        <w:rPr>
          <w:rFonts w:ascii="Times New Roman" w:cs="Times New Roman"/>
          <w:b/>
          <w:sz w:val="21"/>
          <w:szCs w:val="21"/>
          <w:u w:val="none"/>
        </w:rPr>
        <w:t xml:space="preserve"> </w:t>
      </w:r>
      <w:r>
        <w:rPr>
          <w:b/>
          <w:sz w:val="21"/>
          <w:szCs w:val="21"/>
          <w:u w:val="none"/>
        </w:rPr>
        <w:t xml:space="preserve"> </w:t>
      </w:r>
      <w:r>
        <w:rPr>
          <w:rFonts w:hint="eastAsia"/>
          <w:b/>
          <w:sz w:val="21"/>
          <w:szCs w:val="21"/>
          <w:u w:val="none"/>
        </w:rPr>
        <w:t xml:space="preserve"> </w:t>
      </w:r>
      <w:r>
        <w:rPr>
          <w:b/>
          <w:sz w:val="21"/>
          <w:szCs w:val="21"/>
          <w:u w:val="none"/>
        </w:rPr>
        <w:t>本项目环境风险应急预案内容一览表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0"/>
        <w:gridCol w:w="2571"/>
        <w:gridCol w:w="6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ascii="宋体" w:hAnsi="宋体" w:cs="宋体"/>
                <w:bCs/>
                <w:kern w:val="21"/>
                <w:sz w:val="21"/>
                <w:szCs w:val="21"/>
                <w:u w:val="none"/>
              </w:rPr>
              <w:t>序号</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ascii="宋体" w:hAnsi="宋体" w:cs="宋体"/>
                <w:bCs/>
                <w:kern w:val="21"/>
                <w:sz w:val="21"/>
                <w:szCs w:val="21"/>
                <w:u w:val="none"/>
              </w:rPr>
              <w:t>项目</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ascii="宋体" w:hAnsi="宋体" w:cs="宋体"/>
                <w:bCs/>
                <w:kern w:val="21"/>
                <w:sz w:val="21"/>
                <w:szCs w:val="21"/>
                <w:u w:val="none"/>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Times New Roman"/>
                <w:kern w:val="21"/>
                <w:sz w:val="21"/>
                <w:szCs w:val="21"/>
                <w:u w:val="none"/>
              </w:rPr>
            </w:pPr>
            <w:r>
              <w:rPr>
                <w:rFonts w:ascii="Times New Roman" w:hAnsi="Times New Roman" w:eastAsia="等线"/>
                <w:kern w:val="21"/>
                <w:sz w:val="21"/>
                <w:szCs w:val="21"/>
                <w:u w:val="none"/>
                <w:lang w:eastAsia="zh-CN"/>
              </w:rPr>
              <w:t>1</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hint="eastAsia" w:ascii="宋体" w:hAnsi="宋体" w:cs="宋体"/>
                <w:kern w:val="21"/>
                <w:sz w:val="21"/>
                <w:szCs w:val="21"/>
                <w:u w:val="none"/>
                <w:lang w:eastAsia="zh-CN"/>
              </w:rPr>
              <w:t>应急组织机构、人员</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设立事故应急机构，人员由企业主要领导、安全负责人、环保负责人等主要人员组成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等线"/>
                <w:kern w:val="21"/>
                <w:sz w:val="21"/>
                <w:szCs w:val="21"/>
                <w:u w:val="none"/>
                <w:lang w:eastAsia="zh-CN"/>
              </w:rPr>
            </w:pPr>
            <w:r>
              <w:rPr>
                <w:rFonts w:hint="eastAsia" w:ascii="Times New Roman" w:hAnsi="Times New Roman" w:eastAsia="等线"/>
                <w:kern w:val="21"/>
                <w:sz w:val="21"/>
                <w:szCs w:val="21"/>
                <w:u w:val="none"/>
                <w:lang w:eastAsia="zh-CN"/>
              </w:rPr>
              <w:t>2</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hint="eastAsia" w:ascii="宋体" w:hAnsi="宋体" w:cs="宋体"/>
                <w:kern w:val="21"/>
                <w:sz w:val="21"/>
                <w:szCs w:val="21"/>
                <w:u w:val="none"/>
                <w:lang w:eastAsia="zh-CN"/>
              </w:rPr>
              <w:t>应急救援保障</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企业应配备必要的应急措施及设备和器材；事故易发的工作岗位配备必须的防护用品等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等线"/>
                <w:kern w:val="21"/>
                <w:sz w:val="21"/>
                <w:szCs w:val="21"/>
                <w:u w:val="none"/>
                <w:lang w:eastAsia="zh-CN"/>
              </w:rPr>
            </w:pPr>
            <w:r>
              <w:rPr>
                <w:rFonts w:hint="eastAsia" w:ascii="Times New Roman" w:hAnsi="Times New Roman" w:eastAsia="等线"/>
                <w:kern w:val="21"/>
                <w:sz w:val="21"/>
                <w:szCs w:val="21"/>
                <w:u w:val="none"/>
                <w:lang w:eastAsia="zh-CN"/>
              </w:rPr>
              <w:t>3</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hint="eastAsia" w:ascii="宋体" w:hAnsi="宋体" w:cs="宋体"/>
                <w:kern w:val="21"/>
                <w:sz w:val="21"/>
                <w:szCs w:val="21"/>
                <w:u w:val="none"/>
                <w:lang w:eastAsia="zh-CN"/>
              </w:rPr>
              <w:t>报警、通讯联络方式</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建立专用的报警和通讯线路，并保持其畅通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Times New Roman"/>
                <w:kern w:val="21"/>
                <w:sz w:val="21"/>
                <w:szCs w:val="21"/>
                <w:u w:val="none"/>
              </w:rPr>
            </w:pPr>
            <w:r>
              <w:rPr>
                <w:rFonts w:ascii="Times New Roman" w:hAnsi="Times New Roman" w:eastAsia="等线"/>
                <w:kern w:val="21"/>
                <w:sz w:val="21"/>
                <w:szCs w:val="21"/>
                <w:u w:val="none"/>
                <w:lang w:eastAsia="zh-CN"/>
              </w:rPr>
              <w:t>4</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应急环境监测、抢救、救援及控制措施</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发生事故时，要保证现场的事故处理设施和全厂的应急处理系统能够紧急启动，并对事故产生的污染物进行有效的控制，同时启动当地的环境应急监测系统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Times New Roman"/>
                <w:kern w:val="21"/>
                <w:sz w:val="21"/>
                <w:szCs w:val="21"/>
                <w:u w:val="none"/>
              </w:rPr>
            </w:pPr>
            <w:r>
              <w:rPr>
                <w:rFonts w:ascii="Times New Roman" w:hAnsi="Times New Roman" w:eastAsia="等线"/>
                <w:kern w:val="21"/>
                <w:sz w:val="21"/>
                <w:szCs w:val="21"/>
                <w:u w:val="none"/>
                <w:lang w:eastAsia="zh-CN"/>
              </w:rPr>
              <w:t>5</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应急监测、防护措施、清楚泄漏措施和器材</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设立必要地控制和清除污染的相应措施。事故发生时，要及时发现事故发生地点和环节，并利用已有的防护措施减少污染物的排放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Times New Roman"/>
                <w:kern w:val="21"/>
                <w:sz w:val="21"/>
                <w:szCs w:val="21"/>
                <w:u w:val="none"/>
              </w:rPr>
            </w:pPr>
            <w:r>
              <w:rPr>
                <w:rFonts w:ascii="Times New Roman" w:hAnsi="Times New Roman" w:eastAsia="等线"/>
                <w:kern w:val="21"/>
                <w:sz w:val="21"/>
                <w:szCs w:val="21"/>
                <w:u w:val="none"/>
                <w:lang w:eastAsia="zh-CN"/>
              </w:rPr>
              <w:t>6</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rPr>
            </w:pPr>
            <w:r>
              <w:rPr>
                <w:rFonts w:hint="eastAsia" w:ascii="宋体" w:hAnsi="宋体" w:cs="宋体"/>
                <w:kern w:val="21"/>
                <w:sz w:val="21"/>
                <w:szCs w:val="21"/>
                <w:u w:val="none"/>
                <w:lang w:eastAsia="zh-CN"/>
              </w:rPr>
              <w:t>应急培训计划</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企业要注意日常工作中对事故应急处理的培训，以提高职工的安全防范意识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8" w:type="pct"/>
            <w:tcBorders>
              <w:tl2br w:val="nil"/>
              <w:tr2bl w:val="nil"/>
            </w:tcBorders>
            <w:vAlign w:val="center"/>
          </w:tcPr>
          <w:p>
            <w:pPr>
              <w:pStyle w:val="36"/>
              <w:adjustRightInd w:val="0"/>
              <w:snapToGrid w:val="0"/>
              <w:jc w:val="center"/>
              <w:rPr>
                <w:rFonts w:ascii="Times New Roman" w:hAnsi="Times New Roman" w:eastAsia="Times New Roman"/>
                <w:kern w:val="21"/>
                <w:sz w:val="21"/>
                <w:szCs w:val="21"/>
                <w:u w:val="none"/>
              </w:rPr>
            </w:pPr>
            <w:r>
              <w:rPr>
                <w:rFonts w:ascii="Times New Roman" w:hAnsi="Times New Roman" w:eastAsia="等线"/>
                <w:kern w:val="21"/>
                <w:sz w:val="21"/>
                <w:szCs w:val="21"/>
                <w:u w:val="none"/>
                <w:lang w:eastAsia="zh-CN"/>
              </w:rPr>
              <w:t>7</w:t>
            </w:r>
          </w:p>
        </w:tc>
        <w:tc>
          <w:tcPr>
            <w:tcW w:w="1319"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公众教育和信息</w:t>
            </w:r>
          </w:p>
        </w:tc>
        <w:tc>
          <w:tcPr>
            <w:tcW w:w="3371" w:type="pct"/>
            <w:tcBorders>
              <w:tl2br w:val="nil"/>
              <w:tr2bl w:val="nil"/>
            </w:tcBorders>
            <w:vAlign w:val="center"/>
          </w:tcPr>
          <w:p>
            <w:pPr>
              <w:pStyle w:val="36"/>
              <w:adjustRightInd w:val="0"/>
              <w:snapToGrid w:val="0"/>
              <w:jc w:val="center"/>
              <w:rPr>
                <w:rFonts w:ascii="宋体" w:hAnsi="宋体" w:cs="宋体"/>
                <w:kern w:val="21"/>
                <w:sz w:val="21"/>
                <w:szCs w:val="21"/>
                <w:u w:val="none"/>
                <w:lang w:eastAsia="zh-CN"/>
              </w:rPr>
            </w:pPr>
            <w:r>
              <w:rPr>
                <w:rFonts w:hint="eastAsia" w:ascii="宋体" w:hAnsi="宋体" w:cs="宋体"/>
                <w:kern w:val="21"/>
                <w:sz w:val="21"/>
                <w:szCs w:val="21"/>
                <w:u w:val="none"/>
                <w:lang w:eastAsia="zh-CN"/>
              </w:rPr>
              <w:t>通过各种方式，对周围居民等进行事故防范宣传</w:t>
            </w:r>
          </w:p>
        </w:tc>
      </w:tr>
    </w:tbl>
    <w:p>
      <w:pPr>
        <w:spacing w:line="360" w:lineRule="auto"/>
        <w:ind w:firstLine="480"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kern w:val="0"/>
          <w:sz w:val="24"/>
          <w:szCs w:val="24"/>
          <w:lang w:val="en-US" w:eastAsia="zh-CN" w:bidi="ar"/>
        </w:rPr>
        <w:t>5</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9.6</w:t>
      </w:r>
      <w:r>
        <w:rPr>
          <w:rFonts w:hint="default" w:ascii="Times New Roman" w:hAnsi="Times New Roman" w:eastAsia="宋体" w:cs="Times New Roman"/>
          <w:b w:val="0"/>
          <w:bCs w:val="0"/>
          <w:snapToGrid w:val="0"/>
          <w:color w:val="000000"/>
          <w:spacing w:val="11"/>
          <w:kern w:val="0"/>
          <w:sz w:val="24"/>
          <w:szCs w:val="24"/>
          <w:lang w:val="en-US" w:eastAsia="zh-CN"/>
        </w:rPr>
        <w:t xml:space="preserve">.1 </w:t>
      </w:r>
      <w:r>
        <w:rPr>
          <w:rFonts w:hint="eastAsia" w:ascii="Times New Roman" w:hAnsi="Times New Roman" w:eastAsia="宋体" w:cs="Times New Roman"/>
          <w:b w:val="0"/>
          <w:bCs w:val="0"/>
          <w:snapToGrid w:val="0"/>
          <w:color w:val="000000"/>
          <w:spacing w:val="11"/>
          <w:kern w:val="0"/>
          <w:sz w:val="24"/>
          <w:szCs w:val="24"/>
          <w:lang w:val="en-US" w:eastAsia="zh-CN"/>
        </w:rPr>
        <w:t xml:space="preserve">应急组织机构及职责任务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、组织机构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组织机构主要为疾控中心成立的环境安全管理机构，由疾控中心环保第一责任人、环保直接负责人、环保主管部门负责人和其他的专职环境管理人员组成。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、主要职责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）宣传学习国家突发环境事件应急工作的方针、政策，贯彻落实上级领导对环境污染事故应急的指示精神；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）掌握有关突发环境事件应急情报信息和事态变化情况，及时将事故上报有关部门；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 xml:space="preserve">）负责有关突发环境事件应急工作措施落实情况、工作进展情况，信息联络、传达、报送、新闻发布等工作；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4</w:t>
      </w:r>
      <w:r>
        <w:rPr>
          <w:rFonts w:hint="eastAsia" w:ascii="Times New Roman" w:hAnsi="Times New Roman" w:eastAsia="宋体" w:cs="Times New Roman"/>
          <w:b w:val="0"/>
          <w:bCs w:val="0"/>
          <w:snapToGrid w:val="0"/>
          <w:color w:val="000000"/>
          <w:spacing w:val="11"/>
          <w:kern w:val="0"/>
          <w:sz w:val="24"/>
          <w:szCs w:val="24"/>
          <w:lang w:val="en-US" w:eastAsia="zh-CN"/>
        </w:rPr>
        <w:t xml:space="preserve">）配合上级指挥部门进行现场处置、调查、取证工作；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 xml:space="preserve">）协调有关部门，指导污染区域的警戒工作；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6</w:t>
      </w:r>
      <w:r>
        <w:rPr>
          <w:rFonts w:hint="eastAsia" w:ascii="Times New Roman" w:hAnsi="Times New Roman" w:eastAsia="宋体" w:cs="Times New Roman"/>
          <w:b w:val="0"/>
          <w:bCs w:val="0"/>
          <w:snapToGrid w:val="0"/>
          <w:color w:val="000000"/>
          <w:spacing w:val="11"/>
          <w:kern w:val="0"/>
          <w:sz w:val="24"/>
          <w:szCs w:val="24"/>
          <w:lang w:val="en-US" w:eastAsia="zh-CN"/>
        </w:rPr>
        <w:t xml:space="preserve">）根据现场调查、取证结果并参考专家意见，确定事件处置的技术措施；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7</w:t>
      </w:r>
      <w:r>
        <w:rPr>
          <w:rFonts w:hint="eastAsia" w:ascii="Times New Roman" w:hAnsi="Times New Roman" w:eastAsia="宋体" w:cs="Times New Roman"/>
          <w:b w:val="0"/>
          <w:bCs w:val="0"/>
          <w:snapToGrid w:val="0"/>
          <w:color w:val="000000"/>
          <w:spacing w:val="11"/>
          <w:kern w:val="0"/>
          <w:sz w:val="24"/>
          <w:szCs w:val="24"/>
          <w:lang w:val="en-US" w:eastAsia="zh-CN"/>
        </w:rPr>
        <w:t xml:space="preserve">）负责对外组织协调、分析事件原因、向应急领导组报告现场处置情况；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8</w:t>
      </w:r>
      <w:r>
        <w:rPr>
          <w:rFonts w:hint="eastAsia" w:ascii="Times New Roman" w:hAnsi="Times New Roman" w:eastAsia="宋体" w:cs="Times New Roman"/>
          <w:b w:val="0"/>
          <w:bCs w:val="0"/>
          <w:snapToGrid w:val="0"/>
          <w:color w:val="000000"/>
          <w:spacing w:val="11"/>
          <w:kern w:val="0"/>
          <w:sz w:val="24"/>
          <w:szCs w:val="24"/>
          <w:lang w:val="en-US" w:eastAsia="zh-CN"/>
        </w:rPr>
        <w:t>）完成当地政府有关应急领导组交办的其他工作。</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9</w:t>
      </w:r>
      <w:r>
        <w:rPr>
          <w:rFonts w:hint="eastAsia" w:ascii="Times New Roman" w:hAnsi="Times New Roman" w:eastAsia="宋体" w:cs="Times New Roman"/>
          <w:b w:val="0"/>
          <w:bCs w:val="0"/>
          <w:snapToGrid w:val="0"/>
          <w:color w:val="000000"/>
          <w:spacing w:val="11"/>
          <w:kern w:val="0"/>
          <w:sz w:val="24"/>
          <w:szCs w:val="24"/>
          <w:lang w:val="en-US" w:eastAsia="zh-CN"/>
        </w:rPr>
        <w:t xml:space="preserve">）配合专家组对突发环境事件的危害范围、发展趋势做出科学评估，为上级应急领导组的决策和指挥提供科学依据；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10</w:t>
      </w:r>
      <w:r>
        <w:rPr>
          <w:rFonts w:hint="eastAsia" w:ascii="Times New Roman" w:hAnsi="Times New Roman" w:eastAsia="宋体" w:cs="Times New Roman"/>
          <w:b w:val="0"/>
          <w:bCs w:val="0"/>
          <w:snapToGrid w:val="0"/>
          <w:color w:val="000000"/>
          <w:spacing w:val="11"/>
          <w:kern w:val="0"/>
          <w:sz w:val="24"/>
          <w:szCs w:val="24"/>
          <w:lang w:val="en-US" w:eastAsia="zh-CN"/>
        </w:rPr>
        <w:t xml:space="preserve">）配合专家组参与污染程度、危害范围、事件等级的判定，对污染区域的警报设立与解除等重大防护措施的决策提供技术依据。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 xml:space="preserve">、主要任务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）划定隔离区域，制定处置措施，控制事件现场；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）进行现场调查，认定突发环境事件等级，按规定向有关部门和当地各级政府报告；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 xml:space="preserve">）查明事件原因，判明污染区域，提出处置措施，防止污染扩大；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4</w:t>
      </w:r>
      <w:r>
        <w:rPr>
          <w:rFonts w:hint="eastAsia" w:ascii="Times New Roman" w:hAnsi="Times New Roman" w:eastAsia="宋体" w:cs="Times New Roman"/>
          <w:b w:val="0"/>
          <w:bCs w:val="0"/>
          <w:snapToGrid w:val="0"/>
          <w:color w:val="000000"/>
          <w:spacing w:val="11"/>
          <w:kern w:val="0"/>
          <w:sz w:val="24"/>
          <w:szCs w:val="24"/>
          <w:lang w:val="en-US" w:eastAsia="zh-CN"/>
        </w:rPr>
        <w:t xml:space="preserve">）负责污染警报的设立和解除；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 xml:space="preserve">）负责对污染事故进行调查取证，立案查处，接受上级管理部门的监督管理；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6</w:t>
      </w:r>
      <w:r>
        <w:rPr>
          <w:rFonts w:hint="eastAsia" w:ascii="Times New Roman" w:hAnsi="Times New Roman" w:eastAsia="宋体" w:cs="Times New Roman"/>
          <w:b w:val="0"/>
          <w:bCs w:val="0"/>
          <w:snapToGrid w:val="0"/>
          <w:color w:val="000000"/>
          <w:spacing w:val="11"/>
          <w:kern w:val="0"/>
          <w:sz w:val="24"/>
          <w:szCs w:val="24"/>
          <w:lang w:val="en-US" w:eastAsia="zh-CN"/>
        </w:rPr>
        <w:t xml:space="preserve">）负责完成有关部门提出的环境恢复、生态修复建议措施；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7</w:t>
      </w:r>
      <w:r>
        <w:rPr>
          <w:rFonts w:hint="eastAsia" w:ascii="Times New Roman" w:hAnsi="Times New Roman" w:eastAsia="宋体" w:cs="Times New Roman"/>
          <w:b w:val="0"/>
          <w:bCs w:val="0"/>
          <w:snapToGrid w:val="0"/>
          <w:color w:val="000000"/>
          <w:spacing w:val="11"/>
          <w:kern w:val="0"/>
          <w:sz w:val="24"/>
          <w:szCs w:val="24"/>
          <w:lang w:val="en-US" w:eastAsia="zh-CN"/>
        </w:rPr>
        <w:t xml:space="preserve">）参与指挥急救、疏散、恢复正常秩序、安定群众情绪等方面的工作。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9.6</w:t>
      </w:r>
      <w:r>
        <w:rPr>
          <w:rFonts w:hint="default" w:ascii="Times New Roman" w:hAnsi="Times New Roman" w:eastAsia="宋体" w:cs="Times New Roman"/>
          <w:b w:val="0"/>
          <w:bCs w:val="0"/>
          <w:snapToGrid w:val="0"/>
          <w:color w:val="000000"/>
          <w:spacing w:val="11"/>
          <w:kern w:val="0"/>
          <w:sz w:val="24"/>
          <w:szCs w:val="24"/>
          <w:lang w:val="en-US" w:eastAsia="zh-CN"/>
        </w:rPr>
        <w:t xml:space="preserve">.2 </w:t>
      </w:r>
      <w:r>
        <w:rPr>
          <w:rFonts w:hint="eastAsia" w:ascii="Times New Roman" w:hAnsi="Times New Roman" w:eastAsia="宋体" w:cs="Times New Roman"/>
          <w:b w:val="0"/>
          <w:bCs w:val="0"/>
          <w:snapToGrid w:val="0"/>
          <w:color w:val="000000"/>
          <w:spacing w:val="11"/>
          <w:kern w:val="0"/>
          <w:sz w:val="24"/>
          <w:szCs w:val="24"/>
          <w:lang w:val="en-US" w:eastAsia="zh-CN"/>
        </w:rPr>
        <w:t xml:space="preserve">应急措施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、针对致病微生物蔓延的应急措施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）根据需要，调集各类人员、物资、交通工具和相关设施、设备参与应急处理工作；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）根据致病微生物扩散以及可能波及的范围，划定控制区域；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 xml:space="preserve">）协助卫生监督、疾病预防控制人员开展标本的采集、流行病学调查工作； </w:t>
      </w: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4</w:t>
      </w:r>
      <w:r>
        <w:rPr>
          <w:rFonts w:hint="eastAsia" w:ascii="Times New Roman" w:hAnsi="Times New Roman" w:eastAsia="宋体" w:cs="Times New Roman"/>
          <w:b w:val="0"/>
          <w:bCs w:val="0"/>
          <w:snapToGrid w:val="0"/>
          <w:color w:val="000000"/>
          <w:spacing w:val="11"/>
          <w:kern w:val="0"/>
          <w:sz w:val="24"/>
          <w:szCs w:val="24"/>
          <w:lang w:val="en-US" w:eastAsia="zh-CN"/>
        </w:rPr>
        <w:t xml:space="preserve">）在微生物扩散及可能波及的范围内对患者和病原携带者排出的呕吐物、排泄物、分泌物及其污染的所有物品进行随时消毒； </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）根据疾病预防控制工作的特殊需要，有公共卫生人员定期到责任报告单位收集疾病报告、进行病例搜索并督促检查报告质量的监测方式或监测系统。</w:t>
      </w:r>
    </w:p>
    <w:p>
      <w:pPr>
        <w:pStyle w:val="4"/>
        <w:pageBreakBefore w:val="0"/>
        <w:widowControl w:val="0"/>
        <w:kinsoku w:val="0"/>
        <w:wordWrap/>
        <w:overflowPunct/>
        <w:topLinePunct w:val="0"/>
        <w:autoSpaceDE w:val="0"/>
        <w:autoSpaceDN w:val="0"/>
        <w:bidi w:val="0"/>
        <w:adjustRightInd w:val="0"/>
        <w:snapToGrid w:val="0"/>
        <w:textAlignment w:val="baseline"/>
        <w:rPr>
          <w:rFonts w:hint="default"/>
          <w:lang w:val="en-US" w:eastAsia="zh-CN"/>
        </w:rPr>
      </w:pPr>
      <w:r>
        <w:rPr>
          <w:rFonts w:hint="eastAsia"/>
          <w:lang w:val="en-US" w:eastAsia="zh-CN"/>
        </w:rPr>
        <w:t>5.9.7</w:t>
      </w:r>
      <w:r>
        <w:rPr>
          <w:rFonts w:hint="default"/>
          <w:lang w:val="en-US" w:eastAsia="zh-CN"/>
        </w:rPr>
        <w:t>环境风险分析结论</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从风险控制的角度来评价，建设单位在严格各项规章制度管理和工序操作外，制定详细的环境风险事故预防措施和紧急应变事故处置方案，能大大减小事故发生概率和事故发生后能及时采取有利措施，减小对环境污染。本工程在严格实施各项规章制度，在确保环境风险防范措施落实的基础上，其潜在的环境风险事故是可控的</w:t>
      </w:r>
      <w:r>
        <w:rPr>
          <w:rFonts w:hint="eastAsia" w:ascii="Times New Roman" w:hAnsi="Times New Roman" w:eastAsia="宋体" w:cs="Times New Roman"/>
          <w:b w:val="0"/>
          <w:bCs w:val="0"/>
          <w:snapToGrid w:val="0"/>
          <w:color w:val="000000"/>
          <w:spacing w:val="11"/>
          <w:kern w:val="0"/>
          <w:sz w:val="24"/>
          <w:szCs w:val="24"/>
          <w:lang w:val="en-US" w:eastAsia="zh-CN"/>
        </w:rPr>
        <w:t>。</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本项目环境风险简单分析内容见下表 5.9-3。</w:t>
      </w:r>
    </w:p>
    <w:p>
      <w:pPr>
        <w:keepNext w:val="0"/>
        <w:keepLines w:val="0"/>
        <w:widowControl/>
        <w:suppressLineNumbers w:val="0"/>
        <w:jc w:val="center"/>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宋体" w:hAnsi="宋体" w:eastAsia="宋体" w:cs="宋体"/>
          <w:b/>
          <w:bCs/>
          <w:snapToGrid w:val="0"/>
          <w:color w:val="000000"/>
          <w:kern w:val="0"/>
          <w:sz w:val="21"/>
          <w:szCs w:val="21"/>
          <w:lang w:val="en-US" w:eastAsia="zh-CN" w:bidi="ar"/>
        </w:rPr>
        <w:t xml:space="preserve">表 </w:t>
      </w:r>
      <w:r>
        <w:rPr>
          <w:rFonts w:hint="default" w:ascii="Times New Roman" w:hAnsi="Times New Roman" w:eastAsia="宋体" w:cs="Times New Roman"/>
          <w:b/>
          <w:bCs/>
          <w:snapToGrid w:val="0"/>
          <w:color w:val="000000"/>
          <w:kern w:val="0"/>
          <w:sz w:val="21"/>
          <w:szCs w:val="21"/>
          <w:lang w:val="en-US" w:eastAsia="zh-CN" w:bidi="ar"/>
        </w:rPr>
        <w:t>5.</w:t>
      </w:r>
      <w:r>
        <w:rPr>
          <w:rFonts w:hint="eastAsia" w:ascii="Times New Roman" w:hAnsi="Times New Roman" w:eastAsia="宋体" w:cs="Times New Roman"/>
          <w:b/>
          <w:bCs/>
          <w:snapToGrid w:val="0"/>
          <w:color w:val="000000"/>
          <w:kern w:val="0"/>
          <w:sz w:val="21"/>
          <w:szCs w:val="21"/>
          <w:lang w:val="en-US" w:eastAsia="zh-CN" w:bidi="ar"/>
        </w:rPr>
        <w:t>9-3</w:t>
      </w:r>
      <w:r>
        <w:rPr>
          <w:rFonts w:hint="default" w:ascii="Times New Roman" w:hAnsi="Times New Roman" w:eastAsia="宋体" w:cs="Times New Roman"/>
          <w:b/>
          <w:bCs/>
          <w:snapToGrid w:val="0"/>
          <w:color w:val="000000"/>
          <w:kern w:val="0"/>
          <w:sz w:val="21"/>
          <w:szCs w:val="21"/>
          <w:lang w:val="en-US" w:eastAsia="zh-CN" w:bidi="ar"/>
        </w:rPr>
        <w:t xml:space="preserve"> </w:t>
      </w:r>
      <w:r>
        <w:rPr>
          <w:rFonts w:hint="eastAsia" w:ascii="宋体" w:hAnsi="宋体" w:eastAsia="宋体" w:cs="宋体"/>
          <w:b/>
          <w:bCs/>
          <w:snapToGrid w:val="0"/>
          <w:color w:val="000000"/>
          <w:kern w:val="0"/>
          <w:sz w:val="21"/>
          <w:szCs w:val="21"/>
          <w:lang w:val="en-US" w:eastAsia="zh-CN" w:bidi="ar"/>
        </w:rPr>
        <w:t>建设项目环境风险简单分析内容表</w:t>
      </w:r>
    </w:p>
    <w:tbl>
      <w:tblPr>
        <w:tblStyle w:val="25"/>
        <w:tblW w:w="4999"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022"/>
        <w:gridCol w:w="7938"/>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1015"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建设项目名称</w:t>
            </w:r>
          </w:p>
        </w:tc>
        <w:tc>
          <w:tcPr>
            <w:tcW w:w="39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宁远县</w:t>
            </w:r>
            <w:r>
              <w:rPr>
                <w:rFonts w:ascii="Times New Roman" w:hAnsi="Times New Roman" w:eastAsia="宋体" w:cs="Times New Roman"/>
                <w:b w:val="0"/>
                <w:bCs w:val="0"/>
                <w:i w:val="0"/>
                <w:iCs w:val="0"/>
                <w:snapToGrid w:val="0"/>
                <w:color w:val="000000"/>
                <w:kern w:val="0"/>
                <w:sz w:val="21"/>
                <w:szCs w:val="21"/>
                <w:u w:val="none"/>
                <w:lang w:val="en-US" w:eastAsia="zh-CN" w:bidi="ar"/>
              </w:rPr>
              <w:t>疾病预防控制中心</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10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建设地点</w:t>
            </w:r>
          </w:p>
        </w:tc>
        <w:tc>
          <w:tcPr>
            <w:tcW w:w="39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永州市宁远县舜陵街道蔡家村原在建妇女儿童医院</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10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地理坐标</w:t>
            </w:r>
          </w:p>
        </w:tc>
        <w:tc>
          <w:tcPr>
            <w:tcW w:w="39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sz w:val="21"/>
                <w:szCs w:val="21"/>
                <w:u w:val="none"/>
              </w:rPr>
              <w:t>东经111.95042887°，北纬25.54481521°</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10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环境影响途径及危</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害后果</w:t>
            </w:r>
          </w:p>
        </w:tc>
        <w:tc>
          <w:tcPr>
            <w:tcW w:w="3984" w:type="pct"/>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①致病微生物通过病人接触、医疗垃圾泄漏、污水泄漏等，感染人群，引起恐慌 ；</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②实验室污水事故排放冲击污水处理厂，病菌消毒不彻底导致受纳水体细菌超标，传播疾病；</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③医疗废物收集、贮存、运送过程中处置不当泄漏，引起疾病传播；</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④柴油泄漏引发火灾；</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⑤实验室危险化学品试剂发生泄漏、爆炸和火灾。</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10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风险防范措施要求</w:t>
            </w:r>
          </w:p>
        </w:tc>
        <w:tc>
          <w:tcPr>
            <w:tcW w:w="3984" w:type="pct"/>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(1)致病微生物环境风险防范措施：生物安全防护、控制、屏障；</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(2)消毒、防护措施：实验室固体废物消毒、固体废物集中场所、运输车辆消毒、个人防护装备；</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(3)实验室环境管理规定：按照《实验室生物安全通用要求》(GB19489-2008)相关要求做好实验室设计、消防、管理等工作，制定相应的应急预案。</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(4)实验室有害微生物灭活措施：</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①高压蒸汽消毒，121℃,102.9kPa,保持30min;</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②实验室每次检测完毕后，采用房间固定或可移动紫外灯进行紫外照射2小时以上；</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③每天实验后，使用0.2%含氯消毒剂或75%酒精进行实验室台面、地面清洁；实验结束后，关闭生物安全柜，采用紫外灯照射30分钟。</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④实验使用后的感染性废物放入医疗废物垃圾袋中，包扎后使用0.2%含有效氯消毒液或75%酒精喷洒消毒其外表面。</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(5)污水事故排放风险防范措施：疾控中心须对污水处理系统进行专项检查、定期检查，及时维修或更换老化的设备及部件，消除隐患，防止事故发生。</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000" w:type="pct"/>
            <w:gridSpan w:val="2"/>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bCs/>
                <w:i w:val="0"/>
                <w:iCs w:val="0"/>
                <w:snapToGrid w:val="0"/>
                <w:color w:val="000000"/>
                <w:kern w:val="0"/>
                <w:sz w:val="21"/>
                <w:szCs w:val="21"/>
                <w:u w:val="none"/>
                <w:lang w:val="en-US" w:eastAsia="zh-CN" w:bidi="ar"/>
              </w:rPr>
              <w:t>填表说明(列出项目相关信息及评价说明):</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 xml:space="preserve">    </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 xml:space="preserve">    </w:t>
            </w:r>
            <w:r>
              <w:rPr>
                <w:rFonts w:ascii="Times New Roman" w:hAnsi="Times New Roman" w:eastAsia="宋体" w:cs="Times New Roman"/>
                <w:b w:val="0"/>
                <w:bCs w:val="0"/>
                <w:i w:val="0"/>
                <w:iCs w:val="0"/>
                <w:snapToGrid w:val="0"/>
                <w:color w:val="000000"/>
                <w:kern w:val="0"/>
                <w:sz w:val="21"/>
                <w:szCs w:val="21"/>
                <w:u w:val="none"/>
                <w:lang w:val="en-US" w:eastAsia="zh-CN" w:bidi="ar"/>
              </w:rPr>
              <w:t>根据《建设项目环境风险评价技术导则》(HJ169-2018),项目环境风险潜势为I,环境风险评价等级为简单分析。通过采取以上各项风险防范措施及应急救援措施，可降低各种事故的发生，降低对周围环境的不利影响，环境风险在可接受范围内。</w:t>
            </w:r>
          </w:p>
        </w:tc>
      </w:tr>
    </w:tbl>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pPr>
    </w:p>
    <w:p>
      <w:pPr>
        <w:spacing w:line="360" w:lineRule="auto"/>
        <w:ind w:firstLine="524" w:firstLineChars="200"/>
        <w:rPr>
          <w:rFonts w:hint="default" w:ascii="Times New Roman" w:hAnsi="Times New Roman" w:eastAsia="宋体" w:cs="Times New Roman"/>
          <w:b w:val="0"/>
          <w:bCs w:val="0"/>
          <w:snapToGrid w:val="0"/>
          <w:color w:val="000000"/>
          <w:spacing w:val="11"/>
          <w:kern w:val="0"/>
          <w:sz w:val="24"/>
          <w:szCs w:val="24"/>
          <w:lang w:val="en-US" w:eastAsia="zh-CN"/>
        </w:rPr>
        <w:sectPr>
          <w:headerReference r:id="rId16" w:type="default"/>
          <w:pgSz w:w="11906" w:h="16839"/>
          <w:pgMar w:top="1440" w:right="1080" w:bottom="1440" w:left="1080" w:header="878" w:footer="996" w:gutter="0"/>
          <w:pgBorders w:offsetFrom="page">
            <w:top w:val="none" w:sz="0" w:space="0"/>
            <w:left w:val="none" w:sz="0" w:space="0"/>
            <w:bottom w:val="none" w:sz="0" w:space="0"/>
            <w:right w:val="none" w:sz="0" w:space="0"/>
          </w:pgBorders>
          <w:pgNumType w:fmt="decimal"/>
          <w:cols w:space="720" w:num="1"/>
        </w:sectPr>
      </w:pPr>
    </w:p>
    <w:p>
      <w:pPr>
        <w:pStyle w:val="2"/>
        <w:numPr>
          <w:ilvl w:val="0"/>
          <w:numId w:val="8"/>
        </w:numPr>
        <w:bidi w:val="0"/>
        <w:jc w:val="center"/>
      </w:pPr>
      <w:bookmarkStart w:id="92" w:name="_Toc6290"/>
      <w:r>
        <w:t>环境保护措施及其可行性论证</w:t>
      </w:r>
      <w:bookmarkEnd w:id="92"/>
    </w:p>
    <w:p>
      <w:pPr>
        <w:pStyle w:val="3"/>
        <w:bidi w:val="0"/>
        <w:rPr>
          <w:rFonts w:hint="default"/>
          <w:lang w:val="en-US" w:eastAsia="zh-CN"/>
        </w:rPr>
      </w:pPr>
      <w:bookmarkStart w:id="93" w:name="_Toc29686"/>
      <w:bookmarkStart w:id="94" w:name="_Toc19480"/>
      <w:r>
        <w:rPr>
          <w:rFonts w:hint="eastAsia"/>
          <w:lang w:val="en-US" w:eastAsia="zh-CN"/>
        </w:rPr>
        <w:t>6</w:t>
      </w:r>
      <w:r>
        <w:rPr>
          <w:rFonts w:hint="default"/>
          <w:lang w:val="en-US" w:eastAsia="zh-CN"/>
        </w:rPr>
        <w:t>.1 施工期污染防治措施</w:t>
      </w:r>
      <w:bookmarkEnd w:id="93"/>
      <w:bookmarkEnd w:id="94"/>
    </w:p>
    <w:p>
      <w:pPr>
        <w:pStyle w:val="4"/>
        <w:bidi w:val="0"/>
        <w:rPr>
          <w:rFonts w:hint="default"/>
          <w:lang w:val="en-US" w:eastAsia="zh-CN"/>
        </w:rPr>
      </w:pPr>
      <w:bookmarkStart w:id="95" w:name="_Toc15290"/>
      <w:r>
        <w:rPr>
          <w:rFonts w:hint="eastAsia"/>
          <w:lang w:val="en-US" w:eastAsia="zh-CN"/>
        </w:rPr>
        <w:t>6</w:t>
      </w:r>
      <w:r>
        <w:rPr>
          <w:rFonts w:hint="default"/>
          <w:lang w:val="en-US" w:eastAsia="zh-CN"/>
        </w:rPr>
        <w:t>.1.1 大气污染防治措施</w:t>
      </w:r>
      <w:bookmarkEnd w:id="95"/>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建设项目施工期大气污染物主要是扬尘及装修废气，施工期采取的大气污染防治措施如下：</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1、施工场地应经常洒水，使作业面土壤保持较高的湿度；对施工场地内裸露的地面，也应经常洒水防止扬尘。</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2、密闭防尘。水泥、石灰、砂石、渣土、垃圾、涂料、铺装材料等易产生扬尘的建筑材料，对其运输时，应尽可能采用密闭车斗运输。建筑土方、工程渣土、建筑垃圾应当及时清运，24 小时内不能清运的，应当分类堆放并采用密闭式防尘网遮盖。</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、规范垃圾处置搬运管理。工地内从建筑上层将具有粉尘逸散性的物料、渣土或废弃物输送至地面或地下楼层时，可从升降梯打包装框搬运，不得凌空抛洒。</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w:t>
      </w:r>
      <w:r>
        <w:rPr>
          <w:rFonts w:hint="eastAsia" w:ascii="Times New Roman" w:hAnsi="Times New Roman" w:eastAsia="宋体" w:cs="Times New Roman"/>
          <w:b w:val="0"/>
          <w:bCs w:val="0"/>
          <w:snapToGrid w:val="0"/>
          <w:color w:val="000000"/>
          <w:spacing w:val="11"/>
          <w:kern w:val="0"/>
          <w:sz w:val="24"/>
          <w:szCs w:val="24"/>
          <w:lang w:val="en-US" w:eastAsia="zh-CN"/>
        </w:rPr>
        <w:t>、使用环保涂料。环保涂料苯浓度很低，可减少苯挥发对空气质量的影响</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 xml:space="preserve">在采取以上的环保措施后，加上企业的施工量较小，施工过程产生的废气对周边环境的影响较小。其中，项目施工期影响相对较大的是对周边散户的居住环境，此外，项目运输道路采取洒水降尘措施 (泥土路面洒水后，扬尘的产生量可降低80%以上) </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在实施过程中对路面进行硬化可在很大程度上降低扬尘的产生，降低影响程度。</w:t>
      </w:r>
    </w:p>
    <w:p>
      <w:pPr>
        <w:pStyle w:val="4"/>
        <w:bidi w:val="0"/>
        <w:rPr>
          <w:rFonts w:hint="default"/>
          <w:lang w:val="en-US" w:eastAsia="zh-CN"/>
        </w:rPr>
      </w:pPr>
      <w:bookmarkStart w:id="96" w:name="_Toc4599"/>
      <w:r>
        <w:rPr>
          <w:rFonts w:hint="eastAsia"/>
          <w:lang w:val="en-US" w:eastAsia="zh-CN"/>
        </w:rPr>
        <w:t>6</w:t>
      </w:r>
      <w:r>
        <w:rPr>
          <w:rFonts w:hint="default"/>
          <w:lang w:val="en-US" w:eastAsia="zh-CN"/>
        </w:rPr>
        <w:t>.1.2 水污染防治措施</w:t>
      </w:r>
      <w:bookmarkEnd w:id="96"/>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为了避免建设项目施工废水对周围水环境产生不良影响，应采取以下措施。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、合理安排施工期，制定施工计划，尽可能缩短工程施工期，减少由于施工活动对周围水体造成不利影响。</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、本项目不设施工营地和施工食堂，施工人员产生的生活污水经场地化粪池处理后</w:t>
      </w:r>
      <w:r>
        <w:rPr>
          <w:rFonts w:hint="eastAsia" w:ascii="Times New Roman" w:hAnsi="Times New Roman" w:eastAsia="宋体" w:cs="Times New Roman"/>
          <w:b w:val="0"/>
          <w:bCs w:val="0"/>
          <w:snapToGrid w:val="0"/>
          <w:color w:val="000000"/>
          <w:spacing w:val="11"/>
          <w:kern w:val="0"/>
          <w:sz w:val="24"/>
          <w:szCs w:val="24"/>
          <w:lang w:val="en-US" w:eastAsia="zh-CN"/>
        </w:rPr>
        <w:t>排入市政污水管网</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、施工期间必须制定严格的施工环保管理制度，教育施工人员自觉遵守规章制度，并加以严格监督和管理。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以上述污染防治措施简单易行，可有效地做好施工污水对周边水体的污染，而且项目施工活动周期较短，不会对施工场地周围水环境造成重大污染。</w:t>
      </w:r>
    </w:p>
    <w:p>
      <w:pPr>
        <w:pStyle w:val="4"/>
        <w:bidi w:val="0"/>
        <w:rPr>
          <w:rFonts w:hint="default"/>
          <w:lang w:val="en-US" w:eastAsia="zh-CN"/>
        </w:rPr>
      </w:pPr>
      <w:bookmarkStart w:id="97" w:name="_Toc32017"/>
      <w:r>
        <w:rPr>
          <w:rFonts w:hint="eastAsia"/>
          <w:lang w:val="en-US" w:eastAsia="zh-CN"/>
        </w:rPr>
        <w:t>6.</w:t>
      </w:r>
      <w:r>
        <w:rPr>
          <w:rFonts w:hint="default"/>
          <w:lang w:val="en-US" w:eastAsia="zh-CN"/>
        </w:rPr>
        <w:t>1.3 噪声污染防治措施</w:t>
      </w:r>
      <w:bookmarkEnd w:id="97"/>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为了避免建设项目施工期间噪声的超标和扰民现象出现，应采取以下措施。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、选用效率高、噪声低的施工机械设备和大型运输车辆进入工地施工，同时采用先进快速施工工艺，缩短工期，减少施工噪声影响的时间。</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、加强施工管理，合理安排作业时间。因生产工艺要求及其它特殊情况须在午间、 夜间进行施工作业的，应当事前取得建设行政主管部门的午间、夜间施工意见书，由环 境保护行政主管部门出具可在午间、夜间进行施工作业的证明，并公告附近的居民。进行午间、夜间施工作业，禁止使用电锯、风镐等高噪声设备。</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 、将大于80dB(A)的施工设备布置在施工场地远离声环境敏感点的地方。</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 、作业时在高噪声设备周围设置临时声屏蔽。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5 、加强运输车辆的管理，建材等运输尽量在白天进行，并控制车辆鸣笛。</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综上，项目的施工噪声会对周边环境产生一定影响，但项目施工产生的噪声源是暂时的，对周边声环境的影响也是暂时的，随着施工的结束也会消失。</w:t>
      </w:r>
    </w:p>
    <w:p>
      <w:pPr>
        <w:pStyle w:val="4"/>
        <w:bidi w:val="0"/>
        <w:rPr>
          <w:rFonts w:hint="default"/>
          <w:lang w:val="en-US" w:eastAsia="zh-CN"/>
        </w:rPr>
      </w:pPr>
      <w:bookmarkStart w:id="98" w:name="_Toc20228"/>
      <w:r>
        <w:rPr>
          <w:rFonts w:hint="eastAsia"/>
          <w:lang w:val="en-US" w:eastAsia="zh-CN"/>
        </w:rPr>
        <w:t>6.</w:t>
      </w:r>
      <w:r>
        <w:rPr>
          <w:rFonts w:hint="default"/>
          <w:lang w:val="en-US" w:eastAsia="zh-CN"/>
        </w:rPr>
        <w:t>1.4 固体废物污染防治措施</w:t>
      </w:r>
      <w:bookmarkEnd w:id="98"/>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施工</w:t>
      </w:r>
      <w:r>
        <w:rPr>
          <w:rFonts w:hint="eastAsia" w:ascii="Times New Roman" w:hAnsi="Times New Roman" w:eastAsia="宋体" w:cs="Times New Roman"/>
          <w:b w:val="0"/>
          <w:bCs w:val="0"/>
          <w:snapToGrid w:val="0"/>
          <w:color w:val="000000"/>
          <w:spacing w:val="11"/>
          <w:kern w:val="0"/>
          <w:sz w:val="24"/>
          <w:szCs w:val="24"/>
          <w:lang w:val="en-US" w:eastAsia="zh-CN"/>
        </w:rPr>
        <w:t>装修</w:t>
      </w:r>
      <w:r>
        <w:rPr>
          <w:rFonts w:hint="default" w:ascii="Times New Roman" w:hAnsi="Times New Roman" w:eastAsia="宋体" w:cs="Times New Roman"/>
          <w:b w:val="0"/>
          <w:bCs w:val="0"/>
          <w:snapToGrid w:val="0"/>
          <w:color w:val="000000"/>
          <w:spacing w:val="11"/>
          <w:kern w:val="0"/>
          <w:sz w:val="24"/>
          <w:szCs w:val="24"/>
          <w:lang w:val="en-US" w:eastAsia="zh-CN"/>
        </w:rPr>
        <w:t>过程中将产生一定量的渣土、砖石、木料、竹料等废弃物，如不及时处理导致乱填、乱堆，将会阻碍交通，遇到雨天更会泛滥成灾；建筑项目整改竣工后，将给厂区绿化造成较大的困难，因此，必须制定科学的施工方案，对其进行加强管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 建设项目施工期生活垃圾经集中收集后由环卫部门负责清运处置。</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 施工活动开始前，施工单位要向当地有关部门提出建筑垃圾处置的请示报告，经批准后将建筑垃圾清运到指定地点消纳。</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3、施工产生的建筑垃圾必须统一运至政府部门指定的建筑垃圾堆场进行堆放，做好 建筑垃圾暂存点的防护工作，避免风吹、雨淋散失或流失。</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4、在厂区设置防雨的生活垃圾周转储存容器，所有生活垃圾必须分类集中投入到垃圾箱中，最终交由当地环卫部门清运和统一集中处置。</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5、施工机械设备维修时产生的诸如含油擦布和棉纱等，必须集中回收处理。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6、建设项目施工期产生的固体废物应分类收集、集中堆放、及时处置。对于具有回收利用价值的钢筋、木块等由相关单位回收利用，不具回收利用价值的砖块、弃土等应根据《城市建筑垃圾管理暂行办法》的规定，运至城市管理部门指定的收纳场统一管理。</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本项目拟采取的固体废物污染防治措施较为全面，处置去向明确，基本上可消除对环境的二次污染。</w:t>
      </w:r>
    </w:p>
    <w:p>
      <w:pPr>
        <w:pStyle w:val="4"/>
        <w:bidi w:val="0"/>
        <w:rPr>
          <w:rFonts w:hint="default"/>
          <w:lang w:val="en-US" w:eastAsia="zh-CN"/>
        </w:rPr>
      </w:pPr>
      <w:r>
        <w:rPr>
          <w:rFonts w:hint="eastAsia"/>
          <w:lang w:val="en-US" w:eastAsia="zh-CN"/>
        </w:rPr>
        <w:t>6.</w:t>
      </w:r>
      <w:r>
        <w:rPr>
          <w:rFonts w:hint="default"/>
          <w:lang w:val="en-US" w:eastAsia="zh-CN"/>
        </w:rPr>
        <w:t>1.5生态保护措施</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防止施工期造成生态破坏和大量水土流失影响，企业应制定施工期植被保护制度；施工完毕及时对施工临时占用地及材料堆场平整，种植与周围景观相协调的林木或其它植被；项目施工场地周边应开挖截流排水沟，避免大量雨水汇集进入施工场地；同时各种临时堆料场周边应设置截流排水沟，堆放原料应加以遮盖，对于容易流失的建筑材料(如水泥等) 应设置专门的堆放仓库，避免雨水直接冲刷</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3"/>
        <w:bidi w:val="0"/>
        <w:rPr>
          <w:rFonts w:hint="default"/>
          <w:lang w:val="en-US" w:eastAsia="zh-CN"/>
        </w:rPr>
      </w:pPr>
      <w:bookmarkStart w:id="99" w:name="_Toc26679"/>
      <w:bookmarkStart w:id="100" w:name="_Toc3174"/>
      <w:r>
        <w:rPr>
          <w:rFonts w:hint="eastAsia"/>
          <w:lang w:val="en-US" w:eastAsia="zh-CN"/>
        </w:rPr>
        <w:t>6</w:t>
      </w:r>
      <w:r>
        <w:rPr>
          <w:rFonts w:hint="default"/>
          <w:lang w:val="en-US" w:eastAsia="zh-CN"/>
        </w:rPr>
        <w:t>.2 营运期污染防治措施及技术经济可行性分析</w:t>
      </w:r>
      <w:bookmarkEnd w:id="99"/>
      <w:bookmarkEnd w:id="100"/>
    </w:p>
    <w:p>
      <w:pPr>
        <w:pStyle w:val="4"/>
        <w:bidi w:val="0"/>
        <w:rPr>
          <w:rFonts w:hint="default"/>
          <w:lang w:val="en-US" w:eastAsia="zh-CN"/>
        </w:rPr>
      </w:pPr>
      <w:bookmarkStart w:id="101" w:name="_Toc31323"/>
      <w:r>
        <w:rPr>
          <w:rFonts w:hint="eastAsia"/>
          <w:lang w:val="en-US" w:eastAsia="zh-CN"/>
        </w:rPr>
        <w:t>6</w:t>
      </w:r>
      <w:r>
        <w:rPr>
          <w:rFonts w:hint="default"/>
          <w:lang w:val="en-US" w:eastAsia="zh-CN"/>
        </w:rPr>
        <w:t>.2.1大气污染防治措施及可行性分析</w:t>
      </w:r>
      <w:bookmarkEnd w:id="101"/>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1、实验废气处理措施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生物实验室中可能含病原微生物的废气、理化实验室产生的废气和Pcr实验室的异味。</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①生物实验室设有生物安全柜，所有涉及病原微生物、可能产生病原微生物气溶胶的操作均在生物安全柜中进行。生物安全柜自带高效空气过滤器，且生物安全柜内的实验操作平台相对实验室内环境处于负压状态，生物安全柜能有效保持安全设计的定向气流和气流速度，实现气流在生物安全柜内正常运行，杜绝实验过程产生的气溶胶从操作窗口外逸；生物安全柜排风口内置的高效过滤器对粒0.3μm气溶胶的去除效率不低于99.995%，过滤后的空气以超纯气体通过排气转换装置进入实验室排风系统与楼顶排放，最终排入大气。</w:t>
      </w:r>
      <w:r>
        <w:rPr>
          <w:rFonts w:hint="eastAsia" w:ascii="Times New Roman" w:hAnsi="Times New Roman" w:eastAsia="宋体" w:cs="Times New Roman"/>
          <w:b w:val="0"/>
          <w:bCs w:val="0"/>
          <w:snapToGrid w:val="0"/>
          <w:color w:val="000000"/>
          <w:spacing w:val="11"/>
          <w:kern w:val="0"/>
          <w:sz w:val="24"/>
          <w:szCs w:val="24"/>
          <w:lang w:val="en-US" w:eastAsia="zh-CN"/>
        </w:rPr>
        <w:t>综合</w:t>
      </w:r>
      <w:r>
        <w:rPr>
          <w:rFonts w:hint="default" w:ascii="Times New Roman" w:hAnsi="Times New Roman" w:eastAsia="宋体" w:cs="Times New Roman"/>
          <w:b w:val="0"/>
          <w:bCs w:val="0"/>
          <w:snapToGrid w:val="0"/>
          <w:color w:val="000000"/>
          <w:spacing w:val="11"/>
          <w:kern w:val="0"/>
          <w:sz w:val="24"/>
          <w:szCs w:val="24"/>
          <w:lang w:val="en-US" w:eastAsia="zh-CN"/>
        </w:rPr>
        <w:t>楼高约1</w:t>
      </w:r>
      <w:r>
        <w:rPr>
          <w:rFonts w:hint="eastAsia" w:ascii="Times New Roman" w:hAnsi="Times New Roman"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m，满足《大气污染物综合排放标准》（GB16297-1996）中最低排气筒高度为15m的要求。排气中的病原微生物可被彻底除去，不会对周围环境空气产生不利影响。</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实验室为负压设计，实验室内送、排风机实现连锁控制，保证排风机先于送风机开启，后于送风机关闭。实验室内气体经高效过滤器（过滤效率不低于99.99%）过滤，确保实验室排放废气不含病原微生物气溶胶，不对周围环境造成不利影响。此外，实验室内部还设置有辅助消毒装置，通过紫外线、化学消毒剂切断病原微生物的传播途径，确保实验室排出的气体不含病原微生物，不会对周围环境空气产生明显不利影响。</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②理化及Pcr实验室排放废气</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项目在各理化实验室及Pcr实验室内均按照疾控中心实验室建设规范，配套安装通风厨，通风厨将实验废气抽入通风柜，形成负压，稳定的面风速形成了一个天然的屏障来隔离用户和他们所操作的化学品。通风厨风机系统将有毒有害气体往上吸入，验室使用消毒药剂对物表、空气及实验人员皮肤进行消毒，消毒药剂的挥发量小，且为间断性排放，每次排放时间很短，每年使用频次较低，且所有排气均进入实验室排风系统，经高效过滤器过滤后由专用的通风系统引至楼顶高空排放，排放口位于实验楼楼顶，不会对周围环境空气产生明显不利影响。</w:t>
      </w:r>
      <w:r>
        <w:rPr>
          <w:rFonts w:hint="eastAsia" w:ascii="Times New Roman" w:hAnsi="Times New Roman" w:eastAsia="宋体" w:cs="Times New Roman"/>
          <w:b w:val="0"/>
          <w:bCs w:val="0"/>
          <w:snapToGrid w:val="0"/>
          <w:color w:val="000000"/>
          <w:spacing w:val="11"/>
          <w:kern w:val="0"/>
          <w:sz w:val="24"/>
          <w:szCs w:val="24"/>
          <w:lang w:val="en-US" w:eastAsia="zh-CN"/>
        </w:rPr>
        <w:t>综合</w:t>
      </w:r>
      <w:r>
        <w:rPr>
          <w:rFonts w:hint="default" w:ascii="Times New Roman" w:hAnsi="Times New Roman" w:eastAsia="宋体" w:cs="Times New Roman"/>
          <w:b w:val="0"/>
          <w:bCs w:val="0"/>
          <w:snapToGrid w:val="0"/>
          <w:color w:val="000000"/>
          <w:spacing w:val="11"/>
          <w:kern w:val="0"/>
          <w:sz w:val="24"/>
          <w:szCs w:val="24"/>
          <w:lang w:val="en-US" w:eastAsia="zh-CN"/>
        </w:rPr>
        <w:t>楼高约1</w:t>
      </w:r>
      <w:r>
        <w:rPr>
          <w:rFonts w:hint="eastAsia" w:ascii="Times New Roman" w:hAnsi="Times New Roman" w:eastAsia="宋体" w:cs="Times New Roman"/>
          <w:b w:val="0"/>
          <w:bCs w:val="0"/>
          <w:snapToGrid w:val="0"/>
          <w:color w:val="000000"/>
          <w:spacing w:val="11"/>
          <w:kern w:val="0"/>
          <w:sz w:val="24"/>
          <w:szCs w:val="24"/>
          <w:lang w:val="en-US" w:eastAsia="zh-CN"/>
        </w:rPr>
        <w:t>7</w:t>
      </w:r>
      <w:r>
        <w:rPr>
          <w:rFonts w:hint="default" w:ascii="Times New Roman" w:hAnsi="Times New Roman" w:eastAsia="宋体" w:cs="Times New Roman"/>
          <w:b w:val="0"/>
          <w:bCs w:val="0"/>
          <w:snapToGrid w:val="0"/>
          <w:color w:val="000000"/>
          <w:spacing w:val="11"/>
          <w:kern w:val="0"/>
          <w:sz w:val="24"/>
          <w:szCs w:val="24"/>
          <w:lang w:val="en-US" w:eastAsia="zh-CN"/>
        </w:rPr>
        <w:t>m，满足《大气污染物综合排放标准》（GB16297-1996）中最低排气筒高度为15m的要求。</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2、污水处理站废气污染防治措施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为减少污水处理站恶臭气体对四周环境的影响，评价要求污水处理设备</w:t>
      </w:r>
      <w:r>
        <w:rPr>
          <w:rFonts w:hint="eastAsia" w:ascii="Times New Roman" w:hAnsi="Times New Roman" w:eastAsia="宋体" w:cs="Times New Roman"/>
          <w:b w:val="0"/>
          <w:bCs w:val="0"/>
          <w:snapToGrid w:val="0"/>
          <w:color w:val="000000"/>
          <w:spacing w:val="11"/>
          <w:kern w:val="0"/>
          <w:sz w:val="24"/>
          <w:szCs w:val="24"/>
          <w:lang w:val="en-US" w:eastAsia="zh-CN"/>
        </w:rPr>
        <w:t>密闭</w:t>
      </w:r>
      <w:r>
        <w:rPr>
          <w:rFonts w:hint="default" w:ascii="Times New Roman" w:hAnsi="Times New Roman" w:eastAsia="宋体" w:cs="Times New Roman"/>
          <w:b w:val="0"/>
          <w:bCs w:val="0"/>
          <w:snapToGrid w:val="0"/>
          <w:color w:val="000000"/>
          <w:spacing w:val="11"/>
          <w:kern w:val="0"/>
          <w:sz w:val="24"/>
          <w:szCs w:val="24"/>
          <w:lang w:val="en-US" w:eastAsia="zh-CN"/>
        </w:rPr>
        <w:t>，经上述措施处理后NH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排放速率为 0.0</w:t>
      </w:r>
      <w:r>
        <w:rPr>
          <w:rFonts w:hint="eastAsia" w:ascii="Times New Roman" w:hAnsi="Times New Roman" w:eastAsia="宋体" w:cs="Times New Roman"/>
          <w:b w:val="0"/>
          <w:bCs w:val="0"/>
          <w:snapToGrid w:val="0"/>
          <w:color w:val="000000"/>
          <w:spacing w:val="11"/>
          <w:kern w:val="0"/>
          <w:sz w:val="24"/>
          <w:szCs w:val="24"/>
          <w:lang w:val="en-US" w:eastAsia="zh-CN"/>
        </w:rPr>
        <w:t>18</w:t>
      </w:r>
      <w:r>
        <w:rPr>
          <w:rFonts w:hint="default" w:ascii="Times New Roman" w:hAnsi="Times New Roman" w:eastAsia="宋体" w:cs="Times New Roman"/>
          <w:b w:val="0"/>
          <w:bCs w:val="0"/>
          <w:snapToGrid w:val="0"/>
          <w:color w:val="000000"/>
          <w:spacing w:val="11"/>
          <w:kern w:val="0"/>
          <w:sz w:val="24"/>
          <w:szCs w:val="24"/>
          <w:lang w:val="en-US" w:eastAsia="zh-CN"/>
        </w:rPr>
        <w:t>g/h</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S排放速率为 0.001g/h；类比同类污水处理系统可知，其附近硫化氢浓度测值为0.020~0.026mg/m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，氨气浓度监测值为0.4~0.7mg/m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，站区附近臭气浓度6~8倍。排放浓度满足《医疗机构水污染物排放标准》（GB18466-2005）中表 3 中“污水处理站周边大气污染物最高允许浓度”相应标准要求。</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由环境影响预测分析可知，项目产生的废气经收集处理后能实现达标排放，对周边环境及敏感点影响较小。项目污水处理站废气污染防治措施合理可行</w:t>
      </w:r>
      <w:r>
        <w:rPr>
          <w:rFonts w:hint="eastAsia"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3、汽车尾气污染防治措施</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本项目建成后机动车停车位周边空旷，扩散条件较好，地面停车场内产生的汽车尾气经稀释扩散后，同时对地面停车场周边均种植绿化隔离带，对周围环境空气影响甚小，其措施可行</w:t>
      </w:r>
      <w:r>
        <w:rPr>
          <w:rFonts w:hint="default" w:ascii="Times New Roman" w:hAnsi="Times New Roman" w:eastAsia="宋体" w:cs="Times New Roman"/>
          <w:b w:val="0"/>
          <w:bCs w:val="0"/>
          <w:snapToGrid w:val="0"/>
          <w:color w:val="000000"/>
          <w:spacing w:val="11"/>
          <w:kern w:val="0"/>
          <w:sz w:val="24"/>
          <w:szCs w:val="24"/>
          <w:lang w:val="en-US"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w:t>
      </w:r>
      <w:r>
        <w:rPr>
          <w:rFonts w:hint="default" w:ascii="Times New Roman" w:hAnsi="Times New Roman" w:eastAsia="宋体" w:cs="Times New Roman"/>
          <w:b w:val="0"/>
          <w:bCs w:val="0"/>
          <w:snapToGrid w:val="0"/>
          <w:color w:val="000000"/>
          <w:spacing w:val="11"/>
          <w:kern w:val="0"/>
          <w:sz w:val="24"/>
          <w:szCs w:val="24"/>
          <w:lang w:val="en-US" w:eastAsia="zh-CN"/>
        </w:rPr>
        <w:t>、垃圾处理站恶臭</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在垃圾的收集和转运过程中，部分易腐败的有机垃圾会发出异味，对环境的影响主要表现为恶臭，产生的生活垃圾等应做到日产日清，同时定期对垃圾收集房进行清洗和喷洒除臭剂。</w:t>
      </w:r>
    </w:p>
    <w:p>
      <w:pPr>
        <w:pStyle w:val="13"/>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        5、柴油发电机废气污染防治措施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项目应急柴油发电机以 0#轻质柴油为燃料，发电机使用概率低。</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柴油发电机废气经自身的配套烟气净化处理器处理后通过专用排烟通道引至楼顶高空排放。为降低发电机废气对周围环境及本项目内环境造成的影响，建议建设单位采用含硫量低的轻质柴油为燃料，同时添加催化剂，以保证柴油机正常运行时燃烧彻底，减少燃烧不充分导致污染物增多的情况。</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综上可知：在落实环评提出的废气污染防治措施后，本项目污水处理站废气排放可达到《医疗机构水污染物排放标准》（GB18466-2005）中表 3 中“污水处理站周边大气污染物最高允许浓度”相应标准；实验废气排放满足《大气污染物综合排放标准》（GB16297-1996）表 2 中的相应标准限值、项目汽车尾气排放满足《大气污染物综合排放标准》（GB16297-1996）中无组织排放监控浓度限值要求；对周围环境空气影响甚小，其措施可行。</w:t>
      </w:r>
    </w:p>
    <w:p>
      <w:pPr>
        <w:pStyle w:val="4"/>
        <w:bidi w:val="0"/>
        <w:rPr>
          <w:rFonts w:hint="default"/>
          <w:lang w:val="en-US" w:eastAsia="zh-CN"/>
        </w:rPr>
      </w:pPr>
      <w:r>
        <w:rPr>
          <w:rFonts w:hint="eastAsia"/>
          <w:lang w:val="en-US" w:eastAsia="zh-CN"/>
        </w:rPr>
        <w:t>6.2.2</w:t>
      </w:r>
      <w:r>
        <w:rPr>
          <w:rFonts w:hint="default"/>
          <w:lang w:val="en-US" w:eastAsia="zh-CN"/>
        </w:rPr>
        <w:t>废水处理措施可行性分析</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本项目实行雨污分流，污污分流。雨水由</w:t>
      </w:r>
      <w:r>
        <w:rPr>
          <w:rFonts w:hint="eastAsia" w:ascii="Times New Roman" w:hAnsi="Times New Roman" w:eastAsia="宋体" w:cs="Times New Roman"/>
          <w:b w:val="0"/>
          <w:bCs w:val="0"/>
          <w:snapToGrid w:val="0"/>
          <w:color w:val="000000"/>
          <w:spacing w:val="11"/>
          <w:kern w:val="0"/>
          <w:sz w:val="24"/>
          <w:szCs w:val="24"/>
          <w:lang w:val="en-US" w:eastAsia="zh-CN"/>
        </w:rPr>
        <w:t>南</w:t>
      </w:r>
      <w:r>
        <w:rPr>
          <w:rFonts w:hint="default" w:ascii="Times New Roman" w:hAnsi="Times New Roman" w:eastAsia="宋体" w:cs="Times New Roman"/>
          <w:b w:val="0"/>
          <w:bCs w:val="0"/>
          <w:snapToGrid w:val="0"/>
          <w:color w:val="000000"/>
          <w:spacing w:val="11"/>
          <w:kern w:val="0"/>
          <w:sz w:val="24"/>
          <w:szCs w:val="24"/>
          <w:lang w:val="en-US" w:eastAsia="zh-CN"/>
        </w:rPr>
        <w:t>向</w:t>
      </w:r>
      <w:r>
        <w:rPr>
          <w:rFonts w:hint="eastAsia" w:ascii="Times New Roman" w:hAnsi="Times New Roman" w:eastAsia="宋体" w:cs="Times New Roman"/>
          <w:b w:val="0"/>
          <w:bCs w:val="0"/>
          <w:snapToGrid w:val="0"/>
          <w:color w:val="000000"/>
          <w:spacing w:val="11"/>
          <w:kern w:val="0"/>
          <w:sz w:val="24"/>
          <w:szCs w:val="24"/>
          <w:lang w:val="en-US" w:eastAsia="zh-CN"/>
        </w:rPr>
        <w:t>北</w:t>
      </w:r>
      <w:r>
        <w:rPr>
          <w:rFonts w:hint="default" w:ascii="Times New Roman" w:hAnsi="Times New Roman" w:eastAsia="宋体" w:cs="Times New Roman"/>
          <w:b w:val="0"/>
          <w:bCs w:val="0"/>
          <w:snapToGrid w:val="0"/>
          <w:color w:val="000000"/>
          <w:spacing w:val="11"/>
          <w:kern w:val="0"/>
          <w:sz w:val="24"/>
          <w:szCs w:val="24"/>
          <w:lang w:val="en-US" w:eastAsia="zh-CN"/>
        </w:rPr>
        <w:t>收集排至市政雨水管道；办公生活废水等非医疗废水与实验室及门诊废水等医疗废水分流处理后接入市政污水管，再进入</w:t>
      </w:r>
      <w:r>
        <w:rPr>
          <w:rFonts w:hint="eastAsia" w:ascii="Times New Roman" w:hAnsi="Times New Roman" w:eastAsia="宋体" w:cs="Times New Roman"/>
          <w:b w:val="0"/>
          <w:bCs w:val="0"/>
          <w:snapToGrid w:val="0"/>
          <w:color w:val="000000"/>
          <w:spacing w:val="11"/>
          <w:kern w:val="0"/>
          <w:sz w:val="24"/>
          <w:szCs w:val="24"/>
          <w:lang w:val="en-US" w:eastAsia="zh-CN"/>
        </w:rPr>
        <w:t>宁远县</w:t>
      </w:r>
      <w:r>
        <w:rPr>
          <w:rFonts w:hint="default" w:ascii="Times New Roman" w:hAnsi="Times New Roman" w:eastAsia="宋体" w:cs="Times New Roman"/>
          <w:b w:val="0"/>
          <w:bCs w:val="0"/>
          <w:snapToGrid w:val="0"/>
          <w:color w:val="000000"/>
          <w:spacing w:val="11"/>
          <w:kern w:val="0"/>
          <w:sz w:val="24"/>
          <w:szCs w:val="24"/>
          <w:lang w:val="en-US" w:eastAsia="zh-CN"/>
        </w:rPr>
        <w:t>污水处理厂处理后排入</w:t>
      </w:r>
      <w:r>
        <w:rPr>
          <w:rFonts w:hint="eastAsia" w:ascii="Times New Roman" w:hAnsi="Times New Roman" w:eastAsia="宋体" w:cs="Times New Roman"/>
          <w:b w:val="0"/>
          <w:bCs w:val="0"/>
          <w:snapToGrid w:val="0"/>
          <w:color w:val="000000"/>
          <w:spacing w:val="11"/>
          <w:kern w:val="0"/>
          <w:sz w:val="24"/>
          <w:szCs w:val="24"/>
          <w:lang w:val="en-US" w:eastAsia="zh-CN"/>
        </w:rPr>
        <w:t>泠江</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1、生活污水</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办公室生活废水进入化粪池预处理，按照同类生活污水污水设施处理效率可知，能够达到《污水综合排放标准》（GB8978-1996）三级标准及接管标准，排至</w:t>
      </w:r>
      <w:r>
        <w:rPr>
          <w:rFonts w:hint="eastAsia" w:ascii="Times New Roman" w:hAnsi="Times New Roman" w:eastAsia="宋体" w:cs="Times New Roman"/>
          <w:b w:val="0"/>
          <w:bCs w:val="0"/>
          <w:snapToGrid w:val="0"/>
          <w:color w:val="000000"/>
          <w:spacing w:val="11"/>
          <w:kern w:val="0"/>
          <w:sz w:val="24"/>
          <w:szCs w:val="24"/>
          <w:lang w:val="en-US" w:eastAsia="zh-CN"/>
        </w:rPr>
        <w:t>宁远县</w:t>
      </w:r>
      <w:r>
        <w:rPr>
          <w:rFonts w:hint="default" w:ascii="Times New Roman" w:hAnsi="Times New Roman" w:eastAsia="宋体" w:cs="Times New Roman"/>
          <w:b w:val="0"/>
          <w:bCs w:val="0"/>
          <w:snapToGrid w:val="0"/>
          <w:color w:val="000000"/>
          <w:spacing w:val="11"/>
          <w:kern w:val="0"/>
          <w:sz w:val="24"/>
          <w:szCs w:val="24"/>
          <w:lang w:val="en-US" w:eastAsia="zh-CN"/>
        </w:rPr>
        <w:t>污水处理厂，最后排放至</w:t>
      </w:r>
      <w:r>
        <w:rPr>
          <w:rFonts w:hint="eastAsia" w:ascii="Times New Roman" w:hAnsi="Times New Roman" w:eastAsia="宋体" w:cs="Times New Roman"/>
          <w:b w:val="0"/>
          <w:bCs w:val="0"/>
          <w:snapToGrid w:val="0"/>
          <w:color w:val="000000"/>
          <w:spacing w:val="11"/>
          <w:kern w:val="0"/>
          <w:sz w:val="24"/>
          <w:szCs w:val="24"/>
          <w:lang w:val="en-US" w:eastAsia="zh-CN"/>
        </w:rPr>
        <w:t>泠江</w:t>
      </w:r>
      <w:r>
        <w:rPr>
          <w:rFonts w:hint="default" w:ascii="Times New Roman" w:hAnsi="Times New Roman" w:eastAsia="宋体" w:cs="Times New Roman"/>
          <w:b w:val="0"/>
          <w:bCs w:val="0"/>
          <w:snapToGrid w:val="0"/>
          <w:color w:val="000000"/>
          <w:spacing w:val="11"/>
          <w:kern w:val="0"/>
          <w:sz w:val="24"/>
          <w:szCs w:val="24"/>
          <w:lang w:val="en-US" w:eastAsia="zh-CN"/>
        </w:rPr>
        <w:t>。项目</w:t>
      </w:r>
      <w:r>
        <w:rPr>
          <w:rFonts w:hint="eastAsia" w:ascii="Times New Roman" w:hAnsi="Times New Roman" w:eastAsia="宋体" w:cs="Times New Roman"/>
          <w:b w:val="0"/>
          <w:bCs w:val="0"/>
          <w:snapToGrid w:val="0"/>
          <w:color w:val="000000"/>
          <w:spacing w:val="11"/>
          <w:kern w:val="0"/>
          <w:sz w:val="24"/>
          <w:szCs w:val="24"/>
          <w:lang w:val="en-US" w:eastAsia="zh-CN"/>
        </w:rPr>
        <w:t>生活污水</w:t>
      </w:r>
      <w:r>
        <w:rPr>
          <w:rFonts w:hint="default" w:ascii="Times New Roman" w:hAnsi="Times New Roman" w:eastAsia="宋体" w:cs="Times New Roman"/>
          <w:b w:val="0"/>
          <w:bCs w:val="0"/>
          <w:snapToGrid w:val="0"/>
          <w:color w:val="000000"/>
          <w:spacing w:val="11"/>
          <w:kern w:val="0"/>
          <w:sz w:val="24"/>
          <w:szCs w:val="24"/>
          <w:lang w:val="en-US" w:eastAsia="zh-CN"/>
        </w:rPr>
        <w:t>产生量约</w:t>
      </w:r>
      <w:r>
        <w:rPr>
          <w:rFonts w:hint="eastAsia" w:ascii="Times New Roman" w:hAnsi="Times New Roman" w:eastAsia="宋体" w:cs="Times New Roman"/>
          <w:b w:val="0"/>
          <w:bCs w:val="0"/>
          <w:snapToGrid w:val="0"/>
          <w:color w:val="000000"/>
          <w:spacing w:val="11"/>
          <w:kern w:val="0"/>
          <w:sz w:val="24"/>
          <w:szCs w:val="24"/>
          <w:lang w:val="en-US" w:eastAsia="zh-CN"/>
        </w:rPr>
        <w:t>2.92</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/d，本环评建议化粪池规格为</w:t>
      </w:r>
      <w:r>
        <w:rPr>
          <w:rFonts w:hint="eastAsia" w:ascii="Times New Roman" w:hAnsi="Times New Roman" w:eastAsia="宋体" w:cs="Times New Roman"/>
          <w:b w:val="0"/>
          <w:bCs w:val="0"/>
          <w:snapToGrid w:val="0"/>
          <w:color w:val="000000"/>
          <w:spacing w:val="11"/>
          <w:kern w:val="0"/>
          <w:sz w:val="24"/>
          <w:szCs w:val="24"/>
          <w:lang w:val="en-US" w:eastAsia="zh-CN"/>
        </w:rPr>
        <w:t>6</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，能够满足两天办公生活废水产生量。同时对化粪池做防渗处理，按照重点防渗区对底部进行防渗，防渗层为至少1米厚粘土层，或2毫米聚乙烯，或其它人工材料，渗透系数≤10</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-10</w:t>
      </w:r>
      <w:r>
        <w:rPr>
          <w:rFonts w:hint="default" w:ascii="Times New Roman" w:hAnsi="Times New Roman" w:eastAsia="宋体" w:cs="Times New Roman"/>
          <w:b w:val="0"/>
          <w:bCs w:val="0"/>
          <w:snapToGrid w:val="0"/>
          <w:color w:val="000000"/>
          <w:spacing w:val="11"/>
          <w:kern w:val="0"/>
          <w:sz w:val="24"/>
          <w:szCs w:val="24"/>
          <w:lang w:val="en-US" w:eastAsia="zh-CN"/>
        </w:rPr>
        <w:t>厘米/秒，杜绝事故泄露情况发。</w:t>
      </w:r>
    </w:p>
    <w:p>
      <w:pPr>
        <w:numPr>
          <w:ilvl w:val="0"/>
          <w:numId w:val="0"/>
        </w:numPr>
        <w:spacing w:line="360" w:lineRule="auto"/>
        <w:ind w:left="0" w:leftChars="0"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2、实验废水</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 项目实验废水中产生的实验操作废水包括疾控中心理化实验室和微生物实验室在实验过程中会产生一定量的特殊废水，主要包括含氰废液、重金属废液、含菌废水和酸性废水。</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①含氰化物和重金属废液处理</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由于疾控中心所有实验均在一栋建筑内，可能存在实验交叉的情形，无法将不同类型废水彻底分类，结合实际情况，疾控中心在运行过程中将含氰化物、重金属废液以及前2道清洗水分别倒入专用废液桶内，按危险废物进行管理和处置。因此废水中的氰化物、重金属含量极低，评价不统计分析废水中重金属、氰化物的产生及排放量，仅作为管理指标。</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实验室在样品前处理室、洗消室分别设有含氰废液桶和重金属废液桶，容积为20L/只，贴有识别标签和提醒标志，对不同废液进行分类收集，然后每天由专人送至危废暂存间相应的废液收集桶（200L/只）。</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②含菌废水</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微生物实验室洗消室配有高压蒸汽灭菌锅，对有感染性的器皿先进行高温灭菌消毒，再进行洗刷，相当于先进行灭菌预处理后再进行冲洗，评价不考虑特殊含菌废水，只考虑一般含菌废水。</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综上分析并结合同类项目，项目实验室废水的主要污染物包括pH、COD、BOD</w:t>
      </w:r>
      <w:r>
        <w:rPr>
          <w:rFonts w:hint="eastAsia" w:ascii="Times New Roman" w:hAnsi="Times New Roman" w:eastAsia="宋体" w:cs="Times New Roman"/>
          <w:b w:val="0"/>
          <w:bCs w:val="0"/>
          <w:snapToGrid w:val="0"/>
          <w:color w:val="000000"/>
          <w:spacing w:val="11"/>
          <w:kern w:val="0"/>
          <w:sz w:val="24"/>
          <w:szCs w:val="24"/>
          <w:vertAlign w:val="subscript"/>
          <w:lang w:val="en-US" w:eastAsia="zh-CN"/>
        </w:rPr>
        <w:t>5</w:t>
      </w:r>
      <w:r>
        <w:rPr>
          <w:rFonts w:hint="eastAsia" w:ascii="Times New Roman" w:hAnsi="Times New Roman" w:eastAsia="宋体" w:cs="Times New Roman"/>
          <w:b w:val="0"/>
          <w:bCs w:val="0"/>
          <w:snapToGrid w:val="0"/>
          <w:color w:val="000000"/>
          <w:spacing w:val="11"/>
          <w:kern w:val="0"/>
          <w:sz w:val="24"/>
          <w:szCs w:val="24"/>
          <w:lang w:val="en-US" w:eastAsia="zh-CN"/>
        </w:rPr>
        <w:t>、SS、氨氮、粪大肠菌群等，还有极少量因分析试剂带入的微量重金属、氰化物，重金属包括铅、砷、镉、银、镍、汞、铬、铜、锌等。由于实验器皿剩余高浓度废液和前两次清洗产生的高浓度废水全部作为危废进行管理和处置，因此废水中重金属、氰化物的浓度极低，本次评价不再计算其产生及排放情况</w:t>
      </w:r>
      <w:r>
        <w:rPr>
          <w:rFonts w:hint="default" w:ascii="Times New Roman" w:hAnsi="Times New Roman" w:eastAsia="宋体" w:cs="Times New Roman"/>
          <w:b w:val="0"/>
          <w:bCs w:val="0"/>
          <w:snapToGrid w:val="0"/>
          <w:color w:val="000000"/>
          <w:spacing w:val="11"/>
          <w:kern w:val="0"/>
          <w:sz w:val="24"/>
          <w:szCs w:val="24"/>
          <w:lang w:val="en-US" w:eastAsia="zh-CN"/>
        </w:rPr>
        <w:t>。</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评价建议本项目污水处理站采用《医院污水处理工程技术规范》（HJ2029-2013）中“二级处理+消毒工艺”技术，因医疗废水产生排放量很小，建议污水处理站采用</w:t>
      </w:r>
      <w:r>
        <w:rPr>
          <w:rFonts w:hint="eastAsia" w:ascii="Times New Roman" w:hAnsi="Times New Roman" w:eastAsia="宋体" w:cs="Times New Roman"/>
          <w:b w:val="0"/>
          <w:bCs w:val="0"/>
          <w:snapToGrid w:val="0"/>
          <w:color w:val="000000"/>
          <w:spacing w:val="11"/>
          <w:kern w:val="0"/>
          <w:sz w:val="24"/>
          <w:szCs w:val="24"/>
          <w:lang w:val="en-US" w:eastAsia="zh-CN"/>
        </w:rPr>
        <w:t>密闭</w:t>
      </w:r>
      <w:r>
        <w:rPr>
          <w:rFonts w:hint="default" w:ascii="Times New Roman" w:hAnsi="Times New Roman" w:eastAsia="宋体" w:cs="Times New Roman"/>
          <w:b w:val="0"/>
          <w:bCs w:val="0"/>
          <w:snapToGrid w:val="0"/>
          <w:color w:val="000000"/>
          <w:spacing w:val="11"/>
          <w:kern w:val="0"/>
          <w:sz w:val="24"/>
          <w:szCs w:val="24"/>
          <w:lang w:val="en-US" w:eastAsia="zh-CN"/>
        </w:rPr>
        <w:t>式一体化处理设备，设计处理能力为</w:t>
      </w:r>
      <w:r>
        <w:rPr>
          <w:rFonts w:hint="eastAsia" w:ascii="Times New Roman" w:hAnsi="Times New Roman" w:eastAsia="宋体" w:cs="Times New Roman"/>
          <w:b w:val="0"/>
          <w:bCs w:val="0"/>
          <w:snapToGrid w:val="0"/>
          <w:color w:val="000000"/>
          <w:spacing w:val="11"/>
          <w:kern w:val="0"/>
          <w:sz w:val="24"/>
          <w:szCs w:val="24"/>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/d，项目医疗废水产生量为2.</w:t>
      </w:r>
      <w:r>
        <w:rPr>
          <w:rFonts w:hint="eastAsia" w:ascii="Times New Roman" w:hAnsi="Times New Roman" w:eastAsia="宋体" w:cs="Times New Roman"/>
          <w:b w:val="0"/>
          <w:bCs w:val="0"/>
          <w:snapToGrid w:val="0"/>
          <w:color w:val="000000"/>
          <w:spacing w:val="11"/>
          <w:kern w:val="0"/>
          <w:sz w:val="24"/>
          <w:szCs w:val="24"/>
          <w:lang w:val="en-US" w:eastAsia="zh-CN"/>
        </w:rPr>
        <w:t>746</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d，设计能力满足要求。根据同类疾控中心的验收监测结果可知，使用“二级处理+消毒工艺”处理后医疗废水处理出水能达到《医疗机构水污染物排放标准》（GB18466-2005）表2的预处理标准，处理效果很好，可推断采用相同处理工艺的本项目医疗废水处理站出水也能达到《医疗机构水污染物排放标准》（GB18466-2005）中预处理排放标准要求和污水处理厂进水水质要求。预处理后的医疗废水经</w:t>
      </w:r>
      <w:r>
        <w:rPr>
          <w:rFonts w:hint="eastAsia" w:ascii="Times New Roman" w:hAnsi="Times New Roman" w:eastAsia="宋体" w:cs="Times New Roman"/>
          <w:b w:val="0"/>
          <w:bCs w:val="0"/>
          <w:snapToGrid w:val="0"/>
          <w:color w:val="000000"/>
          <w:spacing w:val="11"/>
          <w:kern w:val="0"/>
          <w:sz w:val="24"/>
          <w:szCs w:val="24"/>
          <w:lang w:val="en-US" w:eastAsia="zh-CN"/>
        </w:rPr>
        <w:t>宁远县</w:t>
      </w:r>
      <w:r>
        <w:rPr>
          <w:rFonts w:hint="default" w:ascii="Times New Roman" w:hAnsi="Times New Roman" w:eastAsia="宋体" w:cs="Times New Roman"/>
          <w:b w:val="0"/>
          <w:bCs w:val="0"/>
          <w:snapToGrid w:val="0"/>
          <w:color w:val="000000"/>
          <w:spacing w:val="11"/>
          <w:kern w:val="0"/>
          <w:sz w:val="24"/>
          <w:szCs w:val="24"/>
          <w:lang w:val="en-US" w:eastAsia="zh-CN"/>
        </w:rPr>
        <w:t>污水处理厂处理后水质标准满足《城镇污水处理厂污染物排放标准》（GB18918-2002）一级A标准排入</w:t>
      </w:r>
      <w:r>
        <w:rPr>
          <w:rFonts w:hint="eastAsia" w:ascii="Times New Roman" w:hAnsi="Times New Roman" w:eastAsia="宋体" w:cs="Times New Roman"/>
          <w:b w:val="0"/>
          <w:bCs w:val="0"/>
          <w:snapToGrid w:val="0"/>
          <w:color w:val="000000"/>
          <w:spacing w:val="11"/>
          <w:kern w:val="0"/>
          <w:sz w:val="24"/>
          <w:szCs w:val="24"/>
          <w:lang w:val="en-US" w:eastAsia="zh-CN"/>
        </w:rPr>
        <w:t>泠江</w:t>
      </w:r>
      <w:r>
        <w:rPr>
          <w:rFonts w:hint="default" w:ascii="Times New Roman" w:hAnsi="Times New Roman" w:eastAsia="宋体" w:cs="Times New Roman"/>
          <w:b w:val="0"/>
          <w:bCs w:val="0"/>
          <w:snapToGrid w:val="0"/>
          <w:color w:val="000000"/>
          <w:spacing w:val="11"/>
          <w:kern w:val="0"/>
          <w:sz w:val="24"/>
          <w:szCs w:val="24"/>
          <w:lang w:val="en-US" w:eastAsia="zh-CN"/>
        </w:rPr>
        <w:t>。污水处理站污泥经消毒后满足《医疗机构水污染物排放标准》（GB18466-2005）表4医疗机构污泥控制标准，委托有危废资质公司妥善处置。</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具体污水处理工艺如下：</w:t>
      </w:r>
    </w:p>
    <w:p>
      <w:pPr>
        <w:spacing w:line="360" w:lineRule="auto"/>
        <w:jc w:val="both"/>
        <w:rPr>
          <w:rFonts w:hint="eastAsia" w:ascii="Times New Roman" w:hAnsi="Times New Roman" w:eastAsia="宋体" w:cs="Times New Roman"/>
          <w:b w:val="0"/>
          <w:bCs w:val="0"/>
          <w:snapToGrid w:val="0"/>
          <w:color w:val="000000"/>
          <w:spacing w:val="11"/>
          <w:kern w:val="0"/>
          <w:sz w:val="24"/>
          <w:szCs w:val="24"/>
          <w:lang w:val="en-US" w:eastAsia="zh-CN"/>
        </w:rPr>
      </w:pPr>
      <w:r>
        <w:rPr>
          <w:sz w:val="24"/>
        </w:rPr>
        <mc:AlternateContent>
          <mc:Choice Requires="wpc">
            <w:drawing>
              <wp:inline distT="0" distB="0" distL="114300" distR="114300">
                <wp:extent cx="5943600" cy="2291715"/>
                <wp:effectExtent l="0" t="0" r="0" b="13335"/>
                <wp:docPr id="22" name="画布 22"/>
                <wp:cNvGraphicFramePr/>
                <a:graphic xmlns:a="http://schemas.openxmlformats.org/drawingml/2006/main">
                  <a:graphicData uri="http://schemas.microsoft.com/office/word/2010/wordprocessingCanvas">
                    <wpc:wpc>
                      <wpc:bg/>
                      <wpc:whole/>
                      <wps:wsp>
                        <wps:cNvPr id="23" name="文本框 23"/>
                        <wps:cNvSpPr txBox="true"/>
                        <wps:spPr>
                          <a:xfrm>
                            <a:off x="1236980" y="551815"/>
                            <a:ext cx="65722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调节池</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4" name="文本框 24"/>
                        <wps:cNvSpPr txBox="true"/>
                        <wps:spPr>
                          <a:xfrm>
                            <a:off x="132080" y="522605"/>
                            <a:ext cx="75184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实验废水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5" name="文本框 25"/>
                        <wps:cNvSpPr txBox="true"/>
                        <wps:spPr>
                          <a:xfrm>
                            <a:off x="2284730" y="560705"/>
                            <a:ext cx="85661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气浮、混凝</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6" name="文本框 26"/>
                        <wps:cNvSpPr txBox="true"/>
                        <wps:spPr>
                          <a:xfrm>
                            <a:off x="3599180" y="560705"/>
                            <a:ext cx="85661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沉淀池</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7" name="文本框 27"/>
                        <wps:cNvSpPr txBox="true"/>
                        <wps:spPr>
                          <a:xfrm>
                            <a:off x="4846955" y="560705"/>
                            <a:ext cx="85661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电化学氧化</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9" name="文本框 29"/>
                        <wps:cNvSpPr txBox="true"/>
                        <wps:spPr>
                          <a:xfrm>
                            <a:off x="4789805" y="1875155"/>
                            <a:ext cx="99949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紫外线消毒</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0" name="文本框 30"/>
                        <wps:cNvSpPr txBox="true"/>
                        <wps:spPr>
                          <a:xfrm>
                            <a:off x="3266440" y="1779905"/>
                            <a:ext cx="1113155"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宁远县污水处理厂</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1" name="直接箭头连接符 31"/>
                        <wps:cNvCnPr>
                          <a:stCxn id="24" idx="3"/>
                          <a:endCxn id="23" idx="1"/>
                        </wps:cNvCnPr>
                        <wps:spPr>
                          <a:xfrm>
                            <a:off x="883920" y="665480"/>
                            <a:ext cx="353060" cy="152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 name="直接箭头连接符 33"/>
                        <wps:cNvCnPr>
                          <a:stCxn id="26" idx="3"/>
                          <a:endCxn id="27" idx="1"/>
                        </wps:cNvCnPr>
                        <wps:spPr>
                          <a:xfrm>
                            <a:off x="4455795" y="689610"/>
                            <a:ext cx="39116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 name="直接箭头连接符 34"/>
                        <wps:cNvCnPr>
                          <a:stCxn id="25" idx="3"/>
                          <a:endCxn id="26" idx="1"/>
                        </wps:cNvCnPr>
                        <wps:spPr>
                          <a:xfrm>
                            <a:off x="3141345" y="689610"/>
                            <a:ext cx="45783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直接箭头连接符 35"/>
                        <wps:cNvCnPr>
                          <a:stCxn id="23" idx="3"/>
                          <a:endCxn id="25" idx="1"/>
                        </wps:cNvCnPr>
                        <wps:spPr>
                          <a:xfrm>
                            <a:off x="1894205" y="680720"/>
                            <a:ext cx="390525" cy="88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 name="直接箭头连接符 36"/>
                        <wps:cNvCnPr>
                          <a:stCxn id="27" idx="2"/>
                          <a:endCxn id="29" idx="0"/>
                        </wps:cNvCnPr>
                        <wps:spPr>
                          <a:xfrm>
                            <a:off x="5275580" y="817880"/>
                            <a:ext cx="13970" cy="10572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7" name="直接箭头连接符 37"/>
                        <wps:cNvCnPr>
                          <a:stCxn id="29" idx="1"/>
                          <a:endCxn id="30" idx="3"/>
                        </wps:cNvCnPr>
                        <wps:spPr>
                          <a:xfrm flipH="true">
                            <a:off x="4379595" y="2004060"/>
                            <a:ext cx="410210" cy="44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 name="文本框 38"/>
                        <wps:cNvSpPr txBox="true"/>
                        <wps:spPr>
                          <a:xfrm>
                            <a:off x="2265680" y="9525"/>
                            <a:ext cx="91376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PAC/PAM</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9" name="直接箭头连接符 39"/>
                        <wps:cNvCnPr>
                          <a:stCxn id="38" idx="2"/>
                          <a:endCxn id="25" idx="0"/>
                        </wps:cNvCnPr>
                        <wps:spPr>
                          <a:xfrm flipH="true">
                            <a:off x="2713355" y="295275"/>
                            <a:ext cx="9525" cy="2654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 name="文本框 40"/>
                        <wps:cNvSpPr txBox="true"/>
                        <wps:spPr>
                          <a:xfrm>
                            <a:off x="2122805" y="1313180"/>
                            <a:ext cx="99949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污泥浓缩脱水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1" name="直接箭头连接符 41"/>
                        <wps:cNvCnPr>
                          <a:stCxn id="40" idx="1"/>
                          <a:endCxn id="44" idx="3"/>
                        </wps:cNvCnPr>
                        <wps:spPr>
                          <a:xfrm flipH="true">
                            <a:off x="1521460" y="1442085"/>
                            <a:ext cx="601345" cy="44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肘形连接符 42"/>
                        <wps:cNvCnPr>
                          <a:stCxn id="23" idx="2"/>
                          <a:endCxn id="40" idx="0"/>
                        </wps:cNvCnPr>
                        <wps:spPr>
                          <a:xfrm rot="5400000" flipV="true">
                            <a:off x="1842135" y="532765"/>
                            <a:ext cx="504190" cy="1056640"/>
                          </a:xfrm>
                          <a:prstGeom prst="bentConnector3">
                            <a:avLst>
                              <a:gd name="adj1" fmla="val 50000"/>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43" name="肘形连接符 43"/>
                        <wps:cNvCnPr>
                          <a:stCxn id="26" idx="2"/>
                          <a:endCxn id="40" idx="0"/>
                        </wps:cNvCnPr>
                        <wps:spPr>
                          <a:xfrm rot="5400000">
                            <a:off x="3077210" y="362585"/>
                            <a:ext cx="495300" cy="1405255"/>
                          </a:xfrm>
                          <a:prstGeom prst="bentConnector3">
                            <a:avLst>
                              <a:gd name="adj1" fmla="val 49936"/>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44" name="文本框 44"/>
                        <wps:cNvSpPr txBox="true"/>
                        <wps:spPr>
                          <a:xfrm>
                            <a:off x="265430" y="1284605"/>
                            <a:ext cx="125603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按照危险废物处置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180.45pt;width:468pt;" coordsize="5943600,2291715" editas="canvas" o:gfxdata="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WAAAAZHJzL1BLAQIUABQAAAAIAIdO4kAetM2k1QAAAAUBAAAPAAAA&#10;AAAAAAEAIAAAADgAAABkcnMvZG93bnJldi54bWxQSwECFAAUAAAACACHTuJAd7vrE1oHAADfNgAA&#10;DgAAAAAAAAABACAAAAA6AQAAZHJzL2Uyb0RvYy54bWxQSwUGAAAAAAYABgBZAQAABgsAAAAA&#10;">
                <o:lock v:ext="edit" aspectratio="f"/>
                <v:shape id="_x0000_s1026" o:spid="_x0000_s1026" style="position:absolute;left:0;top:0;height:2291715;width:5943600;" filled="f" stroked="f" coordsize="21600,21600" o:gfxdata="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">
                  <v:fill on="f" focussize="0,0"/>
                  <v:stroke on="f"/>
                  <v:imagedata o:title=""/>
                  <o:lock v:ext="edit" aspectratio="f"/>
                </v:shape>
                <v:shape id="_x0000_s1026" o:spid="_x0000_s1026" o:spt="202" type="#_x0000_t202" style="position:absolute;left:1236980;top:551815;height:257175;width:657225;"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qDOE80QAAAAUBAAAPAAAAAAAAAAEAIAAAADgAAABkcnMvZG93bnJldi54bWxQSwECFAAUAAAA&#10;CACHTuJAmbODLVECAACHBAAADgAAAAAAAAABACAAAAA2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eastAsia="宋体"/>
                            <w:lang w:val="en-US" w:eastAsia="zh-CN"/>
                          </w:rPr>
                          <w:t>调节池</w:t>
                        </w:r>
                      </w:p>
                    </w:txbxContent>
                  </v:textbox>
                </v:shape>
                <v:shape id="_x0000_s1026" o:spid="_x0000_s1026" o:spt="202" type="#_x0000_t202" style="position:absolute;left:132080;top:522605;height:285750;width:751840;" fillcolor="#FFFFFF [3201]" filled="t" stroked="f" coordsize="21600,21600" o:gfxdata="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QLKvv0AAAAAUB&#10;AAAPAAAAAAAAAAEAIAAAADgAAABkcnMvZG93bnJldi54bWxQSwECFAAUAAAACACHTuJAJLy7Q0YC&#10;AABeBAAADgAAAAAAAAABACAAAAA1AQAAZHJzL2Uyb0RvYy54bWxQSwUGAAAAAAYABgBZAQAA7QUA&#10;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实验废水</w:t>
                        </w:r>
                      </w:p>
                    </w:txbxContent>
                  </v:textbox>
                </v:shape>
                <v:shape id="_x0000_s1026" o:spid="_x0000_s1026" o:spt="202" type="#_x0000_t202" style="position:absolute;left:2284730;top:560705;height:257175;width:856615;"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agzhPNEAAAAFAQAADwAAAAAAAAABACAAAAA4AAAAZHJzL2Rvd25yZXYueG1sUEsBAhQAFAAA&#10;AAgAh07iQM8rtThSAgAAhwQAAA4AAAAAAAAAAQAgAAAANgEAAGRycy9lMm9Eb2MueG1sUEsFBgAA&#10;AAAGAAYAWQEAAPo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气浮、混凝</w:t>
                        </w:r>
                      </w:p>
                    </w:txbxContent>
                  </v:textbox>
                </v:shape>
                <v:shape id="_x0000_s1026" o:spid="_x0000_s1026" o:spt="202" type="#_x0000_t202" style="position:absolute;left:3599180;top:560705;height:257175;width:856615;"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agzhPNEAAAAFAQAADwAAAAAAAAABACAAAAA4AAAAZHJzL2Rvd25yZXYueG1sUEsBAhQAFAAA&#10;AAgAh07iQHw4hfZSAgAAhwQAAA4AAAAAAAAAAQAgAAAANgEAAGRycy9lMm9Eb2MueG1sUEsFBgAA&#10;AAAGAAYAWQEAAPo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沉淀池</w:t>
                        </w:r>
                      </w:p>
                    </w:txbxContent>
                  </v:textbox>
                </v:shape>
                <v:shape id="_x0000_s1026" o:spid="_x0000_s1026" o:spt="202" type="#_x0000_t202" style="position:absolute;left:4846955;top:560705;height:257175;width:856615;"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BqDOE80QAAAAUBAAAPAAAAAAAAAAEAIAAAADgAAABkcnMvZG93bnJldi54bWxQSwECFAAUAAAA&#10;CACHTuJAMK1Zw1ECAACHBAAADgAAAAAAAAABACAAAAA2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电化学氧化</w:t>
                        </w:r>
                      </w:p>
                    </w:txbxContent>
                  </v:textbox>
                </v:shape>
                <v:shape id="_x0000_s1026" o:spid="_x0000_s1026" o:spt="202" type="#_x0000_t202" style="position:absolute;left:4789805;top:1875155;height:257175;width:999490;"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GoM4TzRAAAABQEAAA8AAAAAAAAAAQAgAAAAOAAAAGRycy9kb3ducmV2LnhtbFBLAQIUABQA&#10;AAAIAIdO4kDmTggfUwIAAIgEAAAOAAAAAAAAAAEAIAAAADYBAABkcnMvZTJvRG9jLnhtbFBLBQYA&#10;AAAABgAGAFkBAAD7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紫外线消毒</w:t>
                        </w:r>
                      </w:p>
                    </w:txbxContent>
                  </v:textbox>
                </v:shape>
                <v:shape id="_x0000_s1026" o:spid="_x0000_s1026" o:spt="202" type="#_x0000_t202" style="position:absolute;left:3266440;top:1779905;height:456565;width:1113155;"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q&#10;DOE80QAAAAUBAAAPAAAAAAAAAAEAIAAAADgAAABkcnMvZG93bnJldi54bWxQSwECFAAUAAAACACH&#10;TuJAKUK78k4CAACJBAAADgAAAAAAAAABACAAAAA2AQAAZHJzL2Uyb0RvYy54bWxQSwUGAAAAAAYA&#10;BgBZAQAA9g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宁远县污水处理厂</w:t>
                        </w:r>
                      </w:p>
                    </w:txbxContent>
                  </v:textbox>
                </v:shape>
                <v:shape id="_x0000_s1026" o:spid="_x0000_s1026" o:spt="32" type="#_x0000_t32" style="position:absolute;left:883920;top:665480;height:15240;width:353060;" filled="f" stroked="t" coordsize="21600,21600" o:gfxdata="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GGH49vUAAAABQEAAA8A&#10;AAAAAAAAAQAgAAAAOAAAAGRycy9kb3ducmV2LnhtbFBLAQIUABQAAAAIAIdO4kCMsOnHBQIAAMsD&#10;AAAOAAAAAAAAAAEAIAAAADkBAABkcnMvZTJvRG9jLnhtbFBLBQYAAAAABgAGAFkBAACwBQAAAAA=&#10;">
                  <v:fill on="f" focussize="0,0"/>
                  <v:stroke weight="2pt" color="#000000 [3213]" joinstyle="round" endarrow="open"/>
                  <v:imagedata o:title=""/>
                  <o:lock v:ext="edit" aspectratio="f"/>
                </v:shape>
                <v:shape id="_x0000_s1026" o:spid="_x0000_s1026" o:spt="32" type="#_x0000_t32" style="position:absolute;left:4455795;top:689610;height:0;width:391160;" filled="f" stroked="t" coordsize="21600,21600" o:gfxdata="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YYfj29QAAAAFAQAADwAA&#10;AAAAAAABACAAAAA4AAAAZHJzL2Rvd25yZXYueG1sUEsBAhQAFAAAAAgAh07iQPiBKRYEAgAAyAMA&#10;AA4AAAAAAAAAAQAgAAAAOQEAAGRycy9lMm9Eb2MueG1sUEsFBgAAAAAGAAYAWQEAAK8FAAAAAA==&#10;">
                  <v:fill on="f" focussize="0,0"/>
                  <v:stroke weight="2pt" color="#000000 [3213]" joinstyle="round" endarrow="open"/>
                  <v:imagedata o:title=""/>
                  <o:lock v:ext="edit" aspectratio="f"/>
                </v:shape>
                <v:shape id="_x0000_s1026" o:spid="_x0000_s1026" o:spt="32" type="#_x0000_t32" style="position:absolute;left:3141345;top:689610;height:0;width:457835;" filled="f" stroked="t" coordsize="21600,21600" o:gfxdata="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YYfj29QAAAAFAQAADwAAAAAA&#10;AAABACAAAAA4AAAAZHJzL2Rvd25yZXYueG1sUEsBAhQAFAAAAAgAh07iQBwoYBIBAgAAyAMAAA4A&#10;AAAAAAAAAQAgAAAAOQEAAGRycy9lMm9Eb2MueG1sUEsFBgAAAAAGAAYAWQEAAKwFAAAAAA==&#10;">
                  <v:fill on="f" focussize="0,0"/>
                  <v:stroke weight="2pt" color="#000000 [3213]" joinstyle="round" endarrow="open"/>
                  <v:imagedata o:title=""/>
                  <o:lock v:ext="edit" aspectratio="f"/>
                </v:shape>
                <v:shape id="_x0000_s1026" o:spid="_x0000_s1026" o:spt="32" type="#_x0000_t32" style="position:absolute;left:1894205;top:680720;height:8890;width:390525;" filled="f" stroked="t" coordsize="21600,21600" o:gfxdata="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YYfj29QAAAAFAQAA&#10;DwAAAAAAAAABACAAAAA4AAAAZHJzL2Rvd25yZXYueG1sUEsBAhQAFAAAAAgAh07iQELzKq0HAgAA&#10;ywMAAA4AAAAAAAAAAQAgAAAAOQEAAGRycy9lMm9Eb2MueG1sUEsFBgAAAAAGAAYAWQEAALIFAAAA&#10;AA==&#10;">
                  <v:fill on="f" focussize="0,0"/>
                  <v:stroke weight="2pt" color="#000000 [3213]" joinstyle="round" endarrow="open"/>
                  <v:imagedata o:title=""/>
                  <o:lock v:ext="edit" aspectratio="f"/>
                </v:shape>
                <v:shape id="_x0000_s1026" o:spid="_x0000_s1026" o:spt="32" type="#_x0000_t32" style="position:absolute;left:5275580;top:817880;height:1057275;width:13970;" filled="f" stroked="t" coordsize="21600,21600" o:gfxdata="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GGH49vUAAAABQEAAA8A&#10;AAAAAAAAAQAgAAAAOAAAAGRycy9kb3ducmV2LnhtbFBLAQIUABQAAAAIAIdO4kAa2dxpBQIAAM0D&#10;AAAOAAAAAAAAAAEAIAAAADkBAABkcnMvZTJvRG9jLnhtbFBLBQYAAAAABgAGAFkBAACwBQAAAAA=&#10;">
                  <v:fill on="f" focussize="0,0"/>
                  <v:stroke weight="2pt" color="#000000 [3213]" joinstyle="round" endarrow="open"/>
                  <v:imagedata o:title=""/>
                  <o:lock v:ext="edit" aspectratio="f"/>
                </v:shape>
                <v:shape id="_x0000_s1026" o:spid="_x0000_s1026" o:spt="32" type="#_x0000_t32" style="position:absolute;left:4379595;top:2004060;flip:x;height:4445;width:410210;" filled="f" stroked="t" coordsize="21600,21600" o:gfxdata="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YT&#10;dZTTAAAABQEAAA8AAAAAAAAAAQAgAAAAOAAAAGRycy9kb3ducmV2LnhtbFBLAQIUABQAAAAIAIdO&#10;4kDUf09AEgIAANkDAAAOAAAAAAAAAAEAIAAAADgBAABkcnMvZTJvRG9jLnhtbFBLBQYAAAAABgAG&#10;AFkBAAC8BQAAAAA=&#10;">
                  <v:fill on="f" focussize="0,0"/>
                  <v:stroke weight="2pt" color="#000000 [3213]" joinstyle="round" endarrow="open"/>
                  <v:imagedata o:title=""/>
                  <o:lock v:ext="edit" aspectratio="f"/>
                </v:shape>
                <v:shape id="_x0000_s1026" o:spid="_x0000_s1026" o:spt="202" type="#_x0000_t202" style="position:absolute;left:2265680;top:9525;height:285750;width:913765;" fillcolor="#FFFFFF [3201]" filled="t" stroked="f" coordsize="21600,21600" o:gfxdata="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kCyr79AAAAAF&#10;AQAADwAAAAAAAAABACAAAAA4AAAAZHJzL2Rvd25yZXYueG1sUEsBAhQAFAAAAAgAh07iQPM/WPRH&#10;AgAAXQQAAA4AAAAAAAAAAQAgAAAANQEAAGRycy9lMm9Eb2MueG1sUEsFBgAAAAAGAAYAWQEAAO4F&#10;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PAC/PAM</w:t>
                        </w:r>
                      </w:p>
                    </w:txbxContent>
                  </v:textbox>
                </v:shape>
                <v:shape id="_x0000_s1026" o:spid="_x0000_s1026" o:spt="32" type="#_x0000_t32" style="position:absolute;left:2713355;top:295275;flip:x;height:265430;width:9525;" filled="f" stroked="t" coordsize="21600,21600" o:gfxdata="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1hN1lNMA&#10;AAAFAQAADwAAAAAAAAABACAAAAA4AAAAZHJzL2Rvd25yZXYueG1sUEsBAhQAFAAAAAgAh07iQL2S&#10;rK8OAgAA2AMAAA4AAAAAAAAAAQAgAAAAOAEAAGRycy9lMm9Eb2MueG1sUEsFBgAAAAAGAAYAWQEA&#10;ALgFAAAAAA==&#10;">
                  <v:fill on="f" focussize="0,0"/>
                  <v:stroke weight="2pt" color="#000000 [3213]" joinstyle="round" endarrow="open"/>
                  <v:imagedata o:title=""/>
                  <o:lock v:ext="edit" aspectratio="f"/>
                </v:shape>
                <v:shape id="_x0000_s1026" o:spid="_x0000_s1026" o:spt="202" type="#_x0000_t202" style="position:absolute;left:2122805;top:1313180;height:257175;width:999490;" fillcolor="#FFFFFF [3201]" filled="t" stroked="t" coordsize="21600,21600" o:gfxdata="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q&#10;DOE80QAAAAUBAAAPAAAAAAAAAAEAIAAAADgAAABkcnMvZG93bnJldi54bWxQSwECFAAUAAAACACH&#10;TuJAjSn5IE4CAACIBAAADgAAAAAAAAABACAAAAA2AQAAZHJzL2Uyb0RvYy54bWxQSwUGAAAAAAYA&#10;BgBZAQAA9g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污泥浓缩脱水</w:t>
                        </w:r>
                      </w:p>
                    </w:txbxContent>
                  </v:textbox>
                </v:shape>
                <v:shape id="_x0000_s1026" o:spid="_x0000_s1026" o:spt="32" type="#_x0000_t32" style="position:absolute;left:1521460;top:1442085;flip:x;height:4445;width:601345;" filled="f" stroked="t" coordsize="21600,21600" o:gfxdata="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1hN1lNMA&#10;AAAFAQAADwAAAAAAAAABACAAAAA4AAAAZHJzL2Rvd25yZXYueG1sUEsBAhQAFAAAAAgAh07iQI0R&#10;gTMOAgAA2QMAAA4AAAAAAAAAAQAgAAAAOAEAAGRycy9lMm9Eb2MueG1sUEsFBgAAAAAGAAYAWQEA&#10;ALgFAAAAAA==&#10;">
                  <v:fill on="f" focussize="0,0"/>
                  <v:stroke weight="2pt" color="#000000 [3213]" joinstyle="round" endarrow="open"/>
                  <v:imagedata o:title=""/>
                  <o:lock v:ext="edit" aspectratio="f"/>
                </v:shape>
                <v:shape id="_x0000_s1026" o:spid="_x0000_s1026" o:spt="34" type="#_x0000_t34" style="position:absolute;left:1842135;top:532765;flip:y;height:1056640;width:504190;rotation:-5898240f;" filled="f" stroked="t" coordsize="21600,21600" o:gfxdata="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IA5+e1QAAAAUBAAAPAAAAAAAAAAEAIAAAADgA&#10;AABkcnMvZG93bnJldi54bWxQSwECFAAUAAAACACHTuJA+emWTS8CAAAOBAAADgAAAAAAAAABACAA&#10;AAA6AQAAZHJzL2Uyb0RvYy54bWxQSwUGAAAAAAYABgBZAQAA2wUAAAAA&#10;" adj="10800">
                  <v:fill on="f" focussize="0,0"/>
                  <v:stroke weight="2pt" color="#000000 [3213]" joinstyle="round" dashstyle="3 1" endarrow="open"/>
                  <v:imagedata o:title=""/>
                  <o:lock v:ext="edit" aspectratio="f"/>
                </v:shape>
                <v:shape id="_x0000_s1026" o:spid="_x0000_s1026" o:spt="34" type="#_x0000_t34" style="position:absolute;left:3077210;top:362585;height:1405255;width:495300;rotation:5898240f;" filled="f" stroked="t" coordsize="21600,21600" o:gfxdata="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ywGuY9MAAAAFAQAADwAAAAAAAAABACAAAAA4AAAAZHJzL2Rvd25y&#10;ZXYueG1sUEsBAhQAFAAAAAgAh07iQLmTf+4mAgAAAQQAAA4AAAAAAAAAAQAgAAAAOAEAAGRycy9l&#10;Mm9Eb2MueG1sUEsFBgAAAAAGAAYAWQEAANAFAAAAAA==&#10;" adj="10786">
                  <v:fill on="f" focussize="0,0"/>
                  <v:stroke weight="2pt" color="#000000 [3213]" joinstyle="round" dashstyle="3 1" endarrow="open"/>
                  <v:imagedata o:title=""/>
                  <o:lock v:ext="edit" aspectratio="f"/>
                </v:shape>
                <v:shape id="_x0000_s1026" o:spid="_x0000_s1026" o:spt="202" type="#_x0000_t202" style="position:absolute;left:265430;top:1284605;height:323850;width:1256030;" fillcolor="#FFFFFF [3201]" filled="t" stroked="f" coordsize="21600,21600" o:gfxdata="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kCyr79AAAAAF&#10;AQAADwAAAAAAAAABACAAAAA4AAAAZHJzL2Rvd25yZXYueG1sUEsBAhQAFAAAAAgAh07iQPn07OlH&#10;AgAAYAQAAA4AAAAAAAAAAQAgAAAANQEAAGRycy9lMm9Eb2MueG1sUEsFBgAAAAAGAAYAWQEAAO4F&#10;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按照危险废物处置</w:t>
                        </w:r>
                      </w:p>
                    </w:txbxContent>
                  </v:textbox>
                </v:shape>
                <w10:wrap type="none"/>
                <w10:anchorlock/>
              </v:group>
            </w:pict>
          </mc:Fallback>
        </mc:AlternateContent>
      </w:r>
    </w:p>
    <w:p>
      <w:pPr>
        <w:keepNext w:val="0"/>
        <w:keepLines w:val="0"/>
        <w:widowControl/>
        <w:suppressLineNumbers w:val="0"/>
        <w:jc w:val="center"/>
        <w:rPr>
          <w:rFonts w:hint="eastAsia" w:ascii="Times New Roman" w:hAnsi="Times New Roman" w:eastAsia="宋体" w:cs="Times New Roman"/>
          <w:b w:val="0"/>
          <w:bCs w:val="0"/>
          <w:snapToGrid w:val="0"/>
          <w:color w:val="000000"/>
          <w:spacing w:val="11"/>
          <w:kern w:val="0"/>
          <w:sz w:val="21"/>
          <w:szCs w:val="21"/>
          <w:lang w:val="en-US" w:eastAsia="zh-CN"/>
        </w:rPr>
      </w:pPr>
      <w:r>
        <w:rPr>
          <w:rFonts w:hint="eastAsia" w:ascii="宋体" w:hAnsi="宋体" w:eastAsia="宋体" w:cs="宋体"/>
          <w:b/>
          <w:bCs/>
          <w:snapToGrid w:val="0"/>
          <w:color w:val="000000"/>
          <w:kern w:val="0"/>
          <w:sz w:val="21"/>
          <w:szCs w:val="21"/>
          <w:lang w:val="en-US" w:eastAsia="zh-CN" w:bidi="ar"/>
        </w:rPr>
        <w:t xml:space="preserve">图 </w:t>
      </w:r>
      <w:r>
        <w:rPr>
          <w:rFonts w:hint="default" w:ascii="Times New Roman" w:hAnsi="Times New Roman" w:eastAsia="宋体" w:cs="Times New Roman"/>
          <w:b/>
          <w:bCs/>
          <w:snapToGrid w:val="0"/>
          <w:color w:val="000000"/>
          <w:kern w:val="0"/>
          <w:sz w:val="21"/>
          <w:szCs w:val="21"/>
          <w:lang w:val="en-US" w:eastAsia="zh-CN" w:bidi="ar"/>
        </w:rPr>
        <w:t xml:space="preserve">6.2-1 </w:t>
      </w:r>
      <w:r>
        <w:rPr>
          <w:rFonts w:hint="eastAsia" w:ascii="宋体" w:hAnsi="宋体" w:eastAsia="宋体" w:cs="宋体"/>
          <w:b/>
          <w:bCs/>
          <w:snapToGrid w:val="0"/>
          <w:color w:val="000000"/>
          <w:kern w:val="0"/>
          <w:sz w:val="21"/>
          <w:szCs w:val="21"/>
          <w:lang w:val="en-US" w:eastAsia="zh-CN" w:bidi="ar"/>
        </w:rPr>
        <w:t>污水处理站工艺流程图</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参照《排污许可证申请与核发技术规范 医疗机构》（</w:t>
      </w:r>
      <w:r>
        <w:rPr>
          <w:rFonts w:hint="default" w:ascii="Times New Roman" w:hAnsi="Times New Roman" w:eastAsia="宋体" w:cs="Times New Roman"/>
          <w:b w:val="0"/>
          <w:bCs w:val="0"/>
          <w:snapToGrid w:val="0"/>
          <w:color w:val="000000"/>
          <w:spacing w:val="11"/>
          <w:kern w:val="0"/>
          <w:sz w:val="24"/>
          <w:szCs w:val="24"/>
          <w:lang w:val="en-US" w:eastAsia="zh-CN"/>
        </w:rPr>
        <w:t>HJ1105-2020</w:t>
      </w:r>
      <w:r>
        <w:rPr>
          <w:rFonts w:hint="eastAsia" w:ascii="Times New Roman" w:hAnsi="Times New Roman" w:eastAsia="宋体" w:cs="Times New Roman"/>
          <w:b w:val="0"/>
          <w:bCs w:val="0"/>
          <w:snapToGrid w:val="0"/>
          <w:color w:val="000000"/>
          <w:spacing w:val="11"/>
          <w:kern w:val="0"/>
          <w:sz w:val="24"/>
          <w:szCs w:val="24"/>
          <w:lang w:val="en-US" w:eastAsia="zh-CN"/>
        </w:rPr>
        <w:t xml:space="preserve">）中“表 </w:t>
      </w:r>
      <w:r>
        <w:rPr>
          <w:rFonts w:hint="default" w:ascii="Times New Roman" w:hAnsi="Times New Roman" w:eastAsia="宋体" w:cs="Times New Roman"/>
          <w:b w:val="0"/>
          <w:bCs w:val="0"/>
          <w:snapToGrid w:val="0"/>
          <w:color w:val="000000"/>
          <w:spacing w:val="11"/>
          <w:kern w:val="0"/>
          <w:sz w:val="24"/>
          <w:szCs w:val="24"/>
          <w:lang w:val="en-US" w:eastAsia="zh-CN"/>
        </w:rPr>
        <w:t xml:space="preserve">A.2 </w:t>
      </w:r>
      <w:r>
        <w:rPr>
          <w:rFonts w:hint="eastAsia" w:ascii="Times New Roman" w:hAnsi="Times New Roman" w:eastAsia="宋体" w:cs="Times New Roman"/>
          <w:b w:val="0"/>
          <w:bCs w:val="0"/>
          <w:snapToGrid w:val="0"/>
          <w:color w:val="000000"/>
          <w:spacing w:val="11"/>
          <w:kern w:val="0"/>
          <w:sz w:val="24"/>
          <w:szCs w:val="24"/>
          <w:lang w:val="en-US" w:eastAsia="zh-CN"/>
        </w:rPr>
        <w:t>医疗机构排污单位污水治理可行技术参照表”，本项目废水采取的污染防治措施属于可行技术。</w:t>
      </w:r>
    </w:p>
    <w:p>
      <w:pPr>
        <w:spacing w:line="360" w:lineRule="auto"/>
        <w:jc w:val="both"/>
        <w:rPr>
          <w:rFonts w:hint="eastAsia" w:ascii="Times New Roman" w:hAnsi="Times New Roman" w:eastAsia="宋体" w:cs="Times New Roman"/>
          <w:b w:val="0"/>
          <w:bCs w:val="0"/>
          <w:snapToGrid w:val="0"/>
          <w:color w:val="000000"/>
          <w:spacing w:val="11"/>
          <w:kern w:val="0"/>
          <w:sz w:val="24"/>
          <w:szCs w:val="24"/>
          <w:lang w:val="en-US" w:eastAsia="zh-CN"/>
        </w:rPr>
      </w:pPr>
      <w:r>
        <w:drawing>
          <wp:inline distT="0" distB="0" distL="114300" distR="114300">
            <wp:extent cx="5934710" cy="5342255"/>
            <wp:effectExtent l="0" t="0" r="8890" b="10795"/>
            <wp:docPr id="4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true"/>
                    </pic:cNvPicPr>
                  </pic:nvPicPr>
                  <pic:blipFill>
                    <a:blip r:embed="rId34"/>
                    <a:stretch>
                      <a:fillRect/>
                    </a:stretch>
                  </pic:blipFill>
                  <pic:spPr>
                    <a:xfrm>
                      <a:off x="0" y="0"/>
                      <a:ext cx="5934710" cy="5342255"/>
                    </a:xfrm>
                    <a:prstGeom prst="rect">
                      <a:avLst/>
                    </a:prstGeom>
                    <a:noFill/>
                    <a:ln>
                      <a:noFill/>
                    </a:ln>
                  </pic:spPr>
                </pic:pic>
              </a:graphicData>
            </a:graphic>
          </wp:inline>
        </w:drawing>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3、依托污水处理设施的环境可行性评价</w:t>
      </w:r>
    </w:p>
    <w:p>
      <w:pPr>
        <w:pStyle w:val="36"/>
        <w:keepNext w:val="0"/>
        <w:keepLines w:val="0"/>
        <w:pageBreakBefore w:val="0"/>
        <w:widowControl w:val="0"/>
        <w:numPr>
          <w:ilvl w:val="0"/>
          <w:numId w:val="0"/>
        </w:numPr>
        <w:kinsoku/>
        <w:wordWrap/>
        <w:overflowPunct/>
        <w:topLinePunct w:val="0"/>
        <w:autoSpaceDE/>
        <w:autoSpaceDN/>
        <w:bidi w:val="0"/>
        <w:adjustRightInd/>
        <w:snapToGrid/>
        <w:spacing w:before="0" w:beforeAutospacing="0" w:line="360" w:lineRule="auto"/>
        <w:ind w:right="0" w:rightChars="0" w:firstLine="524" w:firstLineChars="200"/>
        <w:jc w:val="both"/>
        <w:textAlignment w:val="auto"/>
        <w:rPr>
          <w:rFonts w:hint="default" w:eastAsia="宋体" w:cs="Times New Roman"/>
          <w:b w:val="0"/>
          <w:bCs w:val="0"/>
          <w:snapToGrid w:val="0"/>
          <w:color w:val="000000"/>
          <w:spacing w:val="11"/>
          <w:kern w:val="0"/>
          <w:sz w:val="24"/>
          <w:szCs w:val="24"/>
          <w:lang w:val="en-US" w:eastAsia="zh-CN"/>
        </w:rPr>
      </w:pPr>
      <w:r>
        <w:rPr>
          <w:rFonts w:hint="default" w:eastAsia="宋体" w:cs="Times New Roman"/>
          <w:b w:val="0"/>
          <w:bCs w:val="0"/>
          <w:snapToGrid w:val="0"/>
          <w:color w:val="000000"/>
          <w:spacing w:val="11"/>
          <w:kern w:val="0"/>
          <w:sz w:val="24"/>
          <w:szCs w:val="24"/>
          <w:lang w:val="en-US" w:eastAsia="zh-CN"/>
        </w:rPr>
        <w:t>①污水处理厂介绍</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宁远县第二污水处理厂位于宁远县舜陵街道仁山庙下瑶村现有厂区内，占地16359.18m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，总投资</w:t>
      </w:r>
      <w:r>
        <w:rPr>
          <w:rFonts w:hint="default" w:ascii="Times New Roman" w:hAnsi="Times New Roman" w:eastAsia="宋体" w:cs="Times New Roman"/>
          <w:b w:val="0"/>
          <w:bCs w:val="0"/>
          <w:snapToGrid w:val="0"/>
          <w:color w:val="000000"/>
          <w:spacing w:val="11"/>
          <w:kern w:val="0"/>
          <w:sz w:val="24"/>
          <w:szCs w:val="24"/>
          <w:lang w:val="en-US" w:eastAsia="zh-CN"/>
        </w:rPr>
        <w:t>6228.24</w:t>
      </w:r>
      <w:r>
        <w:rPr>
          <w:rFonts w:hint="eastAsia" w:ascii="Times New Roman" w:hAnsi="Times New Roman" w:eastAsia="宋体" w:cs="Times New Roman"/>
          <w:b w:val="0"/>
          <w:bCs w:val="0"/>
          <w:snapToGrid w:val="0"/>
          <w:color w:val="000000"/>
          <w:spacing w:val="11"/>
          <w:kern w:val="0"/>
          <w:sz w:val="24"/>
          <w:szCs w:val="24"/>
          <w:lang w:val="en-US" w:eastAsia="zh-CN"/>
        </w:rPr>
        <w:t>万元，宁远县第二污水处理厂设计规模为日处理</w:t>
      </w: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万吨。采用改良型</w:t>
      </w:r>
      <w:r>
        <w:rPr>
          <w:rFonts w:hint="default" w:ascii="Times New Roman" w:hAnsi="Times New Roman" w:eastAsia="宋体" w:cs="Times New Roman"/>
          <w:b w:val="0"/>
          <w:bCs w:val="0"/>
          <w:snapToGrid w:val="0"/>
          <w:color w:val="000000"/>
          <w:spacing w:val="11"/>
          <w:kern w:val="0"/>
          <w:sz w:val="24"/>
          <w:szCs w:val="24"/>
          <w:lang w:val="en-US" w:eastAsia="zh-CN"/>
        </w:rPr>
        <w:t>A</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O</w:t>
      </w:r>
      <w:r>
        <w:rPr>
          <w:rFonts w:hint="eastAsia" w:ascii="Times New Roman" w:hAnsi="Times New Roman" w:eastAsia="宋体" w:cs="Times New Roman"/>
          <w:b w:val="0"/>
          <w:bCs w:val="0"/>
          <w:snapToGrid w:val="0"/>
          <w:color w:val="000000"/>
          <w:spacing w:val="11"/>
          <w:kern w:val="0"/>
          <w:sz w:val="24"/>
          <w:szCs w:val="24"/>
          <w:lang w:val="en-US" w:eastAsia="zh-CN"/>
        </w:rPr>
        <w:t>污水处理工艺，处理后的污水水质可达《城镇污水处理厂污染物排放标准》</w:t>
      </w:r>
      <w:r>
        <w:rPr>
          <w:rFonts w:hint="default" w:ascii="Times New Roman" w:hAnsi="Times New Roman" w:eastAsia="宋体" w:cs="Times New Roman"/>
          <w:b w:val="0"/>
          <w:bCs w:val="0"/>
          <w:snapToGrid w:val="0"/>
          <w:color w:val="000000"/>
          <w:spacing w:val="11"/>
          <w:kern w:val="0"/>
          <w:sz w:val="24"/>
          <w:szCs w:val="24"/>
          <w:lang w:val="en-US" w:eastAsia="zh-CN"/>
        </w:rPr>
        <w:t xml:space="preserve">GB18918-2002 </w:t>
      </w:r>
      <w:r>
        <w:rPr>
          <w:rFonts w:hint="eastAsia" w:ascii="Times New Roman" w:hAnsi="Times New Roman" w:eastAsia="宋体" w:cs="Times New Roman"/>
          <w:b w:val="0"/>
          <w:bCs w:val="0"/>
          <w:snapToGrid w:val="0"/>
          <w:color w:val="000000"/>
          <w:spacing w:val="11"/>
          <w:kern w:val="0"/>
          <w:sz w:val="24"/>
          <w:szCs w:val="24"/>
          <w:lang w:val="en-US" w:eastAsia="zh-CN"/>
        </w:rPr>
        <w:t xml:space="preserve">中一级 </w:t>
      </w:r>
      <w:r>
        <w:rPr>
          <w:rFonts w:hint="default" w:ascii="Times New Roman" w:hAnsi="Times New Roman" w:eastAsia="宋体" w:cs="Times New Roman"/>
          <w:b w:val="0"/>
          <w:bCs w:val="0"/>
          <w:snapToGrid w:val="0"/>
          <w:color w:val="000000"/>
          <w:spacing w:val="11"/>
          <w:kern w:val="0"/>
          <w:sz w:val="24"/>
          <w:szCs w:val="24"/>
          <w:lang w:val="en-US" w:eastAsia="zh-CN"/>
        </w:rPr>
        <w:t xml:space="preserve">A </w:t>
      </w:r>
      <w:r>
        <w:rPr>
          <w:rFonts w:hint="eastAsia" w:ascii="Times New Roman" w:hAnsi="Times New Roman" w:eastAsia="宋体" w:cs="Times New Roman"/>
          <w:b w:val="0"/>
          <w:bCs w:val="0"/>
          <w:snapToGrid w:val="0"/>
          <w:color w:val="000000"/>
          <w:spacing w:val="11"/>
          <w:kern w:val="0"/>
          <w:sz w:val="24"/>
          <w:szCs w:val="24"/>
          <w:lang w:val="en-US" w:eastAsia="zh-CN"/>
        </w:rPr>
        <w:t xml:space="preserve">标准。 </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本项目医疗废水量为废水量为2.746</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/d</w:t>
      </w:r>
      <w:r>
        <w:rPr>
          <w:rFonts w:hint="eastAsia" w:ascii="Times New Roman" w:hAnsi="Times New Roman" w:eastAsia="宋体" w:cs="Times New Roman"/>
          <w:b w:val="0"/>
          <w:bCs w:val="0"/>
          <w:snapToGrid w:val="0"/>
          <w:color w:val="000000"/>
          <w:spacing w:val="11"/>
          <w:kern w:val="0"/>
          <w:sz w:val="24"/>
          <w:szCs w:val="24"/>
          <w:lang w:val="en-US" w:eastAsia="zh-CN"/>
        </w:rPr>
        <w:t>，686.375</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/a</w:t>
      </w:r>
      <w:r>
        <w:rPr>
          <w:rFonts w:hint="eastAsia" w:ascii="Times New Roman" w:hAnsi="Times New Roman" w:eastAsia="宋体" w:cs="Times New Roman"/>
          <w:b w:val="0"/>
          <w:bCs w:val="0"/>
          <w:snapToGrid w:val="0"/>
          <w:color w:val="000000"/>
          <w:spacing w:val="11"/>
          <w:kern w:val="0"/>
          <w:sz w:val="24"/>
          <w:szCs w:val="24"/>
          <w:lang w:val="en-US" w:eastAsia="zh-CN"/>
        </w:rPr>
        <w:t xml:space="preserve">。根据污水处理厂纳污范围，待污水处理厂纳污管网全部铺设完成后，本项目污水全部纳入污水处理厂处理。由于该项目污水排放量相对较小，对宁远县第二污水处理厂不会产生较大的处理负荷。项目依托的污水处理环保设施是可行的。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②污水处理厂处理工艺 </w:t>
      </w:r>
    </w:p>
    <w:p>
      <w:pPr>
        <w:keepNext w:val="0"/>
        <w:keepLines w:val="0"/>
        <w:widowControl/>
        <w:suppressLineNumbers w:val="0"/>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宁远县第二污水处理厂污水处理工艺采用泥水分离改良型 </w:t>
      </w:r>
      <w:r>
        <w:rPr>
          <w:rFonts w:hint="default" w:ascii="Times New Roman" w:hAnsi="Times New Roman" w:eastAsia="宋体" w:cs="Times New Roman"/>
          <w:b w:val="0"/>
          <w:bCs w:val="0"/>
          <w:snapToGrid w:val="0"/>
          <w:color w:val="000000"/>
          <w:spacing w:val="11"/>
          <w:kern w:val="0"/>
          <w:sz w:val="24"/>
          <w:szCs w:val="24"/>
          <w:lang w:val="en-US" w:eastAsia="zh-CN"/>
        </w:rPr>
        <w:t xml:space="preserve">A/A/O </w:t>
      </w:r>
      <w:r>
        <w:rPr>
          <w:rFonts w:hint="eastAsia" w:ascii="Times New Roman" w:hAnsi="Times New Roman" w:eastAsia="宋体" w:cs="Times New Roman"/>
          <w:b w:val="0"/>
          <w:bCs w:val="0"/>
          <w:snapToGrid w:val="0"/>
          <w:color w:val="000000"/>
          <w:spacing w:val="11"/>
          <w:kern w:val="0"/>
          <w:sz w:val="24"/>
          <w:szCs w:val="24"/>
          <w:lang w:val="en-US" w:eastAsia="zh-CN"/>
        </w:rPr>
        <w:t>工艺作为污水处理工艺。</w:t>
      </w:r>
      <w:r>
        <w:rPr>
          <w:rFonts w:hint="default" w:ascii="Times New Roman" w:hAnsi="Times New Roman" w:eastAsia="宋体" w:cs="Times New Roman"/>
          <w:b w:val="0"/>
          <w:bCs w:val="0"/>
          <w:snapToGrid w:val="0"/>
          <w:color w:val="000000"/>
          <w:spacing w:val="11"/>
          <w:kern w:val="0"/>
          <w:sz w:val="24"/>
          <w:szCs w:val="24"/>
          <w:lang w:val="en-US" w:eastAsia="zh-CN"/>
        </w:rPr>
        <w:t xml:space="preserve">A/A/O </w:t>
      </w:r>
      <w:r>
        <w:rPr>
          <w:rFonts w:hint="eastAsia" w:ascii="Times New Roman" w:hAnsi="Times New Roman" w:eastAsia="宋体" w:cs="Times New Roman"/>
          <w:b w:val="0"/>
          <w:bCs w:val="0"/>
          <w:snapToGrid w:val="0"/>
          <w:color w:val="000000"/>
          <w:spacing w:val="11"/>
          <w:kern w:val="0"/>
          <w:sz w:val="24"/>
          <w:szCs w:val="24"/>
          <w:lang w:val="en-US" w:eastAsia="zh-CN"/>
        </w:rPr>
        <w:t>系统设计成具有三个相对独立的分区，即厌氧区、缺氧区、曝气区，根据不同的处理目标，通过调整参数使系统的去处能力得到提高。这是一个典型的除磷脱氮工艺，厌氧池的</w:t>
      </w:r>
      <w:r>
        <w:rPr>
          <w:rFonts w:hint="default" w:ascii="Times New Roman" w:hAnsi="Times New Roman" w:eastAsia="宋体" w:cs="Times New Roman"/>
          <w:b w:val="0"/>
          <w:bCs w:val="0"/>
          <w:snapToGrid w:val="0"/>
          <w:color w:val="000000"/>
          <w:spacing w:val="11"/>
          <w:kern w:val="0"/>
          <w:sz w:val="24"/>
          <w:szCs w:val="24"/>
          <w:lang w:val="en-US" w:eastAsia="zh-CN"/>
        </w:rPr>
        <w:t>DO</w:t>
      </w:r>
      <w:r>
        <w:rPr>
          <w:rFonts w:hint="eastAsia" w:ascii="Times New Roman" w:hAnsi="Times New Roman" w:eastAsia="宋体" w:cs="Times New Roman"/>
          <w:b w:val="0"/>
          <w:bCs w:val="0"/>
          <w:snapToGrid w:val="0"/>
          <w:color w:val="000000"/>
          <w:spacing w:val="11"/>
          <w:kern w:val="0"/>
          <w:sz w:val="24"/>
          <w:szCs w:val="24"/>
          <w:lang w:val="en-US" w:eastAsia="zh-CN"/>
        </w:rPr>
        <w:t>控制在</w:t>
      </w:r>
      <w:r>
        <w:rPr>
          <w:rFonts w:hint="default" w:ascii="Times New Roman" w:hAnsi="Times New Roman" w:eastAsia="宋体" w:cs="Times New Roman"/>
          <w:b w:val="0"/>
          <w:bCs w:val="0"/>
          <w:snapToGrid w:val="0"/>
          <w:color w:val="000000"/>
          <w:spacing w:val="11"/>
          <w:kern w:val="0"/>
          <w:sz w:val="24"/>
          <w:szCs w:val="24"/>
          <w:lang w:val="en-US" w:eastAsia="zh-CN"/>
        </w:rPr>
        <w:t>0-0.5mg/l</w:t>
      </w:r>
      <w:r>
        <w:rPr>
          <w:rFonts w:hint="eastAsia" w:ascii="Times New Roman" w:hAnsi="Times New Roman" w:eastAsia="宋体" w:cs="Times New Roman"/>
          <w:b w:val="0"/>
          <w:bCs w:val="0"/>
          <w:snapToGrid w:val="0"/>
          <w:color w:val="000000"/>
          <w:spacing w:val="11"/>
          <w:kern w:val="0"/>
          <w:sz w:val="24"/>
          <w:szCs w:val="24"/>
          <w:lang w:val="en-US" w:eastAsia="zh-CN"/>
        </w:rPr>
        <w:t>，缺氧区控制在</w:t>
      </w:r>
      <w:r>
        <w:rPr>
          <w:rFonts w:hint="default" w:ascii="Times New Roman" w:hAnsi="Times New Roman" w:eastAsia="宋体" w:cs="Times New Roman"/>
          <w:b w:val="0"/>
          <w:bCs w:val="0"/>
          <w:snapToGrid w:val="0"/>
          <w:color w:val="000000"/>
          <w:spacing w:val="11"/>
          <w:kern w:val="0"/>
          <w:sz w:val="24"/>
          <w:szCs w:val="24"/>
          <w:lang w:val="en-US" w:eastAsia="zh-CN"/>
        </w:rPr>
        <w:t>0.5-1mg/</w:t>
      </w:r>
      <w:r>
        <w:rPr>
          <w:rFonts w:hint="eastAsia" w:ascii="Times New Roman" w:hAnsi="Times New Roman" w:eastAsia="宋体" w:cs="Times New Roman"/>
          <w:b w:val="0"/>
          <w:bCs w:val="0"/>
          <w:snapToGrid w:val="0"/>
          <w:color w:val="000000"/>
          <w:spacing w:val="11"/>
          <w:kern w:val="0"/>
          <w:sz w:val="24"/>
          <w:szCs w:val="24"/>
          <w:lang w:val="en-US" w:eastAsia="zh-CN"/>
        </w:rPr>
        <w:t>L，曝气区控制在</w:t>
      </w: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2.5mg/</w:t>
      </w:r>
      <w:r>
        <w:rPr>
          <w:rFonts w:hint="eastAsia" w:ascii="Times New Roman" w:hAnsi="Times New Roman" w:eastAsia="宋体" w:cs="Times New Roman"/>
          <w:b w:val="0"/>
          <w:bCs w:val="0"/>
          <w:snapToGrid w:val="0"/>
          <w:color w:val="000000"/>
          <w:spacing w:val="11"/>
          <w:kern w:val="0"/>
          <w:sz w:val="24"/>
          <w:szCs w:val="24"/>
          <w:lang w:val="en-US" w:eastAsia="zh-CN"/>
        </w:rPr>
        <w:t xml:space="preserve">L，从而造成有氧和无氧的生物环境，达到生物降解及除磷脱氮的目的。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泠江河属中河，多年平均流量</w:t>
      </w:r>
      <w:r>
        <w:rPr>
          <w:rFonts w:hint="default" w:ascii="Times New Roman" w:hAnsi="Times New Roman" w:eastAsia="宋体" w:cs="Times New Roman"/>
          <w:b w:val="0"/>
          <w:bCs w:val="0"/>
          <w:snapToGrid w:val="0"/>
          <w:color w:val="000000"/>
          <w:spacing w:val="11"/>
          <w:kern w:val="0"/>
          <w:sz w:val="24"/>
          <w:szCs w:val="24"/>
          <w:lang w:val="en-US" w:eastAsia="zh-CN"/>
        </w:rPr>
        <w:t>20.6m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/s</w:t>
      </w:r>
      <w:r>
        <w:rPr>
          <w:rFonts w:hint="eastAsia" w:ascii="Times New Roman" w:hAnsi="Times New Roman" w:eastAsia="宋体" w:cs="Times New Roman"/>
          <w:b w:val="0"/>
          <w:bCs w:val="0"/>
          <w:snapToGrid w:val="0"/>
          <w:color w:val="000000"/>
          <w:spacing w:val="11"/>
          <w:kern w:val="0"/>
          <w:sz w:val="24"/>
          <w:szCs w:val="24"/>
          <w:lang w:val="en-US" w:eastAsia="zh-CN"/>
        </w:rPr>
        <w:t xml:space="preserve">，水质现状保持较好，只要污水处理厂不超负荷运行，在正常运行情况下，对泠江河河流水质影响不大。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③项目区域纳污管网建设进度与本项目的匹配性 </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位于宁远县第二污水处理厂纳污范围内，周边道路纳污管网已敷设到位，该区域废污水能顺利全部纳入宁远县第二污水处理厂。雨水经雨水口、雨水斗收集，雨水地表径流分散就近排至城市雨水管网；污水排放路径为项目内污水管网</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九嶷大道</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泠江河沿线市政污水管道</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宁远县第二污水处理厂</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泠江河。</w:t>
      </w:r>
    </w:p>
    <w:p>
      <w:pPr>
        <w:spacing w:line="360" w:lineRule="auto"/>
        <w:ind w:firstLine="524" w:firstLineChars="200"/>
        <w:jc w:val="both"/>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综上所述，本项目废水污染防治处理措施可行。项目废水</w:t>
      </w:r>
      <w:r>
        <w:rPr>
          <w:rFonts w:hint="eastAsia" w:ascii="Times New Roman" w:hAnsi="Times New Roman" w:eastAsia="宋体" w:cs="Times New Roman"/>
          <w:b w:val="0"/>
          <w:bCs w:val="0"/>
          <w:snapToGrid w:val="0"/>
          <w:color w:val="000000"/>
          <w:spacing w:val="11"/>
          <w:kern w:val="0"/>
          <w:sz w:val="24"/>
          <w:szCs w:val="24"/>
          <w:lang w:val="en-US" w:eastAsia="zh-CN"/>
        </w:rPr>
        <w:t>排入市政污水管网，进入宁远县污水处理厂深度处理后达标排放</w:t>
      </w:r>
      <w:r>
        <w:rPr>
          <w:rFonts w:hint="default" w:ascii="Times New Roman" w:hAnsi="Times New Roman" w:eastAsia="宋体" w:cs="Times New Roman"/>
          <w:b w:val="0"/>
          <w:bCs w:val="0"/>
          <w:snapToGrid w:val="0"/>
          <w:color w:val="000000"/>
          <w:spacing w:val="11"/>
          <w:kern w:val="0"/>
          <w:sz w:val="24"/>
          <w:szCs w:val="24"/>
          <w:lang w:val="en-US" w:eastAsia="zh-CN"/>
        </w:rPr>
        <w:t>，对项目周围的地表水体影响较小。</w:t>
      </w:r>
    </w:p>
    <w:p>
      <w:pPr>
        <w:pStyle w:val="4"/>
        <w:bidi w:val="0"/>
        <w:rPr>
          <w:rFonts w:hint="default"/>
          <w:lang w:val="en-US" w:eastAsia="zh-CN"/>
        </w:rPr>
      </w:pPr>
      <w:r>
        <w:rPr>
          <w:rFonts w:hint="eastAsia"/>
          <w:lang w:val="en-US" w:eastAsia="zh-CN"/>
        </w:rPr>
        <w:t>6.2.3固废</w:t>
      </w:r>
      <w:r>
        <w:rPr>
          <w:rFonts w:hint="default"/>
          <w:lang w:val="en-US" w:eastAsia="zh-CN"/>
        </w:rPr>
        <w:t>处理措施可行性分析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（1）垃圾分类：本项目对运行期间产生的垃圾按照相关规定采取分类收集措施，生活垃圾与危险废物分开收集处置。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（2）生活垃圾必须实现袋装或桶装集中，交由环卫部门统一清运，不得随处乱堆乱排现象。对生活垃圾做到日产日清，保证疾控中心区域范围内无腐烂垃圾堆放。</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本项目产生医疗废物在收集、贮存、转运过程中，应按照《医疗卫生机构医疗废物管理方法》、《医疗废物管理条例》，《医疗废物集中处置技术规范（试行）》、《医疗废物专用包装物、容器标准和警示标识规范》、《医疗废物转运车技术要求（试行）》（GB19217-2003）、污泥按照《医疗机构水污染物排放标准》（GB18466-2005）表 4 医疗机构污泥控制标准要求等相关规范执行。</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（4）危险废物的收集</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①危险废物的收集应制定详细的操作规程，内容至少应包括适用范围、操作程序和方法、专用设备和工具、转移和交接、安全保障和应急防护等；</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②危险废物收集和转运作业人员应根据工作需要配备必要的个人防护装备，如手套、防护镜、防护服、防毒面具或口罩等；</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③在危险废物的收集和转运过程中，应采取相应的安全防护和污染防治措施，包括防爆、防火、防中毒、防感染、防泄露、防飞扬、防雨或其它防止污染环境的措施；</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④危险废物收集时应根据危险废物的种类、数量、危险特性、物理形态、运输要求等因素确定包装形式；</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⑤危险废物收集应参照 HJ2025-2012 中的附录 A 填写记录表，并将记录表作为危险废物管理的重要档案妥善保存；</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⑥收集结束后应清理和恢复收集作业区域，确保作业区域环境整洁安全；</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⑦收集过危险废物的容器、设备、设施、场所及其它物品转作它用时，应消除污染，确保其使用安全；</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⑧危险废物内部转运作业应采用专用的工具，危险废物内部转运应参照HJ2025-2012 中的附录 B 填写《危险废物厂内转运记录表》；</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⑨污泥清掏前应进行监测，并进行消毒灭菌处理，确保达到《医疗机构水污染物排放标准》（GB18466-2005）表 4 医疗机构污泥控制标准要求。</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（5）危险废物的贮存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危险废物暂存间设防雨淋日晒设施，地面采取防渗和导流措施，把渗滤液导流入废水综合调节池；根据生产需要合理设置贮存量，尽量减少厂内的物料贮存量；严禁将危险废物混入生活垃圾；堆放危险废物的地方要有明显的标志，堆放点要防雨、防渗、防漏，应按要求进行包装贮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①危险废物贮存设施的选址、设计、建设、运行管理应满足 GB18597、GBZ1和 GBZ2 的有关要求；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②危险废物贮存设施应配备通讯设备、照明设施和消防设施；</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③贮存危险废物时应按危险废物的种类和特性进行分区贮存，每个贮存区域之间宜设置挡墙间隔，并应设置防雨、防火、防雷、防扬尘装置，要做到防风、防雨、防晒、防渗漏。</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（6）危险废物的运输</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对危险废物的运输要求安全可靠，要严格按照危险废物运输的管理规定进行危险废物的运输，减少运输过程中的二次污染和可能造成的环境风险，运输车辆需有特殊标志。</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（7）危险废物规范化管理措施：</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①根据管理台账和近年生产计划，制订危险废物管理计划，并报当地环保部门备案；</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②台帐应如实记载产生危险废物的种类、数量、利用、贮存、处置、流向等信息；</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③产生的危险废物实行分类收集后置于贮存设施内，贮存时限一般不得超过一年，并设专人管理；</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④盛装危险废物的容器和包装物以及产生、收集、贮存、运输、处置危险废物的场所，必须依法设置相应标识、警示标志和标签，标签上应注明贮存的废物类别、危害性以及开始贮存时间等内容；</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⑤企业必须严格执行危险废物转移计划报批和依法运行危险废物转移联单，并通过信息系统登记转移计划和电子转移联单；</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⑥企业还需健全产生单位内部管理制度，包括落实危险废物产生信息公开制度，建立员工培训和固体废物管理员制度，完善危险废物相关档案管理制度；建立和完善突发危险废物环境应急预案，并报当地环保部门备案。</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（8）医疗废物处理要求</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应当依法分类收集本单位产生的医疗废物，交由医疗废物集中处置单位处置。医疗废物集中处置单位应当及时收集、运输和处置医疗废物。应当采取有效措施，防止医疗废物流失、泄漏、渗漏、扩散。</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另外，由于医疗废物是属于危险废物，具有高度传染性，因而在其储运过程中须注意以下几点：</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①实验室及门诊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②对医疗废物必须按照卫生部和国家环境保护总局制定的《医疗废物分类目录》进行分类收集，并及时浸泡、消毒，废物袋的颜色为黄色，印有盛装医疗废物的文字说明和医疗废物警示标识，装满 3/4 后就应由专人密封清运至暂存间，废物袋口可用带子扎紧，禁止使用订书机之类的简易封口方式；</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③废物与存放点之间设计规定转运路径，以缩短废物通过的路线，要求使用专用手推车，要装卸方便、密封良好，废物袋破裂时不至于外漏，还要易于消毒和清洁；</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④本项目针对实验室病原微生物分离培养产生的培养物及染毒物质、实验用品器具、防护服装、高效过滤器（定期更换部分）等固体废物的特点，采取不同的处置方式，危险废物贮存前需要对专用污物袋内的固体废物进行喷雾消毒处理，再经过高压灭菌器处理，进行二次消毒。在工作人员确认固体废物已达到灭菌效果监测评价符合标准后，装入专用的废物桶内，实验完成后运出实验室，与其他医疗废物一起，采用内部转运箱运送至专门设置的医疗废物暂存间，收集到一定的量后定期转交给由医疗废物处置资质的单位，根据危险废物转运相关规定的要求进行转运和处理。</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（9）医疗废物暂存要求</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必须与生活垃圾存放地分开，有防雨淋的装置，地基高度应确保设施内不受雨洪冲击或浸泡；必须与医疗区、食品加工区和人员活动密集区隔开，方便医疗废物的装卸、装卸人员及运送车辆的出入；应有严密的封闭措施，设专人管理，避免非工作人员进出，以及防鼠、防蚊蝇、防蟑螂、防盗以及预防儿童接触等安全措施；地面和 1.0m 高的墙裙须进行防渗处理，地面有良好的排水性能，易于清洁和消毒，产生的废水应采用管道直接排入医疗卫生机构内的医疗废水消毒、处理系统，禁止将产生的废水直接排入外环境；</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库房外宜设有供水龙头，以供暂时贮存库房的清洗用；避免阳光直射库内，应有良好的照明设备和通风条件；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库房内应张贴“禁止吸烟、饮食”的警示标识；应按 GB15562.2 和卫生、环保部门制定的专用医疗废物警示标识要求，在库房外的明显处同时设置危险废物和医疗废物的警示标识；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应防止医疗废物在暂时贮存库房和专用暂时贮存柜（箱）中腐败散发恶臭，尽量做到日产日清，确实不能做到日产日清，且当地最高气温高于 25℃时，应将医疗废物低温暂时贮存，暂时贮存温度应低于 20℃，时间最长不超过 48 小时；</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医疗废物暂时贮存库房每天应在废物清运之后消毒冲洗，冲洗液应排入医疗卫生机构内的医疗废水消毒、处理系统，医疗废物暂时贮存库房每天应在废物清运之后消毒冲洗，冲洗液应排入医疗卫生机构内的医疗废水消毒、处理系统；医疗卫生机构交予处置的废物采用危险废物转移联单管理，设区的市环保部门对医疗废物转移计划进行审批，在医疗卫生机构、处置单位及运送方式变化后，应对医疗废物转移计划进行重新审批；</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《危险废物转移联单》（医疗废物专用）一式两份，每月一张，由处置单位医疗废物运送人员和医疗卫生机构医疗废物管理人员交接时共同填写，医疗卫生机构和处置单位分别保存，保存时间为 5 年；</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 1.5m 高处垂直跌落至水泥地面，连续 3 次，利器盒不会出现破裂、被刺穿等情况，利器盒易于焚烧，不得使用聚氯乙烯（PVC）塑料作为制造原材料，利器盒整体颜色为黄色，在盒体侧面注明“损伤性废物”，利器盒上应印制本规定医疗废物警示标识，利器盒规格尺寸可根据用户要求确定；</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周转箱整体为硬制材料，防液体渗漏，可一次性或多次重复使用，多次重复使用的周转箱（桶）应能被快速消毒或清洗，周转箱（桶）整体为黄色，外表面应印（喷）制医疗废物警示标识和文字说明。</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10）本项目必须严格遵守《医疗废物管理条例》中的禁止性规定：a、禁止任何单位和个人转让、买卖医疗废物；b、禁止在运送过程中丢弃医疗废物；c、禁止在非贮存地点倾倒、堆放医疗废物或者将医疗废物混入其他废物和生活垃圾；d、禁止邮寄医疗废物；e、禁止通过铁路、航空运输医疗废物；f、禁止在饮用水源保护区的水体上运输医疗废物。</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11）建设单位应按照国家有关规定制定危险废物管理计划；建立危险废物管理台账，如实记录有关信息，并通过国家危险废物信息管理系统向所在地生态环境主管部门申报危险废物的种类、产生量、流向、贮存、处置等有关资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（12）建设单位应当按照国家有关规定，投保环境污染责任保险。</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综上可知，本项目采取将生活垃圾和危险废物及医疗废物分开收集、存放的原则，对各种固体废物进行分类堆放处理；只要建设单位加强管理，严格按照相关法规对产生的固体废物进行分类、收集、消毒、无害化处理，并对代处理单位进行必要的监督，则本项目产生的固体废物不会对周围环境造成明显不利影响，其措施可行。</w:t>
      </w:r>
    </w:p>
    <w:p>
      <w:pPr>
        <w:pStyle w:val="4"/>
        <w:bidi w:val="0"/>
        <w:rPr>
          <w:rFonts w:hint="default"/>
          <w:lang w:val="en-US" w:eastAsia="zh-CN"/>
        </w:rPr>
      </w:pPr>
      <w:r>
        <w:rPr>
          <w:rFonts w:hint="eastAsia"/>
          <w:lang w:val="en-US" w:eastAsia="zh-CN"/>
        </w:rPr>
        <w:t>6.2.4 噪声防治措施可行性</w:t>
      </w:r>
    </w:p>
    <w:p>
      <w:pPr>
        <w:pStyle w:val="13"/>
        <w:keepNext w:val="0"/>
        <w:keepLines w:val="0"/>
        <w:pageBreakBefore w:val="0"/>
        <w:widowControl w:val="0"/>
        <w:kinsoku w:val="0"/>
        <w:wordWrap/>
        <w:overflowPunct/>
        <w:topLinePunct w:val="0"/>
        <w:autoSpaceDE w:val="0"/>
        <w:autoSpaceDN w:val="0"/>
        <w:bidi w:val="0"/>
        <w:adjustRightInd w:val="0"/>
        <w:snapToGrid w:val="0"/>
        <w:spacing w:before="0" w:after="0" w:line="360" w:lineRule="auto"/>
        <w:ind w:right="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项目营运期噪声污染源主要是水泵、污水处理站等设备噪声等，噪声源强为75-95dB（A），噪声防治措施如下：</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（1）设备选型方面，在满足功能要求的前提下，水泵、风机等设备选用装配质量好、低噪声设备；</w:t>
      </w:r>
    </w:p>
    <w:p>
      <w:pPr>
        <w:pStyle w:val="13"/>
        <w:keepNext w:val="0"/>
        <w:keepLines w:val="0"/>
        <w:pageBreakBefore w:val="0"/>
        <w:widowControl w:val="0"/>
        <w:kinsoku w:val="0"/>
        <w:wordWrap/>
        <w:overflowPunct/>
        <w:topLinePunct w:val="0"/>
        <w:autoSpaceDE w:val="0"/>
        <w:autoSpaceDN w:val="0"/>
        <w:bidi w:val="0"/>
        <w:adjustRightInd w:val="0"/>
        <w:snapToGrid w:val="0"/>
        <w:spacing w:before="0" w:after="0" w:line="360" w:lineRule="auto"/>
        <w:ind w:right="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（2）设备合理布局，污水处理设施水泵、风机等高噪声设备应尽量布置在地下、房间内，利用建筑物、构筑物来阻隔声波的传播。水泵机组的安装设计时采取如隔振及消声措施；</w:t>
      </w:r>
    </w:p>
    <w:p>
      <w:pPr>
        <w:pStyle w:val="13"/>
        <w:keepNext w:val="0"/>
        <w:keepLines w:val="0"/>
        <w:pageBreakBefore w:val="0"/>
        <w:widowControl w:val="0"/>
        <w:kinsoku w:val="0"/>
        <w:wordWrap/>
        <w:overflowPunct/>
        <w:topLinePunct w:val="0"/>
        <w:autoSpaceDE w:val="0"/>
        <w:autoSpaceDN w:val="0"/>
        <w:bidi w:val="0"/>
        <w:adjustRightInd w:val="0"/>
        <w:snapToGrid w:val="0"/>
        <w:spacing w:before="0" w:after="0" w:line="360" w:lineRule="auto"/>
        <w:ind w:right="0"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（3）风机排风口通过安装消声器，以降低风机的运行噪声和气流噪声向外传播，风机消声器的消声量不低于 30dB（A）。例如安装消声百叶等，以降低排风口气流噪声对周围环境的影响。其综合降噪效果不低于 10dB（A）；</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（4）加强噪声设备的维护管理，使设备处于良好的运行状态，避免因不正常运行所导致的噪声增大；加强对出入车辆的管理，在出入口设有醒目的限速禁鸣标记，严禁鸣喇叭。对进入车辆限制行驶速度在 20km/h 以下。同时，还需保证道路平整，优化路面质量，避免车辆在行驶中产生意外噪声；</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（5）为降低交通和人群活动噪声对内部声环境的影响，要求加强疏导管理、禁止鸣笛、减速慢行、加强绿化、禁止大声喧哗；</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（6）办公区域安装密封性较好的门窗，尽量降低外界噪声对内部办公的影响；</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（7）尽量噪声源设置于室内，并加厚墙体及采用减振垫、消声管道、安装隔声门等措施；</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（8）加强厂区绿化，种植乔木—灌木—乔木结构的绿化隔音带。</w:t>
      </w:r>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sectPr>
          <w:headerReference r:id="rId17" w:type="default"/>
          <w:footerReference r:id="rId18" w:type="default"/>
          <w:pgSz w:w="11906" w:h="16839"/>
          <w:pgMar w:top="1317" w:right="1133" w:bottom="1335" w:left="1418" w:header="1048" w:footer="979" w:gutter="0"/>
          <w:pgBorders w:offsetFrom="page">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 w:val="0"/>
          <w:bCs w:val="0"/>
          <w:snapToGrid w:val="0"/>
          <w:color w:val="000000"/>
          <w:spacing w:val="11"/>
          <w:kern w:val="0"/>
          <w:sz w:val="24"/>
          <w:szCs w:val="24"/>
          <w:lang w:val="en-US" w:eastAsia="zh-CN"/>
        </w:rPr>
        <w:t>落实环评提出的各项噪声污染防治措施后，噪声对周围环境及敏感点的声环境影响质量影响较小。</w:t>
      </w:r>
    </w:p>
    <w:p>
      <w:pPr>
        <w:pStyle w:val="2"/>
        <w:bidi w:val="0"/>
        <w:jc w:val="center"/>
      </w:pPr>
      <w:bookmarkStart w:id="102" w:name="_Toc6350"/>
      <w:r>
        <w:rPr>
          <w:lang w:val="en-US" w:eastAsia="zh-CN"/>
        </w:rPr>
        <w:t>第</w:t>
      </w:r>
      <w:r>
        <w:rPr>
          <w:rFonts w:hint="eastAsia"/>
          <w:lang w:val="en-US" w:eastAsia="zh-CN"/>
        </w:rPr>
        <w:t>七</w:t>
      </w:r>
      <w:r>
        <w:rPr>
          <w:lang w:val="en-US" w:eastAsia="zh-CN"/>
        </w:rPr>
        <w:t xml:space="preserve">章 </w:t>
      </w:r>
      <w:r>
        <w:rPr>
          <w:rFonts w:hint="eastAsia"/>
          <w:lang w:val="en-US" w:eastAsia="zh-CN"/>
        </w:rPr>
        <w:t>环境经济损益分析</w:t>
      </w:r>
      <w:bookmarkEnd w:id="102"/>
    </w:p>
    <w:p>
      <w:pPr>
        <w:pStyle w:val="13"/>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after="0" w:line="360" w:lineRule="auto"/>
        <w:ind w:right="0" w:rightChars="0"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环境影响经济损益分析是环评工作的一项重要内容，是从环境经济的角度对项目的可行性进行评价，以货币的形式定量表述建设项目对环境的影响程度和相应的环境工程效益，从而为决策部门提供科学依据，使建设项目在营运后能更好地实现经济效益、环境效益和社会效益的统一。</w:t>
      </w:r>
    </w:p>
    <w:p>
      <w:pPr>
        <w:pStyle w:val="3"/>
        <w:bidi w:val="0"/>
        <w:rPr>
          <w:rFonts w:hint="eastAsia"/>
          <w:lang w:val="en-US" w:eastAsia="zh-CN"/>
        </w:rPr>
      </w:pPr>
      <w:bookmarkStart w:id="103" w:name="_Toc12748"/>
      <w:r>
        <w:rPr>
          <w:rFonts w:hint="eastAsia"/>
          <w:lang w:val="en-US" w:eastAsia="zh-CN"/>
        </w:rPr>
        <w:t>7.1 社会效益分析</w:t>
      </w:r>
      <w:bookmarkEnd w:id="103"/>
    </w:p>
    <w:p>
      <w:pPr>
        <w:spacing w:line="360" w:lineRule="auto"/>
        <w:ind w:firstLine="524" w:firstLineChars="200"/>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本项目的社会效益主要体现在以下几个方面：</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1）项目的实施，能极大改善宁远县疾病预防控制中心职工的工作环境，工作人员将以更加饱满的热情投入到全县疾病预防控制的工作中去，并以优秀的工作业绩回报社会。项目有利于提高宁远县疾病预防控制中心的能力和疫情诊疗水平，增强应对突发公共卫生事件的应急反应，强化医疗防疫保健服务设施和条件。</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2）项目建成以后，由于硬件设施的齐备，将依法开展社区公共卫生、基本医疗、疾病控制、妇幼保健、健康教育、计划生育、爱国卫生等社区初级卫生保健服务，同时承担和协助公共卫生监督管理、村级卫生服务管理以及合作医疗管理。因此本项目能更好地为社区及周边群众提供全方位服务。</w:t>
      </w:r>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3）项目的完成有利于健全和完善城市卫生服务网络，从整体上提升宁远县医疗卫生能力和服务水平，提升形象和知名度，更好地为群众提供安全、放心的医疗卫生综合服务。卫生医疗环境的改善，是留住人才、发展市场经济的一个必备的硬件环境。项目通过对群众提供一个设施齐全、服务一流的就医环境，更利于留住劳动者和投资者，可间接起到稳定县区常住人口，为加快地方经济建设提供强有力的支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4）项目的建成，能通过多种形式的服务为群众排忧解难，与广大居民建立起新型医患关系，有利于加强精神文明建设。本项目是为人民办好事、办实事的德政民心工程，充分体现全心全意为人民服务宗旨，有利于密切党群干群关系，维护社会稳定，促进国家长治久安。</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项目的建成对于保障公民的健康权利，提高卫生服务质量与效率，适应经济发展要求和医疗模式转变，实现经济、社会、环境的可持续发展，都有着深远的意义。</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总之，项目建成后，可有效改善居民的健康预防和医疗救治条件，使当地的群众享受到更良好的预防保健与就医环境；为建立适应市场经济体制要求的卫生服务体系奠定良好的基础。因此，社会多方面效益都十分明显。</w:t>
      </w:r>
    </w:p>
    <w:p>
      <w:pPr>
        <w:pStyle w:val="3"/>
        <w:bidi w:val="0"/>
        <w:rPr>
          <w:rFonts w:hint="eastAsia"/>
          <w:lang w:val="en-US" w:eastAsia="zh-CN"/>
        </w:rPr>
      </w:pPr>
      <w:bookmarkStart w:id="104" w:name="_Toc31139"/>
      <w:r>
        <w:rPr>
          <w:rFonts w:hint="eastAsia"/>
          <w:lang w:val="en-US" w:eastAsia="zh-CN"/>
        </w:rPr>
        <w:t>7.2 经济效益分析</w:t>
      </w:r>
      <w:bookmarkEnd w:id="104"/>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项目为公益性医疗卫生机构，不产生直接经济效益。项目的实施，是关系到千家万户的切身利益，是功在千秋、造福人民的工程，也是区内各族人民的一件大事，本项目建成后，对于疾病预防控制、新冠疫情防控具有重大意义。疾控中心是地方疫情防控的前沿阵地，是权威的新冠核酸检测阳性复核确认机构。新冠疫情发生以来，疾控中心技术人员可以为地区疫情防控提供重要的技术支撑。同时，疾控中心还承担疫情研判、流调溯源、消杀与指导、应急演练与培训指导等工作，在及时高效处置疫情的同时，为地方政府培养了一大批疫情防控专业队伍。迅速控制传染源，切断疫情传播途径，阻击疫情扩散蔓延，新冠感染人数清零，可以保障社会重新走上正常轨道，间接保障经济社会的正常发展，对地方乃至国家的经济社会发展具有重要的促进作用。</w:t>
      </w:r>
    </w:p>
    <w:p>
      <w:pPr>
        <w:pStyle w:val="3"/>
        <w:bidi w:val="0"/>
        <w:rPr>
          <w:rFonts w:hint="eastAsia"/>
          <w:lang w:val="en-US" w:eastAsia="zh-CN"/>
        </w:rPr>
      </w:pPr>
      <w:bookmarkStart w:id="105" w:name="_Toc16727"/>
      <w:r>
        <w:rPr>
          <w:rFonts w:hint="eastAsia"/>
          <w:lang w:val="en-US" w:eastAsia="zh-CN"/>
        </w:rPr>
        <w:t>7.3 环境效益分析</w:t>
      </w:r>
      <w:bookmarkEnd w:id="105"/>
    </w:p>
    <w:p>
      <w:pPr>
        <w:spacing w:line="360" w:lineRule="auto"/>
        <w:ind w:firstLine="524" w:firstLineChars="200"/>
        <w:jc w:val="both"/>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项目建成后，由于实施各种严格的环保措施，污染物排放量均有所降低，使得疾控中心原环境质量得以改善。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疾控中心内已建污水处理站，达标排放，减少污染负荷。医疗废物与生活垃圾分类收集，生活垃圾可由环卫部门定期统一清运处理，医疗废物按规定收集、贮存后，由有危废处置单位处置，污水处理站栅格及污泥经规范清理后，定期由有危废处置单位处置。避免了二次污染、交叉感染。</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总的来说，建设带来的正面效益和有利影响是主要的，其生态景观的有形效应和无形效应将是长期的，对环境可能带来的不利影响和负效应，可以通过多种有效治理措施给予消除和减轻，将影响程度降到最小。</w:t>
      </w:r>
    </w:p>
    <w:p>
      <w:pPr>
        <w:pStyle w:val="3"/>
        <w:pageBreakBefore w:val="0"/>
        <w:widowControl w:val="0"/>
        <w:kinsoku w:val="0"/>
        <w:wordWrap/>
        <w:overflowPunct/>
        <w:topLinePunct w:val="0"/>
        <w:autoSpaceDE w:val="0"/>
        <w:autoSpaceDN w:val="0"/>
        <w:bidi w:val="0"/>
        <w:adjustRightInd w:val="0"/>
        <w:snapToGrid w:val="0"/>
        <w:spacing w:after="0" w:afterLines="0" w:afterAutospacing="0"/>
        <w:textAlignment w:val="baseline"/>
        <w:rPr>
          <w:rFonts w:hint="default"/>
          <w:lang w:val="en-US" w:eastAsia="zh-CN"/>
        </w:rPr>
      </w:pPr>
      <w:bookmarkStart w:id="106" w:name="_Toc17791"/>
      <w:r>
        <w:rPr>
          <w:rFonts w:hint="default"/>
          <w:lang w:val="en-US" w:eastAsia="zh-CN"/>
        </w:rPr>
        <w:t>7.4 环保投资估算</w:t>
      </w:r>
      <w:bookmarkEnd w:id="106"/>
    </w:p>
    <w:p>
      <w:pPr>
        <w:pageBreakBefore w:val="0"/>
        <w:widowControl w:val="0"/>
        <w:kinsoku w:val="0"/>
        <w:wordWrap/>
        <w:overflowPunct/>
        <w:topLinePunct w:val="0"/>
        <w:autoSpaceDE w:val="0"/>
        <w:autoSpaceDN w:val="0"/>
        <w:bidi w:val="0"/>
        <w:adjustRightInd w:val="0"/>
        <w:snapToGrid w:val="0"/>
        <w:spacing w:beforeAutospacing="0" w:line="360" w:lineRule="auto"/>
        <w:ind w:firstLine="524" w:firstLineChars="200"/>
        <w:jc w:val="both"/>
        <w:textAlignment w:val="baseline"/>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本项目总投资</w:t>
      </w:r>
      <w:r>
        <w:rPr>
          <w:rFonts w:hint="eastAsia" w:ascii="Times New Roman" w:hAnsi="Times New Roman" w:eastAsia="宋体" w:cs="Times New Roman"/>
          <w:b w:val="0"/>
          <w:bCs w:val="0"/>
          <w:snapToGrid w:val="0"/>
          <w:color w:val="000000"/>
          <w:spacing w:val="11"/>
          <w:kern w:val="0"/>
          <w:sz w:val="24"/>
          <w:szCs w:val="24"/>
          <w:lang w:val="en-US" w:eastAsia="zh-CN"/>
        </w:rPr>
        <w:t>2164.83</w:t>
      </w:r>
      <w:r>
        <w:rPr>
          <w:rFonts w:hint="default" w:ascii="Times New Roman" w:hAnsi="Times New Roman" w:eastAsia="宋体" w:cs="Times New Roman"/>
          <w:b w:val="0"/>
          <w:bCs w:val="0"/>
          <w:snapToGrid w:val="0"/>
          <w:color w:val="000000"/>
          <w:spacing w:val="11"/>
          <w:kern w:val="0"/>
          <w:sz w:val="24"/>
          <w:szCs w:val="24"/>
          <w:lang w:val="en-US" w:eastAsia="zh-CN"/>
        </w:rPr>
        <w:t>万元，其中环保投资</w:t>
      </w:r>
      <w:r>
        <w:rPr>
          <w:rFonts w:hint="eastAsia" w:ascii="Times New Roman" w:hAnsi="Times New Roman" w:eastAsia="宋体" w:cs="Times New Roman"/>
          <w:b w:val="0"/>
          <w:bCs w:val="0"/>
          <w:snapToGrid w:val="0"/>
          <w:color w:val="000000"/>
          <w:spacing w:val="11"/>
          <w:kern w:val="0"/>
          <w:sz w:val="24"/>
          <w:szCs w:val="24"/>
          <w:lang w:val="en-US" w:eastAsia="zh-CN"/>
        </w:rPr>
        <w:t>207</w:t>
      </w:r>
      <w:r>
        <w:rPr>
          <w:rFonts w:hint="default" w:ascii="Times New Roman" w:hAnsi="Times New Roman" w:eastAsia="宋体" w:cs="Times New Roman"/>
          <w:b w:val="0"/>
          <w:bCs w:val="0"/>
          <w:snapToGrid w:val="0"/>
          <w:color w:val="000000"/>
          <w:spacing w:val="11"/>
          <w:kern w:val="0"/>
          <w:sz w:val="24"/>
          <w:szCs w:val="24"/>
          <w:lang w:val="en-US" w:eastAsia="zh-CN"/>
        </w:rPr>
        <w:t>万元，占总投资的</w:t>
      </w:r>
      <w:r>
        <w:rPr>
          <w:rFonts w:hint="eastAsia" w:ascii="Times New Roman" w:hAnsi="Times New Roman" w:eastAsia="宋体" w:cs="Times New Roman"/>
          <w:b w:val="0"/>
          <w:bCs w:val="0"/>
          <w:snapToGrid w:val="0"/>
          <w:color w:val="000000"/>
          <w:spacing w:val="11"/>
          <w:kern w:val="0"/>
          <w:sz w:val="24"/>
          <w:szCs w:val="24"/>
          <w:lang w:val="en-US" w:eastAsia="zh-CN"/>
        </w:rPr>
        <w:t>9.56</w:t>
      </w:r>
      <w:r>
        <w:rPr>
          <w:rFonts w:hint="default" w:ascii="Times New Roman" w:hAnsi="Times New Roman" w:eastAsia="宋体" w:cs="Times New Roman"/>
          <w:b w:val="0"/>
          <w:bCs w:val="0"/>
          <w:snapToGrid w:val="0"/>
          <w:color w:val="000000"/>
          <w:spacing w:val="11"/>
          <w:kern w:val="0"/>
          <w:sz w:val="24"/>
          <w:szCs w:val="24"/>
          <w:lang w:val="en-US" w:eastAsia="zh-CN"/>
        </w:rPr>
        <w:t>%，项目环保投资主要包括废水、废气、噪声防治、固体废物处置等，详见下表</w:t>
      </w:r>
      <w:r>
        <w:rPr>
          <w:rFonts w:hint="eastAsia" w:ascii="Times New Roman" w:hAnsi="Times New Roman" w:eastAsia="宋体" w:cs="Times New Roman"/>
          <w:b w:val="0"/>
          <w:bCs w:val="0"/>
          <w:snapToGrid w:val="0"/>
          <w:color w:val="000000"/>
          <w:spacing w:val="11"/>
          <w:kern w:val="0"/>
          <w:sz w:val="24"/>
          <w:szCs w:val="24"/>
          <w:lang w:val="en-US" w:eastAsia="zh-CN"/>
        </w:rPr>
        <w:t>7.4-1。</w:t>
      </w:r>
    </w:p>
    <w:p>
      <w:pPr>
        <w:keepNext w:val="0"/>
        <w:keepLines w:val="0"/>
        <w:widowControl/>
        <w:suppressLineNumbers w:val="0"/>
        <w:jc w:val="center"/>
        <w:rPr>
          <w:sz w:val="21"/>
          <w:szCs w:val="21"/>
        </w:rPr>
      </w:pPr>
      <w:r>
        <w:rPr>
          <w:rFonts w:hint="eastAsia" w:ascii="宋体" w:hAnsi="宋体" w:eastAsia="宋体" w:cs="宋体"/>
          <w:b/>
          <w:bCs/>
          <w:snapToGrid w:val="0"/>
          <w:color w:val="000000"/>
          <w:kern w:val="0"/>
          <w:sz w:val="21"/>
          <w:szCs w:val="21"/>
          <w:lang w:val="en-US" w:eastAsia="zh-CN" w:bidi="ar"/>
        </w:rPr>
        <w:t xml:space="preserve">表 </w:t>
      </w:r>
      <w:r>
        <w:rPr>
          <w:rFonts w:hint="default" w:ascii="Times New Roman" w:hAnsi="Times New Roman" w:eastAsia="宋体" w:cs="Times New Roman"/>
          <w:b/>
          <w:bCs/>
          <w:snapToGrid w:val="0"/>
          <w:color w:val="000000"/>
          <w:kern w:val="0"/>
          <w:sz w:val="21"/>
          <w:szCs w:val="21"/>
          <w:lang w:val="en-US" w:eastAsia="zh-CN" w:bidi="ar"/>
        </w:rPr>
        <w:t xml:space="preserve">7.4-1 </w:t>
      </w:r>
      <w:r>
        <w:rPr>
          <w:rFonts w:hint="eastAsia" w:ascii="宋体" w:hAnsi="宋体" w:eastAsia="宋体" w:cs="宋体"/>
          <w:b/>
          <w:bCs/>
          <w:snapToGrid w:val="0"/>
          <w:color w:val="000000"/>
          <w:kern w:val="0"/>
          <w:sz w:val="21"/>
          <w:szCs w:val="21"/>
          <w:lang w:val="en-US" w:eastAsia="zh-CN" w:bidi="ar"/>
        </w:rPr>
        <w:t>环保投资一览表</w:t>
      </w:r>
    </w:p>
    <w:tbl>
      <w:tblPr>
        <w:tblStyle w:val="25"/>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02"/>
        <w:gridCol w:w="1358"/>
        <w:gridCol w:w="5356"/>
        <w:gridCol w:w="874"/>
        <w:gridCol w:w="8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287"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投资项目</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内容</w:t>
            </w:r>
          </w:p>
        </w:tc>
        <w:tc>
          <w:tcPr>
            <w:tcW w:w="45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ascii="Times New Roman" w:hAnsi="Times New Roman" w:eastAsia="宋体" w:cs="Times New Roman"/>
                <w:i w:val="0"/>
                <w:iCs w:val="0"/>
                <w:snapToGrid w:val="0"/>
                <w:color w:val="000000"/>
                <w:kern w:val="0"/>
                <w:sz w:val="21"/>
                <w:szCs w:val="21"/>
                <w:u w:val="none"/>
                <w:lang w:val="en-US" w:eastAsia="zh-CN" w:bidi="ar"/>
              </w:rPr>
              <w:t>投资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(万元 )</w:t>
            </w:r>
          </w:p>
        </w:tc>
        <w:tc>
          <w:tcPr>
            <w:tcW w:w="45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小计</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(万元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000" w:type="pct"/>
            <w:gridSpan w:val="5"/>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一、施工期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大气污染</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物</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扬尘</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洒水抑尘、构筑物防护网、围挡等</w:t>
            </w:r>
          </w:p>
        </w:tc>
        <w:tc>
          <w:tcPr>
            <w:tcW w:w="45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snapToGrid w:val="0"/>
                <w:color w:val="000000"/>
                <w:kern w:val="0"/>
                <w:sz w:val="21"/>
                <w:szCs w:val="21"/>
                <w:u w:val="none"/>
                <w:lang w:val="en-US" w:eastAsia="zh-CN" w:bidi="ar"/>
              </w:rPr>
              <w:t>1</w:t>
            </w:r>
            <w:r>
              <w:rPr>
                <w:rFonts w:ascii="Times New Roman" w:hAnsi="Times New Roman" w:eastAsia="宋体" w:cs="Times New Roman"/>
                <w:i w:val="0"/>
                <w:iCs w:val="0"/>
                <w:snapToGrid w:val="0"/>
                <w:color w:val="000000"/>
                <w:kern w:val="0"/>
                <w:sz w:val="21"/>
                <w:szCs w:val="21"/>
                <w:u w:val="none"/>
                <w:lang w:val="en-US" w:eastAsia="zh-CN" w:bidi="ar"/>
              </w:rPr>
              <w:t>0</w:t>
            </w:r>
          </w:p>
        </w:tc>
        <w:tc>
          <w:tcPr>
            <w:tcW w:w="45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snapToGrid w:val="0"/>
                <w:color w:val="000000"/>
                <w:kern w:val="0"/>
                <w:sz w:val="21"/>
                <w:szCs w:val="21"/>
                <w:u w:val="none"/>
                <w:lang w:val="en-US" w:eastAsia="zh-CN" w:bidi="ar"/>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机械尾气</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使运输车辆、施工设备处于良好状态</w:t>
            </w:r>
          </w:p>
        </w:tc>
        <w:tc>
          <w:tcPr>
            <w:tcW w:w="457"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废水防治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生活污水</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三级化粪池</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snapToGrid w:val="0"/>
                <w:color w:val="000000"/>
                <w:kern w:val="0"/>
                <w:sz w:val="21"/>
                <w:szCs w:val="21"/>
                <w:u w:val="none"/>
                <w:lang w:val="en-US" w:eastAsia="zh-CN" w:bidi="ar"/>
              </w:rPr>
              <w:t>1</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噪声防治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设备噪声</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选用低噪声设备、消声器、减震垫、隔声屏障等</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10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固体废物</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建筑垃圾</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建筑垃圾清运</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10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生活垃圾</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生活垃圾收集及清运</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5</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水土保持</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植被恢复</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恢复植被，控制水土流失</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snapToGrid w:val="0"/>
                <w:color w:val="000000"/>
                <w:kern w:val="0"/>
                <w:sz w:val="21"/>
                <w:szCs w:val="21"/>
                <w:u w:val="none"/>
                <w:lang w:val="en-US" w:eastAsia="zh-CN" w:bidi="ar"/>
              </w:rPr>
              <w:t>2</w:t>
            </w:r>
            <w:r>
              <w:rPr>
                <w:rFonts w:ascii="Times New Roman" w:hAnsi="Times New Roman" w:eastAsia="宋体" w:cs="Times New Roman"/>
                <w:i w:val="0"/>
                <w:iCs w:val="0"/>
                <w:snapToGrid w:val="0"/>
                <w:color w:val="000000"/>
                <w:kern w:val="0"/>
                <w:sz w:val="21"/>
                <w:szCs w:val="21"/>
                <w:u w:val="none"/>
                <w:lang w:val="en-US" w:eastAsia="zh-CN" w:bidi="ar"/>
              </w:rPr>
              <w:t>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000" w:type="pct"/>
            <w:gridSpan w:val="5"/>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二、运营期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大气污染</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物</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实验室废</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气</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微生物实验室废气：项目设有生物安全柜，每套生</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物安全柜均内置高效过滤器(HEPA)过滤；</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理化实验室废气：理化实验室设置通风厨，通风橱废气引至楼顶排放</w:t>
            </w:r>
          </w:p>
        </w:tc>
        <w:tc>
          <w:tcPr>
            <w:tcW w:w="45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50</w:t>
            </w:r>
          </w:p>
        </w:tc>
        <w:tc>
          <w:tcPr>
            <w:tcW w:w="45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snapToGrid w:val="0"/>
                <w:color w:val="000000"/>
                <w:kern w:val="0"/>
                <w:sz w:val="21"/>
                <w:szCs w:val="21"/>
                <w:u w:val="none"/>
                <w:lang w:val="en-US" w:eastAsia="zh-CN" w:bidi="ar"/>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污水处理</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站恶臭</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ascii="Times New Roman" w:hAnsi="Times New Roman" w:eastAsia="宋体" w:cs="Times New Roman"/>
                <w:i w:val="0"/>
                <w:iCs w:val="0"/>
                <w:snapToGrid w:val="0"/>
                <w:color w:val="000000"/>
                <w:kern w:val="0"/>
                <w:sz w:val="21"/>
                <w:szCs w:val="21"/>
                <w:u w:val="none"/>
                <w:lang w:val="en-US" w:eastAsia="zh-CN" w:bidi="ar"/>
              </w:rPr>
              <w:t>污水处理</w:t>
            </w:r>
            <w:r>
              <w:rPr>
                <w:rFonts w:hint="eastAsia" w:ascii="Times New Roman" w:hAnsi="Times New Roman" w:eastAsia="宋体" w:cs="Times New Roman"/>
                <w:i w:val="0"/>
                <w:iCs w:val="0"/>
                <w:snapToGrid w:val="0"/>
                <w:color w:val="000000"/>
                <w:kern w:val="0"/>
                <w:sz w:val="21"/>
                <w:szCs w:val="21"/>
                <w:u w:val="none"/>
                <w:lang w:val="en-US" w:eastAsia="zh-CN" w:bidi="ar"/>
              </w:rPr>
              <w:t>设施密闭，周边绿化</w:t>
            </w:r>
          </w:p>
        </w:tc>
        <w:tc>
          <w:tcPr>
            <w:tcW w:w="45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snapToGrid w:val="0"/>
                <w:color w:val="000000"/>
                <w:kern w:val="0"/>
                <w:sz w:val="21"/>
                <w:szCs w:val="21"/>
                <w:u w:val="none"/>
                <w:lang w:val="en-US" w:eastAsia="zh-CN" w:bidi="ar"/>
              </w:rPr>
              <w:t>10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柴油发电</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机废气</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专用烟道</w:t>
            </w:r>
          </w:p>
        </w:tc>
        <w:tc>
          <w:tcPr>
            <w:tcW w:w="457"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1</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废水防治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实验废水</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实验废水收集系统、污水处理站</w:t>
            </w:r>
          </w:p>
        </w:tc>
        <w:tc>
          <w:tcPr>
            <w:tcW w:w="45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50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生活污水</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ascii="Times New Roman" w:hAnsi="Times New Roman" w:eastAsia="宋体" w:cs="Times New Roman"/>
                <w:i w:val="0"/>
                <w:iCs w:val="0"/>
                <w:snapToGrid w:val="0"/>
                <w:color w:val="000000"/>
                <w:kern w:val="0"/>
                <w:sz w:val="21"/>
                <w:szCs w:val="21"/>
                <w:u w:val="none"/>
                <w:lang w:val="en-US" w:eastAsia="zh-CN" w:bidi="ar"/>
              </w:rPr>
              <w:t>生活污水经化粪池处理，排入</w:t>
            </w:r>
            <w:r>
              <w:rPr>
                <w:rFonts w:hint="eastAsia" w:ascii="Times New Roman" w:hAnsi="Times New Roman" w:eastAsia="宋体" w:cs="Times New Roman"/>
                <w:i w:val="0"/>
                <w:iCs w:val="0"/>
                <w:snapToGrid w:val="0"/>
                <w:color w:val="000000"/>
                <w:kern w:val="0"/>
                <w:sz w:val="21"/>
                <w:szCs w:val="21"/>
                <w:u w:val="none"/>
                <w:lang w:val="en-US" w:eastAsia="zh-CN" w:bidi="ar"/>
              </w:rPr>
              <w:t>市政污水管网</w:t>
            </w:r>
          </w:p>
        </w:tc>
        <w:tc>
          <w:tcPr>
            <w:tcW w:w="457"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噪声防治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设备噪声</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对噪声源进行隔声、减振处理；加强管理，合理布局；</w:t>
            </w:r>
            <w:r>
              <w:rPr>
                <w:rFonts w:hint="eastAsia" w:ascii="Times New Roman" w:hAnsi="Times New Roman" w:eastAsia="宋体" w:cs="Times New Roman"/>
                <w:i w:val="0"/>
                <w:iCs w:val="0"/>
                <w:snapToGrid w:val="0"/>
                <w:color w:val="000000"/>
                <w:kern w:val="0"/>
                <w:sz w:val="21"/>
                <w:szCs w:val="21"/>
                <w:u w:val="none"/>
                <w:lang w:val="en-US" w:eastAsia="zh-CN" w:bidi="ar"/>
              </w:rPr>
              <w:t>选用低噪声设备</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5</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 xml:space="preserve">固体废物 </w:t>
            </w:r>
          </w:p>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防治</w:t>
            </w: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危险废物</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危废暂存间、委托有资质单位处理</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7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p>
        </w:tc>
        <w:tc>
          <w:tcPr>
            <w:tcW w:w="71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生活垃圾</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垃圾桶、垃圾收集点</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5</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9" w:hRule="atLeast"/>
        </w:trPr>
        <w:tc>
          <w:tcPr>
            <w:tcW w:w="1287"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风险防范</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实验室废水应急收集桶、应急物质、事故应急池、重点</w:t>
            </w:r>
          </w:p>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防渗措施</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10</w:t>
            </w:r>
          </w:p>
        </w:tc>
        <w:tc>
          <w:tcPr>
            <w:tcW w:w="453"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128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合计</w:t>
            </w:r>
          </w:p>
        </w:tc>
        <w:tc>
          <w:tcPr>
            <w:tcW w:w="280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c>
          <w:tcPr>
            <w:tcW w:w="457" w:type="pct"/>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207</w:t>
            </w:r>
          </w:p>
        </w:tc>
        <w:tc>
          <w:tcPr>
            <w:tcW w:w="453"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207</w:t>
            </w:r>
          </w:p>
        </w:tc>
      </w:tr>
    </w:tbl>
    <w:p>
      <w:pPr>
        <w:pStyle w:val="3"/>
        <w:pageBreakBefore w:val="0"/>
        <w:widowControl w:val="0"/>
        <w:kinsoku w:val="0"/>
        <w:wordWrap/>
        <w:overflowPunct/>
        <w:topLinePunct w:val="0"/>
        <w:autoSpaceDE w:val="0"/>
        <w:autoSpaceDN w:val="0"/>
        <w:bidi w:val="0"/>
        <w:adjustRightInd w:val="0"/>
        <w:snapToGrid w:val="0"/>
        <w:spacing w:before="0" w:beforeLines="0" w:beforeAutospacing="0" w:after="0" w:afterLines="0" w:afterAutospacing="0"/>
        <w:textAlignment w:val="baseline"/>
        <w:rPr>
          <w:rFonts w:hint="default"/>
          <w:lang w:val="en-US" w:eastAsia="zh-CN"/>
        </w:rPr>
      </w:pPr>
      <w:bookmarkStart w:id="107" w:name="_Toc15470"/>
      <w:r>
        <w:rPr>
          <w:rFonts w:hint="default"/>
          <w:lang w:val="en-US" w:eastAsia="zh-CN"/>
        </w:rPr>
        <w:t>7.5 分析结论</w:t>
      </w:r>
      <w:bookmarkEnd w:id="107"/>
    </w:p>
    <w:p>
      <w:pPr>
        <w:pStyle w:val="13"/>
        <w:pageBreakBefore w:val="0"/>
        <w:widowControl w:val="0"/>
        <w:kinsoku w:val="0"/>
        <w:wordWrap/>
        <w:overflowPunct/>
        <w:topLinePunct w:val="0"/>
        <w:autoSpaceDE w:val="0"/>
        <w:autoSpaceDN w:val="0"/>
        <w:bidi w:val="0"/>
        <w:adjustRightInd w:val="0"/>
        <w:snapToGrid w:val="0"/>
        <w:spacing w:before="0" w:beforeAutospacing="0" w:line="360" w:lineRule="auto"/>
        <w:ind w:firstLine="524" w:firstLineChars="200"/>
        <w:textAlignment w:val="baseline"/>
        <w:rPr>
          <w:rFonts w:hint="eastAsia" w:ascii="Times New Roman" w:hAnsi="Times New Roman" w:eastAsia="宋体" w:cs="Times New Roman"/>
          <w:b w:val="0"/>
          <w:bCs w:val="0"/>
          <w:snapToGrid w:val="0"/>
          <w:color w:val="000000"/>
          <w:spacing w:val="11"/>
          <w:kern w:val="0"/>
          <w:sz w:val="24"/>
          <w:szCs w:val="24"/>
          <w:lang w:val="en-US" w:eastAsia="zh-CN"/>
        </w:rPr>
        <w:sectPr>
          <w:headerReference r:id="rId19" w:type="default"/>
          <w:pgSz w:w="11906" w:h="16839"/>
          <w:pgMar w:top="1317" w:right="1133" w:bottom="1335" w:left="1418" w:header="1048" w:footer="979" w:gutter="0"/>
          <w:pgBorders w:offsetFrom="page">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b w:val="0"/>
          <w:bCs w:val="0"/>
          <w:snapToGrid w:val="0"/>
          <w:color w:val="000000"/>
          <w:spacing w:val="11"/>
          <w:kern w:val="0"/>
          <w:sz w:val="24"/>
          <w:szCs w:val="24"/>
          <w:lang w:val="en-US" w:eastAsia="zh-CN"/>
        </w:rPr>
        <w:t>综上所述，项目工程的建设具有显著的社会和经济、环境效益，因此，该项目从环境经济损益的角度考虑是可行</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2"/>
        <w:bidi w:val="0"/>
        <w:spacing w:after="0" w:afterLines="0" w:afterAutospacing="0"/>
        <w:jc w:val="center"/>
      </w:pPr>
      <w:bookmarkStart w:id="108" w:name="_Toc19937"/>
      <w:r>
        <w:rPr>
          <w:rFonts w:hint="eastAsia"/>
          <w:lang w:val="en-US" w:eastAsia="zh-CN"/>
        </w:rPr>
        <w:t>第八章 环境管理与监测计划</w:t>
      </w:r>
      <w:bookmarkEnd w:id="108"/>
    </w:p>
    <w:p>
      <w:pPr>
        <w:keepNext w:val="0"/>
        <w:keepLines w:val="0"/>
        <w:widowControl/>
        <w:suppressLineNumbers w:val="0"/>
        <w:spacing w:beforeAutospacing="0"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建设项目环境管理和环境监测机构的建立是落实建设项目环境管理和环境监测计 划，监督各项环保措施的实施，监测各项环保设施运行效果的可靠保证，更好地为环境 管理提供科学依据，从而实现保护环境的目的。 </w:t>
      </w:r>
    </w:p>
    <w:p>
      <w:pPr>
        <w:pStyle w:val="3"/>
        <w:bidi w:val="0"/>
        <w:rPr>
          <w:rFonts w:hint="default"/>
          <w:lang w:val="en-US" w:eastAsia="zh-CN"/>
        </w:rPr>
      </w:pPr>
      <w:bookmarkStart w:id="109" w:name="_Toc30071"/>
      <w:r>
        <w:rPr>
          <w:rFonts w:hint="eastAsia"/>
          <w:lang w:val="en-US" w:eastAsia="zh-CN"/>
        </w:rPr>
        <w:t>8</w:t>
      </w:r>
      <w:r>
        <w:rPr>
          <w:rFonts w:hint="default"/>
          <w:lang w:val="en-US" w:eastAsia="zh-CN"/>
        </w:rPr>
        <w:t xml:space="preserve">.1 </w:t>
      </w:r>
      <w:r>
        <w:rPr>
          <w:rFonts w:hint="eastAsia"/>
          <w:lang w:val="en-US" w:eastAsia="zh-CN"/>
        </w:rPr>
        <w:t>环境管理</w:t>
      </w:r>
      <w:bookmarkEnd w:id="109"/>
      <w:r>
        <w:rPr>
          <w:rFonts w:hint="eastAsia"/>
          <w:lang w:val="en-US" w:eastAsia="zh-CN"/>
        </w:rPr>
        <w:t xml:space="preserve">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环境管理是以环境科学理论为基础，运用经济、法律、技术、行政、教育等手段对经济、社会发展过程中施加给环境的污染和破坏影响进行调节控制，实现经济、社会和环境效益的和谐统一。随着我国环保法规的完善及严格执法，环境污染问题将极大地影响着企业的生存和发展，因此，环境管理应作为企业管理工作中的重要组成部分，企业应积极并主动地预防和治理污染，提高全体员工的环境意识，避免管理不善而可能发生的环境风险。 </w:t>
      </w:r>
    </w:p>
    <w:p>
      <w:pPr>
        <w:pStyle w:val="4"/>
        <w:bidi w:val="0"/>
        <w:rPr>
          <w:rFonts w:hint="default"/>
          <w:lang w:val="en-US" w:eastAsia="zh-CN"/>
        </w:rPr>
      </w:pPr>
      <w:r>
        <w:rPr>
          <w:rFonts w:hint="eastAsia"/>
          <w:lang w:val="en-US" w:eastAsia="zh-CN"/>
        </w:rPr>
        <w:t>8</w:t>
      </w:r>
      <w:r>
        <w:rPr>
          <w:rFonts w:hint="default"/>
          <w:lang w:val="en-US" w:eastAsia="zh-CN"/>
        </w:rPr>
        <w:t xml:space="preserve">.1.1 </w:t>
      </w:r>
      <w:r>
        <w:rPr>
          <w:rFonts w:hint="eastAsia"/>
          <w:lang w:val="en-US" w:eastAsia="zh-CN"/>
        </w:rPr>
        <w:t xml:space="preserve">环境管理的必要性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项目环境管理是指工程在施工期和运行期间，应严格按照国家、地方环境保护政策、法律和法规等进行环境管理工作，并接受地方环保管理部门监督，促使项目实现</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三同时</w:t>
      </w:r>
      <w:r>
        <w:rPr>
          <w:rFonts w:hint="default" w:ascii="Times New Roman" w:hAnsi="Times New Roman" w:eastAsia="宋体" w:cs="Times New Roman"/>
          <w:b w:val="0"/>
          <w:bCs w:val="0"/>
          <w:snapToGrid w:val="0"/>
          <w:color w:val="000000"/>
          <w:spacing w:val="11"/>
          <w:kern w:val="0"/>
          <w:sz w:val="24"/>
          <w:szCs w:val="24"/>
          <w:lang w:val="en-US" w:eastAsia="zh-CN"/>
        </w:rPr>
        <w:t>”</w:t>
      </w:r>
      <w:r>
        <w:rPr>
          <w:rFonts w:hint="eastAsia" w:ascii="Times New Roman" w:hAnsi="Times New Roman" w:eastAsia="宋体" w:cs="Times New Roman"/>
          <w:b w:val="0"/>
          <w:bCs w:val="0"/>
          <w:snapToGrid w:val="0"/>
          <w:color w:val="000000"/>
          <w:spacing w:val="11"/>
          <w:kern w:val="0"/>
          <w:sz w:val="24"/>
          <w:szCs w:val="24"/>
          <w:lang w:val="en-US" w:eastAsia="zh-CN"/>
        </w:rPr>
        <w:t xml:space="preserve">目标。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环境管理是企业管理工作重要组成部分。其主要目的是通过环境管理工作的开展， </w:t>
      </w:r>
    </w:p>
    <w:p>
      <w:pPr>
        <w:keepNext w:val="0"/>
        <w:keepLines w:val="0"/>
        <w:widowControl/>
        <w:suppressLineNumbers w:val="0"/>
        <w:spacing w:line="360" w:lineRule="auto"/>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提高全体员工环保意识，促进企业积极主动地预防和治理污染，避免因管理不善而可能产生环境污染。因此，企业要贯彻落实国家和地方有关法律和法规，正确处理企业发展与环境保护的关系，实现清洁生产，从而真正达到持续发展的战略目标。 </w:t>
      </w:r>
    </w:p>
    <w:p>
      <w:pPr>
        <w:pStyle w:val="4"/>
        <w:bidi w:val="0"/>
        <w:rPr>
          <w:rFonts w:hint="default"/>
          <w:lang w:val="en-US" w:eastAsia="zh-CN"/>
        </w:rPr>
      </w:pPr>
      <w:r>
        <w:rPr>
          <w:rFonts w:hint="eastAsia"/>
          <w:lang w:val="en-US" w:eastAsia="zh-CN"/>
        </w:rPr>
        <w:t>8</w:t>
      </w:r>
      <w:r>
        <w:rPr>
          <w:rFonts w:hint="default"/>
          <w:lang w:val="en-US" w:eastAsia="zh-CN"/>
        </w:rPr>
        <w:t xml:space="preserve">.1.2 </w:t>
      </w:r>
      <w:r>
        <w:rPr>
          <w:rFonts w:hint="eastAsia"/>
          <w:lang w:val="en-US" w:eastAsia="zh-CN"/>
        </w:rPr>
        <w:t xml:space="preserve">环境管理体系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、环境计划管理：通过计划协调发展与环境的关系；对环境保护加强计划指导， 是环境管理的重要内容，通过制定环境规划，把环境保护纳入到国民经济规划中去。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w:t>
      </w:r>
      <w:r>
        <w:rPr>
          <w:rFonts w:hint="eastAsia" w:ascii="Times New Roman" w:hAnsi="Times New Roman" w:eastAsia="宋体" w:cs="Times New Roman"/>
          <w:b w:val="0"/>
          <w:bCs w:val="0"/>
          <w:snapToGrid w:val="0"/>
          <w:color w:val="000000"/>
          <w:spacing w:val="11"/>
          <w:kern w:val="0"/>
          <w:sz w:val="24"/>
          <w:szCs w:val="24"/>
          <w:lang w:val="en-US" w:eastAsia="zh-CN"/>
        </w:rPr>
        <w:t xml:space="preserve">、环境质量管理：为了保持区域环境所必需的环境质量而进行的各项管理工作， </w:t>
      </w:r>
    </w:p>
    <w:p>
      <w:pPr>
        <w:keepNext w:val="0"/>
        <w:keepLines w:val="0"/>
        <w:widowControl/>
        <w:suppressLineNumbers w:val="0"/>
        <w:spacing w:line="360" w:lineRule="auto"/>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建设项目环境影响评价和区域性环境质量评价，是环境质量管理的主要工作。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w:t>
      </w:r>
      <w:r>
        <w:rPr>
          <w:rFonts w:hint="eastAsia" w:ascii="Times New Roman" w:hAnsi="Times New Roman" w:eastAsia="宋体" w:cs="Times New Roman"/>
          <w:b w:val="0"/>
          <w:bCs w:val="0"/>
          <w:snapToGrid w:val="0"/>
          <w:color w:val="000000"/>
          <w:spacing w:val="11"/>
          <w:kern w:val="0"/>
          <w:sz w:val="24"/>
          <w:szCs w:val="24"/>
          <w:lang w:val="en-US" w:eastAsia="zh-CN"/>
        </w:rPr>
        <w:t xml:space="preserve">、环境技术管理：制定技术标准、技术规程、技术发展方向、技术路线、技术政策和污染防治技术，以环境经济评价来协调技术经济发展和环境保护的关系，使科学技术发展，促进经济不断发展，保证环境质量不断得到改善。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 xml:space="preserve">）建立环境管理体系的重要性 </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、使企业的环境业绩得到改善，使企业的形象在金融机构、保险公司、立法者、</w:t>
      </w:r>
      <w:r>
        <w:rPr>
          <w:rFonts w:hint="default" w:ascii="Times New Roman" w:hAnsi="Times New Roman" w:eastAsia="宋体" w:cs="Times New Roman"/>
          <w:b w:val="0"/>
          <w:bCs w:val="0"/>
          <w:snapToGrid w:val="0"/>
          <w:color w:val="000000"/>
          <w:spacing w:val="11"/>
          <w:kern w:val="0"/>
          <w:sz w:val="24"/>
          <w:szCs w:val="24"/>
          <w:lang w:val="en-US" w:eastAsia="zh-CN"/>
        </w:rPr>
        <w:t>执行机关及顾客中得到提高；</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2、使企业的竞争力增强，法律责任降低，经营成本降低，公共关系提高；</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3、提供一个有系统地表达环境信息的框架以供决策；</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4、便于适应国际市场对 ISO14000 环境管理体系认证的要求。</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（2）环境管理体系建立的原则</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1、企业环境管理体系的建立要与工程生产运行特点相配套，做到与生产管理工作有机结合。</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2、环境管理体系的建立要遵照国家和地方有关的法律、法规和标准。</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3、企业的环境管理体系要与地方环保局的有关环境管理体系相衔接，做到信息的及时交流和反馈。</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4、环境管理要充分重视宣传教育的功能，以不断提高职工环境保护意识和环境科学知识，树立企业在社会中的良好环境形象。</w:t>
      </w:r>
    </w:p>
    <w:p>
      <w:pPr>
        <w:pStyle w:val="4"/>
        <w:bidi w:val="0"/>
        <w:rPr>
          <w:rFonts w:hint="default"/>
          <w:lang w:val="en-US" w:eastAsia="zh-CN"/>
        </w:rPr>
      </w:pPr>
      <w:r>
        <w:rPr>
          <w:rFonts w:hint="eastAsia"/>
          <w:lang w:val="en-US" w:eastAsia="zh-CN"/>
        </w:rPr>
        <w:t>8</w:t>
      </w:r>
      <w:r>
        <w:rPr>
          <w:rFonts w:hint="default"/>
          <w:lang w:val="en-US" w:eastAsia="zh-CN"/>
        </w:rPr>
        <w:t>.1.3 环境管理</w:t>
      </w:r>
      <w:r>
        <w:rPr>
          <w:rFonts w:hint="eastAsia"/>
          <w:lang w:val="en-US" w:eastAsia="zh-CN"/>
        </w:rPr>
        <w:t>机构</w:t>
      </w:r>
      <w:r>
        <w:rPr>
          <w:rFonts w:hint="default"/>
          <w:lang w:val="en-US" w:eastAsia="zh-CN"/>
        </w:rPr>
        <w:t>与职责</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在建设单位行政一把手领导下实行分级管理制：一级为建设单位行政一把手或分管副职；二级为环保职能部门；三级为职能科室主任和专（兼）职环保人员。</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1</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 xml:space="preserve"> 各级管理机构职责</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1、行政一把手、分管副职职责</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（1）负责组织贯彻执行国家环境保护方针、政策、法律、法规。</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（2）负责建立完善环保管理机构，配置必要的工作人员。</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（3）负责落实环境保护经费，保证环境保护投入。</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（4）负责组织突发性污染事故的应急处理，落实应急处理措施。</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2、环保职能部门职责</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（1）贯彻上级领导或环保部门有关的环保制度和规定。</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（2）贯彻预防为主的方针，监控生产过程的排污，督查环保设施运行。</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（3）负责组织环境污染事故的调查处理，按“四不放过”原则提出处理意见。</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（4）组织推广和应用环境保护的先进经验、先进技术。</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（5）组织开展环保教育，搞好环境宣传及环保技术培训。</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（6）建立环保档案，包括环评报告、环保工程验收报告、污染源监测报告、环保设备运行记录以及其它环境统计资料，并定期向当地生态环境行政主管部门汇报。</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（7）汇总、编报环保年度计划及规划，并监督、检查执行情况。</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（8）制定环保考核制度和有关奖罚规定。</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3、环保人员职责</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（1）负责环保设施的运行、维护、检查和管理，保证环保设施运行效果。</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（2）负责环保设施与生产装置同步运行、同步检修、同步维护。</w:t>
      </w:r>
    </w:p>
    <w:p>
      <w:pPr>
        <w:keepNext w:val="0"/>
        <w:keepLines w:val="0"/>
        <w:widowControl/>
        <w:suppressLineNumbers w:val="0"/>
        <w:spacing w:line="360" w:lineRule="auto"/>
        <w:ind w:firstLine="524" w:firstLineChars="200"/>
        <w:jc w:val="left"/>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（3）加强排污监控管理，确保污染物达标排放。</w:t>
      </w:r>
    </w:p>
    <w:p>
      <w:pPr>
        <w:keepNext w:val="0"/>
        <w:keepLines w:val="0"/>
        <w:widowControl/>
        <w:suppressLineNumbers w:val="0"/>
        <w:spacing w:line="360" w:lineRule="auto"/>
        <w:ind w:firstLine="524" w:firstLineChars="200"/>
        <w:jc w:val="left"/>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（4）及时报告环保设施停运和非正常排污情况，参加公司环保会议和污染事故调查</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4"/>
        <w:bidi w:val="0"/>
        <w:rPr>
          <w:rFonts w:hint="default"/>
          <w:lang w:val="en-US" w:eastAsia="zh-CN"/>
        </w:rPr>
      </w:pPr>
      <w:r>
        <w:rPr>
          <w:rFonts w:hint="eastAsia"/>
          <w:lang w:val="en-US" w:eastAsia="zh-CN"/>
        </w:rPr>
        <w:t>8.1.4</w:t>
      </w:r>
      <w:r>
        <w:rPr>
          <w:rFonts w:hint="default"/>
          <w:lang w:val="en-US" w:eastAsia="zh-CN"/>
        </w:rPr>
        <w:t>各阶段环境管理工作内容</w:t>
      </w:r>
    </w:p>
    <w:p>
      <w:pPr>
        <w:keepNext w:val="0"/>
        <w:keepLines w:val="0"/>
        <w:widowControl/>
        <w:suppressLineNumbers w:val="0"/>
        <w:spacing w:line="360" w:lineRule="auto"/>
        <w:ind w:firstLine="524" w:firstLineChars="200"/>
        <w:jc w:val="left"/>
        <w:rPr>
          <w:rFonts w:hint="eastAsia"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各阶段环境管理工作的具体内容见表</w:t>
      </w:r>
      <w:r>
        <w:rPr>
          <w:rFonts w:hint="eastAsia" w:ascii="Times New Roman" w:hAnsi="Times New Roman" w:eastAsia="宋体" w:cs="Times New Roman"/>
          <w:b w:val="0"/>
          <w:bCs w:val="0"/>
          <w:snapToGrid w:val="0"/>
          <w:color w:val="000000"/>
          <w:spacing w:val="11"/>
          <w:kern w:val="0"/>
          <w:sz w:val="24"/>
          <w:szCs w:val="24"/>
          <w:lang w:val="en-US" w:eastAsia="zh-CN"/>
        </w:rPr>
        <w:t>。</w:t>
      </w:r>
    </w:p>
    <w:p>
      <w:pPr>
        <w:keepNext w:val="0"/>
        <w:keepLines w:val="0"/>
        <w:widowControl/>
        <w:suppressLineNumbers w:val="0"/>
        <w:jc w:val="center"/>
        <w:rPr>
          <w:sz w:val="21"/>
          <w:szCs w:val="21"/>
        </w:rPr>
      </w:pPr>
      <w:r>
        <w:rPr>
          <w:rFonts w:hint="eastAsia" w:ascii="宋体" w:hAnsi="宋体" w:eastAsia="宋体" w:cs="宋体"/>
          <w:b/>
          <w:bCs/>
          <w:snapToGrid w:val="0"/>
          <w:color w:val="000000"/>
          <w:kern w:val="0"/>
          <w:sz w:val="21"/>
          <w:szCs w:val="21"/>
          <w:lang w:val="en-US" w:eastAsia="zh-CN" w:bidi="ar"/>
        </w:rPr>
        <w:t xml:space="preserve">表 </w:t>
      </w:r>
      <w:r>
        <w:rPr>
          <w:rFonts w:hint="eastAsia" w:ascii="Times New Roman" w:hAnsi="Times New Roman" w:eastAsia="宋体" w:cs="Times New Roman"/>
          <w:b/>
          <w:bCs/>
          <w:snapToGrid w:val="0"/>
          <w:color w:val="000000"/>
          <w:kern w:val="0"/>
          <w:sz w:val="21"/>
          <w:szCs w:val="21"/>
          <w:lang w:val="en-US" w:eastAsia="zh-CN" w:bidi="ar"/>
        </w:rPr>
        <w:t>8.1</w:t>
      </w:r>
      <w:r>
        <w:rPr>
          <w:rFonts w:hint="default" w:ascii="Times New Roman" w:hAnsi="Times New Roman" w:eastAsia="宋体" w:cs="Times New Roman"/>
          <w:b/>
          <w:bCs/>
          <w:snapToGrid w:val="0"/>
          <w:color w:val="000000"/>
          <w:kern w:val="0"/>
          <w:sz w:val="21"/>
          <w:szCs w:val="21"/>
          <w:lang w:val="en-US" w:eastAsia="zh-CN" w:bidi="ar"/>
        </w:rPr>
        <w:t xml:space="preserve">-1 </w:t>
      </w:r>
      <w:r>
        <w:rPr>
          <w:rFonts w:hint="eastAsia" w:ascii="宋体" w:hAnsi="宋体" w:eastAsia="宋体" w:cs="宋体"/>
          <w:b/>
          <w:bCs/>
          <w:snapToGrid w:val="0"/>
          <w:color w:val="000000"/>
          <w:kern w:val="0"/>
          <w:sz w:val="21"/>
          <w:szCs w:val="21"/>
          <w:lang w:val="en-US" w:eastAsia="zh-CN" w:bidi="ar"/>
        </w:rPr>
        <w:t>各阶段环境管理工作的具体内容</w:t>
      </w:r>
    </w:p>
    <w:tbl>
      <w:tblPr>
        <w:tblStyle w:val="25"/>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78"/>
        <w:gridCol w:w="497"/>
        <w:gridCol w:w="319"/>
        <w:gridCol w:w="81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62"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阶段</w:t>
            </w: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环境管理工作计划的具体内容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2" w:type="pct"/>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环境管理</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总体要求</w:t>
            </w: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①规划或可研阶段，委托评价单位进行环境影响评价；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62"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②开工前，履行“三同时”手续；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562"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③项目投运试运行3个月内，进行环保设施竣工验收；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rPr>
        <w:tc>
          <w:tcPr>
            <w:tcW w:w="562"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④营运阶段，定期请当地环保部门监督、检查，协助作好环境管理工作，对不达标装置及时整改；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2" w:type="pct"/>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⑤配合当地环境监测站搞好监测工作，及时交纳排污费。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02" w:type="pct"/>
            <w:vMerge w:val="restart"/>
            <w:tcBorders>
              <w:tl2br w:val="nil"/>
              <w:tr2bl w:val="nil"/>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竣工验收阶段</w:t>
            </w:r>
          </w:p>
        </w:tc>
        <w:tc>
          <w:tcPr>
            <w:tcW w:w="2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试运</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行准</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备阶</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段</w:t>
            </w: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①检查施工项目是否按设计规定全部完工；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②向环保部门申请《排污许可证》；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③组织检查试运行前的各项准备工作；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④检查操作技术文件和管理制度是否健全；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⑤整理技术文件资料档案；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⑥建立环保档案。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预验</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收阶</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段</w:t>
            </w: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①检查污染治理效果和各污染源污染物排放情况；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②对检查出来的问题，提出解决或补救措施，落实投资，确保按期完成；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02" w:type="pct"/>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i w:val="0"/>
                <w:iCs w:val="0"/>
                <w:color w:val="000000"/>
                <w:sz w:val="21"/>
                <w:szCs w:val="21"/>
                <w:u w:val="none"/>
              </w:rPr>
            </w:pPr>
          </w:p>
        </w:tc>
        <w:tc>
          <w:tcPr>
            <w:tcW w:w="259"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i w:val="0"/>
                <w:iCs w:val="0"/>
                <w:snapToGrid w:val="0"/>
                <w:color w:val="000000"/>
                <w:kern w:val="0"/>
                <w:sz w:val="21"/>
                <w:szCs w:val="21"/>
                <w:u w:val="none"/>
                <w:lang w:val="en-US" w:eastAsia="zh-CN" w:bidi="ar"/>
              </w:rPr>
            </w:pPr>
            <w:r>
              <w:rPr>
                <w:rFonts w:ascii="Times New Roman" w:hAnsi="Times New Roman" w:eastAsia="宋体" w:cs="Times New Roman"/>
                <w:i w:val="0"/>
                <w:iCs w:val="0"/>
                <w:snapToGrid w:val="0"/>
                <w:color w:val="000000"/>
                <w:kern w:val="0"/>
                <w:sz w:val="21"/>
                <w:szCs w:val="21"/>
                <w:u w:val="none"/>
                <w:lang w:val="en-US" w:eastAsia="zh-CN" w:bidi="ar"/>
              </w:rPr>
              <w:t>③邀请第三方监测单位按环评确定的监测计划，有重点地考核主体设施、环保设施运行情况，污染物产生、治理和排污情况以及环境污染水平，评定环保工程是否满足竣工验收要求和具备验收条件。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302" w:type="pct"/>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sz w:val="21"/>
                <w:szCs w:val="21"/>
                <w:u w:val="none"/>
              </w:rPr>
            </w:pPr>
          </w:p>
        </w:tc>
        <w:tc>
          <w:tcPr>
            <w:tcW w:w="2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正式</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验收</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阶段</w:t>
            </w:r>
          </w:p>
        </w:tc>
        <w:tc>
          <w:tcPr>
            <w:tcW w:w="44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①建设单位进行自主验收完成《环境保护工程竣工验收监测报告》和《环境保护工程竣工验收报告》</w:t>
            </w:r>
            <w:r>
              <w:rPr>
                <w:rFonts w:hint="eastAsia" w:ascii="Times New Roman" w:hAnsi="Times New Roman" w:eastAsia="宋体" w:cs="Times New Roman"/>
                <w:i w:val="0"/>
                <w:iCs w:val="0"/>
                <w:snapToGrid w:val="0"/>
                <w:color w:val="000000"/>
                <w:kern w:val="0"/>
                <w:sz w:val="21"/>
                <w:szCs w:val="21"/>
                <w:u w:val="none"/>
                <w:lang w:val="en-US" w:eastAsia="zh-CN" w:bidi="ar"/>
              </w:rPr>
              <w:t>，</w:t>
            </w:r>
            <w:r>
              <w:rPr>
                <w:rFonts w:ascii="Times New Roman" w:hAnsi="Times New Roman" w:eastAsia="宋体" w:cs="Times New Roman"/>
                <w:i w:val="0"/>
                <w:iCs w:val="0"/>
                <w:snapToGrid w:val="0"/>
                <w:color w:val="000000"/>
                <w:kern w:val="0"/>
                <w:sz w:val="21"/>
                <w:szCs w:val="21"/>
                <w:u w:val="none"/>
                <w:lang w:val="en-US" w:eastAsia="zh-CN" w:bidi="ar"/>
              </w:rPr>
              <w:t>申请正式竣工验收；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rPr>
        <w:tc>
          <w:tcPr>
            <w:tcW w:w="729" w:type="pct"/>
            <w:gridSpan w:val="3"/>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营运</w:t>
            </w:r>
            <w:r>
              <w:rPr>
                <w:rFonts w:ascii="Times New Roman" w:hAnsi="Times New Roman" w:eastAsia="宋体" w:cs="Times New Roman"/>
                <w:i w:val="0"/>
                <w:iCs w:val="0"/>
                <w:snapToGrid w:val="0"/>
                <w:color w:val="000000"/>
                <w:kern w:val="0"/>
                <w:sz w:val="21"/>
                <w:szCs w:val="21"/>
                <w:u w:val="none"/>
                <w:lang w:val="en-US" w:eastAsia="zh-CN" w:bidi="ar"/>
              </w:rPr>
              <w:br w:type="textWrapping"/>
            </w:r>
            <w:r>
              <w:rPr>
                <w:rFonts w:ascii="Times New Roman" w:hAnsi="Times New Roman" w:eastAsia="宋体" w:cs="Times New Roman"/>
                <w:i w:val="0"/>
                <w:iCs w:val="0"/>
                <w:snapToGrid w:val="0"/>
                <w:color w:val="000000"/>
                <w:kern w:val="0"/>
                <w:sz w:val="21"/>
                <w:szCs w:val="21"/>
                <w:u w:val="none"/>
                <w:lang w:val="en-US" w:eastAsia="zh-CN" w:bidi="ar"/>
              </w:rPr>
              <w:t>阶段</w:t>
            </w:r>
          </w:p>
        </w:tc>
        <w:tc>
          <w:tcPr>
            <w:tcW w:w="42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①把污染防治和环境管理纳入单位日常经营管理活动，把控制污染内容和考核指标纳入单位营运的各个管理环节，落实岗位责任制；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29" w:type="pct"/>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2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②实行单位行政一把手环保责任制，指标逐级分解，做到奖罚分明；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29" w:type="pct"/>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2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③建立健全单位污染监测系统，为环境管理提供依据；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rPr>
        <w:tc>
          <w:tcPr>
            <w:tcW w:w="729" w:type="pct"/>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2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④建立环境保护信息反馈，接受公众监督；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898" w:hRule="atLeast"/>
        </w:trPr>
        <w:tc>
          <w:tcPr>
            <w:tcW w:w="729" w:type="pct"/>
            <w:gridSpan w:val="3"/>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2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ascii="Times New Roman" w:hAnsi="Times New Roman" w:eastAsia="宋体" w:cs="Times New Roman"/>
                <w:i w:val="0"/>
                <w:iCs w:val="0"/>
                <w:snapToGrid w:val="0"/>
                <w:color w:val="000000"/>
                <w:kern w:val="0"/>
                <w:sz w:val="21"/>
                <w:szCs w:val="21"/>
                <w:u w:val="none"/>
                <w:lang w:val="en-US" w:eastAsia="zh-CN" w:bidi="ar"/>
              </w:rPr>
              <w:t>⑤建立健全环保设施的运行操作规程，并有效监督实施，严防跑、冒、滴</w:t>
            </w:r>
            <w:r>
              <w:rPr>
                <w:rFonts w:hint="eastAsia" w:ascii="Times New Roman" w:hAnsi="Times New Roman" w:eastAsia="宋体" w:cs="Times New Roman"/>
                <w:i w:val="0"/>
                <w:iCs w:val="0"/>
                <w:snapToGrid w:val="0"/>
                <w:color w:val="000000"/>
                <w:kern w:val="0"/>
                <w:sz w:val="21"/>
                <w:szCs w:val="21"/>
                <w:u w:val="none"/>
                <w:lang w:val="en-US" w:eastAsia="zh-CN" w:bidi="ar"/>
              </w:rPr>
              <w:t>、</w:t>
            </w:r>
            <w:r>
              <w:rPr>
                <w:rFonts w:ascii="Times New Roman" w:hAnsi="Times New Roman" w:eastAsia="宋体" w:cs="Times New Roman"/>
                <w:i w:val="0"/>
                <w:iCs w:val="0"/>
                <w:snapToGrid w:val="0"/>
                <w:color w:val="000000"/>
                <w:kern w:val="0"/>
                <w:sz w:val="21"/>
                <w:szCs w:val="21"/>
                <w:u w:val="none"/>
                <w:lang w:val="en-US" w:eastAsia="zh-CN" w:bidi="ar"/>
              </w:rPr>
              <w:t>漏 ；定期向环保行政管理部门汇报情况，配合环保部门的监督、检查。</w:t>
            </w:r>
          </w:p>
        </w:tc>
      </w:tr>
    </w:tbl>
    <w:p>
      <w:pPr>
        <w:pStyle w:val="3"/>
        <w:bidi w:val="0"/>
        <w:rPr>
          <w:rFonts w:hint="default"/>
          <w:lang w:val="en-US" w:eastAsia="zh-CN"/>
        </w:rPr>
      </w:pPr>
      <w:bookmarkStart w:id="110" w:name="_Toc23666"/>
      <w:bookmarkStart w:id="111" w:name="_Toc28372"/>
      <w:r>
        <w:rPr>
          <w:rFonts w:hint="eastAsia"/>
          <w:lang w:val="en-US" w:eastAsia="zh-CN"/>
        </w:rPr>
        <w:t xml:space="preserve">8.2 </w:t>
      </w:r>
      <w:r>
        <w:rPr>
          <w:rFonts w:hint="default"/>
          <w:lang w:val="en-US" w:eastAsia="zh-CN"/>
        </w:rPr>
        <w:t>排污许可证</w:t>
      </w:r>
      <w:bookmarkEnd w:id="110"/>
      <w:bookmarkEnd w:id="111"/>
    </w:p>
    <w:p>
      <w:pPr>
        <w:pStyle w:val="4"/>
        <w:bidi w:val="0"/>
        <w:rPr>
          <w:rFonts w:hint="default"/>
          <w:lang w:val="en-US" w:eastAsia="zh-CN"/>
        </w:rPr>
      </w:pPr>
      <w:r>
        <w:rPr>
          <w:rFonts w:hint="eastAsia"/>
          <w:lang w:val="en-US" w:eastAsia="zh-CN"/>
        </w:rPr>
        <w:t>8</w:t>
      </w:r>
      <w:r>
        <w:rPr>
          <w:rFonts w:hint="default"/>
          <w:lang w:val="en-US" w:eastAsia="zh-CN"/>
        </w:rPr>
        <w:t>.</w:t>
      </w:r>
      <w:r>
        <w:rPr>
          <w:rFonts w:hint="eastAsia"/>
          <w:lang w:val="en-US" w:eastAsia="zh-CN"/>
        </w:rPr>
        <w:t>2</w:t>
      </w:r>
      <w:r>
        <w:rPr>
          <w:rFonts w:hint="default"/>
          <w:lang w:val="en-US" w:eastAsia="zh-CN"/>
        </w:rPr>
        <w:t>.1排污许可证申请要求</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为贯彻落实《中华人民共和国环境保护法》《中华人民共和国大气污染防治法》《中华人民共和国水污染防治法》等法律法规、《国务院办公厅关于印发控制污染物排放许可制实施方案的通知》（国办发〔2016〕81号）、《排污许可管理办法》（</w:t>
      </w:r>
      <w:r>
        <w:rPr>
          <w:rFonts w:hint="eastAsia" w:ascii="Times New Roman" w:hAnsi="Times New Roman" w:eastAsia="宋体" w:cs="Times New Roman"/>
          <w:b w:val="0"/>
          <w:bCs w:val="0"/>
          <w:snapToGrid w:val="0"/>
          <w:color w:val="000000"/>
          <w:spacing w:val="11"/>
          <w:kern w:val="0"/>
          <w:sz w:val="24"/>
          <w:szCs w:val="24"/>
          <w:lang w:val="en-US" w:eastAsia="zh-CN"/>
        </w:rPr>
        <w:t>生态</w:t>
      </w:r>
      <w:r>
        <w:rPr>
          <w:rFonts w:hint="default" w:ascii="Times New Roman" w:hAnsi="Times New Roman" w:eastAsia="宋体" w:cs="Times New Roman"/>
          <w:b w:val="0"/>
          <w:bCs w:val="0"/>
          <w:snapToGrid w:val="0"/>
          <w:color w:val="000000"/>
          <w:spacing w:val="11"/>
          <w:kern w:val="0"/>
          <w:sz w:val="24"/>
          <w:szCs w:val="24"/>
          <w:lang w:val="en-US" w:eastAsia="zh-CN"/>
        </w:rPr>
        <w:t>环境部令第</w:t>
      </w:r>
      <w:r>
        <w:rPr>
          <w:rFonts w:hint="eastAsia" w:ascii="Times New Roman" w:hAnsi="Times New Roman" w:eastAsia="宋体" w:cs="Times New Roman"/>
          <w:b w:val="0"/>
          <w:bCs w:val="0"/>
          <w:snapToGrid w:val="0"/>
          <w:color w:val="000000"/>
          <w:spacing w:val="11"/>
          <w:kern w:val="0"/>
          <w:sz w:val="24"/>
          <w:szCs w:val="24"/>
          <w:lang w:val="en-US" w:eastAsia="zh-CN"/>
        </w:rPr>
        <w:t>32</w:t>
      </w:r>
      <w:r>
        <w:rPr>
          <w:rFonts w:hint="default" w:ascii="Times New Roman" w:hAnsi="Times New Roman" w:eastAsia="宋体" w:cs="Times New Roman"/>
          <w:b w:val="0"/>
          <w:bCs w:val="0"/>
          <w:snapToGrid w:val="0"/>
          <w:color w:val="000000"/>
          <w:spacing w:val="11"/>
          <w:kern w:val="0"/>
          <w:sz w:val="24"/>
          <w:szCs w:val="24"/>
          <w:lang w:val="en-US" w:eastAsia="zh-CN"/>
        </w:rPr>
        <w:t>号）和《排污许可管理条例》，加强大气、水、土壤污染防治，落实相关治理措施和企业主体责任，排污单位需申请排污许可证，由相关环境保护主管部门进行核发。</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 xml:space="preserve">排污单位应按照《排污许可证申请与核发技术规范 </w:t>
      </w:r>
      <w:r>
        <w:rPr>
          <w:rFonts w:hint="eastAsia" w:ascii="Times New Roman" w:hAnsi="Times New Roman" w:eastAsia="宋体" w:cs="Times New Roman"/>
          <w:b w:val="0"/>
          <w:bCs w:val="0"/>
          <w:snapToGrid w:val="0"/>
          <w:color w:val="000000"/>
          <w:spacing w:val="11"/>
          <w:kern w:val="0"/>
          <w:sz w:val="24"/>
          <w:szCs w:val="24"/>
          <w:lang w:val="en-US" w:eastAsia="zh-CN"/>
        </w:rPr>
        <w:t>总则</w:t>
      </w:r>
      <w:r>
        <w:rPr>
          <w:rFonts w:hint="default" w:ascii="Times New Roman" w:hAnsi="Times New Roman" w:eastAsia="宋体" w:cs="Times New Roman"/>
          <w:b w:val="0"/>
          <w:bCs w:val="0"/>
          <w:snapToGrid w:val="0"/>
          <w:color w:val="000000"/>
          <w:spacing w:val="11"/>
          <w:kern w:val="0"/>
          <w:sz w:val="24"/>
          <w:szCs w:val="24"/>
          <w:lang w:val="en-US" w:eastAsia="zh-CN"/>
        </w:rPr>
        <w:t>》(HJ</w:t>
      </w:r>
      <w:r>
        <w:rPr>
          <w:rFonts w:hint="eastAsia" w:ascii="Times New Roman" w:hAnsi="Times New Roman" w:eastAsia="宋体" w:cs="Times New Roman"/>
          <w:b w:val="0"/>
          <w:bCs w:val="0"/>
          <w:snapToGrid w:val="0"/>
          <w:color w:val="000000"/>
          <w:spacing w:val="11"/>
          <w:kern w:val="0"/>
          <w:sz w:val="24"/>
          <w:szCs w:val="24"/>
          <w:lang w:val="en-US" w:eastAsia="zh-CN"/>
        </w:rPr>
        <w:t>942</w:t>
      </w:r>
      <w:r>
        <w:rPr>
          <w:rFonts w:hint="default" w:ascii="Times New Roman" w:hAnsi="Times New Roman" w:eastAsia="宋体" w:cs="Times New Roman"/>
          <w:b w:val="0"/>
          <w:bCs w:val="0"/>
          <w:snapToGrid w:val="0"/>
          <w:color w:val="000000"/>
          <w:spacing w:val="11"/>
          <w:kern w:val="0"/>
          <w:sz w:val="24"/>
          <w:szCs w:val="24"/>
          <w:lang w:val="en-US" w:eastAsia="zh-CN"/>
        </w:rPr>
        <w:t>-201</w:t>
      </w:r>
      <w:r>
        <w:rPr>
          <w:rFonts w:hint="eastAsia" w:ascii="Times New Roman" w:hAnsi="Times New Roman" w:eastAsia="宋体" w:cs="Times New Roman"/>
          <w:b w:val="0"/>
          <w:bCs w:val="0"/>
          <w:snapToGrid w:val="0"/>
          <w:color w:val="000000"/>
          <w:spacing w:val="11"/>
          <w:kern w:val="0"/>
          <w:sz w:val="24"/>
          <w:szCs w:val="24"/>
          <w:lang w:val="en-US" w:eastAsia="zh-CN"/>
        </w:rPr>
        <w:t>8</w:t>
      </w:r>
      <w:r>
        <w:rPr>
          <w:rFonts w:hint="default" w:ascii="Times New Roman" w:hAnsi="Times New Roman" w:eastAsia="宋体" w:cs="Times New Roman"/>
          <w:b w:val="0"/>
          <w:bCs w:val="0"/>
          <w:snapToGrid w:val="0"/>
          <w:color w:val="000000"/>
          <w:spacing w:val="11"/>
          <w:kern w:val="0"/>
          <w:sz w:val="24"/>
          <w:szCs w:val="24"/>
          <w:lang w:val="en-US" w:eastAsia="zh-CN"/>
        </w:rPr>
        <w:t>)要求，在全国排污许可证管理信息平台申报系统填报《排污许可证申请表》中的相应信息表。地方环境保护主管部门有规定需要填报或排污单位认为需要填报的，可自行増加内容。</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设区的市级以上地方环境保护主管部门可以根据环境保护地方性法规，増加需要在排污许可证中载明的内容，并填入排污许可证管理信息平台申报系统中“有核发权的地方环境保护主管部门増加的管理内容”一栏。</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未依法取得建设项目环境影响评价文件审批意见或按照有关规定经地方人民政府依法处理、整顿规范并符合要求的相关证明材料的排污单位，采用的污染防治设施或措施不能达到许可排放浓度要求的排污单位，以及存在其他依规需要改正行为的排污单位，在首次申报排污许可证填报申请信息时，应在全国排污许可证管理信息平台申报系统中“改正规定’’一栏，提出改正方案。</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排污单位基本情况应当按照实际情况填报，排污单位对提交申请材料的真实性、合法性和完整性负法律责任。</w:t>
      </w:r>
    </w:p>
    <w:p>
      <w:pPr>
        <w:pStyle w:val="4"/>
        <w:bidi w:val="0"/>
        <w:rPr>
          <w:rFonts w:hint="default"/>
          <w:lang w:val="en-US" w:eastAsia="zh-CN"/>
        </w:rPr>
      </w:pPr>
      <w:r>
        <w:rPr>
          <w:rFonts w:hint="eastAsia"/>
          <w:lang w:val="en-US" w:eastAsia="zh-CN"/>
        </w:rPr>
        <w:t>8</w:t>
      </w:r>
      <w:r>
        <w:rPr>
          <w:rFonts w:hint="default"/>
          <w:lang w:val="en-US" w:eastAsia="zh-CN"/>
        </w:rPr>
        <w:t>.4.2排污许可证申请与核发程序</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排污单位在规定的申请时限，登录全国排污许可证管理信息平台(http://permit.mep.gov.cn)进行网上注册，并填写排污许可申请材料。</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申请前信息公开结束后，排污单位在全国排污许可证管理信息平台上填写《排污许可证申领信息公开情况说明表》，并按照平台“业务办理流程”，将相关申请材料一并提交。同时向核发生态环境部门提交通过全国排污许可证管理信息平台印制的书面申请材料。</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核发生态环境部门收到排污单位提交的申请材料后，对材料的完整性、规范性进行审查，并在全国排污许可证管理信息平台上作出受理或者不予受理排污许可证申请的决定。同意受理的进入审核流程，核发生态环境部门对排污单位的申请材料进行审核，对满足条件的排污单位核发排污许可证，对不满足条件的排污单位不予核发排污许可证。</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根据排放污染物的企业事业单位和其他生产经营者污染物产生量、排放量和环境危害程度等因素，实行排污许可重点管理、简化管理和登记管理。根据《固定污染源排污许可分类管理名录（2019 年版）》，本项目行业类别为“四十九、卫生 84——107、医院 841，专业公共卫生服务 843——疾病预防控制中心 8431”，实行排污许可登记管理，适用排污许可行业技术规范为《排污许可证申请与核发技术规范医疗机构（HJ1105-2020）》。</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实行登记管理的排污单位，不需要申请取得排污许可证，应当在全国排污许可证管理信息平台填报排污登记表，登记基本信息、污染物排放去向、执行的污染物排放标准以及采取的污染防治措施等信息。</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排污单位需进行建档管理，排污单位建立排污口档案，把排污口规范化资料、监测资料、污染物排放资料等收集、立卷、建档。</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项目污染防治设施应严格按原国家环境保护总局令第 39 号《环境监测管理办法》中规定执行，落实监控设施建设</w:t>
      </w:r>
      <w:r>
        <w:rPr>
          <w:rFonts w:hint="eastAsia" w:ascii="Times New Roman" w:hAnsi="Times New Roman" w:eastAsia="宋体" w:cs="Times New Roman"/>
          <w:b w:val="0"/>
          <w:bCs w:val="0"/>
          <w:snapToGrid w:val="0"/>
          <w:color w:val="000000"/>
          <w:spacing w:val="11"/>
          <w:kern w:val="0"/>
          <w:sz w:val="24"/>
          <w:szCs w:val="24"/>
          <w:lang w:val="en-US" w:eastAsia="zh-CN"/>
        </w:rPr>
        <w:t>。</w:t>
      </w:r>
    </w:p>
    <w:p>
      <w:pPr>
        <w:pStyle w:val="3"/>
        <w:bidi w:val="0"/>
        <w:rPr>
          <w:rFonts w:hint="default"/>
        </w:rPr>
      </w:pPr>
      <w:bookmarkStart w:id="112" w:name="_Toc11732"/>
      <w:bookmarkStart w:id="113" w:name="_Toc26255"/>
      <w:r>
        <w:rPr>
          <w:rFonts w:hint="eastAsia"/>
          <w:lang w:val="en-US" w:eastAsia="zh-CN"/>
        </w:rPr>
        <w:t xml:space="preserve">8.3 </w:t>
      </w:r>
      <w:r>
        <w:rPr>
          <w:rFonts w:hint="default"/>
        </w:rPr>
        <w:t>排污口规范化建设与管理</w:t>
      </w:r>
      <w:bookmarkEnd w:id="112"/>
      <w:bookmarkEnd w:id="113"/>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8"/>
          <w:szCs w:val="28"/>
          <w:highlight w:val="none"/>
          <w:u w:val="none" w:color="auto"/>
          <w:lang w:val="en-US" w:eastAsia="zh-CN"/>
        </w:rPr>
      </w:pPr>
      <w:r>
        <w:rPr>
          <w:rFonts w:hint="eastAsia" w:ascii="Times New Roman" w:hAnsi="Times New Roman" w:eastAsia="宋体" w:cs="Times New Roman"/>
          <w:b/>
          <w:bCs/>
          <w:color w:val="000000"/>
          <w:sz w:val="28"/>
          <w:szCs w:val="28"/>
          <w:highlight w:val="none"/>
          <w:u w:val="none" w:color="auto"/>
          <w:lang w:val="en-US" w:eastAsia="zh-CN"/>
        </w:rPr>
        <w:t>8</w:t>
      </w:r>
      <w:r>
        <w:rPr>
          <w:rFonts w:hint="default" w:ascii="Times New Roman" w:hAnsi="Times New Roman" w:eastAsia="宋体" w:cs="Times New Roman"/>
          <w:b/>
          <w:bCs/>
          <w:color w:val="000000"/>
          <w:sz w:val="28"/>
          <w:szCs w:val="28"/>
          <w:highlight w:val="none"/>
          <w:u w:val="none" w:color="auto"/>
          <w:lang w:val="en-US" w:eastAsia="zh-CN"/>
        </w:rPr>
        <w:t>.</w:t>
      </w:r>
      <w:r>
        <w:rPr>
          <w:rFonts w:hint="eastAsia" w:ascii="Times New Roman" w:hAnsi="Times New Roman" w:eastAsia="宋体" w:cs="Times New Roman"/>
          <w:b/>
          <w:bCs/>
          <w:color w:val="000000"/>
          <w:sz w:val="28"/>
          <w:szCs w:val="28"/>
          <w:highlight w:val="none"/>
          <w:u w:val="none" w:color="auto"/>
          <w:lang w:val="en-US" w:eastAsia="zh-CN"/>
        </w:rPr>
        <w:t>3</w:t>
      </w:r>
      <w:r>
        <w:rPr>
          <w:rFonts w:hint="default" w:ascii="Times New Roman" w:hAnsi="Times New Roman" w:eastAsia="宋体" w:cs="Times New Roman"/>
          <w:b/>
          <w:bCs/>
          <w:color w:val="000000"/>
          <w:sz w:val="28"/>
          <w:szCs w:val="28"/>
          <w:highlight w:val="none"/>
          <w:u w:val="none" w:color="auto"/>
          <w:lang w:val="en-US" w:eastAsia="zh-CN"/>
        </w:rPr>
        <w:t>.1排污口规范化设置及管理</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排污口是企业污染物进入环境、污染环境的通道，强化排污口的管理是实施污染物总量控制的基础工作，也是逐步实现污染物排放科学化、定量化的重要手段。本项目根据《关于开展排污口规范化整治试点工作的通知》（2006年修订）的要求实施排污口规范化管理，具体管理原则如下：</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（1）向环境排放污染物的排放口必须规范化，排污单位必须在建设污染治理设施的同时建设规范化排放口。</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（2）明确废气排放口的数量、位置及主要污染物种类、名称、排放浓度和排放去向。排气筒应设置便于采样、监测的采样口，采样口的设置应符合《污染源监测技术规范》的规定。</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（3）污水总排放口要按照《污染源监测技术规范》设置规范的、便于测量流量、流速的测流段和采样点。</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（4）如实向生态环境管理部门申报排污口数量、位置及所排放的主要污染物种类、浓度、排放去向等情况。</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color w:val="000000"/>
          <w:highlight w:val="none"/>
          <w:u w:val="none" w:color="auto"/>
        </w:rPr>
      </w:pPr>
      <w:r>
        <w:rPr>
          <w:rFonts w:hint="default" w:ascii="Times New Roman" w:hAnsi="Times New Roman" w:eastAsia="宋体" w:cs="Times New Roman"/>
          <w:b w:val="0"/>
          <w:bCs w:val="0"/>
          <w:snapToGrid w:val="0"/>
          <w:color w:val="000000"/>
          <w:spacing w:val="11"/>
          <w:kern w:val="0"/>
          <w:sz w:val="24"/>
          <w:szCs w:val="24"/>
          <w:lang w:val="en-US" w:eastAsia="zh-CN"/>
        </w:rPr>
        <w:t>（5）一般工业固体废物应设置专用贮存、堆放场地。危险废物必须设置危险废物暂存间，有防扬散、防流失、防渗漏等防治措施并符合国家标准的要求</w:t>
      </w:r>
      <w:r>
        <w:rPr>
          <w:rFonts w:hint="default" w:ascii="Times New Roman" w:hAnsi="Times New Roman" w:eastAsia="宋体" w:cs="Times New Roman"/>
          <w:color w:val="000000"/>
          <w:highlight w:val="none"/>
          <w:u w:val="none" w:color="auto"/>
        </w:rPr>
        <w:t>。</w:t>
      </w:r>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sz w:val="28"/>
          <w:szCs w:val="28"/>
          <w:highlight w:val="none"/>
          <w:u w:val="none" w:color="auto"/>
          <w:lang w:val="en-US" w:eastAsia="zh-CN"/>
        </w:rPr>
      </w:pPr>
      <w:r>
        <w:rPr>
          <w:rFonts w:hint="eastAsia" w:ascii="Times New Roman" w:hAnsi="Times New Roman" w:eastAsia="宋体" w:cs="Times New Roman"/>
          <w:b/>
          <w:bCs/>
          <w:color w:val="000000"/>
          <w:sz w:val="28"/>
          <w:szCs w:val="28"/>
          <w:highlight w:val="none"/>
          <w:u w:val="none" w:color="auto"/>
          <w:lang w:val="en-US" w:eastAsia="zh-CN"/>
        </w:rPr>
        <w:t>8</w:t>
      </w:r>
      <w:r>
        <w:rPr>
          <w:rFonts w:hint="default" w:ascii="Times New Roman" w:hAnsi="Times New Roman" w:eastAsia="宋体" w:cs="Times New Roman"/>
          <w:b/>
          <w:bCs/>
          <w:color w:val="000000"/>
          <w:sz w:val="28"/>
          <w:szCs w:val="28"/>
          <w:highlight w:val="none"/>
          <w:u w:val="none" w:color="auto"/>
          <w:lang w:val="en-US" w:eastAsia="zh-CN"/>
        </w:rPr>
        <w:t>.</w:t>
      </w:r>
      <w:r>
        <w:rPr>
          <w:rFonts w:hint="eastAsia" w:ascii="Times New Roman" w:hAnsi="Times New Roman" w:eastAsia="宋体" w:cs="Times New Roman"/>
          <w:b/>
          <w:bCs/>
          <w:color w:val="000000"/>
          <w:sz w:val="28"/>
          <w:szCs w:val="28"/>
          <w:highlight w:val="none"/>
          <w:u w:val="none" w:color="auto"/>
          <w:lang w:val="en-US" w:eastAsia="zh-CN"/>
        </w:rPr>
        <w:t>3</w:t>
      </w:r>
      <w:r>
        <w:rPr>
          <w:rFonts w:hint="default" w:ascii="Times New Roman" w:hAnsi="Times New Roman" w:eastAsia="宋体" w:cs="Times New Roman"/>
          <w:b/>
          <w:bCs/>
          <w:color w:val="000000"/>
          <w:sz w:val="28"/>
          <w:szCs w:val="28"/>
          <w:highlight w:val="none"/>
          <w:u w:val="none" w:color="auto"/>
          <w:lang w:val="en-US" w:eastAsia="zh-CN"/>
        </w:rPr>
        <w:t>.2 排污口立标管理</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根据国家《环境保护图形标志—排放口（源）》（GB15562.1-1995）、《环境保护图形标志-固体废物贮存（处置）场》（GB15562.2-1995）修改单、《危险废物识别标志设置技术规范》（HJ1276-2022）</w:t>
      </w:r>
      <w:r>
        <w:rPr>
          <w:rFonts w:hint="eastAsia" w:ascii="Times New Roman" w:hAnsi="Times New Roman" w:eastAsia="宋体" w:cs="Times New Roman"/>
          <w:b w:val="0"/>
          <w:bCs w:val="0"/>
          <w:snapToGrid w:val="0"/>
          <w:color w:val="000000"/>
          <w:spacing w:val="11"/>
          <w:kern w:val="0"/>
          <w:sz w:val="24"/>
          <w:szCs w:val="24"/>
          <w:lang w:val="en-US" w:eastAsia="zh-CN"/>
        </w:rPr>
        <w:t>等</w:t>
      </w:r>
      <w:r>
        <w:rPr>
          <w:rFonts w:hint="default" w:ascii="Times New Roman" w:hAnsi="Times New Roman" w:eastAsia="宋体" w:cs="Times New Roman"/>
          <w:b w:val="0"/>
          <w:bCs w:val="0"/>
          <w:snapToGrid w:val="0"/>
          <w:color w:val="000000"/>
          <w:spacing w:val="11"/>
          <w:kern w:val="0"/>
          <w:sz w:val="24"/>
          <w:szCs w:val="24"/>
          <w:lang w:val="en-US" w:eastAsia="zh-CN"/>
        </w:rPr>
        <w:t>规定，本工程针对废气排放口、污水排放口及噪声排放源、固体废物贮存间分别设置国家环境保护部统一监制的环境保护图形标志牌，并应注意以下几点：</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（1）排污口（源）的环保图形标志牌应设置在靠近采样点的醒目处，标志牌设置高度为其上边缘距离地面约2米。</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（2）排污口（源）和固体废物贮存间设置提示性环境保护图形标志牌，可根据情况设置立式或平面固定式标志牌。</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color w:val="000000"/>
          <w:highlight w:val="none"/>
          <w:u w:val="none" w:color="auto"/>
        </w:rPr>
      </w:pPr>
      <w:r>
        <w:rPr>
          <w:rFonts w:hint="default" w:ascii="Times New Roman" w:hAnsi="Times New Roman" w:eastAsia="宋体" w:cs="Times New Roman"/>
          <w:b w:val="0"/>
          <w:bCs w:val="0"/>
          <w:snapToGrid w:val="0"/>
          <w:color w:val="000000"/>
          <w:spacing w:val="11"/>
          <w:kern w:val="0"/>
          <w:sz w:val="24"/>
          <w:szCs w:val="24"/>
          <w:lang w:val="en-US" w:eastAsia="zh-CN"/>
        </w:rPr>
        <w:t>（3）危险物品贮存间应设置警告性环境保护图形标志</w:t>
      </w:r>
      <w:r>
        <w:rPr>
          <w:rFonts w:hint="default" w:ascii="Times New Roman" w:hAnsi="Times New Roman" w:eastAsia="宋体" w:cs="Times New Roman"/>
          <w:color w:val="000000"/>
          <w:highlight w:val="none"/>
          <w:u w:val="none" w:color="auto"/>
        </w:rPr>
        <w:t>。</w:t>
      </w:r>
    </w:p>
    <w:p>
      <w:pPr>
        <w:pStyle w:val="67"/>
        <w:ind w:firstLine="0" w:firstLineChars="0"/>
        <w:jc w:val="center"/>
        <w:rPr>
          <w:rFonts w:hint="default" w:ascii="Times New Roman" w:hAnsi="Times New Roman" w:eastAsia="宋体" w:cs="Times New Roman"/>
          <w:b/>
          <w:bCs/>
          <w:color w:val="000000"/>
          <w:szCs w:val="21"/>
          <w:highlight w:val="none"/>
          <w:u w:val="none" w:color="auto"/>
        </w:rPr>
      </w:pPr>
      <w:r>
        <w:rPr>
          <w:rFonts w:hint="default" w:ascii="Times New Roman" w:hAnsi="Times New Roman" w:eastAsia="宋体" w:cs="Times New Roman"/>
          <w:b/>
          <w:bCs/>
          <w:color w:val="000000"/>
          <w:szCs w:val="21"/>
          <w:highlight w:val="none"/>
          <w:u w:val="none" w:color="auto"/>
        </w:rPr>
        <w:t>表</w:t>
      </w:r>
      <w:r>
        <w:rPr>
          <w:rFonts w:hint="eastAsia" w:ascii="Times New Roman" w:hAnsi="Times New Roman" w:eastAsia="宋体" w:cs="Times New Roman"/>
          <w:b/>
          <w:bCs/>
          <w:color w:val="000000"/>
          <w:szCs w:val="21"/>
          <w:highlight w:val="none"/>
          <w:u w:val="none" w:color="auto"/>
          <w:lang w:val="en-US" w:eastAsia="zh-CN"/>
        </w:rPr>
        <w:t>8.3</w:t>
      </w:r>
      <w:r>
        <w:rPr>
          <w:rFonts w:hint="default" w:ascii="Times New Roman" w:hAnsi="Times New Roman" w:eastAsia="宋体" w:cs="Times New Roman"/>
          <w:b/>
          <w:bCs/>
          <w:color w:val="000000"/>
          <w:szCs w:val="21"/>
          <w:highlight w:val="none"/>
          <w:u w:val="none" w:color="auto"/>
        </w:rPr>
        <w:t>-1  排放口图形标志</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5"/>
        <w:gridCol w:w="1698"/>
        <w:gridCol w:w="1698"/>
        <w:gridCol w:w="1698"/>
        <w:gridCol w:w="1856"/>
        <w:gridCol w:w="14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5"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排放口</w:t>
            </w:r>
          </w:p>
        </w:tc>
        <w:tc>
          <w:tcPr>
            <w:tcW w:w="887"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废气排放口</w:t>
            </w:r>
          </w:p>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提示图形符号</w:t>
            </w:r>
          </w:p>
        </w:tc>
        <w:tc>
          <w:tcPr>
            <w:tcW w:w="887"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废水排放口</w:t>
            </w:r>
          </w:p>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提示图形符号</w:t>
            </w:r>
          </w:p>
        </w:tc>
        <w:tc>
          <w:tcPr>
            <w:tcW w:w="887"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噪声排放源</w:t>
            </w:r>
          </w:p>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提示图形符号</w:t>
            </w:r>
          </w:p>
        </w:tc>
        <w:tc>
          <w:tcPr>
            <w:tcW w:w="969"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固体废物贮存间提示图形符号</w:t>
            </w:r>
          </w:p>
        </w:tc>
        <w:tc>
          <w:tcPr>
            <w:tcW w:w="743" w:type="pct"/>
            <w:tcBorders>
              <w:tl2br w:val="nil"/>
              <w:tr2bl w:val="nil"/>
            </w:tcBorders>
            <w:noWrap w:val="0"/>
            <w:vAlign w:val="center"/>
          </w:tcPr>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危险废物</w:t>
            </w:r>
          </w:p>
          <w:p>
            <w:pPr>
              <w:jc w:val="center"/>
              <w:rPr>
                <w:rFonts w:hint="default" w:ascii="Times New Roman" w:hAnsi="Times New Roman" w:eastAsia="宋体" w:cs="Times New Roman"/>
                <w:b/>
                <w:color w:val="000000"/>
                <w:sz w:val="21"/>
                <w:szCs w:val="21"/>
                <w:highlight w:val="none"/>
                <w:u w:val="none" w:color="auto"/>
              </w:rPr>
            </w:pPr>
            <w:r>
              <w:rPr>
                <w:rFonts w:hint="default" w:ascii="Times New Roman" w:hAnsi="Times New Roman" w:eastAsia="宋体" w:cs="Times New Roman"/>
                <w:b/>
                <w:color w:val="000000"/>
                <w:sz w:val="21"/>
                <w:szCs w:val="21"/>
                <w:highlight w:val="none"/>
                <w:u w:val="none" w:color="auto"/>
              </w:rPr>
              <w:t>贮存间警告性图形符号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5"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图形</w:t>
            </w:r>
          </w:p>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符号</w:t>
            </w:r>
          </w:p>
        </w:tc>
        <w:tc>
          <w:tcPr>
            <w:tcW w:w="887"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2"/>
                <w:highlight w:val="none"/>
                <w:u w:val="none" w:color="auto"/>
              </w:rPr>
              <w:drawing>
                <wp:inline distT="0" distB="0" distL="114300" distR="114300">
                  <wp:extent cx="714375" cy="752475"/>
                  <wp:effectExtent l="0" t="0" r="9525" b="9525"/>
                  <wp:docPr id="2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true"/>
                          </pic:cNvPicPr>
                        </pic:nvPicPr>
                        <pic:blipFill>
                          <a:blip r:embed="rId35"/>
                          <a:stretch>
                            <a:fillRect/>
                          </a:stretch>
                        </pic:blipFill>
                        <pic:spPr>
                          <a:xfrm>
                            <a:off x="0" y="0"/>
                            <a:ext cx="714375" cy="752475"/>
                          </a:xfrm>
                          <a:prstGeom prst="rect">
                            <a:avLst/>
                          </a:prstGeom>
                          <a:noFill/>
                          <a:ln>
                            <a:noFill/>
                          </a:ln>
                        </pic:spPr>
                      </pic:pic>
                    </a:graphicData>
                  </a:graphic>
                </wp:inline>
              </w:drawing>
            </w:r>
          </w:p>
        </w:tc>
        <w:tc>
          <w:tcPr>
            <w:tcW w:w="887"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2"/>
                <w:highlight w:val="none"/>
                <w:u w:val="none" w:color="auto"/>
              </w:rPr>
              <w:drawing>
                <wp:inline distT="0" distB="0" distL="114300" distR="114300">
                  <wp:extent cx="723900" cy="723900"/>
                  <wp:effectExtent l="0" t="0" r="0" b="0"/>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36"/>
                          <a:stretch>
                            <a:fillRect/>
                          </a:stretch>
                        </pic:blipFill>
                        <pic:spPr>
                          <a:xfrm>
                            <a:off x="0" y="0"/>
                            <a:ext cx="723900" cy="723900"/>
                          </a:xfrm>
                          <a:prstGeom prst="rect">
                            <a:avLst/>
                          </a:prstGeom>
                          <a:noFill/>
                          <a:ln>
                            <a:noFill/>
                          </a:ln>
                        </pic:spPr>
                      </pic:pic>
                    </a:graphicData>
                  </a:graphic>
                </wp:inline>
              </w:drawing>
            </w:r>
          </w:p>
        </w:tc>
        <w:tc>
          <w:tcPr>
            <w:tcW w:w="887"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2"/>
                <w:highlight w:val="none"/>
                <w:u w:val="none" w:color="auto"/>
              </w:rPr>
              <w:drawing>
                <wp:inline distT="0" distB="0" distL="114300" distR="114300">
                  <wp:extent cx="723900" cy="733425"/>
                  <wp:effectExtent l="0" t="0" r="0" b="9525"/>
                  <wp:docPr id="4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true"/>
                          </pic:cNvPicPr>
                        </pic:nvPicPr>
                        <pic:blipFill>
                          <a:blip r:embed="rId37"/>
                          <a:stretch>
                            <a:fillRect/>
                          </a:stretch>
                        </pic:blipFill>
                        <pic:spPr>
                          <a:xfrm>
                            <a:off x="0" y="0"/>
                            <a:ext cx="723900" cy="733425"/>
                          </a:xfrm>
                          <a:prstGeom prst="rect">
                            <a:avLst/>
                          </a:prstGeom>
                          <a:noFill/>
                          <a:ln>
                            <a:noFill/>
                          </a:ln>
                        </pic:spPr>
                      </pic:pic>
                    </a:graphicData>
                  </a:graphic>
                </wp:inline>
              </w:drawing>
            </w:r>
          </w:p>
        </w:tc>
        <w:tc>
          <w:tcPr>
            <w:tcW w:w="969"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2"/>
                <w:highlight w:val="none"/>
                <w:u w:val="none" w:color="auto"/>
              </w:rPr>
              <w:drawing>
                <wp:inline distT="0" distB="0" distL="114300" distR="114300">
                  <wp:extent cx="714375" cy="723900"/>
                  <wp:effectExtent l="0" t="0" r="9525" b="0"/>
                  <wp:docPr id="4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true"/>
                          </pic:cNvPicPr>
                        </pic:nvPicPr>
                        <pic:blipFill>
                          <a:blip r:embed="rId38"/>
                          <a:stretch>
                            <a:fillRect/>
                          </a:stretch>
                        </pic:blipFill>
                        <pic:spPr>
                          <a:xfrm>
                            <a:off x="0" y="0"/>
                            <a:ext cx="714375" cy="723900"/>
                          </a:xfrm>
                          <a:prstGeom prst="rect">
                            <a:avLst/>
                          </a:prstGeom>
                          <a:noFill/>
                          <a:ln>
                            <a:noFill/>
                          </a:ln>
                        </pic:spPr>
                      </pic:pic>
                    </a:graphicData>
                  </a:graphic>
                </wp:inline>
              </w:drawing>
            </w:r>
          </w:p>
        </w:tc>
        <w:tc>
          <w:tcPr>
            <w:tcW w:w="743" w:type="pct"/>
            <w:tcBorders>
              <w:tl2br w:val="nil"/>
              <w:tr2bl w:val="nil"/>
            </w:tcBorders>
            <w:noWrap w:val="0"/>
            <w:vAlign w:val="center"/>
          </w:tcPr>
          <w:p>
            <w:pP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drawing>
                <wp:inline distT="0" distB="0" distL="114300" distR="114300">
                  <wp:extent cx="720090" cy="667385"/>
                  <wp:effectExtent l="0" t="0" r="3810" b="18415"/>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39"/>
                          <a:srcRect l="3175" t="8069" r="2716" b="4013"/>
                          <a:stretch>
                            <a:fillRect/>
                          </a:stretch>
                        </pic:blipFill>
                        <pic:spPr>
                          <a:xfrm>
                            <a:off x="0" y="0"/>
                            <a:ext cx="720090" cy="66738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25"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背景颜色</w:t>
            </w:r>
          </w:p>
        </w:tc>
        <w:tc>
          <w:tcPr>
            <w:tcW w:w="3631" w:type="pct"/>
            <w:gridSpan w:val="4"/>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绿色</w:t>
            </w:r>
          </w:p>
        </w:tc>
        <w:tc>
          <w:tcPr>
            <w:tcW w:w="743"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黄色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625"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图形颜色</w:t>
            </w:r>
          </w:p>
        </w:tc>
        <w:tc>
          <w:tcPr>
            <w:tcW w:w="3631" w:type="pct"/>
            <w:gridSpan w:val="4"/>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白色</w:t>
            </w:r>
          </w:p>
        </w:tc>
        <w:tc>
          <w:tcPr>
            <w:tcW w:w="743" w:type="pct"/>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u w:val="none" w:color="auto"/>
              </w:rPr>
            </w:pPr>
            <w:r>
              <w:rPr>
                <w:rFonts w:hint="default" w:ascii="Times New Roman" w:hAnsi="Times New Roman" w:eastAsia="宋体" w:cs="Times New Roman"/>
                <w:color w:val="000000"/>
                <w:sz w:val="21"/>
                <w:szCs w:val="21"/>
                <w:highlight w:val="none"/>
                <w:u w:val="none" w:color="auto"/>
              </w:rPr>
              <w:t>黑色</w:t>
            </w:r>
          </w:p>
        </w:tc>
      </w:tr>
    </w:tbl>
    <w:p>
      <w:pPr>
        <w:pStyle w:val="3"/>
        <w:bidi w:val="0"/>
      </w:pPr>
      <w:bookmarkStart w:id="114" w:name="_Toc30553"/>
      <w:r>
        <w:rPr>
          <w:rFonts w:hint="eastAsia"/>
          <w:lang w:val="en-US" w:eastAsia="zh-CN"/>
        </w:rPr>
        <w:t>8.4 总量控制</w:t>
      </w:r>
      <w:bookmarkEnd w:id="114"/>
      <w:r>
        <w:rPr>
          <w:rFonts w:hint="eastAsia"/>
          <w:lang w:val="en-US" w:eastAsia="zh-CN"/>
        </w:rPr>
        <w:t xml:space="preserve"> </w:t>
      </w:r>
    </w:p>
    <w:p>
      <w:pPr>
        <w:pageBreakBefore w:val="0"/>
        <w:widowControl w:val="0"/>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Style w:val="46"/>
          <w:rFonts w:hint="default"/>
          <w:lang w:val="en-US" w:eastAsia="zh-CN"/>
        </w:rPr>
        <w:t xml:space="preserve">8.4.1 </w:t>
      </w:r>
      <w:r>
        <w:rPr>
          <w:rStyle w:val="46"/>
          <w:rFonts w:hint="eastAsia"/>
          <w:lang w:val="en-US" w:eastAsia="zh-CN"/>
        </w:rPr>
        <w:t>污染物总量控制的目的及控制原则</w:t>
      </w:r>
      <w:r>
        <w:rPr>
          <w:rFonts w:hint="eastAsia" w:ascii="Times New Roman" w:hAnsi="Times New Roman" w:eastAsia="宋体" w:cs="Times New Roman"/>
          <w:b w:val="0"/>
          <w:bCs w:val="0"/>
          <w:snapToGrid w:val="0"/>
          <w:color w:val="000000"/>
          <w:spacing w:val="11"/>
          <w:kern w:val="0"/>
          <w:sz w:val="24"/>
          <w:szCs w:val="24"/>
          <w:lang w:val="en-US" w:eastAsia="zh-CN"/>
        </w:rPr>
        <w:t xml:space="preserve"> </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为了有效地控制环境污染，实现持续发展的战略目标，国家提出在促进经济发展的同时，必须实施目标总量控制，做到经济增长而不增污，直至还要有计划地削减污染量，逐步改善我国环境质量。为此，各级政府均根据国家“十四五”环保目标的要求，结合各地经济发展的具体需要，在调查研究的基础上，制定出符合当地实际的总量控制方案和实施计划，把总量控制指标逐项分解并层层落实到各排污企业。 </w:t>
      </w:r>
    </w:p>
    <w:p>
      <w:pPr>
        <w:pageBreakBefore w:val="0"/>
        <w:widowControl w:val="0"/>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Style w:val="46"/>
          <w:rFonts w:hint="default"/>
          <w:lang w:val="en-US" w:eastAsia="zh-CN"/>
        </w:rPr>
        <w:t>8.4.2</w:t>
      </w:r>
      <w:r>
        <w:rPr>
          <w:rStyle w:val="46"/>
          <w:rFonts w:hint="eastAsia"/>
          <w:lang w:val="en-US" w:eastAsia="zh-CN"/>
        </w:rPr>
        <w:t>总量控制指标</w:t>
      </w:r>
      <w:r>
        <w:rPr>
          <w:rFonts w:hint="eastAsia" w:ascii="Times New Roman" w:hAnsi="Times New Roman" w:eastAsia="宋体" w:cs="Times New Roman"/>
          <w:b w:val="0"/>
          <w:bCs w:val="0"/>
          <w:snapToGrid w:val="0"/>
          <w:color w:val="000000"/>
          <w:spacing w:val="11"/>
          <w:kern w:val="0"/>
          <w:sz w:val="24"/>
          <w:szCs w:val="24"/>
          <w:lang w:val="en-US" w:eastAsia="zh-CN"/>
        </w:rPr>
        <w:t xml:space="preserve"> </w:t>
      </w:r>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eastAsia" w:ascii="Times New Roman" w:hAnsi="Times New Roman" w:eastAsia="宋体" w:cs="Times New Roman"/>
          <w:b w:val="0"/>
          <w:bCs w:val="0"/>
          <w:snapToGrid w:val="0"/>
          <w:color w:val="000000"/>
          <w:spacing w:val="11"/>
          <w:kern w:val="0"/>
          <w:sz w:val="24"/>
          <w:szCs w:val="24"/>
          <w:lang w:val="en-US" w:eastAsia="zh-CN"/>
        </w:rPr>
        <w:t>本环评按相关污染物的排放量及国家相应的排放标准，结合拟建项目的污染物排放情况，建议污染物总量控制指标。本项目实验废水经预处理达到《医疗机构水污染物排放标准》（GB18466-2005）表2中的预处理标准后排入市政污水管网，再由宁远县污水处理厂深度处理达到《城镇污水处理厂污染物排放标准》（GB18918-2002）及其修改单中一级A标准后排放至泠江。故外排废水中</w:t>
      </w:r>
      <w:r>
        <w:rPr>
          <w:rFonts w:hint="default" w:ascii="Times New Roman" w:hAnsi="Times New Roman" w:eastAsia="宋体" w:cs="Times New Roman"/>
          <w:b w:val="0"/>
          <w:bCs w:val="0"/>
          <w:snapToGrid w:val="0"/>
          <w:color w:val="000000"/>
          <w:spacing w:val="11"/>
          <w:kern w:val="0"/>
          <w:sz w:val="24"/>
          <w:szCs w:val="24"/>
          <w:lang w:val="en-US" w:eastAsia="zh-CN"/>
        </w:rPr>
        <w:t>COD</w:t>
      </w:r>
      <w:r>
        <w:rPr>
          <w:rFonts w:hint="eastAsia" w:ascii="Times New Roman" w:hAnsi="Times New Roman" w:eastAsia="宋体" w:cs="Times New Roman"/>
          <w:b w:val="0"/>
          <w:bCs w:val="0"/>
          <w:snapToGrid w:val="0"/>
          <w:color w:val="000000"/>
          <w:spacing w:val="11"/>
          <w:kern w:val="0"/>
          <w:sz w:val="24"/>
          <w:szCs w:val="24"/>
          <w:lang w:val="en-US" w:eastAsia="zh-CN"/>
        </w:rPr>
        <w:t>、</w:t>
      </w:r>
      <w:r>
        <w:rPr>
          <w:rFonts w:hint="default" w:ascii="Times New Roman" w:hAnsi="Times New Roman" w:eastAsia="宋体" w:cs="Times New Roman"/>
          <w:b w:val="0"/>
          <w:bCs w:val="0"/>
          <w:snapToGrid w:val="0"/>
          <w:color w:val="000000"/>
          <w:spacing w:val="11"/>
          <w:kern w:val="0"/>
          <w:sz w:val="24"/>
          <w:szCs w:val="24"/>
          <w:lang w:val="en-US" w:eastAsia="zh-CN"/>
        </w:rPr>
        <w:t>NH</w:t>
      </w:r>
      <w:r>
        <w:rPr>
          <w:rFonts w:hint="default" w:ascii="Times New Roman" w:hAnsi="Times New Roman" w:eastAsia="宋体" w:cs="Times New Roman"/>
          <w:b w:val="0"/>
          <w:bCs w:val="0"/>
          <w:snapToGrid w:val="0"/>
          <w:color w:val="000000"/>
          <w:spacing w:val="11"/>
          <w:kern w:val="0"/>
          <w:sz w:val="24"/>
          <w:szCs w:val="24"/>
          <w:vertAlign w:val="subscript"/>
          <w:lang w:val="en-US" w:eastAsia="zh-CN"/>
        </w:rPr>
        <w:t>3</w:t>
      </w:r>
      <w:r>
        <w:rPr>
          <w:rFonts w:hint="default" w:ascii="Times New Roman" w:hAnsi="Times New Roman" w:eastAsia="宋体" w:cs="Times New Roman"/>
          <w:b w:val="0"/>
          <w:bCs w:val="0"/>
          <w:snapToGrid w:val="0"/>
          <w:color w:val="000000"/>
          <w:spacing w:val="11"/>
          <w:kern w:val="0"/>
          <w:sz w:val="24"/>
          <w:szCs w:val="24"/>
          <w:lang w:val="en-US" w:eastAsia="zh-CN"/>
        </w:rPr>
        <w:t>-N</w:t>
      </w:r>
      <w:r>
        <w:rPr>
          <w:rFonts w:hint="eastAsia" w:ascii="Times New Roman" w:hAnsi="Times New Roman" w:eastAsia="宋体" w:cs="Times New Roman"/>
          <w:b w:val="0"/>
          <w:bCs w:val="0"/>
          <w:snapToGrid w:val="0"/>
          <w:color w:val="000000"/>
          <w:spacing w:val="11"/>
          <w:kern w:val="0"/>
          <w:sz w:val="24"/>
          <w:szCs w:val="24"/>
          <w:lang w:val="en-US" w:eastAsia="zh-CN"/>
        </w:rPr>
        <w:t xml:space="preserve">总量纳入宁远县污水处理厂总量控制指标中，不另行申请总量。本项目柴油发电机产生的二氧化硫、氮氧化物较少，实验室产生的有机废气产生量较少，建议不设置总量控制。 </w:t>
      </w:r>
    </w:p>
    <w:p>
      <w:pPr>
        <w:keepNext w:val="0"/>
        <w:keepLines w:val="0"/>
        <w:widowControl/>
        <w:suppressLineNumbers w:val="0"/>
        <w:ind w:firstLine="524" w:firstLineChars="200"/>
        <w:jc w:val="left"/>
        <w:rPr>
          <w:rFonts w:hint="eastAsia" w:ascii="宋体" w:hAnsi="宋体" w:eastAsia="宋体" w:cs="宋体"/>
          <w:snapToGrid w:val="0"/>
          <w:color w:val="000000"/>
          <w:kern w:val="0"/>
          <w:sz w:val="24"/>
          <w:szCs w:val="24"/>
          <w:lang w:val="en-US" w:eastAsia="zh-CN" w:bidi="ar"/>
        </w:rPr>
      </w:pPr>
      <w:r>
        <w:rPr>
          <w:rFonts w:hint="eastAsia" w:ascii="Times New Roman" w:hAnsi="Times New Roman" w:eastAsia="宋体" w:cs="Times New Roman"/>
          <w:b w:val="0"/>
          <w:bCs w:val="0"/>
          <w:snapToGrid w:val="0"/>
          <w:color w:val="000000"/>
          <w:spacing w:val="11"/>
          <w:kern w:val="0"/>
          <w:sz w:val="24"/>
          <w:szCs w:val="24"/>
          <w:lang w:val="en-US" w:eastAsia="zh-CN"/>
        </w:rPr>
        <w:t xml:space="preserve">本项目建成后各类污染物预计排放量及总量控制建议指标见表 </w:t>
      </w:r>
      <w:r>
        <w:rPr>
          <w:rFonts w:hint="default" w:ascii="Times New Roman" w:hAnsi="Times New Roman" w:eastAsia="宋体" w:cs="Times New Roman"/>
          <w:b w:val="0"/>
          <w:bCs w:val="0"/>
          <w:snapToGrid w:val="0"/>
          <w:color w:val="000000"/>
          <w:spacing w:val="11"/>
          <w:kern w:val="0"/>
          <w:sz w:val="24"/>
          <w:szCs w:val="24"/>
          <w:lang w:val="en-US" w:eastAsia="zh-CN"/>
        </w:rPr>
        <w:t>8.4-</w:t>
      </w:r>
      <w:r>
        <w:rPr>
          <w:rFonts w:hint="eastAsia" w:ascii="Times New Roman" w:hAnsi="Times New Roman" w:eastAsia="宋体" w:cs="Times New Roman"/>
          <w:b w:val="0"/>
          <w:bCs w:val="0"/>
          <w:snapToGrid w:val="0"/>
          <w:color w:val="000000"/>
          <w:spacing w:val="11"/>
          <w:kern w:val="0"/>
          <w:sz w:val="24"/>
          <w:szCs w:val="24"/>
          <w:lang w:val="en-US" w:eastAsia="zh-CN"/>
        </w:rPr>
        <w:t>1</w:t>
      </w:r>
      <w:r>
        <w:rPr>
          <w:rFonts w:hint="eastAsia" w:ascii="宋体" w:hAnsi="宋体" w:eastAsia="宋体" w:cs="宋体"/>
          <w:snapToGrid w:val="0"/>
          <w:color w:val="000000"/>
          <w:kern w:val="0"/>
          <w:sz w:val="24"/>
          <w:szCs w:val="24"/>
          <w:lang w:val="en-US" w:eastAsia="zh-CN" w:bidi="ar"/>
        </w:rPr>
        <w:t>。</w:t>
      </w:r>
    </w:p>
    <w:p>
      <w:pPr>
        <w:keepNext w:val="0"/>
        <w:keepLines w:val="0"/>
        <w:widowControl/>
        <w:suppressLineNumbers w:val="0"/>
        <w:jc w:val="center"/>
      </w:pPr>
      <w:r>
        <w:rPr>
          <w:rFonts w:hint="eastAsia" w:ascii="宋体" w:hAnsi="宋体" w:eastAsia="宋体" w:cs="宋体"/>
          <w:b/>
          <w:bCs/>
          <w:snapToGrid w:val="0"/>
          <w:color w:val="000000"/>
          <w:kern w:val="0"/>
          <w:sz w:val="21"/>
          <w:szCs w:val="21"/>
          <w:lang w:val="en-US" w:eastAsia="zh-CN" w:bidi="ar"/>
        </w:rPr>
        <w:t xml:space="preserve">表 </w:t>
      </w:r>
      <w:r>
        <w:rPr>
          <w:rFonts w:hint="default" w:ascii="Times New Roman" w:hAnsi="Times New Roman" w:eastAsia="宋体" w:cs="Times New Roman"/>
          <w:b/>
          <w:bCs/>
          <w:snapToGrid w:val="0"/>
          <w:color w:val="000000"/>
          <w:kern w:val="0"/>
          <w:sz w:val="21"/>
          <w:szCs w:val="21"/>
          <w:lang w:val="en-US" w:eastAsia="zh-CN" w:bidi="ar"/>
        </w:rPr>
        <w:t>8.4-</w:t>
      </w:r>
      <w:r>
        <w:rPr>
          <w:rFonts w:hint="eastAsia" w:ascii="Times New Roman" w:hAnsi="Times New Roman" w:eastAsia="宋体" w:cs="Times New Roman"/>
          <w:b/>
          <w:bCs/>
          <w:snapToGrid w:val="0"/>
          <w:color w:val="000000"/>
          <w:kern w:val="0"/>
          <w:sz w:val="21"/>
          <w:szCs w:val="21"/>
          <w:lang w:val="en-US" w:eastAsia="zh-CN" w:bidi="ar"/>
        </w:rPr>
        <w:t>1</w:t>
      </w:r>
      <w:r>
        <w:rPr>
          <w:rFonts w:hint="default" w:ascii="Times New Roman" w:hAnsi="Times New Roman" w:eastAsia="宋体" w:cs="Times New Roman"/>
          <w:b/>
          <w:bCs/>
          <w:snapToGrid w:val="0"/>
          <w:color w:val="000000"/>
          <w:kern w:val="0"/>
          <w:sz w:val="21"/>
          <w:szCs w:val="21"/>
          <w:lang w:val="en-US" w:eastAsia="zh-CN" w:bidi="ar"/>
        </w:rPr>
        <w:t xml:space="preserve"> </w:t>
      </w:r>
      <w:r>
        <w:rPr>
          <w:rFonts w:hint="eastAsia" w:ascii="宋体" w:hAnsi="宋体" w:eastAsia="宋体" w:cs="宋体"/>
          <w:b/>
          <w:bCs/>
          <w:snapToGrid w:val="0"/>
          <w:color w:val="000000"/>
          <w:kern w:val="0"/>
          <w:sz w:val="21"/>
          <w:szCs w:val="21"/>
          <w:lang w:val="en-US" w:eastAsia="zh-CN" w:bidi="ar"/>
        </w:rPr>
        <w:t>总量控制指标</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4" w:type="dxa"/>
            <w:tcBorders>
              <w:tl2br w:val="nil"/>
              <w:tr2bl w:val="nil"/>
            </w:tcBorders>
            <w:vAlign w:val="center"/>
          </w:tcPr>
          <w:p>
            <w:pPr>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z w:val="21"/>
                <w:szCs w:val="21"/>
                <w:vertAlign w:val="baseline"/>
              </w:rPr>
              <w:t>总排放水量</w:t>
            </w:r>
          </w:p>
        </w:tc>
        <w:tc>
          <w:tcPr>
            <w:tcW w:w="1914" w:type="dxa"/>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napToGrid w:val="0"/>
                <w:color w:val="000000"/>
                <w:kern w:val="0"/>
                <w:sz w:val="21"/>
                <w:szCs w:val="21"/>
                <w:lang w:val="en-US" w:eastAsia="zh-CN" w:bidi="ar"/>
              </w:rPr>
              <w:t>污染因子</w:t>
            </w:r>
          </w:p>
        </w:tc>
        <w:tc>
          <w:tcPr>
            <w:tcW w:w="1914" w:type="dxa"/>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napToGrid w:val="0"/>
                <w:color w:val="000000"/>
                <w:kern w:val="0"/>
                <w:sz w:val="21"/>
                <w:szCs w:val="21"/>
                <w:lang w:val="en-US" w:eastAsia="zh-CN" w:bidi="ar"/>
              </w:rPr>
              <w:t>排放浓度</w:t>
            </w:r>
          </w:p>
        </w:tc>
        <w:tc>
          <w:tcPr>
            <w:tcW w:w="1914" w:type="dxa"/>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napToGrid w:val="0"/>
                <w:color w:val="000000"/>
                <w:kern w:val="0"/>
                <w:sz w:val="21"/>
                <w:szCs w:val="21"/>
                <w:lang w:val="en-US" w:eastAsia="zh-CN" w:bidi="ar"/>
              </w:rPr>
              <w:t>排放量</w:t>
            </w:r>
          </w:p>
        </w:tc>
        <w:tc>
          <w:tcPr>
            <w:tcW w:w="1915" w:type="dxa"/>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napToGrid w:val="0"/>
                <w:color w:val="000000"/>
                <w:kern w:val="0"/>
                <w:sz w:val="21"/>
                <w:szCs w:val="21"/>
                <w:lang w:val="en-US" w:eastAsia="zh-CN" w:bidi="ar"/>
              </w:rPr>
              <w:t>建议指标（</w:t>
            </w:r>
            <w:r>
              <w:rPr>
                <w:rFonts w:hint="default" w:ascii="Times New Roman" w:hAnsi="Times New Roman" w:eastAsia="宋体" w:cs="Times New Roman"/>
                <w:b w:val="0"/>
                <w:bCs w:val="0"/>
                <w:snapToGrid w:val="0"/>
                <w:color w:val="000000"/>
                <w:kern w:val="0"/>
                <w:sz w:val="21"/>
                <w:szCs w:val="21"/>
                <w:lang w:val="en-US" w:eastAsia="zh-CN" w:bidi="ar"/>
              </w:rPr>
              <w:t>t/a</w:t>
            </w:r>
            <w:r>
              <w:rPr>
                <w:rFonts w:hint="eastAsia" w:ascii="Times New Roman" w:hAnsi="Times New Roman" w:eastAsia="宋体" w:cs="Times New Roman"/>
                <w:b w:val="0"/>
                <w:bCs w:val="0"/>
                <w:snapToGrid w:val="0"/>
                <w:color w:val="000000"/>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4" w:type="dxa"/>
            <w:vMerge w:val="restart"/>
            <w:tcBorders>
              <w:tl2br w:val="nil"/>
              <w:tr2bl w:val="nil"/>
            </w:tcBorders>
            <w:vAlign w:val="center"/>
          </w:tcPr>
          <w:p>
            <w:pPr>
              <w:keepNext w:val="0"/>
              <w:keepLines w:val="0"/>
              <w:widowControl/>
              <w:suppressLineNumbers w:val="0"/>
              <w:jc w:val="center"/>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napToGrid w:val="0"/>
                <w:color w:val="000000"/>
                <w:kern w:val="0"/>
                <w:sz w:val="21"/>
                <w:szCs w:val="21"/>
                <w:lang w:val="en-US" w:eastAsia="zh-CN" w:bidi="ar"/>
              </w:rPr>
              <w:t>实验废水686.375</w:t>
            </w:r>
            <w:r>
              <w:rPr>
                <w:rFonts w:hint="default" w:ascii="Times New Roman" w:hAnsi="Times New Roman" w:eastAsia="宋体" w:cs="Times New Roman"/>
                <w:b w:val="0"/>
                <w:bCs w:val="0"/>
                <w:snapToGrid w:val="0"/>
                <w:color w:val="000000"/>
                <w:kern w:val="0"/>
                <w:sz w:val="21"/>
                <w:szCs w:val="21"/>
                <w:lang w:val="en-US" w:eastAsia="zh-CN" w:bidi="ar"/>
              </w:rPr>
              <w:t>m</w:t>
            </w:r>
            <w:r>
              <w:rPr>
                <w:rFonts w:hint="default" w:ascii="Times New Roman" w:hAnsi="Times New Roman" w:eastAsia="宋体" w:cs="Times New Roman"/>
                <w:b w:val="0"/>
                <w:bCs w:val="0"/>
                <w:snapToGrid w:val="0"/>
                <w:color w:val="000000"/>
                <w:kern w:val="0"/>
                <w:sz w:val="21"/>
                <w:szCs w:val="21"/>
                <w:vertAlign w:val="superscript"/>
                <w:lang w:val="en-US" w:eastAsia="zh-CN" w:bidi="ar"/>
              </w:rPr>
              <w:t>3</w:t>
            </w:r>
            <w:r>
              <w:rPr>
                <w:rFonts w:hint="default" w:ascii="Times New Roman" w:hAnsi="Times New Roman" w:eastAsia="宋体" w:cs="Times New Roman"/>
                <w:b w:val="0"/>
                <w:bCs w:val="0"/>
                <w:snapToGrid w:val="0"/>
                <w:color w:val="000000"/>
                <w:kern w:val="0"/>
                <w:sz w:val="21"/>
                <w:szCs w:val="21"/>
                <w:lang w:val="en-US" w:eastAsia="zh-CN" w:bidi="ar"/>
              </w:rPr>
              <w:t>/a</w:t>
            </w:r>
          </w:p>
        </w:tc>
        <w:tc>
          <w:tcPr>
            <w:tcW w:w="191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化学需氧量</w:t>
            </w:r>
          </w:p>
        </w:tc>
        <w:tc>
          <w:tcPr>
            <w:tcW w:w="191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50</w:t>
            </w:r>
            <w:r>
              <w:rPr>
                <w:rFonts w:hint="default" w:ascii="Times New Roman" w:hAnsi="Times New Roman" w:eastAsia="宋体" w:cs="Times New Roman"/>
                <w:b w:val="0"/>
                <w:bCs w:val="0"/>
                <w:snapToGrid w:val="0"/>
                <w:color w:val="000000"/>
                <w:kern w:val="0"/>
                <w:sz w:val="21"/>
                <w:szCs w:val="21"/>
                <w:lang w:val="en-US" w:eastAsia="zh-CN" w:bidi="ar"/>
              </w:rPr>
              <w:t>mg/L</w:t>
            </w:r>
          </w:p>
        </w:tc>
        <w:tc>
          <w:tcPr>
            <w:tcW w:w="191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0.034t/a</w:t>
            </w:r>
          </w:p>
        </w:tc>
        <w:tc>
          <w:tcPr>
            <w:tcW w:w="191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z w:val="21"/>
                <w:szCs w:val="21"/>
                <w:vertAlign w:val="baseline"/>
                <w:lang w:val="en-US" w:eastAsia="zh-CN"/>
              </w:rPr>
              <w:t>0.034t/a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4" w:type="dxa"/>
            <w:vMerge w:val="continue"/>
            <w:tcBorders>
              <w:tl2br w:val="nil"/>
              <w:tr2bl w:val="nil"/>
            </w:tcBorders>
            <w:vAlign w:val="center"/>
          </w:tcPr>
          <w:p>
            <w:pPr>
              <w:pageBreakBefore w:val="0"/>
              <w:widowControl w:val="0"/>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b w:val="0"/>
                <w:bCs w:val="0"/>
                <w:sz w:val="21"/>
                <w:szCs w:val="21"/>
                <w:vertAlign w:val="baseline"/>
              </w:rPr>
            </w:pPr>
          </w:p>
        </w:tc>
        <w:tc>
          <w:tcPr>
            <w:tcW w:w="191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氨氮</w:t>
            </w:r>
          </w:p>
        </w:tc>
        <w:tc>
          <w:tcPr>
            <w:tcW w:w="1914" w:type="dxa"/>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w:t>
            </w:r>
            <w:r>
              <w:rPr>
                <w:rFonts w:hint="default" w:ascii="Times New Roman" w:hAnsi="Times New Roman" w:eastAsia="宋体" w:cs="Times New Roman"/>
                <w:b w:val="0"/>
                <w:bCs w:val="0"/>
                <w:snapToGrid w:val="0"/>
                <w:color w:val="000000"/>
                <w:kern w:val="0"/>
                <w:sz w:val="21"/>
                <w:szCs w:val="21"/>
                <w:lang w:val="en-US" w:eastAsia="zh-CN" w:bidi="ar"/>
              </w:rPr>
              <w:t>mg/L</w:t>
            </w:r>
          </w:p>
        </w:tc>
        <w:tc>
          <w:tcPr>
            <w:tcW w:w="1914"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0.003t/a</w:t>
            </w:r>
          </w:p>
        </w:tc>
        <w:tc>
          <w:tcPr>
            <w:tcW w:w="1915" w:type="dxa"/>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z w:val="21"/>
                <w:szCs w:val="21"/>
                <w:vertAlign w:val="baseline"/>
                <w:lang w:val="en-US" w:eastAsia="zh-CN"/>
              </w:rPr>
              <w:t>0.003t/a</w:t>
            </w:r>
          </w:p>
        </w:tc>
      </w:tr>
    </w:tbl>
    <w:p>
      <w:pPr>
        <w:pStyle w:val="3"/>
        <w:bidi w:val="0"/>
        <w:rPr>
          <w:rFonts w:hint="default" w:ascii="Times New Roman" w:hAnsi="Times New Roman" w:eastAsia="宋体" w:cs="Times New Roman"/>
          <w:b w:val="0"/>
          <w:bCs w:val="0"/>
          <w:snapToGrid w:val="0"/>
          <w:color w:val="000000"/>
          <w:spacing w:val="11"/>
          <w:kern w:val="0"/>
          <w:szCs w:val="24"/>
          <w:lang w:val="en-US" w:eastAsia="zh-CN"/>
        </w:rPr>
      </w:pPr>
      <w:bookmarkStart w:id="115" w:name="_Toc12989"/>
      <w:r>
        <w:rPr>
          <w:rFonts w:hint="eastAsia"/>
          <w:lang w:val="en-US" w:eastAsia="zh-CN"/>
        </w:rPr>
        <w:t xml:space="preserve">8.5 </w:t>
      </w:r>
      <w:r>
        <w:rPr>
          <w:rFonts w:hint="default"/>
          <w:lang w:val="en-US" w:eastAsia="zh-CN"/>
        </w:rPr>
        <w:t>环境监测计划</w:t>
      </w:r>
      <w:bookmarkEnd w:id="115"/>
    </w:p>
    <w:p>
      <w:pPr>
        <w:pageBreakBefore w:val="0"/>
        <w:widowControl w:val="0"/>
        <w:kinsoku w:val="0"/>
        <w:wordWrap/>
        <w:overflowPunct/>
        <w:topLinePunct w:val="0"/>
        <w:autoSpaceDE w:val="0"/>
        <w:autoSpaceDN w:val="0"/>
        <w:bidi w:val="0"/>
        <w:adjustRightInd w:val="0"/>
        <w:snapToGrid w:val="0"/>
        <w:spacing w:line="360" w:lineRule="auto"/>
        <w:ind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 xml:space="preserve">环境监测工作是环境管理的基础，能及时、真实地反映企业排污现状及对环境的污染状况，有利于环保主管部门管理工作的顺利开展。根据《排污单位自行监测技术指南总则》（HJ819-2017）、《排污许可证申请与核发技术规范 医疗机构》（HJ 1105-2020），应进行定期监测的污染源和污染物如下，详见表 </w:t>
      </w:r>
      <w:r>
        <w:rPr>
          <w:rFonts w:hint="eastAsia" w:ascii="Times New Roman" w:hAnsi="Times New Roman" w:eastAsia="宋体" w:cs="Times New Roman"/>
          <w:b w:val="0"/>
          <w:bCs w:val="0"/>
          <w:snapToGrid w:val="0"/>
          <w:color w:val="000000"/>
          <w:spacing w:val="11"/>
          <w:kern w:val="0"/>
          <w:sz w:val="24"/>
          <w:szCs w:val="24"/>
          <w:lang w:val="en-US" w:eastAsia="zh-CN"/>
        </w:rPr>
        <w:t>8.5</w:t>
      </w:r>
      <w:r>
        <w:rPr>
          <w:rFonts w:hint="default" w:ascii="Times New Roman" w:hAnsi="Times New Roman" w:eastAsia="宋体" w:cs="Times New Roman"/>
          <w:b w:val="0"/>
          <w:bCs w:val="0"/>
          <w:snapToGrid w:val="0"/>
          <w:color w:val="000000"/>
          <w:spacing w:val="11"/>
          <w:kern w:val="0"/>
          <w:sz w:val="24"/>
          <w:szCs w:val="24"/>
          <w:lang w:val="en-US" w:eastAsia="zh-CN"/>
        </w:rPr>
        <w:t>-1。</w:t>
      </w:r>
    </w:p>
    <w:p>
      <w:pPr>
        <w:keepNext w:val="0"/>
        <w:keepLines w:val="0"/>
        <w:widowControl/>
        <w:suppressLineNumbers w:val="0"/>
        <w:jc w:val="center"/>
        <w:rPr>
          <w:sz w:val="21"/>
          <w:szCs w:val="21"/>
        </w:rPr>
      </w:pPr>
      <w:r>
        <w:rPr>
          <w:rFonts w:hint="eastAsia" w:ascii="宋体" w:hAnsi="宋体" w:eastAsia="宋体" w:cs="宋体"/>
          <w:b/>
          <w:bCs/>
          <w:snapToGrid w:val="0"/>
          <w:color w:val="000000"/>
          <w:kern w:val="0"/>
          <w:sz w:val="21"/>
          <w:szCs w:val="21"/>
          <w:lang w:val="en-US" w:eastAsia="zh-CN" w:bidi="ar"/>
        </w:rPr>
        <w:t xml:space="preserve">表 </w:t>
      </w:r>
      <w:r>
        <w:rPr>
          <w:rFonts w:hint="default" w:ascii="Times New Roman" w:hAnsi="Times New Roman" w:eastAsia="宋体" w:cs="Times New Roman"/>
          <w:b/>
          <w:bCs/>
          <w:snapToGrid w:val="0"/>
          <w:color w:val="000000"/>
          <w:kern w:val="0"/>
          <w:sz w:val="21"/>
          <w:szCs w:val="21"/>
          <w:lang w:val="en-US" w:eastAsia="zh-CN" w:bidi="ar"/>
        </w:rPr>
        <w:t xml:space="preserve">8.5-1 </w:t>
      </w:r>
      <w:r>
        <w:rPr>
          <w:rFonts w:hint="eastAsia" w:ascii="宋体" w:hAnsi="宋体" w:eastAsia="宋体" w:cs="宋体"/>
          <w:b/>
          <w:bCs/>
          <w:snapToGrid w:val="0"/>
          <w:color w:val="000000"/>
          <w:kern w:val="0"/>
          <w:sz w:val="21"/>
          <w:szCs w:val="21"/>
          <w:lang w:val="en-US" w:eastAsia="zh-CN" w:bidi="ar"/>
        </w:rPr>
        <w:t>污染源监测计划</w:t>
      </w:r>
    </w:p>
    <w:tbl>
      <w:tblPr>
        <w:tblStyle w:val="25"/>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65"/>
        <w:gridCol w:w="897"/>
        <w:gridCol w:w="2091"/>
        <w:gridCol w:w="2194"/>
        <w:gridCol w:w="36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类别</w:t>
            </w: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监测项目</w:t>
            </w:r>
          </w:p>
        </w:tc>
        <w:tc>
          <w:tcPr>
            <w:tcW w:w="11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监测位置</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废水</w:t>
            </w: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流量</w:t>
            </w:r>
          </w:p>
        </w:tc>
        <w:tc>
          <w:tcPr>
            <w:tcW w:w="114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污水处理站外排口</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自动监测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pH</w:t>
            </w:r>
          </w:p>
        </w:tc>
        <w:tc>
          <w:tcPr>
            <w:tcW w:w="114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1</w:t>
            </w:r>
            <w:r>
              <w:rPr>
                <w:rFonts w:ascii="Times New Roman" w:hAnsi="Times New Roman" w:eastAsia="宋体" w:cs="Times New Roman"/>
                <w:b w:val="0"/>
                <w:bCs w:val="0"/>
                <w:i w:val="0"/>
                <w:iCs w:val="0"/>
                <w:snapToGrid w:val="0"/>
                <w:color w:val="000000"/>
                <w:kern w:val="0"/>
                <w:sz w:val="21"/>
                <w:szCs w:val="21"/>
                <w:u w:val="none"/>
                <w:lang w:val="en-US" w:eastAsia="zh-CN" w:bidi="ar"/>
              </w:rPr>
              <w:t>次/</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12h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rPr>
        <w:tc>
          <w:tcPr>
            <w:tcW w:w="4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COD、</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SS</w:t>
            </w:r>
          </w:p>
        </w:tc>
        <w:tc>
          <w:tcPr>
            <w:tcW w:w="114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1次/周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粪大肠菌群</w:t>
            </w:r>
          </w:p>
        </w:tc>
        <w:tc>
          <w:tcPr>
            <w:tcW w:w="114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1次/</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BOD₅ 、</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挥发酚</w:t>
            </w:r>
            <w:r>
              <w:rPr>
                <w:rFonts w:ascii="Times New Roman" w:hAnsi="Times New Roman" w:eastAsia="宋体" w:cs="Times New Roman"/>
                <w:b w:val="0"/>
                <w:bCs w:val="0"/>
                <w:i w:val="0"/>
                <w:iCs w:val="0"/>
                <w:snapToGrid w:val="0"/>
                <w:color w:val="000000"/>
                <w:kern w:val="0"/>
                <w:sz w:val="21"/>
                <w:szCs w:val="21"/>
                <w:u w:val="none"/>
                <w:lang w:val="en-US" w:eastAsia="zh-CN" w:bidi="ar"/>
              </w:rPr>
              <w:t>、</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总氰化物</w:t>
            </w:r>
            <w:r>
              <w:rPr>
                <w:rFonts w:ascii="Times New Roman" w:hAnsi="Times New Roman" w:eastAsia="宋体" w:cs="Times New Roman"/>
                <w:b w:val="0"/>
                <w:bCs w:val="0"/>
                <w:i w:val="0"/>
                <w:iCs w:val="0"/>
                <w:snapToGrid w:val="0"/>
                <w:color w:val="000000"/>
                <w:kern w:val="0"/>
                <w:sz w:val="21"/>
                <w:szCs w:val="21"/>
                <w:u w:val="none"/>
                <w:lang w:val="en-US" w:eastAsia="zh-CN" w:bidi="ar"/>
              </w:rPr>
              <w:t>、动植物油、LAS、石油类</w:t>
            </w:r>
          </w:p>
        </w:tc>
        <w:tc>
          <w:tcPr>
            <w:tcW w:w="114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1次/季度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污泥</w:t>
            </w: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粪大肠菌群数、蛔虫卵死亡率</w:t>
            </w:r>
          </w:p>
        </w:tc>
        <w:tc>
          <w:tcPr>
            <w:tcW w:w="11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采用多点取样，样品</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重量不小于1kg</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污泥清淘前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rPr>
        <w:tc>
          <w:tcPr>
            <w:tcW w:w="4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废气</w:t>
            </w: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无组织</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排放</w:t>
            </w:r>
          </w:p>
        </w:tc>
        <w:tc>
          <w:tcPr>
            <w:tcW w:w="10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ascii="Times New Roman" w:hAnsi="Times New Roman" w:eastAsia="宋体" w:cs="Times New Roman"/>
                <w:b w:val="0"/>
                <w:bCs w:val="0"/>
                <w:i w:val="0"/>
                <w:iCs w:val="0"/>
                <w:snapToGrid w:val="0"/>
                <w:color w:val="000000"/>
                <w:kern w:val="0"/>
                <w:sz w:val="21"/>
                <w:szCs w:val="21"/>
                <w:u w:val="none"/>
                <w:lang w:val="en-US" w:eastAsia="zh-CN" w:bidi="ar"/>
              </w:rPr>
              <w:t>氨、硫化氢</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、臭气浓度</w:t>
            </w:r>
          </w:p>
        </w:tc>
        <w:tc>
          <w:tcPr>
            <w:tcW w:w="11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项目</w:t>
            </w:r>
            <w:r>
              <w:rPr>
                <w:rFonts w:ascii="Times New Roman" w:hAnsi="Times New Roman" w:eastAsia="宋体" w:cs="Times New Roman"/>
                <w:b w:val="0"/>
                <w:bCs w:val="0"/>
                <w:i w:val="0"/>
                <w:iCs w:val="0"/>
                <w:snapToGrid w:val="0"/>
                <w:color w:val="000000"/>
                <w:kern w:val="0"/>
                <w:sz w:val="21"/>
                <w:szCs w:val="21"/>
                <w:u w:val="none"/>
                <w:lang w:val="en-US" w:eastAsia="zh-CN" w:bidi="ar"/>
              </w:rPr>
              <w:t>边界</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46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有组织</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排放</w:t>
            </w:r>
          </w:p>
        </w:tc>
        <w:tc>
          <w:tcPr>
            <w:tcW w:w="10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氯化氢、硫酸、非甲烷总烃</w:t>
            </w:r>
          </w:p>
        </w:tc>
        <w:tc>
          <w:tcPr>
            <w:tcW w:w="11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实验室废气排气筒</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噪声</w:t>
            </w:r>
          </w:p>
        </w:tc>
        <w:tc>
          <w:tcPr>
            <w:tcW w:w="156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等效连续A声级</w:t>
            </w:r>
          </w:p>
        </w:tc>
        <w:tc>
          <w:tcPr>
            <w:tcW w:w="11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项目边界四周</w:t>
            </w:r>
          </w:p>
        </w:tc>
        <w:tc>
          <w:tcPr>
            <w:tcW w:w="188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1次/季度</w:t>
            </w:r>
          </w:p>
        </w:tc>
      </w:tr>
    </w:tbl>
    <w:p>
      <w:pPr>
        <w:pStyle w:val="3"/>
        <w:bidi w:val="0"/>
        <w:rPr>
          <w:rFonts w:hint="default"/>
          <w:lang w:val="en-US" w:eastAsia="zh-CN"/>
        </w:rPr>
      </w:pPr>
      <w:bookmarkStart w:id="116" w:name="_Toc30263"/>
      <w:r>
        <w:rPr>
          <w:rFonts w:hint="eastAsia"/>
          <w:lang w:val="en-US" w:eastAsia="zh-CN"/>
        </w:rPr>
        <w:t xml:space="preserve">8.6 </w:t>
      </w:r>
      <w:r>
        <w:rPr>
          <w:rFonts w:hint="default"/>
          <w:lang w:val="en-US" w:eastAsia="zh-CN"/>
        </w:rPr>
        <w:t>竣工环境保护验收</w:t>
      </w:r>
      <w:bookmarkEnd w:id="116"/>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根据《建设项目环境保护管理条例》（2017 年 7 月 16 日修订）、《建设项目环境保护竣工验收暂行办法》（国环规环评[2017]4 号）、《建设项目竣工环境保护验收技术指南污染影响类》（生态环境部公告 2018 年第 9 号）中的规定要求。建设单位应按照国家有关法律法规、建设项目竣工环境保护验收技术规范、建设项目环境影响报告书和审批决定等要求，自主开展相关验收工作。建设项目配套建设的环境保护设施经验收合格后，方可投入生产或者使用；未经验收或者验收不合格的，不得投入生产或者使用。</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根据《建设项目环境保护竣工验收暂行办法》（国环规环评[2017]4 号），项目竣工后，建设单位应当编制验收监测（调查）报告，提出验收意见。建设单位应组织召开验收会议，邀请专业技术专家提出验收意见。按照《办法》的有关规定落实建设项目竣工环境保护验收的信息公开工作。除国家规定的需要保密的建设项目外，建设单位应在《验收报告》编制完成后 5 个工作日进行公示，公示期限不得少于 20 个工作日。建设单位公开上述信息的同时，应当向所在地环境保护主管部门报送相关信息，并接受监督检查。</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建设单位在环境保护设施验收过程中，应当如实查验、监测、记载建设项目环境保护设施的建设和调试情况，不得弄虚作假；除按照国家规定需要保密的情形外，建设单位应当依法向社会公开验收报告。</w:t>
      </w:r>
    </w:p>
    <w:p>
      <w:pPr>
        <w:keepNext w:val="0"/>
        <w:keepLines w:val="0"/>
        <w:widowControl/>
        <w:suppressLineNumbers w:val="0"/>
        <w:ind w:firstLine="480" w:firstLineChars="200"/>
        <w:jc w:val="left"/>
        <w:rPr>
          <w:rFonts w:hint="default" w:ascii="Times New Roman" w:hAnsi="Times New Roman" w:eastAsia="宋体" w:cs="Times New Roman"/>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本项目竣工环境保护验收详见下表</w:t>
      </w:r>
      <w:r>
        <w:rPr>
          <w:rFonts w:hint="eastAsia" w:ascii="Times New Roman" w:hAnsi="Times New Roman" w:eastAsia="宋体" w:cs="Times New Roman"/>
          <w:snapToGrid w:val="0"/>
          <w:color w:val="000000"/>
          <w:kern w:val="0"/>
          <w:sz w:val="24"/>
          <w:szCs w:val="24"/>
          <w:lang w:val="en-US" w:eastAsia="zh-CN" w:bidi="ar"/>
        </w:rPr>
        <w:t>8.6</w:t>
      </w:r>
      <w:r>
        <w:rPr>
          <w:rFonts w:hint="default" w:ascii="Times New Roman" w:hAnsi="Times New Roman" w:eastAsia="宋体" w:cs="Times New Roman"/>
          <w:snapToGrid w:val="0"/>
          <w:color w:val="000000"/>
          <w:kern w:val="0"/>
          <w:sz w:val="24"/>
          <w:szCs w:val="24"/>
          <w:lang w:val="en-US" w:eastAsia="zh-CN" w:bidi="ar"/>
        </w:rPr>
        <w:t>-1</w:t>
      </w:r>
      <w:r>
        <w:rPr>
          <w:rFonts w:hint="eastAsia" w:ascii="Times New Roman" w:hAnsi="Times New Roman" w:eastAsia="宋体" w:cs="Times New Roman"/>
          <w:snapToGrid w:val="0"/>
          <w:color w:val="000000"/>
          <w:kern w:val="0"/>
          <w:sz w:val="24"/>
          <w:szCs w:val="24"/>
          <w:lang w:val="en-US" w:eastAsia="zh-CN" w:bidi="ar"/>
        </w:rPr>
        <w:t>。</w:t>
      </w:r>
    </w:p>
    <w:p>
      <w:pPr>
        <w:keepNext w:val="0"/>
        <w:keepLines w:val="0"/>
        <w:widowControl/>
        <w:suppressLineNumbers w:val="0"/>
        <w:jc w:val="center"/>
        <w:rPr>
          <w:sz w:val="21"/>
          <w:szCs w:val="21"/>
        </w:rPr>
      </w:pPr>
      <w:r>
        <w:rPr>
          <w:rFonts w:hint="eastAsia" w:ascii="宋体" w:hAnsi="宋体" w:eastAsia="宋体" w:cs="宋体"/>
          <w:b/>
          <w:bCs/>
          <w:snapToGrid w:val="0"/>
          <w:color w:val="000000"/>
          <w:kern w:val="0"/>
          <w:sz w:val="21"/>
          <w:szCs w:val="21"/>
          <w:lang w:val="en-US" w:eastAsia="zh-CN" w:bidi="ar"/>
        </w:rPr>
        <w:t xml:space="preserve">表 </w:t>
      </w:r>
      <w:r>
        <w:rPr>
          <w:rFonts w:hint="eastAsia" w:ascii="Times New Roman" w:hAnsi="Times New Roman" w:eastAsia="宋体" w:cs="Times New Roman"/>
          <w:b/>
          <w:bCs/>
          <w:snapToGrid w:val="0"/>
          <w:color w:val="000000"/>
          <w:kern w:val="0"/>
          <w:sz w:val="21"/>
          <w:szCs w:val="21"/>
          <w:lang w:val="en-US" w:eastAsia="zh-CN" w:bidi="ar"/>
        </w:rPr>
        <w:t>8.6</w:t>
      </w:r>
      <w:r>
        <w:rPr>
          <w:rFonts w:hint="default" w:ascii="Times New Roman" w:hAnsi="Times New Roman" w:eastAsia="宋体" w:cs="Times New Roman"/>
          <w:b/>
          <w:bCs/>
          <w:snapToGrid w:val="0"/>
          <w:color w:val="000000"/>
          <w:kern w:val="0"/>
          <w:sz w:val="21"/>
          <w:szCs w:val="21"/>
          <w:lang w:val="en-US" w:eastAsia="zh-CN" w:bidi="ar"/>
        </w:rPr>
        <w:t xml:space="preserve">-1 </w:t>
      </w:r>
      <w:r>
        <w:rPr>
          <w:rFonts w:hint="eastAsia" w:ascii="宋体" w:hAnsi="宋体" w:eastAsia="宋体" w:cs="宋体"/>
          <w:b/>
          <w:bCs/>
          <w:snapToGrid w:val="0"/>
          <w:color w:val="000000"/>
          <w:kern w:val="0"/>
          <w:sz w:val="21"/>
          <w:szCs w:val="21"/>
          <w:lang w:val="en-US" w:eastAsia="zh-CN" w:bidi="ar"/>
        </w:rPr>
        <w:t>竣工环境保护验收一览表</w:t>
      </w:r>
    </w:p>
    <w:tbl>
      <w:tblPr>
        <w:tblStyle w:val="2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49"/>
        <w:gridCol w:w="1282"/>
        <w:gridCol w:w="2437"/>
        <w:gridCol w:w="2897"/>
        <w:gridCol w:w="24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类</w:t>
            </w:r>
            <w:r>
              <w:rPr>
                <w:rFonts w:ascii="Times New Roman" w:hAnsi="Times New Roman" w:eastAsia="宋体" w:cs="Times New Roman"/>
                <w:b w:val="0"/>
                <w:bCs w:val="0"/>
                <w:i w:val="0"/>
                <w:iCs w:val="0"/>
                <w:snapToGrid w:val="0"/>
                <w:color w:val="000000"/>
                <w:kern w:val="0"/>
                <w:sz w:val="21"/>
                <w:szCs w:val="21"/>
                <w:u w:val="none"/>
                <w:lang w:val="en-US" w:eastAsia="zh-CN" w:bidi="ar"/>
              </w:rPr>
              <w:t>别</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ascii="Times New Roman" w:hAnsi="Times New Roman" w:eastAsia="宋体" w:cs="Times New Roman"/>
                <w:b w:val="0"/>
                <w:bCs w:val="0"/>
                <w:i w:val="0"/>
                <w:iCs w:val="0"/>
                <w:snapToGrid w:val="0"/>
                <w:color w:val="000000"/>
                <w:kern w:val="0"/>
                <w:sz w:val="21"/>
                <w:szCs w:val="21"/>
                <w:u w:val="none"/>
                <w:lang w:val="en-US" w:eastAsia="zh-CN" w:bidi="ar"/>
              </w:rPr>
              <w:t>排放源</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污染物</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治理措施</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验收要求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0" w:type="auto"/>
            <w:vMerge w:val="restart"/>
            <w:tcBorders>
              <w:tl2br w:val="nil"/>
              <w:tr2bl w:val="nil"/>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废气</w:t>
            </w:r>
          </w:p>
        </w:tc>
        <w:tc>
          <w:tcPr>
            <w:tcW w:w="0" w:type="auto"/>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微生物实验室</w:t>
            </w:r>
          </w:p>
        </w:tc>
        <w:tc>
          <w:tcPr>
            <w:tcW w:w="0" w:type="auto"/>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含病原微生物气溶胶的空气</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生物安全柜高效处理器+楼顶排放</w:t>
            </w:r>
          </w:p>
        </w:tc>
        <w:tc>
          <w:tcPr>
            <w:tcW w:w="0" w:type="auto"/>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《生物安全实验室建筑技术规范》(GB50346-2011)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理化实验室</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无机废气</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操作柜收集后经15m排气筒(DA001)高空排放</w:t>
            </w:r>
          </w:p>
        </w:tc>
        <w:tc>
          <w:tcPr>
            <w:tcW w:w="0" w:type="auto"/>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《大气污染物综合排放标准》(GB16297-1996)表2新污染源大气污染物排放限值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有机废气</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操作柜收集后经15m排气筒(DA002 )高空排放</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污水处理站</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硫化氢、氨、臭气浓度</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设备密闭，喷洒除臭剂，同时加强通风换气</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《医疗机构水污染物排放标准》(GB18466-2005)中表3中相应标准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垃圾处理</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硫化氢、氨</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场区绿化、喷洒除臭剂</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满足《恶臭污染物排放标准》(GB14554-93)表1二级“新改扩建”厂界标准值要求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0" w:type="auto"/>
            <w:vMerge w:val="restart"/>
            <w:tcBorders>
              <w:tl2br w:val="nil"/>
              <w:tr2bl w:val="nil"/>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废水</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实验室废水</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pH、</w:t>
            </w:r>
            <w:r>
              <w:rPr>
                <w:rFonts w:ascii="Times New Roman" w:hAnsi="Times New Roman" w:eastAsia="宋体" w:cs="Times New Roman"/>
                <w:b w:val="0"/>
                <w:bCs w:val="0"/>
                <w:i w:val="0"/>
                <w:iCs w:val="0"/>
                <w:snapToGrid w:val="0"/>
                <w:color w:val="000000"/>
                <w:kern w:val="0"/>
                <w:sz w:val="21"/>
                <w:szCs w:val="21"/>
                <w:u w:val="none"/>
                <w:lang w:val="en-US" w:eastAsia="zh-CN" w:bidi="ar"/>
              </w:rPr>
              <w:t>CODcr、BOD₅、NH₃-N、SS、粪大肠菌群、</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挥发酚、总氰化物、石油类、动植物油</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自建污水处理站设计处理能力为3m³/d)</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w:t>
            </w:r>
            <w:r>
              <w:rPr>
                <w:rFonts w:ascii="Times New Roman" w:hAnsi="Times New Roman" w:eastAsia="宋体" w:cs="Times New Roman"/>
                <w:b w:val="0"/>
                <w:bCs w:val="0"/>
                <w:i w:val="0"/>
                <w:iCs w:val="0"/>
                <w:snapToGrid w:val="0"/>
                <w:color w:val="000000"/>
                <w:kern w:val="0"/>
                <w:sz w:val="21"/>
                <w:szCs w:val="21"/>
                <w:u w:val="none"/>
                <w:lang w:val="en-US" w:eastAsia="zh-CN" w:bidi="ar"/>
              </w:rPr>
              <w:t>采用“</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深度</w:t>
            </w:r>
            <w:r>
              <w:rPr>
                <w:rFonts w:ascii="Times New Roman" w:hAnsi="Times New Roman" w:eastAsia="宋体" w:cs="Times New Roman"/>
                <w:b w:val="0"/>
                <w:bCs w:val="0"/>
                <w:i w:val="0"/>
                <w:iCs w:val="0"/>
                <w:snapToGrid w:val="0"/>
                <w:color w:val="000000"/>
                <w:kern w:val="0"/>
                <w:sz w:val="21"/>
                <w:szCs w:val="21"/>
                <w:u w:val="none"/>
                <w:lang w:val="en-US" w:eastAsia="zh-CN" w:bidi="ar"/>
              </w:rPr>
              <w:t>处理+消毒工艺”</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w:t>
            </w:r>
            <w:r>
              <w:rPr>
                <w:rFonts w:ascii="Times New Roman" w:hAnsi="Times New Roman" w:eastAsia="宋体" w:cs="Times New Roman"/>
                <w:b w:val="0"/>
                <w:bCs w:val="0"/>
                <w:i w:val="0"/>
                <w:iCs w:val="0"/>
                <w:snapToGrid w:val="0"/>
                <w:color w:val="000000"/>
                <w:kern w:val="0"/>
                <w:sz w:val="21"/>
                <w:szCs w:val="21"/>
                <w:u w:val="none"/>
                <w:lang w:val="en-US" w:eastAsia="zh-CN" w:bidi="ar"/>
              </w:rPr>
              <w:t>处理后进入</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宁远县</w:t>
            </w:r>
            <w:r>
              <w:rPr>
                <w:rFonts w:ascii="Times New Roman" w:hAnsi="Times New Roman" w:eastAsia="宋体" w:cs="Times New Roman"/>
                <w:b w:val="0"/>
                <w:bCs w:val="0"/>
                <w:i w:val="0"/>
                <w:iCs w:val="0"/>
                <w:snapToGrid w:val="0"/>
                <w:color w:val="000000"/>
                <w:kern w:val="0"/>
                <w:sz w:val="21"/>
                <w:szCs w:val="21"/>
                <w:u w:val="none"/>
                <w:lang w:val="en-US" w:eastAsia="zh-CN" w:bidi="ar"/>
              </w:rPr>
              <w:t>污水处理厂处理后排入</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泠江</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《医疗机构水污染物排放标准》(GB18446-2005)表2中预处理标准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snapToGrid w:val="0"/>
                <w:color w:val="000000"/>
                <w:kern w:val="0"/>
                <w:sz w:val="21"/>
                <w:szCs w:val="21"/>
                <w:u w:val="none"/>
                <w:lang w:val="en-US" w:eastAsia="zh-CN" w:bidi="ar"/>
              </w:rPr>
            </w:pPr>
            <w:r>
              <w:rPr>
                <w:rFonts w:hint="eastAsia" w:ascii="Times New Roman" w:hAnsi="Times New Roman" w:eastAsia="宋体" w:cs="Times New Roman"/>
                <w:b w:val="0"/>
                <w:bCs w:val="0"/>
                <w:i w:val="0"/>
                <w:iCs w:val="0"/>
                <w:snapToGrid w:val="0"/>
                <w:color w:val="000000"/>
                <w:kern w:val="0"/>
                <w:sz w:val="21"/>
                <w:szCs w:val="21"/>
                <w:u w:val="none"/>
                <w:lang w:val="en-US" w:eastAsia="zh-CN" w:bidi="ar"/>
              </w:rPr>
              <w:t>生活污水</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CODcr、BOD₅、NH₃-N、SS</w:t>
            </w:r>
            <w:r>
              <w:rPr>
                <w:rFonts w:hint="eastAsia" w:ascii="Times New Roman" w:hAnsi="Times New Roman" w:eastAsia="宋体" w:cs="Times New Roman"/>
                <w:b w:val="0"/>
                <w:bCs w:val="0"/>
                <w:i w:val="0"/>
                <w:iCs w:val="0"/>
                <w:snapToGrid w:val="0"/>
                <w:color w:val="000000"/>
                <w:kern w:val="0"/>
                <w:sz w:val="21"/>
                <w:szCs w:val="21"/>
                <w:u w:val="none"/>
                <w:lang w:val="en-US" w:eastAsia="zh-CN" w:bidi="ar"/>
              </w:rPr>
              <w:t>、动植物油</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三级化粪池</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sz w:val="21"/>
                <w:szCs w:val="21"/>
                <w:u w:val="none"/>
              </w:rPr>
              <w:t>执行《污水综合排放标准》（GB8978-1996）表 4 中三级标准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restart"/>
            <w:tcBorders>
              <w:tl2br w:val="nil"/>
              <w:tr2bl w:val="nil"/>
            </w:tcBorders>
            <w:shd w:val="clear" w:color="auto" w:fill="auto"/>
            <w:textDirection w:val="tbRlV"/>
            <w:vAlign w:val="center"/>
          </w:tcPr>
          <w:p>
            <w:pPr>
              <w:keepNext w:val="0"/>
              <w:keepLines w:val="0"/>
              <w:widowControl/>
              <w:suppressLineNumbers w:val="0"/>
              <w:jc w:val="center"/>
              <w:textAlignment w:val="center"/>
              <w:rPr>
                <w:rFonts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噪 声</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风机、水泵、实验医疗设备</w:t>
            </w:r>
          </w:p>
        </w:tc>
        <w:tc>
          <w:tcPr>
            <w:tcW w:w="0" w:type="auto"/>
            <w:tcBorders>
              <w:tl2br w:val="nil"/>
              <w:tr2bl w:val="nil"/>
            </w:tcBorders>
            <w:shd w:val="clear" w:color="auto" w:fill="auto"/>
            <w:vAlign w:val="center"/>
          </w:tcPr>
          <w:p>
            <w:pPr>
              <w:keepNext w:val="0"/>
              <w:keepLines w:val="0"/>
              <w:widowControl/>
              <w:suppressLineNumbers w:val="0"/>
              <w:ind w:firstLineChars="10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机械噪声</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基础减震、选用低噪声设备、隔声门窗</w:t>
            </w:r>
          </w:p>
        </w:tc>
        <w:tc>
          <w:tcPr>
            <w:tcW w:w="0" w:type="auto"/>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《工业企业厂界环境噪声排放标准》(GB12348-2008)2类标准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门诊、停车场</w:t>
            </w:r>
          </w:p>
        </w:tc>
        <w:tc>
          <w:tcPr>
            <w:tcW w:w="0" w:type="auto"/>
            <w:tcBorders>
              <w:tl2br w:val="nil"/>
              <w:tr2bl w:val="nil"/>
            </w:tcBorders>
            <w:shd w:val="clear" w:color="auto" w:fill="auto"/>
            <w:vAlign w:val="center"/>
          </w:tcPr>
          <w:p>
            <w:pPr>
              <w:keepNext w:val="0"/>
              <w:keepLines w:val="0"/>
              <w:widowControl/>
              <w:suppressLineNumbers w:val="0"/>
              <w:ind w:firstLineChars="10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社会噪声</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加强车辆管理禁止鸣笛，低速行驶；加强绿化；</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restart"/>
            <w:tcBorders>
              <w:tl2br w:val="nil"/>
              <w:tr2bl w:val="nil"/>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固体废物</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医疗废物</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HW01危险废物， 一次性医疗器具、感染性血液、废液、  废药品等</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各项医疗废物分类使用不同</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容器收集，高温高压灭菌及</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消毒处理，并贴上相应标签，暂存医疗废物暂存间内，委托有资质单位处理</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《危险废物贮存污染控制标准》(GB18597-2023)中的相关规定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栅渣污泥</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HW49危险废物，有机质、细菌菌体等</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污泥清掏前应进行监测，并进行消毒灭菌处理。暂存于危险废物暂存间内，委托有资质单位处理</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《医疗机构水污染物排放标准》(GB18466-2005)表4医疗机构污泥控制标准要求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废紫外灯管、废过滤介质、危化品包装物</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HW49危险废物</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暂存于危废暂存间内，委托有危资质单位处理。</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《危险废物贮存污染控制标准》(GB18597-2023)中的相关规定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生活垃圾</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员工办公生活</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垃圾桶分类收集后交由环卫</w:t>
            </w:r>
            <w:r>
              <w:rPr>
                <w:rFonts w:ascii="Times New Roman" w:hAnsi="Times New Roman" w:eastAsia="宋体" w:cs="Times New Roman"/>
                <w:b w:val="0"/>
                <w:bCs w:val="0"/>
                <w:i w:val="0"/>
                <w:iCs w:val="0"/>
                <w:snapToGrid w:val="0"/>
                <w:color w:val="000000"/>
                <w:kern w:val="0"/>
                <w:sz w:val="21"/>
                <w:szCs w:val="21"/>
                <w:u w:val="none"/>
                <w:lang w:val="en-US" w:eastAsia="zh-CN" w:bidi="ar"/>
              </w:rPr>
              <w:br w:type="textWrapping"/>
            </w:r>
            <w:r>
              <w:rPr>
                <w:rFonts w:ascii="Times New Roman" w:hAnsi="Times New Roman" w:eastAsia="宋体" w:cs="Times New Roman"/>
                <w:b w:val="0"/>
                <w:bCs w:val="0"/>
                <w:i w:val="0"/>
                <w:iCs w:val="0"/>
                <w:snapToGrid w:val="0"/>
                <w:color w:val="000000"/>
                <w:kern w:val="0"/>
                <w:sz w:val="21"/>
                <w:szCs w:val="21"/>
                <w:u w:val="none"/>
                <w:lang w:val="en-US" w:eastAsia="zh-CN" w:bidi="ar"/>
              </w:rPr>
              <w:t>部门处理；</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不产生二次污染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vMerge w:val="continue"/>
            <w:tcBorders>
              <w:tl2br w:val="nil"/>
              <w:tr2bl w:val="nil"/>
            </w:tcBorders>
            <w:shd w:val="clear" w:color="auto" w:fill="auto"/>
            <w:textDirection w:val="tbRlV"/>
            <w:vAlign w:val="center"/>
          </w:tcPr>
          <w:p>
            <w:pPr>
              <w:jc w:val="center"/>
              <w:rPr>
                <w:rFonts w:hint="default" w:ascii="Times New Roman" w:hAnsi="Times New Roman" w:eastAsia="宋体" w:cs="Times New Roman"/>
                <w:b w:val="0"/>
                <w:bCs w:val="0"/>
                <w:i w:val="0"/>
                <w:iCs w:val="0"/>
                <w:color w:val="000000"/>
                <w:sz w:val="21"/>
                <w:szCs w:val="21"/>
                <w:u w:val="none"/>
              </w:rPr>
            </w:pPr>
          </w:p>
        </w:tc>
        <w:tc>
          <w:tcPr>
            <w:tcW w:w="0" w:type="auto"/>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纯水制备系统产生定期更换的废活性炭和废反渗透膜</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厂家定期进行回收</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不产生二次污染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0" w:type="auto"/>
            <w:tcBorders>
              <w:tl2br w:val="nil"/>
              <w:tr2bl w:val="nil"/>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风险防范</w:t>
            </w:r>
          </w:p>
        </w:tc>
        <w:tc>
          <w:tcPr>
            <w:tcW w:w="0" w:type="auto"/>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应急事故池(3m³)及风险应急预案</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ascii="Times New Roman" w:hAnsi="Times New Roman" w:eastAsia="宋体" w:cs="Times New Roman"/>
                <w:b w:val="0"/>
                <w:bCs w:val="0"/>
                <w:i w:val="0"/>
                <w:iCs w:val="0"/>
                <w:snapToGrid w:val="0"/>
                <w:color w:val="000000"/>
                <w:kern w:val="0"/>
                <w:sz w:val="21"/>
                <w:szCs w:val="21"/>
                <w:u w:val="none"/>
                <w:lang w:val="en-US" w:eastAsia="zh-CN" w:bidi="ar"/>
              </w:rPr>
              <w:t>符合要求</w:t>
            </w:r>
          </w:p>
        </w:tc>
      </w:tr>
    </w:tbl>
    <w:p>
      <w:pPr>
        <w:keepNext w:val="0"/>
        <w:keepLines w:val="0"/>
        <w:widowControl/>
        <w:suppressLineNumbers w:val="0"/>
        <w:ind w:firstLine="480" w:firstLineChars="200"/>
        <w:jc w:val="left"/>
        <w:rPr>
          <w:rFonts w:hint="default" w:ascii="Times New Roman" w:hAnsi="Times New Roman" w:eastAsia="宋体" w:cs="Times New Roman"/>
          <w:snapToGrid w:val="0"/>
          <w:color w:val="000000"/>
          <w:kern w:val="0"/>
          <w:sz w:val="24"/>
          <w:szCs w:val="24"/>
          <w:lang w:val="en-US" w:eastAsia="zh-CN" w:bidi="ar"/>
        </w:rPr>
        <w:sectPr>
          <w:headerReference r:id="rId20" w:type="default"/>
          <w:pgSz w:w="11906" w:h="16839"/>
          <w:pgMar w:top="1317" w:right="1133" w:bottom="1335" w:left="1418" w:header="1048" w:footer="979" w:gutter="0"/>
          <w:pgBorders w:offsetFrom="page">
            <w:top w:val="none" w:sz="0" w:space="0"/>
            <w:left w:val="none" w:sz="0" w:space="0"/>
            <w:bottom w:val="none" w:sz="0" w:space="0"/>
            <w:right w:val="none" w:sz="0" w:space="0"/>
          </w:pgBorders>
          <w:pgNumType w:fmt="decimal"/>
          <w:cols w:space="720" w:num="1"/>
        </w:sectPr>
      </w:pPr>
    </w:p>
    <w:p>
      <w:pPr>
        <w:pStyle w:val="2"/>
        <w:bidi w:val="0"/>
        <w:jc w:val="center"/>
        <w:rPr>
          <w:rFonts w:hint="default"/>
          <w:lang w:val="en-US" w:eastAsia="zh-CN"/>
        </w:rPr>
      </w:pPr>
      <w:bookmarkStart w:id="117" w:name="_Toc19972"/>
      <w:r>
        <w:rPr>
          <w:rFonts w:hint="eastAsia"/>
          <w:lang w:val="en-US" w:eastAsia="zh-CN"/>
        </w:rPr>
        <w:t xml:space="preserve">第九章 </w:t>
      </w:r>
      <w:r>
        <w:rPr>
          <w:rFonts w:hint="default"/>
          <w:lang w:val="en-US" w:eastAsia="zh-CN"/>
        </w:rPr>
        <w:t>环境影响评价结论</w:t>
      </w:r>
      <w:bookmarkEnd w:id="117"/>
    </w:p>
    <w:p>
      <w:pPr>
        <w:pStyle w:val="3"/>
        <w:bidi w:val="0"/>
        <w:rPr>
          <w:rFonts w:hint="default"/>
          <w:lang w:val="en-US" w:eastAsia="zh-CN"/>
        </w:rPr>
      </w:pPr>
      <w:bookmarkStart w:id="118" w:name="_Toc5726"/>
      <w:r>
        <w:rPr>
          <w:rFonts w:hint="eastAsia"/>
          <w:lang w:val="en-US" w:eastAsia="zh-CN"/>
        </w:rPr>
        <w:t>9</w:t>
      </w:r>
      <w:r>
        <w:rPr>
          <w:rFonts w:hint="default"/>
          <w:lang w:val="en-US" w:eastAsia="zh-CN"/>
        </w:rPr>
        <w:t>.1 项目建设概况</w:t>
      </w:r>
      <w:bookmarkEnd w:id="118"/>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本项目位于</w:t>
      </w:r>
      <w:r>
        <w:rPr>
          <w:rFonts w:hint="eastAsia" w:ascii="Times New Roman" w:hAnsi="Times New Roman" w:eastAsia="宋体" w:cs="Times New Roman"/>
          <w:b w:val="0"/>
          <w:bCs w:val="0"/>
          <w:snapToGrid w:val="0"/>
          <w:color w:val="000000"/>
          <w:spacing w:val="11"/>
          <w:kern w:val="0"/>
          <w:sz w:val="24"/>
          <w:szCs w:val="24"/>
          <w:lang w:val="en-US" w:eastAsia="zh-CN"/>
        </w:rPr>
        <w:t>永州市宁远县舜陵街道蔡家村原在建妇女儿童医院综合办公楼</w:t>
      </w:r>
      <w:r>
        <w:rPr>
          <w:rFonts w:hint="default" w:ascii="Times New Roman" w:hAnsi="Times New Roman" w:eastAsia="宋体" w:cs="Times New Roman"/>
          <w:b w:val="0"/>
          <w:bCs w:val="0"/>
          <w:snapToGrid w:val="0"/>
          <w:color w:val="000000"/>
          <w:spacing w:val="11"/>
          <w:kern w:val="0"/>
          <w:sz w:val="24"/>
          <w:szCs w:val="24"/>
          <w:lang w:val="en-US" w:eastAsia="zh-CN"/>
        </w:rPr>
        <w:t>（东经111.95042887°，北纬25.54481521°）。</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jc w:val="both"/>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本项目占地面积为</w:t>
      </w:r>
      <w:r>
        <w:rPr>
          <w:rFonts w:hint="eastAsia" w:ascii="Times New Roman" w:hAnsi="Times New Roman" w:eastAsia="宋体" w:cs="Times New Roman"/>
          <w:b w:val="0"/>
          <w:bCs w:val="0"/>
          <w:snapToGrid w:val="0"/>
          <w:color w:val="000000"/>
          <w:spacing w:val="11"/>
          <w:kern w:val="0"/>
          <w:sz w:val="24"/>
          <w:szCs w:val="24"/>
          <w:lang w:val="en-US" w:eastAsia="zh-CN"/>
        </w:rPr>
        <w:t>1640.25</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，拟建总建筑面积</w:t>
      </w:r>
      <w:r>
        <w:rPr>
          <w:rFonts w:hint="eastAsia" w:ascii="Times New Roman" w:hAnsi="Times New Roman" w:eastAsia="宋体" w:cs="Times New Roman"/>
          <w:b w:val="0"/>
          <w:bCs w:val="0"/>
          <w:snapToGrid w:val="0"/>
          <w:color w:val="000000"/>
          <w:spacing w:val="11"/>
          <w:kern w:val="0"/>
          <w:sz w:val="24"/>
          <w:szCs w:val="24"/>
          <w:lang w:val="en-US" w:eastAsia="zh-CN"/>
        </w:rPr>
        <w:t>4622.7</w:t>
      </w:r>
      <w:r>
        <w:rPr>
          <w:rFonts w:hint="default" w:ascii="Times New Roman" w:hAnsi="Times New Roman" w:eastAsia="宋体" w:cs="Times New Roman"/>
          <w:b w:val="0"/>
          <w:bCs w:val="0"/>
          <w:snapToGrid w:val="0"/>
          <w:color w:val="000000"/>
          <w:spacing w:val="11"/>
          <w:kern w:val="0"/>
          <w:sz w:val="24"/>
          <w:szCs w:val="24"/>
          <w:lang w:val="en-US" w:eastAsia="zh-CN"/>
        </w:rPr>
        <w:t>m</w:t>
      </w:r>
      <w:r>
        <w:rPr>
          <w:rFonts w:hint="default" w:ascii="Times New Roman" w:hAnsi="Times New Roman" w:eastAsia="宋体" w:cs="Times New Roman"/>
          <w:b w:val="0"/>
          <w:bCs w:val="0"/>
          <w:snapToGrid w:val="0"/>
          <w:color w:val="000000"/>
          <w:spacing w:val="11"/>
          <w:kern w:val="0"/>
          <w:sz w:val="24"/>
          <w:szCs w:val="24"/>
          <w:vertAlign w:val="superscript"/>
          <w:lang w:val="en-US" w:eastAsia="zh-CN"/>
        </w:rPr>
        <w:t>2</w:t>
      </w:r>
      <w:r>
        <w:rPr>
          <w:rFonts w:hint="default" w:ascii="Times New Roman" w:hAnsi="Times New Roman" w:eastAsia="宋体" w:cs="Times New Roman"/>
          <w:b w:val="0"/>
          <w:bCs w:val="0"/>
          <w:snapToGrid w:val="0"/>
          <w:color w:val="000000"/>
          <w:spacing w:val="11"/>
          <w:kern w:val="0"/>
          <w:sz w:val="24"/>
          <w:szCs w:val="24"/>
          <w:lang w:val="en-US" w:eastAsia="zh-CN"/>
        </w:rPr>
        <w:t>；内容包括</w:t>
      </w:r>
      <w:r>
        <w:rPr>
          <w:rFonts w:hint="default" w:ascii="Times New Roman" w:hAnsi="Times New Roman" w:eastAsia="宋体" w:cs="Times New Roman"/>
          <w:b w:val="0"/>
          <w:bCs w:val="0"/>
          <w:snapToGrid w:val="0"/>
          <w:color w:val="auto"/>
          <w:spacing w:val="11"/>
          <w:kern w:val="0"/>
          <w:sz w:val="24"/>
          <w:szCs w:val="24"/>
          <w:lang w:val="en-US" w:eastAsia="zh-CN"/>
        </w:rPr>
        <w:t>1 栋综合大楼，共</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层（包括</w:t>
      </w:r>
      <w:r>
        <w:rPr>
          <w:rFonts w:hint="eastAsia" w:eastAsia="宋体" w:cs="Times New Roman"/>
          <w:b w:val="0"/>
          <w:bCs w:val="0"/>
          <w:snapToGrid w:val="0"/>
          <w:color w:val="auto"/>
          <w:spacing w:val="11"/>
          <w:kern w:val="0"/>
          <w:sz w:val="24"/>
          <w:szCs w:val="24"/>
          <w:lang w:val="en-US" w:eastAsia="zh-CN"/>
        </w:rPr>
        <w:t>检验室</w:t>
      </w:r>
      <w:r>
        <w:rPr>
          <w:rFonts w:hint="default" w:ascii="Times New Roman" w:hAnsi="Times New Roman" w:eastAsia="宋体" w:cs="Times New Roman"/>
          <w:b w:val="0"/>
          <w:bCs w:val="0"/>
          <w:snapToGrid w:val="0"/>
          <w:color w:val="auto"/>
          <w:spacing w:val="11"/>
          <w:kern w:val="0"/>
          <w:sz w:val="24"/>
          <w:szCs w:val="24"/>
          <w:lang w:val="en-US" w:eastAsia="zh-CN"/>
        </w:rPr>
        <w:t>、职业病健康检查等）；1栋</w:t>
      </w:r>
      <w:r>
        <w:rPr>
          <w:rFonts w:hint="eastAsia" w:eastAsia="宋体" w:cs="Times New Roman"/>
          <w:b w:val="0"/>
          <w:bCs w:val="0"/>
          <w:snapToGrid w:val="0"/>
          <w:color w:val="auto"/>
          <w:spacing w:val="11"/>
          <w:kern w:val="0"/>
          <w:sz w:val="24"/>
          <w:szCs w:val="24"/>
          <w:lang w:val="en-US" w:eastAsia="zh-CN"/>
        </w:rPr>
        <w:t>办公行政</w:t>
      </w:r>
      <w:r>
        <w:rPr>
          <w:rFonts w:hint="default" w:ascii="Times New Roman" w:hAnsi="Times New Roman" w:eastAsia="宋体" w:cs="Times New Roman"/>
          <w:b w:val="0"/>
          <w:bCs w:val="0"/>
          <w:snapToGrid w:val="0"/>
          <w:color w:val="auto"/>
          <w:spacing w:val="11"/>
          <w:kern w:val="0"/>
          <w:sz w:val="24"/>
          <w:szCs w:val="24"/>
          <w:lang w:val="en-US" w:eastAsia="zh-CN"/>
        </w:rPr>
        <w:t>楼，共</w:t>
      </w:r>
      <w:r>
        <w:rPr>
          <w:rFonts w:hint="eastAsia" w:ascii="Times New Roman" w:hAnsi="Times New Roman" w:eastAsia="宋体" w:cs="Times New Roman"/>
          <w:b w:val="0"/>
          <w:bCs w:val="0"/>
          <w:snapToGrid w:val="0"/>
          <w:color w:val="auto"/>
          <w:spacing w:val="11"/>
          <w:kern w:val="0"/>
          <w:sz w:val="24"/>
          <w:szCs w:val="24"/>
          <w:lang w:val="en-US" w:eastAsia="zh-CN"/>
        </w:rPr>
        <w:t>3</w:t>
      </w:r>
      <w:r>
        <w:rPr>
          <w:rFonts w:hint="default" w:ascii="Times New Roman" w:hAnsi="Times New Roman" w:eastAsia="宋体" w:cs="Times New Roman"/>
          <w:b w:val="0"/>
          <w:bCs w:val="0"/>
          <w:snapToGrid w:val="0"/>
          <w:color w:val="auto"/>
          <w:spacing w:val="11"/>
          <w:kern w:val="0"/>
          <w:sz w:val="24"/>
          <w:szCs w:val="24"/>
          <w:lang w:val="en-US" w:eastAsia="zh-CN"/>
        </w:rPr>
        <w:t>层（包括</w:t>
      </w:r>
      <w:r>
        <w:rPr>
          <w:rFonts w:hint="eastAsia" w:eastAsia="宋体" w:cs="Times New Roman"/>
          <w:b w:val="0"/>
          <w:bCs w:val="0"/>
          <w:snapToGrid w:val="0"/>
          <w:color w:val="auto"/>
          <w:spacing w:val="11"/>
          <w:kern w:val="0"/>
          <w:sz w:val="24"/>
          <w:szCs w:val="24"/>
          <w:lang w:val="en-US" w:eastAsia="zh-CN"/>
        </w:rPr>
        <w:t>办公</w:t>
      </w:r>
      <w:r>
        <w:rPr>
          <w:rFonts w:hint="default" w:ascii="Times New Roman" w:hAnsi="Times New Roman" w:eastAsia="宋体" w:cs="Times New Roman"/>
          <w:b w:val="0"/>
          <w:bCs w:val="0"/>
          <w:snapToGrid w:val="0"/>
          <w:color w:val="auto"/>
          <w:spacing w:val="11"/>
          <w:kern w:val="0"/>
          <w:sz w:val="24"/>
          <w:szCs w:val="24"/>
          <w:lang w:val="en-US" w:eastAsia="zh-CN"/>
        </w:rPr>
        <w:t>室、</w:t>
      </w:r>
      <w:r>
        <w:rPr>
          <w:rFonts w:hint="eastAsia" w:eastAsia="宋体" w:cs="Times New Roman"/>
          <w:b w:val="0"/>
          <w:bCs w:val="0"/>
          <w:snapToGrid w:val="0"/>
          <w:color w:val="auto"/>
          <w:spacing w:val="11"/>
          <w:kern w:val="0"/>
          <w:sz w:val="24"/>
          <w:szCs w:val="24"/>
          <w:lang w:val="en-US" w:eastAsia="zh-CN"/>
        </w:rPr>
        <w:t>财务</w:t>
      </w:r>
      <w:r>
        <w:rPr>
          <w:rFonts w:hint="default" w:ascii="Times New Roman" w:hAnsi="Times New Roman" w:eastAsia="宋体" w:cs="Times New Roman"/>
          <w:b w:val="0"/>
          <w:bCs w:val="0"/>
          <w:snapToGrid w:val="0"/>
          <w:color w:val="auto"/>
          <w:spacing w:val="11"/>
          <w:kern w:val="0"/>
          <w:sz w:val="24"/>
          <w:szCs w:val="24"/>
          <w:lang w:val="en-US" w:eastAsia="zh-CN"/>
        </w:rPr>
        <w:t>室等）；相关实验设备购置与安装及相关配套设施建设等，项目不涉及P3、P4 生物安全实验室</w:t>
      </w:r>
      <w:r>
        <w:rPr>
          <w:rFonts w:hint="default" w:ascii="Times New Roman" w:hAnsi="Times New Roman" w:eastAsia="宋体" w:cs="Times New Roman"/>
          <w:b w:val="0"/>
          <w:bCs w:val="0"/>
          <w:snapToGrid w:val="0"/>
          <w:color w:val="000000"/>
          <w:spacing w:val="11"/>
          <w:kern w:val="0"/>
          <w:sz w:val="24"/>
          <w:szCs w:val="24"/>
          <w:lang w:val="en-US" w:eastAsia="zh-CN"/>
        </w:rPr>
        <w:t>。项目总投资</w:t>
      </w:r>
      <w:r>
        <w:rPr>
          <w:rFonts w:hint="eastAsia" w:ascii="Times New Roman" w:hAnsi="Times New Roman" w:eastAsia="宋体" w:cs="Times New Roman"/>
          <w:b w:val="0"/>
          <w:bCs w:val="0"/>
          <w:snapToGrid w:val="0"/>
          <w:color w:val="000000"/>
          <w:spacing w:val="11"/>
          <w:kern w:val="0"/>
          <w:sz w:val="24"/>
          <w:szCs w:val="24"/>
          <w:lang w:val="en-US" w:eastAsia="zh-CN"/>
        </w:rPr>
        <w:t>2164.83万元，其中环保投资207万元，占总投资的9.56%</w:t>
      </w:r>
      <w:r>
        <w:rPr>
          <w:rFonts w:hint="default" w:ascii="Times New Roman" w:hAnsi="Times New Roman" w:eastAsia="宋体" w:cs="Times New Roman"/>
          <w:b w:val="0"/>
          <w:bCs w:val="0"/>
          <w:snapToGrid w:val="0"/>
          <w:color w:val="000000"/>
          <w:spacing w:val="11"/>
          <w:kern w:val="0"/>
          <w:sz w:val="24"/>
          <w:szCs w:val="24"/>
          <w:lang w:val="en-US" w:eastAsia="zh-CN"/>
        </w:rPr>
        <w:t>。</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textAlignment w:val="baseline"/>
        <w:rPr>
          <w:rFonts w:hint="default" w:ascii="Times New Roman" w:hAnsi="Times New Roman" w:eastAsia="宋体" w:cs="Times New Roman"/>
          <w:b w:val="0"/>
          <w:bCs w:val="0"/>
          <w:snapToGrid w:val="0"/>
          <w:color w:val="000000"/>
          <w:spacing w:val="11"/>
          <w:kern w:val="0"/>
          <w:sz w:val="24"/>
          <w:szCs w:val="24"/>
          <w:lang w:val="en-US" w:eastAsia="zh-CN"/>
        </w:rPr>
      </w:pPr>
      <w:r>
        <w:rPr>
          <w:rFonts w:hint="default" w:ascii="Times New Roman" w:hAnsi="Times New Roman" w:eastAsia="宋体" w:cs="Times New Roman"/>
          <w:b w:val="0"/>
          <w:bCs w:val="0"/>
          <w:snapToGrid w:val="0"/>
          <w:color w:val="000000"/>
          <w:spacing w:val="11"/>
          <w:kern w:val="0"/>
          <w:sz w:val="24"/>
          <w:szCs w:val="24"/>
          <w:lang w:val="en-US" w:eastAsia="zh-CN"/>
        </w:rPr>
        <w:t>本项目属于疾病预防控制中心建设项目，属于《产业结构调整指导目录（20</w:t>
      </w:r>
      <w:r>
        <w:rPr>
          <w:rFonts w:hint="eastAsia" w:ascii="Times New Roman" w:hAnsi="Times New Roman" w:eastAsia="宋体" w:cs="Times New Roman"/>
          <w:b w:val="0"/>
          <w:bCs w:val="0"/>
          <w:snapToGrid w:val="0"/>
          <w:color w:val="000000"/>
          <w:spacing w:val="11"/>
          <w:kern w:val="0"/>
          <w:sz w:val="24"/>
          <w:szCs w:val="24"/>
          <w:lang w:val="en-US" w:eastAsia="zh-CN"/>
        </w:rPr>
        <w:t>24</w:t>
      </w:r>
      <w:r>
        <w:rPr>
          <w:rFonts w:hint="default" w:ascii="Times New Roman" w:hAnsi="Times New Roman" w:eastAsia="宋体" w:cs="Times New Roman"/>
          <w:b w:val="0"/>
          <w:bCs w:val="0"/>
          <w:snapToGrid w:val="0"/>
          <w:color w:val="000000"/>
          <w:spacing w:val="11"/>
          <w:kern w:val="0"/>
          <w:sz w:val="24"/>
          <w:szCs w:val="24"/>
          <w:lang w:val="en-US" w:eastAsia="zh-CN"/>
        </w:rPr>
        <w:t xml:space="preserve"> 年本）》中第一类鼓励类中第 37 类卫生健康中第 1 款“预防保健、卫生应急、卫生监督服务设施建设”，符合国家现行产业政策的要求。</w:t>
      </w:r>
    </w:p>
    <w:p>
      <w:pPr>
        <w:pStyle w:val="3"/>
        <w:bidi w:val="0"/>
        <w:rPr>
          <w:rFonts w:hint="default"/>
          <w:lang w:val="en-US" w:eastAsia="zh-CN"/>
        </w:rPr>
      </w:pPr>
      <w:bookmarkStart w:id="119" w:name="_Toc27328"/>
      <w:r>
        <w:rPr>
          <w:rFonts w:hint="eastAsia"/>
          <w:lang w:val="en-US" w:eastAsia="zh-CN"/>
        </w:rPr>
        <w:t xml:space="preserve">9.2 </w:t>
      </w:r>
      <w:r>
        <w:rPr>
          <w:rFonts w:hint="default"/>
          <w:lang w:val="en-US" w:eastAsia="zh-CN"/>
        </w:rPr>
        <w:t>环境质量现状评价</w:t>
      </w:r>
      <w:bookmarkEnd w:id="119"/>
    </w:p>
    <w:p>
      <w:pPr>
        <w:pStyle w:val="4"/>
        <w:bidi w:val="0"/>
        <w:rPr>
          <w:rFonts w:hint="default"/>
          <w:lang w:val="en-US" w:eastAsia="zh-CN"/>
        </w:rPr>
      </w:pPr>
      <w:r>
        <w:rPr>
          <w:rFonts w:hint="eastAsia"/>
          <w:lang w:val="en-US" w:eastAsia="zh-CN"/>
        </w:rPr>
        <w:t>9</w:t>
      </w:r>
      <w:r>
        <w:rPr>
          <w:rFonts w:hint="default"/>
          <w:lang w:val="en-US" w:eastAsia="zh-CN"/>
        </w:rPr>
        <w:t>.2.1 环境空气质量现状</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根据</w:t>
      </w:r>
      <w:r>
        <w:rPr>
          <w:rFonts w:hint="eastAsia" w:ascii="Times New Roman" w:hAnsi="Times New Roman" w:eastAsia="宋体" w:cs="Times New Roman"/>
          <w:b w:val="0"/>
          <w:bCs w:val="0"/>
          <w:snapToGrid w:val="0"/>
          <w:color w:val="auto"/>
          <w:spacing w:val="11"/>
          <w:kern w:val="0"/>
          <w:sz w:val="24"/>
          <w:szCs w:val="24"/>
          <w:lang w:val="en-US" w:eastAsia="zh-CN"/>
        </w:rPr>
        <w:t>永州市生态环境局</w:t>
      </w:r>
      <w:r>
        <w:rPr>
          <w:rFonts w:hint="default" w:ascii="Times New Roman" w:hAnsi="Times New Roman" w:eastAsia="宋体" w:cs="Times New Roman"/>
          <w:b w:val="0"/>
          <w:bCs w:val="0"/>
          <w:snapToGrid w:val="0"/>
          <w:color w:val="auto"/>
          <w:spacing w:val="11"/>
          <w:kern w:val="0"/>
          <w:sz w:val="24"/>
          <w:szCs w:val="24"/>
          <w:lang w:val="en-US" w:eastAsia="zh-CN"/>
        </w:rPr>
        <w:t>《关于2023年永州市全市环境质量状况的通报》（</w:t>
      </w:r>
      <w:r>
        <w:rPr>
          <w:rFonts w:hint="eastAsia" w:ascii="Times New Roman" w:hAnsi="Times New Roman" w:eastAsia="宋体" w:cs="Times New Roman"/>
          <w:b w:val="0"/>
          <w:bCs w:val="0"/>
          <w:snapToGrid w:val="0"/>
          <w:color w:val="auto"/>
          <w:spacing w:val="11"/>
          <w:kern w:val="0"/>
          <w:sz w:val="24"/>
          <w:szCs w:val="24"/>
          <w:lang w:val="en-US" w:eastAsia="zh-CN"/>
        </w:rPr>
        <w:t>永</w:t>
      </w:r>
      <w:r>
        <w:rPr>
          <w:rFonts w:hint="default" w:ascii="Times New Roman" w:hAnsi="Times New Roman" w:eastAsia="宋体" w:cs="Times New Roman"/>
          <w:b w:val="0"/>
          <w:bCs w:val="0"/>
          <w:snapToGrid w:val="0"/>
          <w:color w:val="auto"/>
          <w:spacing w:val="11"/>
          <w:kern w:val="0"/>
          <w:sz w:val="24"/>
          <w:szCs w:val="24"/>
          <w:lang w:val="en-US" w:eastAsia="zh-CN"/>
        </w:rPr>
        <w:t>环函〔202</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〕4 号）可知，本项目所在区域 SO</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2</w:t>
      </w:r>
      <w:r>
        <w:rPr>
          <w:rFonts w:hint="default" w:ascii="Times New Roman" w:hAnsi="Times New Roman" w:eastAsia="宋体" w:cs="Times New Roman"/>
          <w:b w:val="0"/>
          <w:bCs w:val="0"/>
          <w:snapToGrid w:val="0"/>
          <w:color w:val="auto"/>
          <w:spacing w:val="11"/>
          <w:kern w:val="0"/>
          <w:sz w:val="24"/>
          <w:szCs w:val="24"/>
          <w:lang w:val="en-US" w:eastAsia="zh-CN"/>
        </w:rPr>
        <w:t>、NO</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2</w:t>
      </w:r>
      <w:r>
        <w:rPr>
          <w:rFonts w:hint="default" w:ascii="Times New Roman" w:hAnsi="Times New Roman" w:eastAsia="宋体" w:cs="Times New Roman"/>
          <w:b w:val="0"/>
          <w:bCs w:val="0"/>
          <w:snapToGrid w:val="0"/>
          <w:color w:val="auto"/>
          <w:spacing w:val="11"/>
          <w:kern w:val="0"/>
          <w:sz w:val="24"/>
          <w:szCs w:val="24"/>
          <w:lang w:val="en-US" w:eastAsia="zh-CN"/>
        </w:rPr>
        <w:t>、PM</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10</w:t>
      </w:r>
      <w:r>
        <w:rPr>
          <w:rFonts w:hint="default" w:ascii="Times New Roman" w:hAnsi="Times New Roman" w:eastAsia="宋体" w:cs="Times New Roman"/>
          <w:b w:val="0"/>
          <w:bCs w:val="0"/>
          <w:snapToGrid w:val="0"/>
          <w:color w:val="auto"/>
          <w:spacing w:val="11"/>
          <w:kern w:val="0"/>
          <w:sz w:val="24"/>
          <w:szCs w:val="24"/>
          <w:lang w:val="en-US" w:eastAsia="zh-CN"/>
        </w:rPr>
        <w:t>、PM</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2.5</w:t>
      </w:r>
      <w:r>
        <w:rPr>
          <w:rFonts w:hint="default" w:ascii="Times New Roman" w:hAnsi="Times New Roman" w:eastAsia="宋体" w:cs="Times New Roman"/>
          <w:b w:val="0"/>
          <w:bCs w:val="0"/>
          <w:snapToGrid w:val="0"/>
          <w:color w:val="auto"/>
          <w:spacing w:val="11"/>
          <w:kern w:val="0"/>
          <w:sz w:val="24"/>
          <w:szCs w:val="24"/>
          <w:lang w:val="en-US" w:eastAsia="zh-CN"/>
        </w:rPr>
        <w:t>、CO、O</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3</w:t>
      </w:r>
      <w:r>
        <w:rPr>
          <w:rFonts w:hint="default" w:ascii="Times New Roman" w:hAnsi="Times New Roman" w:eastAsia="宋体" w:cs="Times New Roman"/>
          <w:b w:val="0"/>
          <w:bCs w:val="0"/>
          <w:snapToGrid w:val="0"/>
          <w:color w:val="auto"/>
          <w:spacing w:val="11"/>
          <w:kern w:val="0"/>
          <w:sz w:val="24"/>
          <w:szCs w:val="24"/>
          <w:lang w:val="en-US" w:eastAsia="zh-CN"/>
        </w:rPr>
        <w:t>六项污染物浓度均达到《环境空气质量标准》（GB3095-2012）</w:t>
      </w:r>
      <w:r>
        <w:rPr>
          <w:rFonts w:hint="eastAsia" w:ascii="Times New Roman" w:hAnsi="Times New Roman" w:eastAsia="宋体" w:cs="Times New Roman"/>
          <w:b w:val="0"/>
          <w:bCs w:val="0"/>
          <w:snapToGrid w:val="0"/>
          <w:color w:val="auto"/>
          <w:spacing w:val="11"/>
          <w:kern w:val="0"/>
          <w:sz w:val="24"/>
          <w:szCs w:val="24"/>
          <w:lang w:val="en-US" w:eastAsia="zh-CN"/>
        </w:rPr>
        <w:t>及其修改单中的</w:t>
      </w:r>
      <w:r>
        <w:rPr>
          <w:rFonts w:hint="default" w:ascii="Times New Roman" w:hAnsi="Times New Roman" w:eastAsia="宋体" w:cs="Times New Roman"/>
          <w:b w:val="0"/>
          <w:bCs w:val="0"/>
          <w:snapToGrid w:val="0"/>
          <w:color w:val="auto"/>
          <w:spacing w:val="11"/>
          <w:kern w:val="0"/>
          <w:sz w:val="24"/>
          <w:szCs w:val="24"/>
          <w:lang w:val="en-US" w:eastAsia="zh-CN"/>
        </w:rPr>
        <w:t>二级标准。因此，项目所在区域为达标区。</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本次评价在项目场址设置监测点。根据监测结果表明，评价范围内监测点的 NH</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3</w:t>
      </w:r>
      <w:r>
        <w:rPr>
          <w:rFonts w:hint="default" w:ascii="Times New Roman" w:hAnsi="Times New Roman" w:eastAsia="宋体" w:cs="Times New Roman"/>
          <w:b w:val="0"/>
          <w:bCs w:val="0"/>
          <w:snapToGrid w:val="0"/>
          <w:color w:val="auto"/>
          <w:spacing w:val="11"/>
          <w:kern w:val="0"/>
          <w:sz w:val="24"/>
          <w:szCs w:val="24"/>
          <w:lang w:val="en-US" w:eastAsia="zh-CN"/>
        </w:rPr>
        <w:t>、H</w:t>
      </w:r>
      <w:r>
        <w:rPr>
          <w:rFonts w:hint="default" w:ascii="Times New Roman" w:hAnsi="Times New Roman" w:eastAsia="宋体" w:cs="Times New Roman"/>
          <w:b w:val="0"/>
          <w:bCs w:val="0"/>
          <w:snapToGrid w:val="0"/>
          <w:color w:val="auto"/>
          <w:spacing w:val="11"/>
          <w:kern w:val="0"/>
          <w:sz w:val="24"/>
          <w:szCs w:val="24"/>
          <w:vertAlign w:val="subscript"/>
          <w:lang w:val="en-US" w:eastAsia="zh-CN"/>
        </w:rPr>
        <w:t>2</w:t>
      </w:r>
      <w:r>
        <w:rPr>
          <w:rFonts w:hint="default" w:ascii="Times New Roman" w:hAnsi="Times New Roman" w:eastAsia="宋体" w:cs="Times New Roman"/>
          <w:b w:val="0"/>
          <w:bCs w:val="0"/>
          <w:snapToGrid w:val="0"/>
          <w:color w:val="auto"/>
          <w:spacing w:val="11"/>
          <w:kern w:val="0"/>
          <w:sz w:val="24"/>
          <w:szCs w:val="24"/>
          <w:lang w:val="en-US" w:eastAsia="zh-CN"/>
        </w:rPr>
        <w:t>S、HCl 空气质量浓度限值满足《环境影响评价技术导则大气环境》</w:t>
      </w:r>
      <w:r>
        <w:rPr>
          <w:rFonts w:hint="eastAsia" w:ascii="Times New Roman" w:hAnsi="Times New Roman" w:eastAsia="宋体" w:cs="Times New Roman"/>
          <w:b w:val="0"/>
          <w:bCs w:val="0"/>
          <w:snapToGrid w:val="0"/>
          <w:color w:val="auto"/>
          <w:spacing w:val="11"/>
          <w:kern w:val="0"/>
          <w:sz w:val="24"/>
          <w:szCs w:val="24"/>
          <w:lang w:val="en-US" w:eastAsia="zh-CN"/>
        </w:rPr>
        <w:t>(</w:t>
      </w:r>
      <w:r>
        <w:rPr>
          <w:rFonts w:hint="default" w:ascii="Times New Roman" w:hAnsi="Times New Roman" w:eastAsia="宋体" w:cs="Times New Roman"/>
          <w:b w:val="0"/>
          <w:bCs w:val="0"/>
          <w:snapToGrid w:val="0"/>
          <w:color w:val="auto"/>
          <w:spacing w:val="11"/>
          <w:kern w:val="0"/>
          <w:sz w:val="24"/>
          <w:szCs w:val="24"/>
          <w:lang w:val="en-US" w:eastAsia="zh-CN"/>
        </w:rPr>
        <w:t>HJ2.2-2018</w:t>
      </w:r>
      <w:r>
        <w:rPr>
          <w:rFonts w:hint="eastAsia" w:ascii="Times New Roman" w:hAnsi="Times New Roman" w:eastAsia="宋体" w:cs="Times New Roman"/>
          <w:b w:val="0"/>
          <w:bCs w:val="0"/>
          <w:snapToGrid w:val="0"/>
          <w:color w:val="auto"/>
          <w:spacing w:val="11"/>
          <w:kern w:val="0"/>
          <w:sz w:val="24"/>
          <w:szCs w:val="24"/>
          <w:lang w:val="en-US" w:eastAsia="zh-CN"/>
        </w:rPr>
        <w:t>)</w:t>
      </w:r>
      <w:r>
        <w:rPr>
          <w:rFonts w:hint="default" w:ascii="Times New Roman" w:hAnsi="Times New Roman" w:eastAsia="宋体" w:cs="Times New Roman"/>
          <w:b w:val="0"/>
          <w:bCs w:val="0"/>
          <w:snapToGrid w:val="0"/>
          <w:color w:val="auto"/>
          <w:spacing w:val="11"/>
          <w:kern w:val="0"/>
          <w:sz w:val="24"/>
          <w:szCs w:val="24"/>
          <w:lang w:val="en-US" w:eastAsia="zh-CN"/>
        </w:rPr>
        <w:t>附录 D 的标准限值；氮氧化物达到《环境空气质量标准》</w:t>
      </w:r>
      <w:r>
        <w:rPr>
          <w:rFonts w:hint="eastAsia" w:ascii="Times New Roman" w:hAnsi="Times New Roman" w:eastAsia="宋体" w:cs="Times New Roman"/>
          <w:b w:val="0"/>
          <w:bCs w:val="0"/>
          <w:snapToGrid w:val="0"/>
          <w:color w:val="auto"/>
          <w:spacing w:val="11"/>
          <w:kern w:val="0"/>
          <w:sz w:val="24"/>
          <w:szCs w:val="24"/>
          <w:lang w:val="en-US" w:eastAsia="zh-CN"/>
        </w:rPr>
        <w:t>(</w:t>
      </w:r>
      <w:r>
        <w:rPr>
          <w:rFonts w:hint="default" w:ascii="Times New Roman" w:hAnsi="Times New Roman" w:eastAsia="宋体" w:cs="Times New Roman"/>
          <w:b w:val="0"/>
          <w:bCs w:val="0"/>
          <w:snapToGrid w:val="0"/>
          <w:color w:val="auto"/>
          <w:spacing w:val="11"/>
          <w:kern w:val="0"/>
          <w:sz w:val="24"/>
          <w:szCs w:val="24"/>
          <w:lang w:val="en-US" w:eastAsia="zh-CN"/>
        </w:rPr>
        <w:t>GB3095-2012</w:t>
      </w:r>
      <w:r>
        <w:rPr>
          <w:rFonts w:hint="eastAsia" w:ascii="Times New Roman" w:hAnsi="Times New Roman" w:eastAsia="宋体" w:cs="Times New Roman"/>
          <w:b w:val="0"/>
          <w:bCs w:val="0"/>
          <w:snapToGrid w:val="0"/>
          <w:color w:val="auto"/>
          <w:spacing w:val="11"/>
          <w:kern w:val="0"/>
          <w:sz w:val="24"/>
          <w:szCs w:val="24"/>
          <w:lang w:val="en-US" w:eastAsia="zh-CN"/>
        </w:rPr>
        <w:t>)</w:t>
      </w:r>
      <w:r>
        <w:rPr>
          <w:rFonts w:hint="default" w:ascii="Times New Roman" w:hAnsi="Times New Roman" w:eastAsia="宋体" w:cs="Times New Roman"/>
          <w:b w:val="0"/>
          <w:bCs w:val="0"/>
          <w:snapToGrid w:val="0"/>
          <w:color w:val="auto"/>
          <w:spacing w:val="11"/>
          <w:kern w:val="0"/>
          <w:sz w:val="24"/>
          <w:szCs w:val="24"/>
          <w:lang w:val="en-US" w:eastAsia="zh-CN"/>
        </w:rPr>
        <w:t>表 2 中二级标准限值；非甲烷总烃满足《大气污染物综合排放标准详解》244页的标准限值；臭气浓度无环境质量标准，仅作为背景值。</w:t>
      </w:r>
    </w:p>
    <w:p>
      <w:pPr>
        <w:pStyle w:val="4"/>
        <w:bidi w:val="0"/>
        <w:rPr>
          <w:rFonts w:hint="default"/>
          <w:lang w:val="en-US" w:eastAsia="zh-CN"/>
        </w:rPr>
      </w:pPr>
      <w:r>
        <w:rPr>
          <w:rFonts w:hint="eastAsia"/>
          <w:lang w:val="en-US" w:eastAsia="zh-CN"/>
        </w:rPr>
        <w:t>9</w:t>
      </w:r>
      <w:r>
        <w:rPr>
          <w:rFonts w:hint="default"/>
          <w:lang w:val="en-US" w:eastAsia="zh-CN"/>
        </w:rPr>
        <w:t>.2.2 地表水环境质量现状</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根据</w:t>
      </w:r>
      <w:r>
        <w:rPr>
          <w:rFonts w:hint="eastAsia" w:ascii="Times New Roman" w:hAnsi="Times New Roman" w:eastAsia="宋体" w:cs="Times New Roman"/>
          <w:b w:val="0"/>
          <w:bCs w:val="0"/>
          <w:snapToGrid w:val="0"/>
          <w:color w:val="auto"/>
          <w:spacing w:val="11"/>
          <w:kern w:val="0"/>
          <w:sz w:val="24"/>
          <w:szCs w:val="24"/>
          <w:lang w:val="en-US" w:eastAsia="zh-CN"/>
        </w:rPr>
        <w:t>永州市</w:t>
      </w:r>
      <w:r>
        <w:rPr>
          <w:rFonts w:hint="default" w:ascii="Times New Roman" w:hAnsi="Times New Roman" w:eastAsia="宋体" w:cs="Times New Roman"/>
          <w:b w:val="0"/>
          <w:bCs w:val="0"/>
          <w:snapToGrid w:val="0"/>
          <w:color w:val="auto"/>
          <w:spacing w:val="11"/>
          <w:kern w:val="0"/>
          <w:sz w:val="24"/>
          <w:szCs w:val="24"/>
          <w:lang w:val="en-US" w:eastAsia="zh-CN"/>
        </w:rPr>
        <w:t>生态环境局网上公布的《202</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 xml:space="preserve"> 年</w:t>
      </w:r>
      <w:r>
        <w:rPr>
          <w:rFonts w:hint="eastAsia" w:ascii="Times New Roman" w:hAnsi="Times New Roman" w:eastAsia="宋体" w:cs="Times New Roman"/>
          <w:b w:val="0"/>
          <w:bCs w:val="0"/>
          <w:snapToGrid w:val="0"/>
          <w:color w:val="auto"/>
          <w:spacing w:val="11"/>
          <w:kern w:val="0"/>
          <w:sz w:val="24"/>
          <w:szCs w:val="24"/>
          <w:lang w:val="en-US" w:eastAsia="zh-CN"/>
        </w:rPr>
        <w:t>1-6</w:t>
      </w:r>
      <w:r>
        <w:rPr>
          <w:rFonts w:hint="default" w:ascii="Times New Roman" w:hAnsi="Times New Roman" w:eastAsia="宋体" w:cs="Times New Roman"/>
          <w:b w:val="0"/>
          <w:bCs w:val="0"/>
          <w:snapToGrid w:val="0"/>
          <w:color w:val="auto"/>
          <w:spacing w:val="11"/>
          <w:kern w:val="0"/>
          <w:sz w:val="24"/>
          <w:szCs w:val="24"/>
          <w:lang w:val="en-US" w:eastAsia="zh-CN"/>
        </w:rPr>
        <w:t xml:space="preserve"> 月</w:t>
      </w:r>
      <w:r>
        <w:rPr>
          <w:rFonts w:hint="eastAsia" w:ascii="Times New Roman" w:hAnsi="Times New Roman" w:eastAsia="宋体" w:cs="Times New Roman"/>
          <w:b w:val="0"/>
          <w:bCs w:val="0"/>
          <w:snapToGrid w:val="0"/>
          <w:color w:val="auto"/>
          <w:spacing w:val="11"/>
          <w:kern w:val="0"/>
          <w:sz w:val="24"/>
          <w:szCs w:val="24"/>
          <w:lang w:val="en-US" w:eastAsia="zh-CN"/>
        </w:rPr>
        <w:t>永州</w:t>
      </w:r>
      <w:r>
        <w:rPr>
          <w:rFonts w:hint="default" w:ascii="Times New Roman" w:hAnsi="Times New Roman" w:eastAsia="宋体" w:cs="Times New Roman"/>
          <w:b w:val="0"/>
          <w:bCs w:val="0"/>
          <w:snapToGrid w:val="0"/>
          <w:color w:val="auto"/>
          <w:spacing w:val="11"/>
          <w:kern w:val="0"/>
          <w:sz w:val="24"/>
          <w:szCs w:val="24"/>
          <w:lang w:val="en-US" w:eastAsia="zh-CN"/>
        </w:rPr>
        <w:t>市环境质量状况月报》，</w:t>
      </w:r>
      <w:r>
        <w:rPr>
          <w:rFonts w:hint="eastAsia" w:ascii="Times New Roman" w:hAnsi="Times New Roman" w:eastAsia="宋体" w:cs="Times New Roman"/>
          <w:b w:val="0"/>
          <w:bCs w:val="0"/>
          <w:snapToGrid w:val="0"/>
          <w:color w:val="auto"/>
          <w:spacing w:val="11"/>
          <w:kern w:val="0"/>
          <w:sz w:val="24"/>
          <w:szCs w:val="24"/>
          <w:lang w:val="en-US" w:eastAsia="zh-CN"/>
        </w:rPr>
        <w:t>宁远县泠江</w:t>
      </w:r>
      <w:r>
        <w:rPr>
          <w:rFonts w:hint="default" w:ascii="Times New Roman" w:hAnsi="Times New Roman" w:eastAsia="宋体" w:cs="Times New Roman"/>
          <w:b w:val="0"/>
          <w:bCs w:val="0"/>
          <w:snapToGrid w:val="0"/>
          <w:color w:val="auto"/>
          <w:spacing w:val="11"/>
          <w:kern w:val="0"/>
          <w:sz w:val="24"/>
          <w:szCs w:val="24"/>
          <w:lang w:val="en-US" w:eastAsia="zh-CN"/>
        </w:rPr>
        <w:t>项目段监测因子达到《地表水环境质量标准》（GB3838-2002）中的II类水质标准。</w:t>
      </w:r>
    </w:p>
    <w:p>
      <w:pPr>
        <w:pStyle w:val="4"/>
        <w:bidi w:val="0"/>
        <w:rPr>
          <w:rFonts w:hint="default"/>
          <w:lang w:val="en-US" w:eastAsia="zh-CN"/>
        </w:rPr>
      </w:pPr>
      <w:r>
        <w:rPr>
          <w:rFonts w:hint="eastAsia"/>
          <w:lang w:val="en-US" w:eastAsia="zh-CN"/>
        </w:rPr>
        <w:t>9.2.3</w:t>
      </w:r>
      <w:r>
        <w:rPr>
          <w:rFonts w:hint="default"/>
          <w:lang w:val="en-US" w:eastAsia="zh-CN"/>
        </w:rPr>
        <w:t>声环境质量现状</w:t>
      </w:r>
    </w:p>
    <w:p>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113"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根据现状监测，项目所在地厂界及敏感点处声环境质量均满足《声环境质量标准》（GB3096-2008）2 类标准。</w:t>
      </w:r>
    </w:p>
    <w:p>
      <w:pPr>
        <w:pStyle w:val="3"/>
        <w:bidi w:val="0"/>
        <w:rPr>
          <w:rFonts w:hint="default"/>
          <w:lang w:val="en-US" w:eastAsia="zh-CN"/>
        </w:rPr>
      </w:pPr>
      <w:bookmarkStart w:id="120" w:name="_Toc20279"/>
      <w:r>
        <w:rPr>
          <w:rFonts w:hint="eastAsia"/>
          <w:lang w:val="en-US" w:eastAsia="zh-CN"/>
        </w:rPr>
        <w:t>9</w:t>
      </w:r>
      <w:r>
        <w:rPr>
          <w:rFonts w:hint="default"/>
          <w:lang w:val="en-US" w:eastAsia="zh-CN"/>
        </w:rPr>
        <w:t>.3 环境影响评价结论</w:t>
      </w:r>
      <w:bookmarkEnd w:id="120"/>
    </w:p>
    <w:p>
      <w:pPr>
        <w:pStyle w:val="4"/>
        <w:bidi w:val="0"/>
        <w:rPr>
          <w:rFonts w:hint="default"/>
          <w:lang w:val="en-US" w:eastAsia="zh-CN"/>
        </w:rPr>
      </w:pPr>
      <w:r>
        <w:rPr>
          <w:rFonts w:hint="eastAsia"/>
          <w:lang w:val="en-US" w:eastAsia="zh-CN"/>
        </w:rPr>
        <w:t>9</w:t>
      </w:r>
      <w:r>
        <w:rPr>
          <w:rFonts w:hint="default"/>
          <w:lang w:val="en-US" w:eastAsia="zh-CN"/>
        </w:rPr>
        <w:t>.3.1 施工期环境影响评价结论</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（1）废气</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项目施工过程中对环境空气产生影响的作业环节有：材料运输和装卸、</w:t>
      </w:r>
      <w:r>
        <w:rPr>
          <w:rFonts w:hint="eastAsia" w:ascii="Times New Roman" w:hAnsi="Times New Roman" w:eastAsia="宋体" w:cs="Times New Roman"/>
          <w:b w:val="0"/>
          <w:bCs w:val="0"/>
          <w:snapToGrid w:val="0"/>
          <w:color w:val="auto"/>
          <w:spacing w:val="11"/>
          <w:kern w:val="0"/>
          <w:sz w:val="24"/>
          <w:szCs w:val="24"/>
          <w:lang w:val="en-US" w:eastAsia="zh-CN"/>
        </w:rPr>
        <w:t>装修过程产生的废气</w:t>
      </w:r>
      <w:r>
        <w:rPr>
          <w:rFonts w:hint="default" w:ascii="Times New Roman" w:hAnsi="Times New Roman" w:eastAsia="宋体" w:cs="Times New Roman"/>
          <w:b w:val="0"/>
          <w:bCs w:val="0"/>
          <w:snapToGrid w:val="0"/>
          <w:color w:val="auto"/>
          <w:spacing w:val="11"/>
          <w:kern w:val="0"/>
          <w:sz w:val="24"/>
          <w:szCs w:val="24"/>
          <w:lang w:val="en-US" w:eastAsia="zh-CN"/>
        </w:rPr>
        <w:t>，施工机械排放的废气等。施工期采取的主要大气影响减缓措施为定期洒水、清理路面，防止扬尘飞扬，施工运输车辆加蓬盖，施工现场周边应设置符合要求</w:t>
      </w:r>
    </w:p>
    <w:p>
      <w:pPr>
        <w:spacing w:line="360" w:lineRule="auto"/>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的围挡；竣工后要及时清理场地等。采取以上措施后，项目施工期对周边环境的影响在可接受范围内。</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（2）废水</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生活污水经化粪池处理后用于排入市政污水管网送</w:t>
      </w:r>
      <w:r>
        <w:rPr>
          <w:rFonts w:hint="eastAsia" w:ascii="Times New Roman" w:hAnsi="Times New Roman" w:eastAsia="宋体" w:cs="Times New Roman"/>
          <w:b w:val="0"/>
          <w:bCs w:val="0"/>
          <w:snapToGrid w:val="0"/>
          <w:color w:val="auto"/>
          <w:spacing w:val="11"/>
          <w:kern w:val="0"/>
          <w:sz w:val="24"/>
          <w:szCs w:val="24"/>
          <w:lang w:val="en-US" w:eastAsia="zh-CN"/>
        </w:rPr>
        <w:t>宁远县</w:t>
      </w:r>
      <w:r>
        <w:rPr>
          <w:rFonts w:hint="default" w:ascii="Times New Roman" w:hAnsi="Times New Roman" w:eastAsia="宋体" w:cs="Times New Roman"/>
          <w:b w:val="0"/>
          <w:bCs w:val="0"/>
          <w:snapToGrid w:val="0"/>
          <w:color w:val="auto"/>
          <w:spacing w:val="11"/>
          <w:kern w:val="0"/>
          <w:sz w:val="24"/>
          <w:szCs w:val="24"/>
          <w:lang w:val="en-US" w:eastAsia="zh-CN"/>
        </w:rPr>
        <w:t>污水处理厂处理，对周边的地表水体基本没有影响。</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（3）噪声</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通过采取使用低噪声机械设备、合理安排施工时间和尽量避免多台施工机械同时作业、避开午休及夜间时间段施工等措施可将施工期噪声影响降低到最小程度。经距离衰减、阻隔降噪后，项目周边敏感点基本不受项目施工噪声的影响。项目施工期对声环境影响大不。</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（4）固体废物</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建筑垃圾和其它固体废物经分类收集后可回收利用部分出售给废品站，不可回收利用的运至市政指定地方填埋，严禁随意倾倒。生活垃圾集中收集后委托环卫部门统一清运处理。项目施工期产生的固体废物对外环境的影响较小。</w:t>
      </w:r>
    </w:p>
    <w:p>
      <w:pPr>
        <w:pStyle w:val="4"/>
        <w:bidi w:val="0"/>
        <w:spacing w:before="0" w:beforeLines="50" w:beforeAutospacing="0"/>
        <w:rPr>
          <w:rFonts w:hint="default"/>
          <w:lang w:val="en-US" w:eastAsia="zh-CN"/>
        </w:rPr>
      </w:pPr>
      <w:r>
        <w:rPr>
          <w:rFonts w:hint="eastAsia"/>
          <w:lang w:val="en-US" w:eastAsia="zh-CN"/>
        </w:rPr>
        <w:t>9.</w:t>
      </w:r>
      <w:r>
        <w:rPr>
          <w:rFonts w:hint="default"/>
          <w:lang w:val="en-US" w:eastAsia="zh-CN"/>
        </w:rPr>
        <w:t>3.2. 运营期环境影响</w:t>
      </w:r>
      <w:r>
        <w:rPr>
          <w:rFonts w:hint="eastAsia"/>
          <w:lang w:val="en-US" w:eastAsia="zh-CN"/>
        </w:rPr>
        <w:t>评价结论</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（1）环境空气</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本项目大气污染源主要有实验废气、污水处理站废气、汽车尾气、垃圾收集点产生的恶臭等。微生物实验室废气经生物安全柜内置的高效过滤器进行处理后经楼顶排放。理化实验室无机废气采用操作柜收集后通过 15m排气筒（DA001）高空排放，理化实验室有机废气采用操作柜收集后通过 15m排气筒（DA002）高空排放。停车场废气影响较小，项目污水处理设备采用全封闭设计，加盖密封预留排换气口，加强四周绿化；通过上述防治措施后，废气能得到有效控制，不会对周围环境空气产生明显的影响。</w:t>
      </w:r>
    </w:p>
    <w:p>
      <w:pPr>
        <w:spacing w:line="360" w:lineRule="auto"/>
        <w:ind w:firstLine="524" w:firstLineChars="200"/>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（2）地表水环境</w:t>
      </w:r>
    </w:p>
    <w:p>
      <w:pPr>
        <w:spacing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本项目实行雨污分流，雨水排至市政雨水管道；实验室酸碱废水通过中和预处理、微生物实验室废水通过高压蒸汽灭菌预处理后与其他废水排入项目污水处理站处理达《医疗机构水污染物排放标准》（GB18466-2005）表 2 中预处理标准限值，接入市政污水管网，最终排往</w:t>
      </w:r>
      <w:r>
        <w:rPr>
          <w:rFonts w:hint="eastAsia" w:ascii="Times New Roman" w:hAnsi="Times New Roman" w:eastAsia="宋体" w:cs="Times New Roman"/>
          <w:b w:val="0"/>
          <w:bCs w:val="0"/>
          <w:snapToGrid w:val="0"/>
          <w:color w:val="auto"/>
          <w:spacing w:val="11"/>
          <w:kern w:val="0"/>
          <w:sz w:val="24"/>
          <w:szCs w:val="24"/>
          <w:lang w:val="en-US" w:eastAsia="zh-CN"/>
        </w:rPr>
        <w:t>宁远县</w:t>
      </w:r>
      <w:r>
        <w:rPr>
          <w:rFonts w:hint="default" w:ascii="Times New Roman" w:hAnsi="Times New Roman" w:eastAsia="宋体" w:cs="Times New Roman"/>
          <w:b w:val="0"/>
          <w:bCs w:val="0"/>
          <w:snapToGrid w:val="0"/>
          <w:color w:val="auto"/>
          <w:spacing w:val="11"/>
          <w:kern w:val="0"/>
          <w:sz w:val="24"/>
          <w:szCs w:val="24"/>
          <w:lang w:val="en-US" w:eastAsia="zh-CN"/>
        </w:rPr>
        <w:t>污水处理厂进行深度处理，本项目废水</w:t>
      </w:r>
      <w:r>
        <w:rPr>
          <w:rFonts w:hint="eastAsia" w:ascii="Times New Roman" w:hAnsi="Times New Roman" w:eastAsia="宋体" w:cs="Times New Roman"/>
          <w:b w:val="0"/>
          <w:bCs w:val="0"/>
          <w:snapToGrid w:val="0"/>
          <w:color w:val="auto"/>
          <w:spacing w:val="11"/>
          <w:kern w:val="0"/>
          <w:sz w:val="24"/>
          <w:szCs w:val="24"/>
          <w:lang w:val="en-US" w:eastAsia="zh-CN"/>
        </w:rPr>
        <w:t>排放量较小</w:t>
      </w:r>
      <w:r>
        <w:rPr>
          <w:rFonts w:hint="default" w:ascii="Times New Roman" w:hAnsi="Times New Roman" w:eastAsia="宋体" w:cs="Times New Roman"/>
          <w:b w:val="0"/>
          <w:bCs w:val="0"/>
          <w:snapToGrid w:val="0"/>
          <w:color w:val="auto"/>
          <w:spacing w:val="11"/>
          <w:kern w:val="0"/>
          <w:sz w:val="24"/>
          <w:szCs w:val="24"/>
          <w:lang w:val="en-US" w:eastAsia="zh-CN"/>
        </w:rPr>
        <w:t>，不会对污水处理厂产生冲击负荷。本环评认为地表水环境影响可以接受。</w:t>
      </w:r>
    </w:p>
    <w:p>
      <w:pPr>
        <w:pStyle w:val="13"/>
        <w:spacing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w:t>
      </w:r>
      <w:r>
        <w:rPr>
          <w:rFonts w:hint="eastAsia" w:ascii="Times New Roman" w:hAnsi="Times New Roman" w:eastAsia="宋体" w:cs="Times New Roman"/>
          <w:b w:val="0"/>
          <w:bCs w:val="0"/>
          <w:snapToGrid w:val="0"/>
          <w:color w:val="auto"/>
          <w:spacing w:val="11"/>
          <w:kern w:val="0"/>
          <w:sz w:val="24"/>
          <w:szCs w:val="24"/>
          <w:lang w:val="en-US" w:eastAsia="zh-CN"/>
        </w:rPr>
        <w:t>3</w:t>
      </w:r>
      <w:r>
        <w:rPr>
          <w:rFonts w:hint="default" w:ascii="Times New Roman" w:hAnsi="Times New Roman" w:eastAsia="宋体" w:cs="Times New Roman"/>
          <w:b w:val="0"/>
          <w:bCs w:val="0"/>
          <w:snapToGrid w:val="0"/>
          <w:color w:val="auto"/>
          <w:spacing w:val="11"/>
          <w:kern w:val="0"/>
          <w:sz w:val="24"/>
          <w:szCs w:val="24"/>
          <w:lang w:val="en-US" w:eastAsia="zh-CN"/>
        </w:rPr>
        <w:t>）声环境</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项目营运期噪声污染源主要是水泵、配电房等设备噪声及门诊部社会噪声等，噪声源强为 60~95dB（A）。采取基础减震、选用低噪声设备、隔声门窗、加强车辆管理禁止鸣笛，低速行驶、加强绿化等措施后，项目设备运行时噪声排放大大降低，噪声的排放对周围环境及敏感点的声环境影响质量影响不大。</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w:t>
      </w:r>
      <w:r>
        <w:rPr>
          <w:rFonts w:hint="eastAsia" w:ascii="Times New Roman" w:hAnsi="Times New Roman" w:eastAsia="宋体" w:cs="Times New Roman"/>
          <w:b w:val="0"/>
          <w:bCs w:val="0"/>
          <w:snapToGrid w:val="0"/>
          <w:color w:val="auto"/>
          <w:spacing w:val="11"/>
          <w:kern w:val="0"/>
          <w:sz w:val="24"/>
          <w:szCs w:val="24"/>
          <w:lang w:val="en-US" w:eastAsia="zh-CN"/>
        </w:rPr>
        <w:t>4</w:t>
      </w:r>
      <w:r>
        <w:rPr>
          <w:rFonts w:hint="default" w:ascii="Times New Roman" w:hAnsi="Times New Roman" w:eastAsia="宋体" w:cs="Times New Roman"/>
          <w:b w:val="0"/>
          <w:bCs w:val="0"/>
          <w:snapToGrid w:val="0"/>
          <w:color w:val="auto"/>
          <w:spacing w:val="11"/>
          <w:kern w:val="0"/>
          <w:sz w:val="24"/>
          <w:szCs w:val="24"/>
          <w:lang w:val="en-US" w:eastAsia="zh-CN"/>
        </w:rPr>
        <w:t>）固体废物</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运营期固体废物分为危险废物、生活垃圾及纯水制备系统产生定期更换的废活性炭和废反渗透膜。生活垃圾为员工办公生活垃圾，危险废物为包括医疗废物、废</w:t>
      </w:r>
      <w:r>
        <w:rPr>
          <w:rFonts w:hint="eastAsia" w:ascii="Times New Roman" w:hAnsi="Times New Roman" w:eastAsia="宋体" w:cs="Times New Roman"/>
          <w:b w:val="0"/>
          <w:bCs w:val="0"/>
          <w:snapToGrid w:val="0"/>
          <w:color w:val="auto"/>
          <w:spacing w:val="11"/>
          <w:kern w:val="0"/>
          <w:sz w:val="24"/>
          <w:szCs w:val="24"/>
          <w:lang w:val="en-US" w:eastAsia="zh-CN"/>
        </w:rPr>
        <w:t>过滤介质</w:t>
      </w:r>
      <w:r>
        <w:rPr>
          <w:rFonts w:hint="default" w:ascii="Times New Roman" w:hAnsi="Times New Roman" w:eastAsia="宋体" w:cs="Times New Roman"/>
          <w:b w:val="0"/>
          <w:bCs w:val="0"/>
          <w:snapToGrid w:val="0"/>
          <w:color w:val="auto"/>
          <w:spacing w:val="11"/>
          <w:kern w:val="0"/>
          <w:sz w:val="24"/>
          <w:szCs w:val="24"/>
          <w:lang w:val="en-US" w:eastAsia="zh-CN"/>
        </w:rPr>
        <w:t>、废紫外线灯管、危化品包装物及水处理栅渣及污泥。生活垃圾分类收集后可交由环卫部门进行处理，废滤芯、废紫外线灯管、危化品包装物暂存于危险废物暂存间，委托资质单位处置；医疗废物按照《医疗废物处理处置污染控制标准》（GB39707-2020）及《医疗废物集中处置技术规范（试行）》（环发[2003]206 号）中有关规定控制；水处理栅渣及污泥进行消毒灭菌处理达到《医疗机构水污染物排放标准》（GB18466-2005）表 4 医疗机构污泥控制标准要求后暂存于危险废物暂存间，委托有资质单位处置。医疗废物采用内部转运箱运送至专门设置的医疗废物暂存间，收集到一定的量后定期转交给由医疗废物处置资质的单位，根据危险废物转运相关规定的要求进行转运和处理。本项目纯水制备系统产生定期更换的废活性炭及废反渗透膜，由厂家定期进行回收。本项目固体废物处理处置遵循了环境健康风险预防、安全无害以及固体废物“减量化、资源化及无害化”的原则，将固体废物全部安全处置，本项目固体废物在采取上述措施进行处置后不会对周围环境产生不利影响。</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（5）</w:t>
      </w:r>
      <w:r>
        <w:rPr>
          <w:rFonts w:hint="default" w:ascii="Times New Roman" w:hAnsi="Times New Roman" w:eastAsia="宋体" w:cs="Times New Roman"/>
          <w:b w:val="0"/>
          <w:bCs w:val="0"/>
          <w:snapToGrid w:val="0"/>
          <w:color w:val="auto"/>
          <w:spacing w:val="11"/>
          <w:kern w:val="0"/>
          <w:sz w:val="24"/>
          <w:szCs w:val="24"/>
          <w:lang w:val="en-US" w:eastAsia="zh-CN"/>
        </w:rPr>
        <w:t>环境风险评价结论</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本项目环境风险潜势为 I，环境风险事故影响较小。建设单位在建设过程中应落实本项目提出的风险防范措施，并根据今后实际生产情况结合本报告中提出的事故应急预案，制定更详实的项目应急预案，确保防范措施的运行。在落实风险防范措施、做好应急预案的前提下，本项目的风险处于可接受水平范围内。</w:t>
      </w:r>
    </w:p>
    <w:p>
      <w:pPr>
        <w:pStyle w:val="3"/>
        <w:bidi w:val="0"/>
        <w:rPr>
          <w:rFonts w:hint="default"/>
          <w:lang w:val="en-US" w:eastAsia="zh-CN"/>
        </w:rPr>
      </w:pPr>
      <w:bookmarkStart w:id="121" w:name="_Toc32561"/>
      <w:r>
        <w:rPr>
          <w:rFonts w:hint="eastAsia"/>
          <w:lang w:val="en-US" w:eastAsia="zh-CN"/>
        </w:rPr>
        <w:t xml:space="preserve">9.4 </w:t>
      </w:r>
      <w:r>
        <w:rPr>
          <w:rFonts w:hint="default"/>
          <w:lang w:val="en-US" w:eastAsia="zh-CN"/>
        </w:rPr>
        <w:t>建设项目可行性分析</w:t>
      </w:r>
      <w:bookmarkEnd w:id="121"/>
    </w:p>
    <w:p>
      <w:pPr>
        <w:pStyle w:val="13"/>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default" w:ascii="Times New Roman" w:hAnsi="Times New Roman" w:eastAsia="宋体" w:cs="Times New Roman"/>
          <w:b w:val="0"/>
          <w:bCs w:val="0"/>
          <w:snapToGrid w:val="0"/>
          <w:color w:val="auto"/>
          <w:spacing w:val="0"/>
          <w:kern w:val="0"/>
          <w:sz w:val="24"/>
          <w:szCs w:val="24"/>
          <w:lang w:val="en-US" w:eastAsia="zh-CN"/>
        </w:rPr>
      </w:pPr>
      <w:r>
        <w:rPr>
          <w:rFonts w:hint="default" w:ascii="Times New Roman" w:hAnsi="Times New Roman" w:eastAsia="宋体" w:cs="Times New Roman"/>
          <w:b w:val="0"/>
          <w:bCs w:val="0"/>
          <w:snapToGrid w:val="0"/>
          <w:color w:val="auto"/>
          <w:spacing w:val="0"/>
          <w:kern w:val="0"/>
          <w:sz w:val="24"/>
          <w:szCs w:val="24"/>
          <w:lang w:val="en-US" w:eastAsia="zh-CN"/>
        </w:rPr>
        <w:t>本项目为医疗卫生服务设施建设，对照《产业结构调整指导目录（20</w:t>
      </w:r>
      <w:r>
        <w:rPr>
          <w:rFonts w:hint="eastAsia" w:ascii="Times New Roman" w:hAnsi="Times New Roman" w:eastAsia="宋体" w:cs="Times New Roman"/>
          <w:b w:val="0"/>
          <w:bCs w:val="0"/>
          <w:snapToGrid w:val="0"/>
          <w:color w:val="auto"/>
          <w:spacing w:val="0"/>
          <w:kern w:val="0"/>
          <w:sz w:val="24"/>
          <w:szCs w:val="24"/>
          <w:lang w:val="en-US" w:eastAsia="zh-CN"/>
        </w:rPr>
        <w:t>24</w:t>
      </w:r>
      <w:r>
        <w:rPr>
          <w:rFonts w:hint="default" w:ascii="Times New Roman" w:hAnsi="Times New Roman" w:eastAsia="宋体" w:cs="Times New Roman"/>
          <w:b w:val="0"/>
          <w:bCs w:val="0"/>
          <w:snapToGrid w:val="0"/>
          <w:color w:val="auto"/>
          <w:spacing w:val="0"/>
          <w:kern w:val="0"/>
          <w:sz w:val="24"/>
          <w:szCs w:val="24"/>
          <w:lang w:val="en-US" w:eastAsia="zh-CN"/>
        </w:rPr>
        <w:t xml:space="preserve"> 年本）》，本项目属于“第一类鼓励类；三十七卫生健康；1、预防保健、卫生应急、卫生监督服务设施建设；本项目建设符合国家与地方产业政策。</w:t>
      </w:r>
    </w:p>
    <w:p>
      <w:pPr>
        <w:pStyle w:val="13"/>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0"/>
          <w:kern w:val="0"/>
          <w:sz w:val="24"/>
          <w:szCs w:val="24"/>
          <w:lang w:val="en-US" w:eastAsia="zh-CN"/>
        </w:rPr>
        <w:t>项目占地不涉及基本农田，不涉及生态公益林，不在</w:t>
      </w:r>
      <w:r>
        <w:rPr>
          <w:rFonts w:hint="eastAsia" w:ascii="Times New Roman" w:hAnsi="Times New Roman" w:eastAsia="宋体" w:cs="Times New Roman"/>
          <w:b w:val="0"/>
          <w:bCs w:val="0"/>
          <w:snapToGrid w:val="0"/>
          <w:color w:val="auto"/>
          <w:spacing w:val="0"/>
          <w:kern w:val="0"/>
          <w:sz w:val="24"/>
          <w:szCs w:val="24"/>
          <w:lang w:val="en-US" w:eastAsia="zh-CN"/>
        </w:rPr>
        <w:t>宁远县</w:t>
      </w:r>
      <w:r>
        <w:rPr>
          <w:rFonts w:hint="default" w:ascii="Times New Roman" w:hAnsi="Times New Roman" w:eastAsia="宋体" w:cs="Times New Roman"/>
          <w:b w:val="0"/>
          <w:bCs w:val="0"/>
          <w:snapToGrid w:val="0"/>
          <w:color w:val="auto"/>
          <w:spacing w:val="0"/>
          <w:kern w:val="0"/>
          <w:sz w:val="24"/>
          <w:szCs w:val="24"/>
          <w:lang w:val="en-US" w:eastAsia="zh-CN"/>
        </w:rPr>
        <w:t>生态红线内，本</w:t>
      </w:r>
      <w:r>
        <w:rPr>
          <w:rFonts w:hint="eastAsia" w:ascii="Times New Roman" w:hAnsi="Times New Roman" w:eastAsia="宋体" w:cs="Times New Roman"/>
          <w:b w:val="0"/>
          <w:bCs w:val="0"/>
          <w:snapToGrid w:val="0"/>
          <w:color w:val="auto"/>
          <w:spacing w:val="0"/>
          <w:kern w:val="0"/>
          <w:sz w:val="24"/>
          <w:szCs w:val="24"/>
          <w:lang w:val="en-US" w:eastAsia="zh-CN"/>
        </w:rPr>
        <w:t xml:space="preserve">项目用地范围内未发现国家保护珍稀动植物，不在自然保护区、饮用水源保护区， 湿地公园、森林公园、地质公园、文物保护区内。拟建项目与周边外环境相容， 不会对周围敏感点及环境造成明显不利影响，从环境可行性角度分析选址合理。 对照《疾病预防控制中心建设标准》（建标 </w:t>
      </w:r>
      <w:r>
        <w:rPr>
          <w:rFonts w:hint="default" w:ascii="Times New Roman" w:hAnsi="Times New Roman" w:eastAsia="宋体" w:cs="Times New Roman"/>
          <w:b w:val="0"/>
          <w:bCs w:val="0"/>
          <w:snapToGrid w:val="0"/>
          <w:color w:val="auto"/>
          <w:spacing w:val="0"/>
          <w:kern w:val="0"/>
          <w:sz w:val="24"/>
          <w:szCs w:val="24"/>
          <w:lang w:val="en-US" w:eastAsia="zh-CN"/>
        </w:rPr>
        <w:t>127-2009</w:t>
      </w:r>
      <w:r>
        <w:rPr>
          <w:rFonts w:hint="eastAsia" w:ascii="Times New Roman" w:hAnsi="Times New Roman" w:eastAsia="宋体" w:cs="Times New Roman"/>
          <w:b w:val="0"/>
          <w:bCs w:val="0"/>
          <w:snapToGrid w:val="0"/>
          <w:color w:val="auto"/>
          <w:spacing w:val="0"/>
          <w:kern w:val="0"/>
          <w:sz w:val="24"/>
          <w:szCs w:val="24"/>
          <w:lang w:val="en-US" w:eastAsia="zh-CN"/>
        </w:rPr>
        <w:t xml:space="preserve">）中关于疾控心项目的选址相关内容，本项目符合《疾病预防控制中心建设标准》（建标 </w:t>
      </w:r>
      <w:r>
        <w:rPr>
          <w:rFonts w:hint="default" w:ascii="Times New Roman" w:hAnsi="Times New Roman" w:eastAsia="宋体" w:cs="Times New Roman"/>
          <w:b w:val="0"/>
          <w:bCs w:val="0"/>
          <w:snapToGrid w:val="0"/>
          <w:color w:val="auto"/>
          <w:spacing w:val="0"/>
          <w:kern w:val="0"/>
          <w:sz w:val="24"/>
          <w:szCs w:val="24"/>
          <w:lang w:val="en-US" w:eastAsia="zh-CN"/>
        </w:rPr>
        <w:t>127-2009</w:t>
      </w:r>
      <w:r>
        <w:rPr>
          <w:rFonts w:hint="eastAsia" w:ascii="Times New Roman" w:hAnsi="Times New Roman" w:eastAsia="宋体" w:cs="Times New Roman"/>
          <w:b w:val="0"/>
          <w:bCs w:val="0"/>
          <w:snapToGrid w:val="0"/>
          <w:color w:val="auto"/>
          <w:spacing w:val="0"/>
          <w:kern w:val="0"/>
          <w:sz w:val="24"/>
          <w:szCs w:val="24"/>
          <w:lang w:val="en-US" w:eastAsia="zh-CN"/>
        </w:rPr>
        <w:t>）的选址相关内容。</w:t>
      </w:r>
      <w:r>
        <w:rPr>
          <w:rFonts w:hint="eastAsia" w:ascii="Times New Roman" w:hAnsi="Times New Roman" w:eastAsia="宋体" w:cs="Times New Roman"/>
          <w:b w:val="0"/>
          <w:bCs w:val="0"/>
          <w:snapToGrid w:val="0"/>
          <w:color w:val="auto"/>
          <w:spacing w:val="11"/>
          <w:kern w:val="0"/>
          <w:sz w:val="24"/>
          <w:szCs w:val="24"/>
          <w:lang w:val="en-US" w:eastAsia="zh-CN"/>
        </w:rPr>
        <w:t xml:space="preserve"> </w:t>
      </w:r>
    </w:p>
    <w:p>
      <w:pPr>
        <w:pStyle w:val="13"/>
        <w:spacing w:before="0" w:beforeAutospacing="0" w:after="0" w:afterAutospacing="0" w:line="360" w:lineRule="auto"/>
        <w:jc w:val="both"/>
        <w:rPr>
          <w:rFonts w:hint="default" w:ascii="Times New Roman" w:hAnsi="Times New Roman" w:eastAsia="宋体" w:cs="Times New Roman"/>
          <w:b w:val="0"/>
          <w:bCs w:val="0"/>
          <w:snapToGrid w:val="0"/>
          <w:color w:val="auto"/>
          <w:spacing w:val="11"/>
          <w:kern w:val="0"/>
          <w:sz w:val="24"/>
          <w:szCs w:val="24"/>
          <w:lang w:val="en-US" w:eastAsia="zh-CN"/>
        </w:rPr>
      </w:pPr>
      <w:bookmarkStart w:id="122" w:name="_Toc4244"/>
      <w:r>
        <w:rPr>
          <w:rStyle w:val="68"/>
          <w:rFonts w:hint="eastAsia"/>
          <w:lang w:val="en-US" w:eastAsia="zh-CN"/>
        </w:rPr>
        <w:t>9.5</w:t>
      </w:r>
      <w:r>
        <w:rPr>
          <w:rStyle w:val="68"/>
          <w:rFonts w:hint="default"/>
          <w:lang w:val="en-US" w:eastAsia="zh-CN"/>
        </w:rPr>
        <w:t xml:space="preserve"> </w:t>
      </w:r>
      <w:r>
        <w:rPr>
          <w:rStyle w:val="68"/>
          <w:rFonts w:hint="eastAsia"/>
          <w:lang w:val="en-US" w:eastAsia="zh-CN"/>
        </w:rPr>
        <w:t>公众参与调查结论</w:t>
      </w:r>
      <w:bookmarkEnd w:id="122"/>
    </w:p>
    <w:p>
      <w:pPr>
        <w:pStyle w:val="13"/>
        <w:pageBreakBefore w:val="0"/>
        <w:widowControl w:val="0"/>
        <w:kinsoku w:val="0"/>
        <w:wordWrap/>
        <w:overflowPunct/>
        <w:topLinePunct w:val="0"/>
        <w:autoSpaceDE w:val="0"/>
        <w:autoSpaceDN w:val="0"/>
        <w:bidi w:val="0"/>
        <w:adjustRightInd w:val="0"/>
        <w:snapToGrid w:val="0"/>
        <w:spacing w:before="0" w:beforeAutospacing="0" w:after="0" w:afterAutospacing="0" w:line="360" w:lineRule="auto"/>
        <w:ind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项目建设单位在环评期间开展了公示，建设单位未收到周围居民及团体的反对意见，说明被调查的公众认为该项目建设合理。</w:t>
      </w:r>
    </w:p>
    <w:p>
      <w:pPr>
        <w:pStyle w:val="3"/>
        <w:pageBreakBefore w:val="0"/>
        <w:widowControl w:val="0"/>
        <w:kinsoku w:val="0"/>
        <w:wordWrap/>
        <w:overflowPunct/>
        <w:topLinePunct w:val="0"/>
        <w:autoSpaceDE w:val="0"/>
        <w:autoSpaceDN w:val="0"/>
        <w:bidi w:val="0"/>
        <w:adjustRightInd w:val="0"/>
        <w:snapToGrid w:val="0"/>
        <w:textAlignment w:val="baseline"/>
        <w:rPr>
          <w:rFonts w:hint="default"/>
          <w:lang w:val="en-US" w:eastAsia="zh-CN"/>
        </w:rPr>
      </w:pPr>
      <w:bookmarkStart w:id="123" w:name="_Toc3110"/>
      <w:r>
        <w:rPr>
          <w:rFonts w:hint="eastAsia"/>
          <w:lang w:val="en-US" w:eastAsia="zh-CN"/>
        </w:rPr>
        <w:t>9.6</w:t>
      </w:r>
      <w:r>
        <w:rPr>
          <w:rFonts w:hint="default"/>
          <w:lang w:val="en-US" w:eastAsia="zh-CN"/>
        </w:rPr>
        <w:t xml:space="preserve"> </w:t>
      </w:r>
      <w:r>
        <w:rPr>
          <w:rFonts w:hint="eastAsia"/>
          <w:lang w:val="en-US" w:eastAsia="zh-CN"/>
        </w:rPr>
        <w:t>综合结论</w:t>
      </w:r>
      <w:bookmarkEnd w:id="123"/>
      <w:r>
        <w:rPr>
          <w:rFonts w:hint="eastAsia"/>
          <w:lang w:val="en-US" w:eastAsia="zh-CN"/>
        </w:rPr>
        <w:t xml:space="preserve"> </w:t>
      </w:r>
    </w:p>
    <w:p>
      <w:pPr>
        <w:pStyle w:val="13"/>
        <w:pageBreakBefore w:val="0"/>
        <w:widowControl w:val="0"/>
        <w:kinsoku w:val="0"/>
        <w:wordWrap/>
        <w:overflowPunct/>
        <w:topLinePunct w:val="0"/>
        <w:autoSpaceDE w:val="0"/>
        <w:autoSpaceDN w:val="0"/>
        <w:bidi w:val="0"/>
        <w:adjustRightInd w:val="0"/>
        <w:snapToGrid w:val="0"/>
        <w:spacing w:before="0" w:beforeAutospacing="0" w:after="0" w:afterAutospacing="0" w:line="360" w:lineRule="auto"/>
        <w:ind w:firstLine="524" w:firstLineChars="200"/>
        <w:jc w:val="both"/>
        <w:textAlignment w:val="baseline"/>
        <w:rPr>
          <w:rFonts w:hint="default"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 xml:space="preserve">项目建设符合国家及地方产业政策、城市总体规划、环境功能区划，营运期应加强环境管理，认真落实环评报告书中的各项环保措施，严格控制医疗废物污染，确保环保设施正常运行，实现废气、废水、噪声稳定达标排放。该项目在保证各项环保设施正常运行的对周围环境的影响是可以接受的，不会改变项目周围地区当前的大气、水、声环境质量的现有功能要求。因此，评价认为项目在建设和生产过程中，严格执行“三同时”制度、落实环评报告中提出的各项污染防治措施、保证环保措施正常稳定运行的前提下，从环境影响角度，项目建设是可行的。 </w:t>
      </w:r>
    </w:p>
    <w:p>
      <w:pPr>
        <w:pStyle w:val="3"/>
        <w:bidi w:val="0"/>
        <w:rPr>
          <w:rFonts w:hint="default"/>
          <w:lang w:val="en-US" w:eastAsia="zh-CN"/>
        </w:rPr>
      </w:pPr>
      <w:bookmarkStart w:id="124" w:name="_Toc3882"/>
      <w:r>
        <w:rPr>
          <w:rFonts w:hint="eastAsia"/>
          <w:lang w:val="en-US" w:eastAsia="zh-CN"/>
        </w:rPr>
        <w:t>9.7</w:t>
      </w:r>
      <w:r>
        <w:rPr>
          <w:rFonts w:hint="default"/>
          <w:lang w:val="en-US" w:eastAsia="zh-CN"/>
        </w:rPr>
        <w:t xml:space="preserve"> </w:t>
      </w:r>
      <w:r>
        <w:rPr>
          <w:rFonts w:hint="eastAsia"/>
          <w:lang w:val="en-US" w:eastAsia="zh-CN"/>
        </w:rPr>
        <w:t>建议</w:t>
      </w:r>
      <w:bookmarkEnd w:id="124"/>
      <w:r>
        <w:rPr>
          <w:rFonts w:hint="eastAsia"/>
          <w:lang w:val="en-US" w:eastAsia="zh-CN"/>
        </w:rPr>
        <w:t xml:space="preserve"> </w:t>
      </w:r>
    </w:p>
    <w:p>
      <w:pPr>
        <w:pStyle w:val="13"/>
        <w:spacing w:before="0" w:beforeAutospacing="0" w:after="0" w:afterAutospacing="0" w:line="360" w:lineRule="auto"/>
        <w:ind w:firstLine="524" w:firstLineChars="200"/>
        <w:jc w:val="both"/>
        <w:rPr>
          <w:rFonts w:hint="eastAsia" w:ascii="Times New Roman" w:hAnsi="Times New Roman" w:eastAsia="宋体" w:cs="Times New Roman"/>
          <w:b w:val="0"/>
          <w:bCs w:val="0"/>
          <w:snapToGrid w:val="0"/>
          <w:color w:val="auto"/>
          <w:spacing w:val="11"/>
          <w:kern w:val="0"/>
          <w:sz w:val="24"/>
          <w:szCs w:val="24"/>
          <w:lang w:val="en-US" w:eastAsia="zh-CN"/>
        </w:rPr>
      </w:pPr>
      <w:r>
        <w:rPr>
          <w:rFonts w:hint="default" w:ascii="Times New Roman" w:hAnsi="Times New Roman" w:eastAsia="宋体" w:cs="Times New Roman"/>
          <w:b w:val="0"/>
          <w:bCs w:val="0"/>
          <w:snapToGrid w:val="0"/>
          <w:color w:val="auto"/>
          <w:spacing w:val="11"/>
          <w:kern w:val="0"/>
          <w:sz w:val="24"/>
          <w:szCs w:val="24"/>
          <w:lang w:val="en-US" w:eastAsia="zh-CN"/>
        </w:rPr>
        <w:t>1</w:t>
      </w:r>
      <w:r>
        <w:rPr>
          <w:rFonts w:hint="eastAsia" w:ascii="Times New Roman" w:hAnsi="Times New Roman" w:eastAsia="宋体" w:cs="Times New Roman"/>
          <w:b w:val="0"/>
          <w:bCs w:val="0"/>
          <w:snapToGrid w:val="0"/>
          <w:color w:val="auto"/>
          <w:spacing w:val="11"/>
          <w:kern w:val="0"/>
          <w:sz w:val="24"/>
          <w:szCs w:val="24"/>
          <w:lang w:val="en-US" w:eastAsia="zh-CN"/>
        </w:rPr>
        <w:t>、建议该单位应重视环境保护工作，要配备环保管理员，认真负责本项目的环境管理、环境统计、污染源的治理工作及长效管理，并做好安全防范应急措施。</w:t>
      </w:r>
    </w:p>
    <w:p>
      <w:pPr>
        <w:pStyle w:val="13"/>
        <w:spacing w:before="0" w:beforeAutospacing="0" w:after="0" w:afterAutospacing="0" w:line="360" w:lineRule="auto"/>
        <w:ind w:firstLine="524" w:firstLineChars="200"/>
        <w:jc w:val="both"/>
        <w:rPr>
          <w:rFonts w:hint="eastAsia"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2、必须严格落实环评提出的各项污染防治措施，切实履行“三同时”制度，做 好“三废”污染防治工作。</w:t>
      </w:r>
    </w:p>
    <w:p>
      <w:pPr>
        <w:pStyle w:val="13"/>
        <w:spacing w:before="0" w:beforeAutospacing="0" w:after="0" w:afterAutospacing="0" w:line="360" w:lineRule="auto"/>
        <w:ind w:firstLine="524" w:firstLineChars="200"/>
        <w:jc w:val="both"/>
        <w:rPr>
          <w:rFonts w:hint="eastAsia"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3、加强厂区内的绿化，并要对绿化妥善管理，这不仅仅美化环境，同时还有抑尘、降噪、净化空气、改善办公条件等均有用处。</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r>
        <w:rPr>
          <w:rFonts w:hint="eastAsia" w:ascii="Times New Roman" w:hAnsi="Times New Roman" w:eastAsia="宋体" w:cs="Times New Roman"/>
          <w:b w:val="0"/>
          <w:bCs w:val="0"/>
          <w:snapToGrid w:val="0"/>
          <w:color w:val="auto"/>
          <w:spacing w:val="11"/>
          <w:kern w:val="0"/>
          <w:sz w:val="24"/>
          <w:szCs w:val="24"/>
          <w:lang w:val="en-US" w:eastAsia="zh-CN"/>
        </w:rPr>
        <w:t>4、确保落实各项环保措施，加强环境管理，以保证污染防治达到预期效果。</w:t>
      </w: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p>
    <w:p>
      <w:pPr>
        <w:pStyle w:val="13"/>
        <w:spacing w:before="0" w:beforeAutospacing="0" w:after="0" w:afterAutospacing="0" w:line="360" w:lineRule="auto"/>
        <w:ind w:firstLine="524" w:firstLineChars="200"/>
        <w:jc w:val="both"/>
        <w:rPr>
          <w:rFonts w:hint="default" w:ascii="Times New Roman" w:hAnsi="Times New Roman" w:eastAsia="宋体" w:cs="Times New Roman"/>
          <w:b w:val="0"/>
          <w:bCs w:val="0"/>
          <w:snapToGrid w:val="0"/>
          <w:color w:val="auto"/>
          <w:spacing w:val="11"/>
          <w:kern w:val="0"/>
          <w:sz w:val="24"/>
          <w:szCs w:val="24"/>
          <w:lang w:val="en-US" w:eastAsia="zh-CN"/>
        </w:rPr>
      </w:pPr>
    </w:p>
    <w:sectPr>
      <w:headerReference r:id="rId21" w:type="default"/>
      <w:pgSz w:w="11906" w:h="16839"/>
      <w:pgMar w:top="1317" w:right="1133" w:bottom="1335" w:left="1418" w:header="1048" w:footer="979" w:gutter="0"/>
      <w:pgBorders w:offsetFrom="page">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A1"/>
    <w:family w:val="roman"/>
    <w:pitch w:val="default"/>
    <w:sig w:usb0="00000000" w:usb1="00000000" w:usb2="00000009" w:usb3="00000000" w:csb0="400001FF" w:csb1="FFFF0000"/>
  </w:font>
  <w:font w:name="宋体">
    <w:altName w:val="方正书宋_GBK"/>
    <w:panose1 w:val="02010600030101010101"/>
    <w:charset w:val="81"/>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4" w:line="86" w:lineRule="exact"/>
      <w:textAlignment w:val="center"/>
    </w:pPr>
  </w:p>
  <w:p>
    <w:pPr>
      <w:spacing w:before="105" w:after="18" w:line="118" w:lineRule="exact"/>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0" w:line="57" w:lineRule="exact"/>
      <w:textAlignment w:val="center"/>
    </w:pPr>
  </w:p>
  <w:p>
    <w:pPr>
      <w:spacing w:line="193" w:lineRule="auto"/>
      <w:ind w:left="4574"/>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86" w:lineRule="exact"/>
      <w:textAlignment w:val="cente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spacing w:line="196" w:lineRule="auto"/>
      <w:ind w:left="4624"/>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57" w:lineRule="exact"/>
      <w:textAlignment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44</w:t>
                    </w:r>
                    <w:r>
                      <w:fldChar w:fldCharType="end"/>
                    </w:r>
                  </w:p>
                </w:txbxContent>
              </v:textbox>
            </v:shape>
          </w:pict>
        </mc:Fallback>
      </mc:AlternateContent>
    </w:r>
  </w:p>
  <w:p>
    <w:pPr>
      <w:spacing w:line="196" w:lineRule="auto"/>
      <w:ind w:left="4757"/>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posOffset>2995930</wp:posOffset>
              </wp:positionH>
              <wp:positionV relativeFrom="paragraph">
                <wp:posOffset>-37465</wp:posOffset>
              </wp:positionV>
              <wp:extent cx="301625" cy="17526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301625" cy="175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square" lIns="0" tIns="0" rIns="0" bIns="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235.9pt;margin-top:-2.95pt;height:13.8pt;width:23.75pt;mso-position-horizontal-relative:margin;z-index:251663360;mso-width-relative:page;mso-height-relative:page;" filled="f" stroked="f" coordsize="21600,21600" o:gfxdata="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aFTXDZAAAACQEAAA8AAAAAAAAAAQAgAAAAOAAAAGRycy9kb3du&#10;cmV2LnhtbFBLAQIUABQAAAAIAIdO4kCx3bxDIQIAACsEAAAOAAAAAAAAAAEAIAAAAD4BAABkcnMv&#10;ZTJvRG9jLnhtbFBLBQYAAAAABgAGAFkBAADRBQAAAAA=&#10;">
              <v:fill on="f" focussize="0,0"/>
              <v:stroke on="f" weight="0.5pt"/>
              <v:imagedata o:title=""/>
              <o:lock v:ext="edit" aspectratio="f"/>
              <v:textbox inset="0mm,0mm,0mm,0mm">
                <w:txbxContent>
                  <w:p>
                    <w:pPr>
                      <w:pStyle w:val="1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08" w:line="86" w:lineRule="exact"/>
      <w:textAlignment w:val="center"/>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4"/>
      <w:rPr>
        <w:rFonts w:ascii="宋体" w:hAnsi="宋体" w:eastAsia="宋体" w:cs="宋体"/>
        <w:sz w:val="17"/>
        <w:szCs w:val="17"/>
      </w:rPr>
    </w:pPr>
    <w:r>
      <w:rPr>
        <w:rFonts w:hint="eastAsia" w:ascii="宋体" w:hAnsi="宋体" w:eastAsia="宋体" w:cs="宋体"/>
        <w:spacing w:val="11"/>
        <w:sz w:val="17"/>
        <w:szCs w:val="17"/>
        <w:lang w:eastAsia="zh-CN"/>
      </w:rPr>
      <w:t>宁远县疾控中心公共卫生检验检测及突发公共卫生事件应急处置中心建设项目</w:t>
    </w:r>
    <w:r>
      <w:rPr>
        <w:rFonts w:ascii="宋体" w:hAnsi="宋体" w:eastAsia="宋体" w:cs="宋体"/>
        <w:spacing w:val="9"/>
        <w:sz w:val="17"/>
        <w:szCs w:val="17"/>
      </w:rPr>
      <w:t>环境影响报告书</w:t>
    </w:r>
  </w:p>
  <w:p>
    <w:pPr>
      <w:spacing w:before="14" w:line="44" w:lineRule="exact"/>
      <w:textAlignment w:val="center"/>
    </w:pPr>
    <w:r>
      <w:pict>
        <v:shape id="_x0000_s2054" o:spid="_x0000_s2054" style="height:2.2pt;width:467.75pt;" fillcolor="#000000" filled="t" stroked="f" coordsize="9355,44" path="m0,0l9354,0,9354,43,0,43,0,0xe">
          <v:path/>
          <v:fill on="t" focussize="0,0"/>
          <v:stroke on="f"/>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4"/>
      <w:rPr>
        <w:rFonts w:hint="default" w:ascii="宋体" w:hAnsi="宋体" w:eastAsia="宋体" w:cs="宋体"/>
        <w:sz w:val="17"/>
        <w:szCs w:val="17"/>
        <w:lang w:val="en-US" w:eastAsia="zh-CN"/>
      </w:rPr>
    </w:pPr>
    <w:r>
      <w:rPr>
        <w:rFonts w:hint="eastAsia" w:ascii="宋体" w:hAnsi="宋体" w:eastAsia="宋体" w:cs="宋体"/>
        <w:spacing w:val="10"/>
        <w:sz w:val="17"/>
        <w:szCs w:val="17"/>
        <w:lang w:eastAsia="zh-CN"/>
      </w:rPr>
      <w:t>宁远县疾控中心公共卫生检验检测及突发公共卫生事件应急处置中心建设项目</w:t>
    </w:r>
    <w:r>
      <w:rPr>
        <w:rFonts w:ascii="宋体" w:hAnsi="宋体" w:eastAsia="宋体" w:cs="宋体"/>
        <w:spacing w:val="5"/>
        <w:sz w:val="17"/>
        <w:szCs w:val="17"/>
      </w:rPr>
      <w:t>环境影响报告书                                第</w:t>
    </w:r>
    <w:r>
      <w:rPr>
        <w:rFonts w:hint="eastAsia" w:ascii="宋体" w:hAnsi="宋体" w:eastAsia="宋体" w:cs="宋体"/>
        <w:spacing w:val="5"/>
        <w:sz w:val="17"/>
        <w:szCs w:val="17"/>
        <w:lang w:val="en-US" w:eastAsia="zh-CN"/>
      </w:rPr>
      <w:t>八</w:t>
    </w:r>
    <w:r>
      <w:rPr>
        <w:rFonts w:ascii="宋体" w:hAnsi="宋体" w:eastAsia="宋体" w:cs="宋体"/>
        <w:spacing w:val="5"/>
        <w:sz w:val="17"/>
        <w:szCs w:val="17"/>
      </w:rPr>
      <w:t xml:space="preserve">章 </w:t>
    </w:r>
    <w:r>
      <w:rPr>
        <w:rFonts w:hint="eastAsia" w:ascii="宋体" w:hAnsi="宋体" w:eastAsia="宋体" w:cs="宋体"/>
        <w:spacing w:val="5"/>
        <w:sz w:val="17"/>
        <w:szCs w:val="17"/>
        <w:lang w:val="en-US" w:eastAsia="zh-CN"/>
      </w:rPr>
      <w:t>环境管理与监测计划</w:t>
    </w:r>
  </w:p>
  <w:p>
    <w:pPr>
      <w:spacing w:before="14" w:line="43" w:lineRule="exact"/>
      <w:textAlignment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4"/>
      <w:rPr>
        <w:rFonts w:hint="default" w:ascii="宋体" w:hAnsi="宋体" w:eastAsia="宋体" w:cs="宋体"/>
        <w:sz w:val="17"/>
        <w:szCs w:val="17"/>
        <w:lang w:val="en-US" w:eastAsia="zh-CN"/>
      </w:rPr>
    </w:pPr>
    <w:r>
      <w:rPr>
        <w:rFonts w:hint="eastAsia" w:ascii="宋体" w:hAnsi="宋体" w:eastAsia="宋体" w:cs="宋体"/>
        <w:spacing w:val="10"/>
        <w:sz w:val="17"/>
        <w:szCs w:val="17"/>
        <w:lang w:eastAsia="zh-CN"/>
      </w:rPr>
      <w:t>宁远县疾控中心公共卫生检验检测及突发公共卫生事件应急处置中心建设项目</w:t>
    </w:r>
    <w:r>
      <w:rPr>
        <w:rFonts w:ascii="宋体" w:hAnsi="宋体" w:eastAsia="宋体" w:cs="宋体"/>
        <w:spacing w:val="5"/>
        <w:sz w:val="17"/>
        <w:szCs w:val="17"/>
      </w:rPr>
      <w:t>环境影响报告书                                第</w:t>
    </w:r>
    <w:r>
      <w:rPr>
        <w:rFonts w:hint="eastAsia" w:ascii="宋体" w:hAnsi="宋体" w:eastAsia="宋体" w:cs="宋体"/>
        <w:spacing w:val="5"/>
        <w:sz w:val="17"/>
        <w:szCs w:val="17"/>
        <w:lang w:val="en-US" w:eastAsia="zh-CN"/>
      </w:rPr>
      <w:t>九</w:t>
    </w:r>
    <w:r>
      <w:rPr>
        <w:rFonts w:ascii="宋体" w:hAnsi="宋体" w:eastAsia="宋体" w:cs="宋体"/>
        <w:spacing w:val="5"/>
        <w:sz w:val="17"/>
        <w:szCs w:val="17"/>
      </w:rPr>
      <w:t xml:space="preserve">章 </w:t>
    </w:r>
    <w:r>
      <w:rPr>
        <w:rFonts w:hint="eastAsia" w:ascii="宋体" w:hAnsi="宋体" w:eastAsia="宋体" w:cs="宋体"/>
        <w:spacing w:val="5"/>
        <w:sz w:val="17"/>
        <w:szCs w:val="17"/>
        <w:lang w:val="en-US" w:eastAsia="zh-CN"/>
      </w:rPr>
      <w:t>环境影响评价结论</w:t>
    </w:r>
  </w:p>
  <w:p>
    <w:pPr>
      <w:spacing w:before="14" w:line="43" w:lineRule="exact"/>
      <w:textAlignment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8" w:lineRule="auto"/>
      <w:ind w:left="24"/>
      <w:rPr>
        <w:rFonts w:ascii="宋体" w:hAnsi="宋体" w:eastAsia="宋体" w:cs="宋体"/>
        <w:sz w:val="17"/>
        <w:szCs w:val="17"/>
      </w:rPr>
    </w:pPr>
    <w:r>
      <w:pict>
        <v:shape id="_x0000_s2061" o:spid="_x0000_s2061" o:spt="202" type="#_x0000_t202" style="position:absolute;left:0pt;margin-left:448.8pt;margin-top:-0.95pt;height:12.7pt;width:17.95pt;z-index:251660288;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宋体" w:hAnsi="宋体" w:eastAsia="宋体" w:cs="宋体"/>
                    <w:sz w:val="17"/>
                    <w:szCs w:val="17"/>
                  </w:rPr>
                </w:pPr>
                <w:r>
                  <w:rPr>
                    <w:rFonts w:ascii="宋体" w:hAnsi="宋体" w:eastAsia="宋体" w:cs="宋体"/>
                    <w:spacing w:val="-12"/>
                    <w:sz w:val="17"/>
                    <w:szCs w:val="17"/>
                  </w:rPr>
                  <w:t>目</w:t>
                </w:r>
                <w:r>
                  <w:rPr>
                    <w:rFonts w:ascii="宋体" w:hAnsi="宋体" w:eastAsia="宋体" w:cs="宋体"/>
                    <w:spacing w:val="-10"/>
                    <w:sz w:val="17"/>
                    <w:szCs w:val="17"/>
                  </w:rPr>
                  <w:t>录</w:t>
                </w:r>
              </w:p>
            </w:txbxContent>
          </v:textbox>
        </v:shape>
      </w:pict>
    </w:r>
    <w:r>
      <w:rPr>
        <w:rFonts w:hint="eastAsia" w:ascii="宋体" w:hAnsi="宋体" w:eastAsia="宋体" w:cs="宋体"/>
        <w:spacing w:val="11"/>
        <w:sz w:val="17"/>
        <w:szCs w:val="17"/>
        <w:lang w:eastAsia="zh-CN"/>
      </w:rPr>
      <w:t>宁远县疾控中心公共卫生检验检测及突发公共卫生事件应急处置中心建设项目</w:t>
    </w:r>
    <w:r>
      <w:rPr>
        <w:rFonts w:ascii="宋体" w:hAnsi="宋体" w:eastAsia="宋体" w:cs="宋体"/>
        <w:spacing w:val="9"/>
        <w:sz w:val="17"/>
        <w:szCs w:val="17"/>
      </w:rPr>
      <w:t>环境影响报告书</w:t>
    </w:r>
  </w:p>
  <w:p>
    <w:pPr>
      <w:pBdr>
        <w:bottom w:val="single" w:color="auto" w:sz="4" w:space="0"/>
      </w:pBdr>
      <w:spacing w:before="14" w:line="44" w:lineRule="exact"/>
      <w:textAlignment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8" w:lineRule="auto"/>
      <w:ind w:left="24"/>
      <w:rPr>
        <w:rFonts w:hint="eastAsia" w:ascii="宋体" w:hAnsi="宋体" w:eastAsia="宋体" w:cs="宋体"/>
        <w:sz w:val="17"/>
        <w:szCs w:val="17"/>
        <w:lang w:eastAsia="zh-CN"/>
      </w:rPr>
    </w:pPr>
    <w:r>
      <w:rPr>
        <w:rFonts w:hint="eastAsia" w:ascii="宋体" w:hAnsi="宋体" w:eastAsia="宋体" w:cs="宋体"/>
        <w:spacing w:val="8"/>
        <w:sz w:val="17"/>
        <w:szCs w:val="17"/>
        <w:lang w:eastAsia="zh-CN"/>
      </w:rPr>
      <w:t>宁远县疾控中心公共卫生检验检测及突发公共卫生事件应急处置中心建设项目</w:t>
    </w:r>
    <w:r>
      <w:rPr>
        <w:rFonts w:ascii="宋体" w:hAnsi="宋体" w:eastAsia="宋体" w:cs="宋体"/>
        <w:spacing w:val="4"/>
        <w:sz w:val="17"/>
        <w:szCs w:val="17"/>
      </w:rPr>
      <w:t xml:space="preserve">环境影响报告书                第一章 </w:t>
    </w:r>
    <w:r>
      <w:rPr>
        <w:rFonts w:hint="eastAsia" w:ascii="宋体" w:hAnsi="宋体" w:eastAsia="宋体" w:cs="宋体"/>
        <w:spacing w:val="4"/>
        <w:sz w:val="17"/>
        <w:szCs w:val="17"/>
        <w:lang w:val="en-US" w:eastAsia="zh-CN"/>
      </w:rPr>
      <w:t>概述</w:t>
    </w:r>
  </w:p>
  <w:p>
    <w:pPr>
      <w:pBdr>
        <w:bottom w:val="single" w:color="auto" w:sz="4" w:space="0"/>
      </w:pBdr>
      <w:spacing w:before="14" w:line="44" w:lineRule="exact"/>
      <w:textAlignment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171"/>
      <w:rPr>
        <w:rFonts w:hint="default" w:eastAsia="宋体"/>
        <w:lang w:val="en-US" w:eastAsia="zh-CN"/>
      </w:rPr>
    </w:pPr>
    <w:r>
      <w:rPr>
        <w:rFonts w:hint="eastAsia" w:ascii="宋体" w:hAnsi="宋体" w:eastAsia="宋体" w:cs="宋体"/>
        <w:spacing w:val="8"/>
        <w:sz w:val="17"/>
        <w:szCs w:val="17"/>
        <w:lang w:eastAsia="zh-CN"/>
      </w:rPr>
      <w:t>宁远县疾控中心公共卫生检验检测及突发公共卫生事件应急处置中心建设项目</w:t>
    </w:r>
    <w:r>
      <w:rPr>
        <w:rFonts w:ascii="宋体" w:hAnsi="宋体" w:eastAsia="宋体" w:cs="宋体"/>
        <w:spacing w:val="4"/>
        <w:sz w:val="17"/>
        <w:szCs w:val="17"/>
      </w:rPr>
      <w:t xml:space="preserve">环境影响报告书         </w:t>
    </w:r>
    <w:r>
      <w:rPr>
        <w:rFonts w:hint="eastAsia" w:ascii="宋体" w:hAnsi="宋体" w:eastAsia="宋体" w:cs="宋体"/>
        <w:spacing w:val="4"/>
        <w:sz w:val="17"/>
        <w:szCs w:val="17"/>
        <w:lang w:val="en-US" w:eastAsia="zh-CN"/>
      </w:rPr>
      <w:t xml:space="preserve">   </w:t>
    </w:r>
    <w:r>
      <w:rPr>
        <w:rFonts w:ascii="宋体" w:hAnsi="宋体" w:eastAsia="宋体" w:cs="宋体"/>
        <w:spacing w:val="4"/>
        <w:sz w:val="17"/>
        <w:szCs w:val="17"/>
      </w:rPr>
      <w:t xml:space="preserve">   第</w:t>
    </w:r>
    <w:r>
      <w:rPr>
        <w:rFonts w:hint="eastAsia" w:ascii="宋体" w:hAnsi="宋体" w:eastAsia="宋体" w:cs="宋体"/>
        <w:spacing w:val="4"/>
        <w:sz w:val="17"/>
        <w:szCs w:val="17"/>
        <w:lang w:val="en-US" w:eastAsia="zh-CN"/>
      </w:rPr>
      <w:t>二</w:t>
    </w:r>
    <w:r>
      <w:rPr>
        <w:rFonts w:ascii="宋体" w:hAnsi="宋体" w:eastAsia="宋体" w:cs="宋体"/>
        <w:spacing w:val="4"/>
        <w:sz w:val="17"/>
        <w:szCs w:val="17"/>
      </w:rPr>
      <w:t>章 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171"/>
      <w:rPr>
        <w:rFonts w:hint="default" w:ascii="宋体" w:hAnsi="宋体" w:eastAsia="宋体" w:cs="宋体"/>
        <w:sz w:val="17"/>
        <w:szCs w:val="17"/>
        <w:lang w:val="en-US" w:eastAsia="zh-CN"/>
      </w:rPr>
    </w:pPr>
    <w:r>
      <w:rPr>
        <w:rFonts w:hint="eastAsia" w:ascii="宋体" w:hAnsi="宋体" w:eastAsia="宋体" w:cs="宋体"/>
        <w:spacing w:val="8"/>
        <w:sz w:val="17"/>
        <w:szCs w:val="17"/>
        <w:lang w:eastAsia="zh-CN"/>
      </w:rPr>
      <w:t>宁远县疾控中心公共卫生检验检测及突发公共卫生事件应急处置中心建设项目</w:t>
    </w:r>
    <w:r>
      <w:rPr>
        <w:rFonts w:ascii="宋体" w:hAnsi="宋体" w:eastAsia="宋体" w:cs="宋体"/>
        <w:spacing w:val="4"/>
        <w:sz w:val="17"/>
        <w:szCs w:val="17"/>
      </w:rPr>
      <w:t>环境影响报告书 第</w:t>
    </w:r>
    <w:r>
      <w:rPr>
        <w:rFonts w:hint="eastAsia" w:ascii="宋体" w:hAnsi="宋体" w:eastAsia="宋体" w:cs="宋体"/>
        <w:spacing w:val="4"/>
        <w:sz w:val="17"/>
        <w:szCs w:val="17"/>
        <w:lang w:val="en-US" w:eastAsia="zh-CN"/>
      </w:rPr>
      <w:t>三</w:t>
    </w:r>
    <w:r>
      <w:rPr>
        <w:rFonts w:ascii="宋体" w:hAnsi="宋体" w:eastAsia="宋体" w:cs="宋体"/>
        <w:spacing w:val="4"/>
        <w:sz w:val="17"/>
        <w:szCs w:val="17"/>
      </w:rPr>
      <w:t xml:space="preserve">章 </w:t>
    </w:r>
    <w:r>
      <w:rPr>
        <w:rFonts w:hint="eastAsia" w:ascii="宋体" w:hAnsi="宋体" w:eastAsia="宋体" w:cs="宋体"/>
        <w:spacing w:val="4"/>
        <w:sz w:val="17"/>
        <w:szCs w:val="17"/>
        <w:lang w:val="en-US" w:eastAsia="zh-CN"/>
      </w:rPr>
      <w:t>项目概况和工程分析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171"/>
      <w:rPr>
        <w:rFonts w:hint="default" w:ascii="宋体" w:hAnsi="宋体" w:eastAsia="宋体" w:cs="宋体"/>
        <w:sz w:val="17"/>
        <w:szCs w:val="17"/>
        <w:lang w:val="en-US" w:eastAsia="zh-CN"/>
      </w:rPr>
    </w:pPr>
    <w:r>
      <w:rPr>
        <w:rFonts w:hint="eastAsia" w:ascii="宋体" w:hAnsi="宋体" w:eastAsia="宋体" w:cs="宋体"/>
        <w:spacing w:val="8"/>
        <w:sz w:val="17"/>
        <w:szCs w:val="17"/>
        <w:lang w:eastAsia="zh-CN"/>
      </w:rPr>
      <w:t>宁远县疾控中心公共卫生检验检测及突发公共卫生事件应急处置中心建设项目</w:t>
    </w:r>
    <w:r>
      <w:rPr>
        <w:rFonts w:ascii="宋体" w:hAnsi="宋体" w:eastAsia="宋体" w:cs="宋体"/>
        <w:spacing w:val="4"/>
        <w:sz w:val="17"/>
        <w:szCs w:val="17"/>
      </w:rPr>
      <w:t xml:space="preserve">环境影响报告书                               </w:t>
    </w:r>
    <w:r>
      <w:rPr>
        <w:rFonts w:hint="eastAsia" w:ascii="宋体" w:hAnsi="宋体" w:eastAsia="宋体" w:cs="宋体"/>
        <w:spacing w:val="4"/>
        <w:sz w:val="17"/>
        <w:szCs w:val="17"/>
        <w:lang w:val="en-US" w:eastAsia="zh-CN"/>
      </w:rPr>
      <w:t xml:space="preserve">  </w:t>
    </w:r>
    <w:r>
      <w:rPr>
        <w:rFonts w:ascii="宋体" w:hAnsi="宋体" w:eastAsia="宋体" w:cs="宋体"/>
        <w:spacing w:val="4"/>
        <w:sz w:val="17"/>
        <w:szCs w:val="17"/>
      </w:rPr>
      <w:t>第</w:t>
    </w:r>
    <w:r>
      <w:rPr>
        <w:rFonts w:hint="eastAsia" w:ascii="宋体" w:hAnsi="宋体" w:eastAsia="宋体" w:cs="宋体"/>
        <w:spacing w:val="4"/>
        <w:sz w:val="17"/>
        <w:szCs w:val="17"/>
        <w:lang w:val="en-US" w:eastAsia="zh-CN"/>
      </w:rPr>
      <w:t>四</w:t>
    </w:r>
    <w:r>
      <w:rPr>
        <w:rFonts w:ascii="宋体" w:hAnsi="宋体" w:eastAsia="宋体" w:cs="宋体"/>
        <w:spacing w:val="4"/>
        <w:sz w:val="17"/>
        <w:szCs w:val="17"/>
      </w:rPr>
      <w:t xml:space="preserve">章 </w:t>
    </w:r>
    <w:r>
      <w:rPr>
        <w:rFonts w:hint="eastAsia" w:ascii="宋体" w:hAnsi="宋体" w:eastAsia="宋体" w:cs="宋体"/>
        <w:spacing w:val="4"/>
        <w:sz w:val="17"/>
        <w:szCs w:val="17"/>
        <w:lang w:val="en-US" w:eastAsia="zh-CN"/>
      </w:rPr>
      <w:t>环境现状调查和评价</w:t>
    </w:r>
  </w:p>
  <w:p>
    <w:pPr>
      <w:spacing w:before="14" w:line="44" w:lineRule="exact"/>
      <w:ind w:firstLine="147"/>
      <w:textAlignment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171"/>
      <w:rPr>
        <w:rFonts w:hint="default" w:ascii="宋体" w:hAnsi="宋体" w:eastAsia="宋体" w:cs="宋体"/>
        <w:sz w:val="17"/>
        <w:szCs w:val="17"/>
        <w:lang w:val="en-US" w:eastAsia="zh-CN"/>
      </w:rPr>
    </w:pPr>
    <w:r>
      <w:rPr>
        <w:rFonts w:hint="eastAsia" w:ascii="宋体" w:hAnsi="宋体" w:eastAsia="宋体" w:cs="宋体"/>
        <w:spacing w:val="8"/>
        <w:sz w:val="17"/>
        <w:szCs w:val="17"/>
        <w:lang w:eastAsia="zh-CN"/>
      </w:rPr>
      <w:t>宁远县疾控中心公共卫生检验检测及突发公共卫生事件应急处置中心建设项目</w:t>
    </w:r>
    <w:r>
      <w:rPr>
        <w:rFonts w:ascii="宋体" w:hAnsi="宋体" w:eastAsia="宋体" w:cs="宋体"/>
        <w:spacing w:val="4"/>
        <w:sz w:val="17"/>
        <w:szCs w:val="17"/>
      </w:rPr>
      <w:t xml:space="preserve">环境影响报告书                               </w:t>
    </w:r>
    <w:r>
      <w:rPr>
        <w:rFonts w:hint="eastAsia" w:ascii="宋体" w:hAnsi="宋体" w:eastAsia="宋体" w:cs="宋体"/>
        <w:spacing w:val="4"/>
        <w:sz w:val="17"/>
        <w:szCs w:val="17"/>
        <w:lang w:val="en-US" w:eastAsia="zh-CN"/>
      </w:rPr>
      <w:t xml:space="preserve">  </w:t>
    </w:r>
    <w:r>
      <w:rPr>
        <w:rFonts w:ascii="宋体" w:hAnsi="宋体" w:eastAsia="宋体" w:cs="宋体"/>
        <w:spacing w:val="4"/>
        <w:sz w:val="17"/>
        <w:szCs w:val="17"/>
      </w:rPr>
      <w:t>第</w:t>
    </w:r>
    <w:r>
      <w:rPr>
        <w:rFonts w:hint="eastAsia" w:ascii="宋体" w:hAnsi="宋体" w:eastAsia="宋体" w:cs="宋体"/>
        <w:spacing w:val="4"/>
        <w:sz w:val="17"/>
        <w:szCs w:val="17"/>
        <w:lang w:val="en-US" w:eastAsia="zh-CN"/>
      </w:rPr>
      <w:t>五</w:t>
    </w:r>
    <w:r>
      <w:rPr>
        <w:rFonts w:ascii="宋体" w:hAnsi="宋体" w:eastAsia="宋体" w:cs="宋体"/>
        <w:spacing w:val="4"/>
        <w:sz w:val="17"/>
        <w:szCs w:val="17"/>
      </w:rPr>
      <w:t xml:space="preserve">章 </w:t>
    </w:r>
    <w:r>
      <w:rPr>
        <w:rFonts w:hint="eastAsia" w:ascii="宋体" w:hAnsi="宋体" w:eastAsia="宋体" w:cs="宋体"/>
        <w:spacing w:val="4"/>
        <w:sz w:val="17"/>
        <w:szCs w:val="17"/>
        <w:lang w:val="en-US" w:eastAsia="zh-CN"/>
      </w:rPr>
      <w:t>环境影响预测和评价</w:t>
    </w:r>
  </w:p>
  <w:p>
    <w:pPr>
      <w:spacing w:before="14" w:line="44" w:lineRule="exact"/>
      <w:ind w:firstLine="147"/>
      <w:textAlignment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4"/>
      <w:rPr>
        <w:rFonts w:hint="default" w:ascii="宋体" w:hAnsi="宋体" w:eastAsia="宋体" w:cs="宋体"/>
        <w:sz w:val="17"/>
        <w:szCs w:val="17"/>
        <w:lang w:val="en-US" w:eastAsia="zh-CN"/>
      </w:rPr>
    </w:pPr>
    <w:r>
      <w:rPr>
        <w:rFonts w:hint="eastAsia" w:ascii="宋体" w:hAnsi="宋体" w:eastAsia="宋体" w:cs="宋体"/>
        <w:spacing w:val="10"/>
        <w:sz w:val="17"/>
        <w:szCs w:val="17"/>
        <w:lang w:eastAsia="zh-CN"/>
      </w:rPr>
      <w:t>宁远县疾控中心公共卫生检验检测及突发公共卫生事件应急处置中心建设项目</w:t>
    </w:r>
    <w:r>
      <w:rPr>
        <w:rFonts w:ascii="宋体" w:hAnsi="宋体" w:eastAsia="宋体" w:cs="宋体"/>
        <w:spacing w:val="5"/>
        <w:sz w:val="17"/>
        <w:szCs w:val="17"/>
      </w:rPr>
      <w:t>环境影响报告书                                第</w:t>
    </w:r>
    <w:r>
      <w:rPr>
        <w:rFonts w:hint="eastAsia" w:ascii="宋体" w:hAnsi="宋体" w:eastAsia="宋体" w:cs="宋体"/>
        <w:spacing w:val="5"/>
        <w:sz w:val="17"/>
        <w:szCs w:val="17"/>
        <w:lang w:val="en-US" w:eastAsia="zh-CN"/>
      </w:rPr>
      <w:t>六</w:t>
    </w:r>
    <w:r>
      <w:rPr>
        <w:rFonts w:ascii="宋体" w:hAnsi="宋体" w:eastAsia="宋体" w:cs="宋体"/>
        <w:spacing w:val="5"/>
        <w:sz w:val="17"/>
        <w:szCs w:val="17"/>
      </w:rPr>
      <w:t xml:space="preserve">章 </w:t>
    </w:r>
    <w:r>
      <w:rPr>
        <w:rFonts w:hint="eastAsia" w:ascii="宋体" w:hAnsi="宋体" w:eastAsia="宋体" w:cs="宋体"/>
        <w:spacing w:val="5"/>
        <w:sz w:val="17"/>
        <w:szCs w:val="17"/>
        <w:lang w:val="en-US" w:eastAsia="zh-CN"/>
      </w:rPr>
      <w:t>环境保护措施及其可行性论证</w:t>
    </w:r>
  </w:p>
  <w:p>
    <w:pPr>
      <w:spacing w:before="14" w:line="43" w:lineRule="exact"/>
      <w:textAlignment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4"/>
      <w:rPr>
        <w:rFonts w:hint="default" w:ascii="宋体" w:hAnsi="宋体" w:eastAsia="宋体" w:cs="宋体"/>
        <w:sz w:val="17"/>
        <w:szCs w:val="17"/>
        <w:lang w:val="en-US" w:eastAsia="zh-CN"/>
      </w:rPr>
    </w:pPr>
    <w:r>
      <w:rPr>
        <w:rFonts w:hint="eastAsia" w:ascii="宋体" w:hAnsi="宋体" w:eastAsia="宋体" w:cs="宋体"/>
        <w:spacing w:val="10"/>
        <w:sz w:val="17"/>
        <w:szCs w:val="17"/>
        <w:lang w:eastAsia="zh-CN"/>
      </w:rPr>
      <w:t>宁远县疾控中心公共卫生检验检测及突发公共卫生事件应急处置中心建设项目</w:t>
    </w:r>
    <w:r>
      <w:rPr>
        <w:rFonts w:ascii="宋体" w:hAnsi="宋体" w:eastAsia="宋体" w:cs="宋体"/>
        <w:spacing w:val="5"/>
        <w:sz w:val="17"/>
        <w:szCs w:val="17"/>
      </w:rPr>
      <w:t>环境影响报告书                                第</w:t>
    </w:r>
    <w:r>
      <w:rPr>
        <w:rFonts w:hint="eastAsia" w:ascii="宋体" w:hAnsi="宋体" w:eastAsia="宋体" w:cs="宋体"/>
        <w:spacing w:val="5"/>
        <w:sz w:val="17"/>
        <w:szCs w:val="17"/>
        <w:lang w:val="en-US" w:eastAsia="zh-CN"/>
      </w:rPr>
      <w:t>七</w:t>
    </w:r>
    <w:r>
      <w:rPr>
        <w:rFonts w:ascii="宋体" w:hAnsi="宋体" w:eastAsia="宋体" w:cs="宋体"/>
        <w:spacing w:val="5"/>
        <w:sz w:val="17"/>
        <w:szCs w:val="17"/>
      </w:rPr>
      <w:t xml:space="preserve">章 </w:t>
    </w:r>
    <w:r>
      <w:rPr>
        <w:rFonts w:hint="eastAsia" w:ascii="宋体" w:hAnsi="宋体" w:eastAsia="宋体" w:cs="宋体"/>
        <w:spacing w:val="5"/>
        <w:sz w:val="17"/>
        <w:szCs w:val="17"/>
        <w:lang w:val="en-US" w:eastAsia="zh-CN"/>
      </w:rPr>
      <w:t>环境经济损益分析</w:t>
    </w:r>
  </w:p>
  <w:p>
    <w:pPr>
      <w:spacing w:before="14" w:line="43" w:lineRule="exact"/>
      <w:textAlignment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5C076"/>
    <w:multiLevelType w:val="singleLevel"/>
    <w:tmpl w:val="8A65C076"/>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B37A7B97"/>
    <w:multiLevelType w:val="singleLevel"/>
    <w:tmpl w:val="B37A7B97"/>
    <w:lvl w:ilvl="0" w:tentative="0">
      <w:start w:val="5"/>
      <w:numFmt w:val="decimal"/>
      <w:suff w:val="nothing"/>
      <w:lvlText w:val="%1、"/>
      <w:lvlJc w:val="left"/>
    </w:lvl>
  </w:abstractNum>
  <w:abstractNum w:abstractNumId="2">
    <w:nsid w:val="1E1D3114"/>
    <w:multiLevelType w:val="singleLevel"/>
    <w:tmpl w:val="1E1D3114"/>
    <w:lvl w:ilvl="0" w:tentative="0">
      <w:start w:val="6"/>
      <w:numFmt w:val="chineseCounting"/>
      <w:suff w:val="space"/>
      <w:lvlText w:val="第%1章"/>
      <w:lvlJc w:val="left"/>
      <w:rPr>
        <w:rFonts w:hint="eastAsia"/>
      </w:rPr>
    </w:lvl>
  </w:abstractNum>
  <w:abstractNum w:abstractNumId="3">
    <w:nsid w:val="4FB21111"/>
    <w:multiLevelType w:val="singleLevel"/>
    <w:tmpl w:val="4FB21111"/>
    <w:lvl w:ilvl="0" w:tentative="0">
      <w:start w:val="1"/>
      <w:numFmt w:val="upperLetter"/>
      <w:suff w:val="nothing"/>
      <w:lvlText w:val="%1、"/>
      <w:lvlJc w:val="left"/>
    </w:lvl>
  </w:abstractNum>
  <w:abstractNum w:abstractNumId="4">
    <w:nsid w:val="55AE5A00"/>
    <w:multiLevelType w:val="singleLevel"/>
    <w:tmpl w:val="55AE5A00"/>
    <w:lvl w:ilvl="0" w:tentative="0">
      <w:start w:val="1"/>
      <w:numFmt w:val="decimal"/>
      <w:suff w:val="space"/>
      <w:lvlText w:val="(%1)"/>
      <w:lvlJc w:val="left"/>
    </w:lvl>
  </w:abstractNum>
  <w:abstractNum w:abstractNumId="5">
    <w:nsid w:val="65986DE1"/>
    <w:multiLevelType w:val="singleLevel"/>
    <w:tmpl w:val="65986DE1"/>
    <w:lvl w:ilvl="0" w:tentative="0">
      <w:start w:val="4"/>
      <w:numFmt w:val="decimal"/>
      <w:suff w:val="space"/>
      <w:lvlText w:val="(%1)"/>
      <w:lvlJc w:val="left"/>
    </w:lvl>
  </w:abstractNum>
  <w:abstractNum w:abstractNumId="6">
    <w:nsid w:val="7405FC56"/>
    <w:multiLevelType w:val="singleLevel"/>
    <w:tmpl w:val="7405FC56"/>
    <w:lvl w:ilvl="0" w:tentative="0">
      <w:start w:val="4"/>
      <w:numFmt w:val="decimal"/>
      <w:suff w:val="nothing"/>
      <w:lvlText w:val="%1、"/>
      <w:lvlJc w:val="left"/>
    </w:lvl>
  </w:abstractNum>
  <w:abstractNum w:abstractNumId="7">
    <w:nsid w:val="7F52885D"/>
    <w:multiLevelType w:val="singleLevel"/>
    <w:tmpl w:val="7F52885D"/>
    <w:lvl w:ilvl="0" w:tentative="0">
      <w:start w:val="1"/>
      <w:numFmt w:val="decimal"/>
      <w:suff w:val="nothing"/>
      <w:lvlText w:val="（%1）"/>
      <w:lvlJc w:val="left"/>
    </w:lvl>
  </w:abstractNum>
  <w:num w:numId="1">
    <w:abstractNumId w:val="0"/>
  </w:num>
  <w:num w:numId="2">
    <w:abstractNumId w:val="4"/>
  </w:num>
  <w:num w:numId="3">
    <w:abstractNumId w:val="1"/>
  </w:num>
  <w:num w:numId="4">
    <w:abstractNumId w:val="6"/>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isplayBackgroundShape w:val="true"/>
  <w:bordersDoNotSurroundHeader w:val="false"/>
  <w:bordersDoNotSurroundFooter w:val="false"/>
  <w:documentProtection w:enforcement="0"/>
  <w:displayHorizontalDrawingGridEvery w:val="1"/>
  <w:displayVerticalDrawingGridEvery w:val="1"/>
  <w:noPunctuationKerning w:val="true"/>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ZjZTc3OWJiMGNlN2Y1MzkzYjNjNmQ1NDA1OTJmZTIifQ=="/>
  </w:docVars>
  <w:rsids>
    <w:rsidRoot w:val="00000000"/>
    <w:rsid w:val="00675ECD"/>
    <w:rsid w:val="00E5398A"/>
    <w:rsid w:val="011473B7"/>
    <w:rsid w:val="01B06B29"/>
    <w:rsid w:val="02945F7E"/>
    <w:rsid w:val="03140367"/>
    <w:rsid w:val="031A4128"/>
    <w:rsid w:val="03496329"/>
    <w:rsid w:val="04AB215D"/>
    <w:rsid w:val="04AF2E97"/>
    <w:rsid w:val="061E65E2"/>
    <w:rsid w:val="06F90BF6"/>
    <w:rsid w:val="07970BA2"/>
    <w:rsid w:val="08A7434E"/>
    <w:rsid w:val="0BE573A8"/>
    <w:rsid w:val="0E072634"/>
    <w:rsid w:val="0F9F0794"/>
    <w:rsid w:val="12204B8B"/>
    <w:rsid w:val="1319260B"/>
    <w:rsid w:val="136528C0"/>
    <w:rsid w:val="13677631"/>
    <w:rsid w:val="14C37E78"/>
    <w:rsid w:val="18AE2B3A"/>
    <w:rsid w:val="19373BDA"/>
    <w:rsid w:val="19864D8D"/>
    <w:rsid w:val="1BD0222B"/>
    <w:rsid w:val="1CFD6AF5"/>
    <w:rsid w:val="1D6239C0"/>
    <w:rsid w:val="1D626E09"/>
    <w:rsid w:val="1E723C2D"/>
    <w:rsid w:val="1F175024"/>
    <w:rsid w:val="1F4F07A6"/>
    <w:rsid w:val="20191A90"/>
    <w:rsid w:val="21344F82"/>
    <w:rsid w:val="215D05D9"/>
    <w:rsid w:val="25215923"/>
    <w:rsid w:val="2561340A"/>
    <w:rsid w:val="258012EC"/>
    <w:rsid w:val="26A821CC"/>
    <w:rsid w:val="26F8176D"/>
    <w:rsid w:val="29AE7CF2"/>
    <w:rsid w:val="2A0133D4"/>
    <w:rsid w:val="2DB05EFE"/>
    <w:rsid w:val="2EDB28A9"/>
    <w:rsid w:val="2F125CDF"/>
    <w:rsid w:val="32142937"/>
    <w:rsid w:val="34246AB8"/>
    <w:rsid w:val="34836240"/>
    <w:rsid w:val="391907BB"/>
    <w:rsid w:val="39202C19"/>
    <w:rsid w:val="3CBD3C92"/>
    <w:rsid w:val="3D145A6E"/>
    <w:rsid w:val="3EC209F3"/>
    <w:rsid w:val="400B0127"/>
    <w:rsid w:val="415E00FF"/>
    <w:rsid w:val="41DC2EA6"/>
    <w:rsid w:val="437A5885"/>
    <w:rsid w:val="4383685A"/>
    <w:rsid w:val="46250CEB"/>
    <w:rsid w:val="467232DF"/>
    <w:rsid w:val="46CE7977"/>
    <w:rsid w:val="49B87D1D"/>
    <w:rsid w:val="4B136E00"/>
    <w:rsid w:val="4B875759"/>
    <w:rsid w:val="4E3948A4"/>
    <w:rsid w:val="4E4D46DB"/>
    <w:rsid w:val="4FE535BD"/>
    <w:rsid w:val="551D14C6"/>
    <w:rsid w:val="55823A64"/>
    <w:rsid w:val="577E1CD3"/>
    <w:rsid w:val="57CF0AB7"/>
    <w:rsid w:val="5BEB2977"/>
    <w:rsid w:val="5C893353"/>
    <w:rsid w:val="5F043FC1"/>
    <w:rsid w:val="63D23FBF"/>
    <w:rsid w:val="648975A2"/>
    <w:rsid w:val="66FE7017"/>
    <w:rsid w:val="6B7F4BC2"/>
    <w:rsid w:val="6B8745D4"/>
    <w:rsid w:val="6BF06720"/>
    <w:rsid w:val="6CAB3C7C"/>
    <w:rsid w:val="6DDB17D7"/>
    <w:rsid w:val="6EA25F07"/>
    <w:rsid w:val="6EF8785F"/>
    <w:rsid w:val="6F061F47"/>
    <w:rsid w:val="70DA0BEF"/>
    <w:rsid w:val="71852264"/>
    <w:rsid w:val="72875D1E"/>
    <w:rsid w:val="72C928DE"/>
    <w:rsid w:val="739F5FBB"/>
    <w:rsid w:val="76CA40F3"/>
    <w:rsid w:val="76F50674"/>
    <w:rsid w:val="77A520A3"/>
    <w:rsid w:val="7A664CCD"/>
    <w:rsid w:val="7C356F48"/>
    <w:rsid w:val="7D337D54"/>
    <w:rsid w:val="7E011047"/>
    <w:rsid w:val="7F250287"/>
    <w:rsid w:val="9FDDCB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link w:val="66"/>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6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6"/>
    <w:unhideWhenUsed/>
    <w:qFormat/>
    <w:uiPriority w:val="0"/>
    <w:pPr>
      <w:keepNext/>
      <w:keepLines/>
      <w:adjustRightInd w:val="0"/>
      <w:snapToGrid w:val="0"/>
      <w:spacing w:before="50" w:beforeLines="50" w:beforeAutospacing="0" w:after="50" w:afterLines="50" w:afterAutospacing="0" w:line="480" w:lineRule="exact"/>
      <w:ind w:firstLine="0" w:firstLineChars="0"/>
      <w:jc w:val="left"/>
      <w:outlineLvl w:val="2"/>
    </w:pPr>
    <w:rPr>
      <w:b/>
      <w:bCs/>
      <w:sz w:val="28"/>
      <w:szCs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next w:val="1"/>
    <w:unhideWhenUsed/>
    <w:qFormat/>
    <w:uiPriority w:val="0"/>
    <w:pPr>
      <w:ind w:firstLine="420"/>
    </w:pPr>
    <w:rPr>
      <w:szCs w:val="20"/>
    </w:rPr>
  </w:style>
  <w:style w:type="paragraph" w:styleId="8">
    <w:name w:val="caption"/>
    <w:basedOn w:val="1"/>
    <w:next w:val="9"/>
    <w:qFormat/>
    <w:uiPriority w:val="0"/>
    <w:pPr>
      <w:keepNext/>
      <w:snapToGrid w:val="0"/>
      <w:jc w:val="center"/>
    </w:pPr>
    <w:rPr>
      <w:rFonts w:ascii="宋体" w:hAnsi="宋体" w:cs="Arial"/>
      <w:kern w:val="0"/>
      <w:sz w:val="20"/>
      <w:szCs w:val="20"/>
    </w:rPr>
  </w:style>
  <w:style w:type="paragraph" w:customStyle="1" w:styleId="9">
    <w:name w:val="表格内格式"/>
    <w:basedOn w:val="10"/>
    <w:next w:val="11"/>
    <w:qFormat/>
    <w:uiPriority w:val="0"/>
    <w:pPr>
      <w:tabs>
        <w:tab w:val="left" w:pos="1021"/>
      </w:tabs>
      <w:spacing w:line="360" w:lineRule="exact"/>
      <w:jc w:val="center"/>
    </w:pPr>
    <w:rPr>
      <w:rFonts w:ascii="Times New Roman" w:hAnsi="Times New Roman" w:eastAsia="宋体" w:cs="Times New Roman"/>
      <w:sz w:val="21"/>
      <w:lang w:val="en-US" w:eastAsia="zh-CN" w:bidi="ar-SA"/>
    </w:rPr>
  </w:style>
  <w:style w:type="paragraph" w:customStyle="1" w:styleId="10">
    <w:name w:val="表格内容"/>
    <w:basedOn w:val="1"/>
    <w:qFormat/>
    <w:uiPriority w:val="0"/>
    <w:pPr>
      <w:spacing w:line="360" w:lineRule="auto"/>
      <w:ind w:firstLine="200" w:firstLineChars="200"/>
      <w:jc w:val="center"/>
    </w:pPr>
    <w:rPr>
      <w:rFonts w:ascii="宋体" w:hAnsi="宋体"/>
      <w:color w:val="000000"/>
      <w:kern w:val="0"/>
      <w:sz w:val="20"/>
    </w:rPr>
  </w:style>
  <w:style w:type="paragraph" w:customStyle="1" w:styleId="11">
    <w:name w:val="（正文）"/>
    <w:basedOn w:val="12"/>
    <w:qFormat/>
    <w:uiPriority w:val="0"/>
    <w:pPr>
      <w:widowControl w:val="0"/>
      <w:tabs>
        <w:tab w:val="left" w:pos="1021"/>
      </w:tabs>
      <w:spacing w:line="360" w:lineRule="auto"/>
      <w:ind w:firstLine="480" w:firstLineChars="200"/>
      <w:jc w:val="both"/>
    </w:pPr>
    <w:rPr>
      <w:rFonts w:ascii="宋体" w:hAnsi="Courier New" w:eastAsia="宋体" w:cs="Courier New"/>
      <w:kern w:val="2"/>
      <w:sz w:val="24"/>
      <w:szCs w:val="21"/>
      <w:lang w:val="en-US" w:eastAsia="zh-CN" w:bidi="ar-SA"/>
    </w:rPr>
  </w:style>
  <w:style w:type="paragraph" w:styleId="12">
    <w:name w:val="Plain Text"/>
    <w:basedOn w:val="1"/>
    <w:qFormat/>
    <w:uiPriority w:val="0"/>
    <w:pPr>
      <w:adjustRightInd w:val="0"/>
      <w:spacing w:line="240" w:lineRule="auto"/>
    </w:pPr>
    <w:rPr>
      <w:rFonts w:hint="eastAsia" w:ascii="宋体" w:hAnsi="Courier New"/>
      <w:sz w:val="21"/>
      <w:szCs w:val="20"/>
    </w:rPr>
  </w:style>
  <w:style w:type="paragraph" w:styleId="13">
    <w:name w:val="Body Text"/>
    <w:basedOn w:val="1"/>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65"/>
    <w:qFormat/>
    <w:uiPriority w:val="0"/>
    <w:pPr>
      <w:spacing w:after="120"/>
      <w:ind w:left="420" w:leftChars="200"/>
    </w:pPr>
  </w:style>
  <w:style w:type="paragraph" w:styleId="15">
    <w:name w:val="envelope return"/>
    <w:basedOn w:val="1"/>
    <w:semiHidden/>
    <w:qFormat/>
    <w:uiPriority w:val="0"/>
    <w:pPr>
      <w:snapToGrid w:val="0"/>
    </w:pPr>
    <w:rPr>
      <w:rFonts w:ascii="Arial" w:hAnsi="Arial" w:cs="Arial"/>
    </w:rPr>
  </w:style>
  <w:style w:type="paragraph" w:styleId="16">
    <w:name w:val="toc 3"/>
    <w:basedOn w:val="1"/>
    <w:next w:val="1"/>
    <w:qFormat/>
    <w:uiPriority w:val="0"/>
    <w:pPr>
      <w:ind w:left="840" w:leftChars="400"/>
    </w:pPr>
  </w:style>
  <w:style w:type="paragraph" w:styleId="17">
    <w:name w:val="List Bullet 5"/>
    <w:basedOn w:val="1"/>
    <w:qFormat/>
    <w:uiPriority w:val="0"/>
    <w:pPr>
      <w:numPr>
        <w:ilvl w:val="0"/>
        <w:numId w:val="1"/>
      </w:numPr>
    </w:p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toc 2"/>
    <w:basedOn w:val="1"/>
    <w:next w:val="1"/>
    <w:qFormat/>
    <w:uiPriority w:val="0"/>
    <w:pPr>
      <w:ind w:left="420" w:leftChars="200"/>
    </w:p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basedOn w:val="13"/>
    <w:qFormat/>
    <w:uiPriority w:val="0"/>
    <w:pPr>
      <w:spacing w:after="120" w:line="240" w:lineRule="auto"/>
      <w:ind w:firstLine="420" w:firstLineChars="100"/>
    </w:pPr>
    <w:rPr>
      <w:rFonts w:ascii="Times New Roman" w:eastAsia="宋体"/>
      <w:sz w:val="21"/>
    </w:rPr>
  </w:style>
  <w:style w:type="paragraph" w:styleId="24">
    <w:name w:val="Body Text First Indent 2"/>
    <w:basedOn w:val="14"/>
    <w:next w:val="1"/>
    <w:qFormat/>
    <w:uiPriority w:val="0"/>
    <w:pPr>
      <w:spacing w:after="120"/>
      <w:ind w:left="420" w:leftChars="200" w:firstLine="420"/>
    </w:pPr>
    <w:rPr>
      <w:sz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qFormat/>
    <w:uiPriority w:val="0"/>
    <w:rPr>
      <w:color w:val="0000FF"/>
      <w:u w:val="single"/>
    </w:rPr>
  </w:style>
  <w:style w:type="paragraph" w:customStyle="1" w:styleId="2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cs="宋体"/>
      <w:kern w:val="0"/>
      <w:sz w:val="20"/>
      <w:szCs w:val="20"/>
    </w:rPr>
  </w:style>
  <w:style w:type="paragraph" w:customStyle="1" w:styleId="30">
    <w:name w:val="Default"/>
    <w:basedOn w:val="31"/>
    <w:next w:val="24"/>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1">
    <w:name w:val="纯文本1"/>
    <w:basedOn w:val="1"/>
    <w:qFormat/>
    <w:uiPriority w:val="0"/>
    <w:rPr>
      <w:rFonts w:ascii="宋体" w:hAnsi="Courier New"/>
    </w:rPr>
  </w:style>
  <w:style w:type="paragraph" w:customStyle="1" w:styleId="32">
    <w:name w:val="正文首行缩进1"/>
    <w:basedOn w:val="1"/>
    <w:qFormat/>
    <w:uiPriority w:val="99"/>
    <w:pPr>
      <w:spacing w:after="120"/>
      <w:ind w:firstLine="420" w:firstLineChars="100"/>
    </w:pPr>
  </w:style>
  <w:style w:type="paragraph" w:customStyle="1" w:styleId="33">
    <w:name w:val="！正文 Alt+0"/>
    <w:basedOn w:val="1"/>
    <w:qFormat/>
    <w:uiPriority w:val="0"/>
    <w:pPr>
      <w:ind w:firstLine="200"/>
    </w:pPr>
    <w:rPr>
      <w:sz w:val="28"/>
      <w:szCs w:val="28"/>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6">
    <w:name w:val="Table Paragraph"/>
    <w:basedOn w:val="1"/>
    <w:qFormat/>
    <w:uiPriority w:val="1"/>
    <w:pPr>
      <w:jc w:val="center"/>
    </w:pPr>
    <w:rPr>
      <w:rFonts w:ascii="Times New Roman" w:hAnsi="Times New Roman" w:eastAsia="Times New Roman" w:cs="Times New Roman"/>
    </w:rPr>
  </w:style>
  <w:style w:type="paragraph" w:customStyle="1" w:styleId="37">
    <w:name w:val="样式9"/>
    <w:basedOn w:val="1"/>
    <w:qFormat/>
    <w:uiPriority w:val="0"/>
    <w:pPr>
      <w:spacing w:line="240" w:lineRule="auto"/>
      <w:ind w:firstLine="0" w:firstLineChars="0"/>
    </w:pPr>
    <w:rPr>
      <w:szCs w:val="26"/>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WPSOffice手动目录 3"/>
    <w:qFormat/>
    <w:uiPriority w:val="0"/>
    <w:pPr>
      <w:ind w:leftChars="400"/>
    </w:pPr>
    <w:rPr>
      <w:rFonts w:ascii="Times New Roman" w:hAnsi="Times New Roman" w:eastAsia="宋体" w:cs="Times New Roman"/>
      <w:sz w:val="20"/>
      <w:szCs w:val="20"/>
    </w:rPr>
  </w:style>
  <w:style w:type="paragraph" w:customStyle="1" w:styleId="41">
    <w:name w:val="报告表正文"/>
    <w:basedOn w:val="1"/>
    <w:qFormat/>
    <w:uiPriority w:val="0"/>
    <w:pPr>
      <w:adjustRightInd w:val="0"/>
      <w:spacing w:line="312" w:lineRule="auto"/>
      <w:ind w:left="113" w:right="113" w:firstLine="482"/>
      <w:jc w:val="left"/>
    </w:pPr>
    <w:rPr>
      <w:rFonts w:ascii="Times New Roman" w:hAnsi="Times New Roman" w:eastAsia="宋体" w:cs="Times New Roman"/>
      <w:kern w:val="0"/>
      <w:sz w:val="24"/>
      <w:szCs w:val="20"/>
    </w:rPr>
  </w:style>
  <w:style w:type="character" w:customStyle="1" w:styleId="42">
    <w:name w:val="15"/>
    <w:basedOn w:val="27"/>
    <w:qFormat/>
    <w:uiPriority w:val="0"/>
    <w:rPr>
      <w:rFonts w:ascii="Times New Roman" w:hAnsi="Times New Roman" w:eastAsia="宋体" w:cs="Times New Roman"/>
      <w:color w:val="000000"/>
    </w:rPr>
  </w:style>
  <w:style w:type="paragraph" w:customStyle="1" w:styleId="43">
    <w:name w:val="syt表头"/>
    <w:next w:val="1"/>
    <w:qFormat/>
    <w:uiPriority w:val="0"/>
    <w:pPr>
      <w:widowControl w:val="0"/>
      <w:adjustRightInd w:val="0"/>
      <w:snapToGrid w:val="0"/>
      <w:spacing w:line="480" w:lineRule="exact"/>
      <w:jc w:val="center"/>
    </w:pPr>
    <w:rPr>
      <w:rFonts w:ascii="Times New Roman" w:hAnsi="Times New Roman" w:eastAsia="宋体" w:cs="Times New Roman"/>
      <w:b/>
      <w:color w:val="000000"/>
      <w:kern w:val="2"/>
      <w:sz w:val="21"/>
      <w:szCs w:val="24"/>
      <w:lang w:val="en-US" w:eastAsia="zh-CN" w:bidi="ar-SA"/>
    </w:rPr>
  </w:style>
  <w:style w:type="paragraph" w:customStyle="1" w:styleId="44">
    <w:name w:val="隋月婷表格内容"/>
    <w:basedOn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szCs w:val="21"/>
    </w:rPr>
  </w:style>
  <w:style w:type="paragraph" w:customStyle="1" w:styleId="45">
    <w:name w:val="p0"/>
    <w:basedOn w:val="1"/>
    <w:qFormat/>
    <w:uiPriority w:val="0"/>
    <w:pPr>
      <w:widowControl/>
    </w:pPr>
    <w:rPr>
      <w:kern w:val="0"/>
      <w:szCs w:val="21"/>
    </w:rPr>
  </w:style>
  <w:style w:type="character" w:customStyle="1" w:styleId="46">
    <w:name w:val="标题 3 Char"/>
    <w:link w:val="4"/>
    <w:qFormat/>
    <w:uiPriority w:val="0"/>
    <w:rPr>
      <w:b/>
      <w:bCs/>
      <w:sz w:val="28"/>
      <w:szCs w:val="28"/>
    </w:rPr>
  </w:style>
  <w:style w:type="paragraph" w:customStyle="1" w:styleId="47">
    <w:name w:val="1表头"/>
    <w:basedOn w:val="1"/>
    <w:qFormat/>
    <w:uiPriority w:val="0"/>
    <w:pPr>
      <w:adjustRightInd/>
      <w:ind w:firstLine="0" w:firstLineChars="0"/>
      <w:jc w:val="center"/>
      <w:textAlignment w:val="auto"/>
    </w:pPr>
    <w:rPr>
      <w:b/>
      <w:kern w:val="2"/>
      <w:sz w:val="21"/>
      <w:szCs w:val="24"/>
      <w:lang w:eastAsia="zh-CN"/>
    </w:rPr>
  </w:style>
  <w:style w:type="paragraph" w:customStyle="1" w:styleId="48">
    <w:name w:val="1表格内容"/>
    <w:basedOn w:val="1"/>
    <w:qFormat/>
    <w:uiPriority w:val="0"/>
    <w:pPr>
      <w:snapToGrid/>
      <w:ind w:firstLine="0" w:firstLineChars="0"/>
      <w:jc w:val="center"/>
    </w:pPr>
    <w:rPr>
      <w:color w:val="000000"/>
      <w:kern w:val="2"/>
      <w:sz w:val="21"/>
      <w:lang w:eastAsia="zh-CN"/>
    </w:rPr>
  </w:style>
  <w:style w:type="character" w:customStyle="1" w:styleId="49">
    <w:name w:val="明显引用 字符"/>
    <w:qFormat/>
    <w:uiPriority w:val="0"/>
    <w:rPr>
      <w:rFonts w:ascii="Times New Roman" w:hAnsi="Times New Roman" w:eastAsia="宋体"/>
      <w:bCs/>
      <w:iCs/>
      <w:sz w:val="21"/>
    </w:rPr>
  </w:style>
  <w:style w:type="character" w:customStyle="1" w:styleId="50">
    <w:name w:val="font11"/>
    <w:basedOn w:val="27"/>
    <w:qFormat/>
    <w:uiPriority w:val="0"/>
    <w:rPr>
      <w:rFonts w:ascii="宋体" w:hAnsi="宋体" w:eastAsia="宋体" w:cs="宋体"/>
      <w:b/>
      <w:bCs/>
      <w:color w:val="000000"/>
      <w:sz w:val="26"/>
      <w:szCs w:val="26"/>
      <w:u w:val="none"/>
    </w:rPr>
  </w:style>
  <w:style w:type="character" w:customStyle="1" w:styleId="51">
    <w:name w:val="font21"/>
    <w:basedOn w:val="27"/>
    <w:qFormat/>
    <w:uiPriority w:val="0"/>
    <w:rPr>
      <w:rFonts w:ascii="宋体" w:hAnsi="宋体" w:eastAsia="宋体" w:cs="宋体"/>
      <w:color w:val="000000"/>
      <w:sz w:val="26"/>
      <w:szCs w:val="26"/>
      <w:u w:val="none"/>
    </w:rPr>
  </w:style>
  <w:style w:type="character" w:customStyle="1" w:styleId="52">
    <w:name w:val="font31"/>
    <w:basedOn w:val="27"/>
    <w:qFormat/>
    <w:uiPriority w:val="0"/>
    <w:rPr>
      <w:rFonts w:ascii="宋体" w:hAnsi="宋体" w:eastAsia="宋体" w:cs="宋体"/>
      <w:color w:val="000000"/>
      <w:sz w:val="26"/>
      <w:szCs w:val="26"/>
      <w:u w:val="none"/>
    </w:rPr>
  </w:style>
  <w:style w:type="paragraph" w:customStyle="1" w:styleId="53">
    <w:name w:val="正 文"/>
    <w:basedOn w:val="1"/>
    <w:qFormat/>
    <w:uiPriority w:val="0"/>
    <w:pPr>
      <w:widowControl w:val="0"/>
      <w:spacing w:line="360" w:lineRule="auto"/>
      <w:ind w:firstLine="562" w:firstLineChars="200"/>
      <w:jc w:val="both"/>
    </w:pPr>
    <w:rPr>
      <w:rFonts w:ascii="Arial" w:hAnsi="Arial" w:eastAsia="Times New Roman" w:cs="Times New Roman"/>
    </w:rPr>
  </w:style>
  <w:style w:type="character" w:customStyle="1" w:styleId="54">
    <w:name w:val="font41"/>
    <w:basedOn w:val="27"/>
    <w:qFormat/>
    <w:uiPriority w:val="0"/>
    <w:rPr>
      <w:rFonts w:ascii="宋体" w:hAnsi="宋体" w:eastAsia="宋体" w:cs="宋体"/>
      <w:color w:val="000000"/>
      <w:sz w:val="28"/>
      <w:szCs w:val="28"/>
      <w:u w:val="none"/>
    </w:rPr>
  </w:style>
  <w:style w:type="character" w:customStyle="1" w:styleId="55">
    <w:name w:val="font51"/>
    <w:basedOn w:val="27"/>
    <w:qFormat/>
    <w:uiPriority w:val="0"/>
    <w:rPr>
      <w:rFonts w:hint="default" w:ascii="Arial" w:hAnsi="Arial" w:cs="Arial"/>
      <w:color w:val="000000"/>
      <w:sz w:val="7"/>
      <w:szCs w:val="7"/>
      <w:u w:val="none"/>
    </w:rPr>
  </w:style>
  <w:style w:type="character" w:customStyle="1" w:styleId="56">
    <w:name w:val="font61"/>
    <w:basedOn w:val="27"/>
    <w:qFormat/>
    <w:uiPriority w:val="0"/>
    <w:rPr>
      <w:rFonts w:ascii="宋体" w:hAnsi="宋体" w:eastAsia="宋体" w:cs="宋体"/>
      <w:color w:val="703100"/>
      <w:sz w:val="26"/>
      <w:szCs w:val="26"/>
      <w:u w:val="none"/>
    </w:rPr>
  </w:style>
  <w:style w:type="character" w:customStyle="1" w:styleId="57">
    <w:name w:val="font71"/>
    <w:basedOn w:val="27"/>
    <w:qFormat/>
    <w:uiPriority w:val="0"/>
    <w:rPr>
      <w:rFonts w:ascii="宋体" w:hAnsi="宋体" w:eastAsia="宋体" w:cs="宋体"/>
      <w:color w:val="004A9E"/>
      <w:sz w:val="26"/>
      <w:szCs w:val="26"/>
      <w:u w:val="none"/>
    </w:rPr>
  </w:style>
  <w:style w:type="character" w:customStyle="1" w:styleId="58">
    <w:name w:val="font81"/>
    <w:basedOn w:val="27"/>
    <w:qFormat/>
    <w:uiPriority w:val="0"/>
    <w:rPr>
      <w:rFonts w:ascii="宋体" w:hAnsi="宋体" w:eastAsia="宋体" w:cs="宋体"/>
      <w:color w:val="030059"/>
      <w:sz w:val="26"/>
      <w:szCs w:val="26"/>
      <w:u w:val="none"/>
    </w:rPr>
  </w:style>
  <w:style w:type="character" w:customStyle="1" w:styleId="59">
    <w:name w:val="font91"/>
    <w:basedOn w:val="27"/>
    <w:qFormat/>
    <w:uiPriority w:val="0"/>
    <w:rPr>
      <w:rFonts w:ascii="宋体" w:hAnsi="宋体" w:eastAsia="宋体" w:cs="宋体"/>
      <w:color w:val="54464E"/>
      <w:sz w:val="26"/>
      <w:szCs w:val="26"/>
      <w:u w:val="none"/>
    </w:rPr>
  </w:style>
  <w:style w:type="character" w:customStyle="1" w:styleId="60">
    <w:name w:val="font101"/>
    <w:basedOn w:val="27"/>
    <w:qFormat/>
    <w:uiPriority w:val="0"/>
    <w:rPr>
      <w:rFonts w:ascii="宋体" w:hAnsi="宋体" w:eastAsia="宋体" w:cs="宋体"/>
      <w:color w:val="090081"/>
      <w:sz w:val="26"/>
      <w:szCs w:val="26"/>
      <w:u w:val="none"/>
    </w:rPr>
  </w:style>
  <w:style w:type="character" w:customStyle="1" w:styleId="61">
    <w:name w:val="font112"/>
    <w:basedOn w:val="27"/>
    <w:qFormat/>
    <w:uiPriority w:val="0"/>
    <w:rPr>
      <w:rFonts w:hint="default" w:ascii="Arial" w:hAnsi="Arial" w:cs="Arial"/>
      <w:color w:val="000000"/>
      <w:sz w:val="12"/>
      <w:szCs w:val="12"/>
      <w:u w:val="none"/>
    </w:rPr>
  </w:style>
  <w:style w:type="character" w:customStyle="1" w:styleId="62">
    <w:name w:val="font121"/>
    <w:basedOn w:val="27"/>
    <w:qFormat/>
    <w:uiPriority w:val="0"/>
    <w:rPr>
      <w:rFonts w:ascii="宋体" w:hAnsi="宋体" w:eastAsia="宋体" w:cs="宋体"/>
      <w:color w:val="004695"/>
      <w:sz w:val="26"/>
      <w:szCs w:val="26"/>
      <w:u w:val="none"/>
    </w:rPr>
  </w:style>
  <w:style w:type="character" w:customStyle="1" w:styleId="63">
    <w:name w:val="font111"/>
    <w:basedOn w:val="27"/>
    <w:qFormat/>
    <w:uiPriority w:val="0"/>
    <w:rPr>
      <w:rFonts w:ascii="宋体" w:hAnsi="宋体" w:eastAsia="宋体" w:cs="宋体"/>
      <w:color w:val="762B00"/>
      <w:sz w:val="26"/>
      <w:szCs w:val="26"/>
      <w:u w:val="none"/>
    </w:rPr>
  </w:style>
  <w:style w:type="paragraph" w:customStyle="1" w:styleId="64">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character" w:customStyle="1" w:styleId="65">
    <w:name w:val="正文文本缩进 Char"/>
    <w:link w:val="14"/>
    <w:qFormat/>
    <w:locked/>
    <w:uiPriority w:val="0"/>
  </w:style>
  <w:style w:type="character" w:customStyle="1" w:styleId="66">
    <w:name w:val="标题 1 Char"/>
    <w:link w:val="2"/>
    <w:qFormat/>
    <w:uiPriority w:val="0"/>
    <w:rPr>
      <w:b/>
      <w:kern w:val="44"/>
      <w:sz w:val="44"/>
    </w:rPr>
  </w:style>
  <w:style w:type="paragraph" w:customStyle="1" w:styleId="67">
    <w:name w:val="标准正文"/>
    <w:basedOn w:val="1"/>
    <w:qFormat/>
    <w:uiPriority w:val="0"/>
    <w:pPr>
      <w:widowControl/>
      <w:spacing w:line="360" w:lineRule="auto"/>
      <w:ind w:firstLine="480" w:firstLineChars="200"/>
      <w:jc w:val="left"/>
    </w:pPr>
    <w:rPr>
      <w:sz w:val="21"/>
    </w:rPr>
  </w:style>
  <w:style w:type="character" w:customStyle="1" w:styleId="68">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4"/>
    <customShpInfo spid="_x0000_s206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157</Pages>
  <Words>9820</Words>
  <Characters>10368</Characters>
  <TotalTime>2</TotalTime>
  <ScaleCrop>false</ScaleCrop>
  <LinksUpToDate>false</LinksUpToDate>
  <CharactersWithSpaces>10795</CharactersWithSpaces>
  <Application>WPS Office_11.8.2.10251_F1E327BC-269C-435d-A152-05C5408002CA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2022-06-24T18:00:00Z</dcterms:created>
  <dc:creator>Administrator</dc:creator>
  <cp:lastModifiedBy>kylin</cp:lastModifiedBy>
  <cp:lastPrinted>2024-10-08T15:07:00Z</cp:lastPrinted>
  <dcterms:modified xsi:type="dcterms:W3CDTF">2024-11-05T11:07:51Z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2023-04-03T12:20:57Z</vt:filetime>
  </property>
  <property fmtid="{D5CDD505-2E9C-101B-9397-08002B2CF9AE}" pid="4" name="KSOProductBuildVer">
    <vt:lpwstr>2052-11.8.2.10251</vt:lpwstr>
  </property>
  <property fmtid="{D5CDD505-2E9C-101B-9397-08002B2CF9AE}" pid="5" name="ICV">
    <vt:lpwstr>0AA429B82248488CB980C38CC0F9AAF1_13</vt:lpwstr>
  </property>
</Properties>
</file>