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p>
                  </w:txbxContent>
                </v:textbox>
              </v:shape>
            </w:pict>
          </mc:Fallback>
        </mc:AlternateContent>
      </w:r>
    </w:p>
    <w:p>
      <w:pPr>
        <w:pStyle w:val="19"/>
        <w:jc w:val="center"/>
        <w:rPr>
          <w:sz w:val="56"/>
          <w:szCs w:val="56"/>
        </w:rPr>
      </w:pPr>
    </w:p>
    <w:p>
      <w:pPr>
        <w:pStyle w:val="19"/>
        <w:jc w:val="center"/>
        <w:rPr>
          <w:sz w:val="84"/>
          <w:szCs w:val="84"/>
        </w:rPr>
      </w:pPr>
    </w:p>
    <w:p>
      <w:pPr>
        <w:pStyle w:val="19"/>
        <w:jc w:val="center"/>
        <w:rPr>
          <w:sz w:val="84"/>
          <w:szCs w:val="84"/>
        </w:rPr>
      </w:pPr>
    </w:p>
    <w:p>
      <w:pPr>
        <w:pStyle w:val="1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9"/>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永州市人民政府国有资产监督管理委员会</w:t>
      </w:r>
    </w:p>
    <w:p>
      <w:pPr>
        <w:pStyle w:val="1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9"/>
        <w:jc w:val="center"/>
        <w:rPr>
          <w:rFonts w:hint="eastAsia" w:ascii="方正小标宋_GBK" w:hAnsi="方正小标宋_GBK" w:eastAsia="方正小标宋_GBK" w:cs="方正小标宋_GBK"/>
          <w:sz w:val="84"/>
          <w:szCs w:val="84"/>
        </w:rPr>
      </w:pPr>
    </w:p>
    <w:p>
      <w:pPr>
        <w:pStyle w:val="19"/>
        <w:jc w:val="center"/>
        <w:rPr>
          <w:rFonts w:hint="eastAsia" w:ascii="方正小标宋_GBK" w:hAnsi="方正小标宋_GBK" w:eastAsia="方正小标宋_GBK" w:cs="方正小标宋_GBK"/>
          <w:sz w:val="56"/>
          <w:szCs w:val="56"/>
        </w:rPr>
      </w:pPr>
    </w:p>
    <w:p>
      <w:pPr>
        <w:pStyle w:val="19"/>
        <w:jc w:val="center"/>
        <w:rPr>
          <w:sz w:val="56"/>
          <w:szCs w:val="56"/>
        </w:rPr>
      </w:pPr>
    </w:p>
    <w:p>
      <w:pPr>
        <w:pStyle w:val="19"/>
        <w:spacing w:line="540" w:lineRule="exact"/>
        <w:jc w:val="both"/>
        <w:rPr>
          <w:sz w:val="56"/>
          <w:szCs w:val="56"/>
        </w:rPr>
      </w:pPr>
    </w:p>
    <w:p>
      <w:pPr>
        <w:pStyle w:val="19"/>
        <w:spacing w:line="500" w:lineRule="exact"/>
        <w:jc w:val="both"/>
        <w:rPr>
          <w:b/>
          <w:sz w:val="36"/>
          <w:szCs w:val="28"/>
        </w:rPr>
      </w:pPr>
    </w:p>
    <w:p>
      <w:pPr>
        <w:pStyle w:val="19"/>
        <w:spacing w:line="500" w:lineRule="exact"/>
        <w:jc w:val="center"/>
        <w:rPr>
          <w:b/>
          <w:sz w:val="36"/>
          <w:szCs w:val="28"/>
        </w:rPr>
      </w:pPr>
      <w:r>
        <w:rPr>
          <w:rFonts w:hint="eastAsia"/>
          <w:b/>
          <w:sz w:val="36"/>
          <w:szCs w:val="28"/>
        </w:rPr>
        <w:t>目录</w:t>
      </w:r>
    </w:p>
    <w:p>
      <w:pPr>
        <w:pStyle w:val="19"/>
        <w:keepNext w:val="0"/>
        <w:keepLines w:val="0"/>
        <w:pageBreakBefore w:val="0"/>
        <w:widowControl w:val="0"/>
        <w:kinsoku/>
        <w:wordWrap/>
        <w:overflowPunct/>
        <w:topLinePunct w:val="0"/>
        <w:bidi w:val="0"/>
        <w:snapToGrid/>
        <w:spacing w:line="62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b/>
          <w:sz w:val="28"/>
          <w:szCs w:val="28"/>
        </w:rPr>
        <w:t>永州市人民政府国有资产监督管理委员会概况</w:t>
      </w:r>
    </w:p>
    <w:p>
      <w:pPr>
        <w:pStyle w:val="1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9"/>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9"/>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9"/>
        <w:jc w:val="center"/>
        <w:rPr>
          <w:rFonts w:hint="eastAsia" w:ascii="方正小标宋_GBK" w:hAnsi="方正小标宋_GBK" w:eastAsia="方正小标宋_GBK" w:cs="方正小标宋_GBK"/>
          <w:sz w:val="84"/>
          <w:szCs w:val="84"/>
        </w:rPr>
      </w:pPr>
    </w:p>
    <w:p>
      <w:pPr>
        <w:jc w:val="center"/>
        <w:rPr>
          <w:rFonts w:ascii="黑体" w:eastAsia="黑体" w:cs="黑体"/>
          <w:color w:val="000000"/>
          <w:spacing w:val="-4"/>
          <w:kern w:val="0"/>
          <w:sz w:val="70"/>
          <w:szCs w:val="70"/>
        </w:rPr>
      </w:pPr>
      <w:r>
        <w:rPr>
          <w:rFonts w:hint="eastAsia" w:ascii="黑体" w:eastAsia="黑体" w:cs="黑体"/>
          <w:color w:val="000000"/>
          <w:spacing w:val="-4"/>
          <w:kern w:val="0"/>
          <w:sz w:val="70"/>
          <w:szCs w:val="70"/>
        </w:rPr>
        <w:t>永州市人民政府国有资产监督管理委员会概况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snapToGrid w:val="0"/>
        <w:spacing w:line="360" w:lineRule="auto"/>
        <w:ind w:firstLine="643" w:firstLineChars="200"/>
        <w:rPr>
          <w:rFonts w:hint="eastAsia" w:ascii="黑体" w:hAnsi="黑体" w:eastAsia="黑体" w:cs="黑体"/>
          <w:b/>
          <w:sz w:val="32"/>
          <w:szCs w:val="32"/>
        </w:rPr>
      </w:pPr>
      <w:r>
        <w:rPr>
          <w:rFonts w:hint="eastAsia" w:ascii="黑体" w:hAnsi="黑体" w:eastAsia="黑体" w:cs="黑体"/>
          <w:b/>
          <w:sz w:val="32"/>
          <w:szCs w:val="32"/>
        </w:rPr>
        <w:t>一、部门职责</w:t>
      </w:r>
    </w:p>
    <w:p>
      <w:pPr>
        <w:adjustRightInd w:val="0"/>
        <w:snapToGrid w:val="0"/>
        <w:spacing w:line="360" w:lineRule="auto"/>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依照《中华人民共和国公司法》、《企业国有资产监督管理暂行条例》等法律、行政法规履行出资人职责</w:t>
      </w:r>
      <w:r>
        <w:rPr>
          <w:rFonts w:hint="eastAsia" w:ascii="仿宋_GB2312" w:hAnsi="仿宋_GB2312" w:eastAsia="仿宋_GB2312" w:cs="仿宋_GB2312"/>
          <w:bCs/>
          <w:sz w:val="32"/>
          <w:szCs w:val="32"/>
          <w:lang w:val="en-US" w:eastAsia="zh-CN"/>
        </w:rPr>
        <w:t>；</w:t>
      </w:r>
    </w:p>
    <w:p>
      <w:pPr>
        <w:adjustRightInd w:val="0"/>
        <w:snapToGrid w:val="0"/>
        <w:spacing w:line="360" w:lineRule="auto"/>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（二）承担</w:t>
      </w:r>
      <w:r>
        <w:rPr>
          <w:rFonts w:hint="eastAsia" w:ascii="仿宋_GB2312" w:hAnsi="仿宋_GB2312" w:eastAsia="仿宋_GB2312" w:cs="仿宋_GB2312"/>
          <w:bCs/>
          <w:sz w:val="32"/>
          <w:szCs w:val="32"/>
        </w:rPr>
        <w:t>监管企业国有资产保值增值的责任</w:t>
      </w:r>
      <w:r>
        <w:rPr>
          <w:rFonts w:hint="eastAsia" w:ascii="仿宋_GB2312" w:hAnsi="仿宋_GB2312" w:eastAsia="仿宋_GB2312" w:cs="仿宋_GB2312"/>
          <w:bCs/>
          <w:sz w:val="32"/>
          <w:szCs w:val="32"/>
          <w:lang w:val="en-US" w:eastAsia="zh-CN"/>
        </w:rPr>
        <w:t>；</w:t>
      </w:r>
    </w:p>
    <w:p>
      <w:pPr>
        <w:adjustRightInd w:val="0"/>
        <w:snapToGrid w:val="0"/>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指导和推进市属承担监督所国有企业改革和重组；</w:t>
      </w:r>
    </w:p>
    <w:p>
      <w:pPr>
        <w:adjustRightInd w:val="0"/>
        <w:snapToGrid w:val="0"/>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通过法定程序，对所监管企业的负责人进行任免、考核、奖惩；</w:t>
      </w:r>
    </w:p>
    <w:p>
      <w:pPr>
        <w:adjustRightInd w:val="0"/>
        <w:snapToGrid w:val="0"/>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rPr>
        <w:t>负责组织所监管企业上交国有资本收益；</w:t>
      </w:r>
    </w:p>
    <w:p>
      <w:pPr>
        <w:adjustRightInd w:val="0"/>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负责企业国有资产基础管理，起草有关国有资产管理的规范性文件；根据市政府授权，代表</w:t>
      </w:r>
      <w:r>
        <w:rPr>
          <w:rFonts w:hint="eastAsia" w:ascii="仿宋_GB2312" w:hAnsi="仿宋_GB2312" w:eastAsia="仿宋_GB2312" w:cs="仿宋_GB2312"/>
          <w:bCs/>
          <w:sz w:val="32"/>
          <w:szCs w:val="32"/>
          <w:lang w:val="en-US" w:eastAsia="zh-CN"/>
        </w:rPr>
        <w:t>政府</w:t>
      </w:r>
      <w:r>
        <w:rPr>
          <w:rFonts w:hint="eastAsia" w:ascii="仿宋_GB2312" w:hAnsi="仿宋_GB2312" w:eastAsia="仿宋_GB2312" w:cs="仿宋_GB2312"/>
          <w:bCs/>
          <w:sz w:val="32"/>
          <w:szCs w:val="32"/>
        </w:rPr>
        <w:t>对市属国有企业履行国有资产出资人职责，并进行监督管理。</w:t>
      </w:r>
    </w:p>
    <w:p>
      <w:pPr>
        <w:snapToGrid w:val="0"/>
        <w:spacing w:line="360" w:lineRule="auto"/>
        <w:ind w:firstLine="643" w:firstLineChars="200"/>
        <w:rPr>
          <w:rFonts w:hint="eastAsia" w:ascii="黑体" w:hAnsi="黑体" w:eastAsia="黑体" w:cs="黑体"/>
          <w:b/>
          <w:sz w:val="32"/>
          <w:szCs w:val="32"/>
        </w:rPr>
      </w:pPr>
      <w:r>
        <w:rPr>
          <w:rFonts w:hint="eastAsia" w:ascii="黑体" w:hAnsi="黑体" w:eastAsia="黑体" w:cs="黑体"/>
          <w:b/>
          <w:sz w:val="32"/>
          <w:szCs w:val="32"/>
        </w:rPr>
        <w:t>二、机构设置及决算单位构成</w:t>
      </w:r>
    </w:p>
    <w:p>
      <w:pPr>
        <w:snapToGrid w:val="0"/>
        <w:spacing w:line="360" w:lineRule="auto"/>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（一）内设机构设置。</w:t>
      </w:r>
    </w:p>
    <w:p>
      <w:pPr>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永州市人民政府国有资产监督管理委员会</w:t>
      </w:r>
      <w:r>
        <w:rPr>
          <w:rFonts w:hint="eastAsia" w:ascii="仿宋_GB2312" w:hAnsi="仿宋_GB2312" w:eastAsia="仿宋_GB2312" w:cs="仿宋_GB2312"/>
          <w:bCs/>
          <w:sz w:val="32"/>
          <w:szCs w:val="32"/>
        </w:rPr>
        <w:t>内设</w:t>
      </w:r>
      <w:r>
        <w:rPr>
          <w:rFonts w:hint="eastAsia" w:ascii="仿宋_GB2312" w:hAnsi="仿宋_GB2312" w:eastAsia="仿宋_GB2312" w:cs="仿宋_GB2312"/>
          <w:bCs/>
          <w:sz w:val="32"/>
          <w:szCs w:val="32"/>
          <w:lang w:val="en-US" w:eastAsia="zh-CN"/>
        </w:rPr>
        <w:t>机构包括：</w:t>
      </w:r>
      <w:r>
        <w:rPr>
          <w:rFonts w:hint="eastAsia" w:ascii="仿宋_GB2312" w:hAnsi="仿宋_GB2312" w:eastAsia="仿宋_GB2312" w:cs="仿宋_GB2312"/>
          <w:bCs/>
          <w:sz w:val="32"/>
          <w:szCs w:val="32"/>
        </w:rPr>
        <w:t>办公室（加挂党委办公室、政策法规科）、</w:t>
      </w:r>
      <w:r>
        <w:rPr>
          <w:rFonts w:hint="eastAsia" w:ascii="仿宋_GB2312" w:hAnsi="仿宋_GB2312" w:eastAsia="仿宋_GB2312" w:cs="仿宋_GB2312"/>
          <w:bCs/>
          <w:sz w:val="32"/>
          <w:szCs w:val="32"/>
          <w:lang w:val="en-US" w:eastAsia="zh-CN"/>
        </w:rPr>
        <w:t>监督与考核科</w:t>
      </w:r>
      <w:r>
        <w:rPr>
          <w:rFonts w:hint="eastAsia" w:ascii="仿宋_GB2312" w:hAnsi="仿宋_GB2312" w:eastAsia="仿宋_GB2312" w:cs="仿宋_GB2312"/>
          <w:bCs/>
          <w:sz w:val="32"/>
          <w:szCs w:val="32"/>
        </w:rPr>
        <w:t>、产权管理科、规划发展</w:t>
      </w:r>
      <w:r>
        <w:rPr>
          <w:rFonts w:hint="eastAsia" w:ascii="仿宋_GB2312" w:hAnsi="仿宋_GB2312" w:eastAsia="仿宋_GB2312" w:cs="仿宋_GB2312"/>
          <w:bCs/>
          <w:sz w:val="32"/>
          <w:szCs w:val="32"/>
          <w:lang w:val="en-US" w:eastAsia="zh-CN"/>
        </w:rPr>
        <w:t>与</w:t>
      </w:r>
      <w:r>
        <w:rPr>
          <w:rFonts w:hint="eastAsia" w:ascii="仿宋_GB2312" w:hAnsi="仿宋_GB2312" w:eastAsia="仿宋_GB2312" w:cs="仿宋_GB2312"/>
          <w:bCs/>
          <w:sz w:val="32"/>
          <w:szCs w:val="32"/>
        </w:rPr>
        <w:t>改革改制科、人事科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改制企业市管干部管理科）</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社会责任</w:t>
      </w:r>
      <w:r>
        <w:rPr>
          <w:rFonts w:hint="eastAsia" w:ascii="仿宋_GB2312" w:hAnsi="仿宋_GB2312" w:eastAsia="仿宋_GB2312" w:cs="仿宋_GB2312"/>
          <w:bCs/>
          <w:sz w:val="32"/>
          <w:szCs w:val="32"/>
        </w:rPr>
        <w:t>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安全生产工作办公室）</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lang w:val="en-US" w:eastAsia="zh-CN"/>
        </w:rPr>
        <w:t>对外</w:t>
      </w:r>
      <w:r>
        <w:rPr>
          <w:rFonts w:hint="eastAsia" w:ascii="仿宋_GB2312" w:hAnsi="仿宋_GB2312" w:eastAsia="仿宋_GB2312" w:cs="仿宋_GB2312"/>
          <w:sz w:val="32"/>
          <w:szCs w:val="32"/>
        </w:rPr>
        <w:t>合作科、</w:t>
      </w:r>
      <w:r>
        <w:rPr>
          <w:rFonts w:hint="eastAsia" w:ascii="仿宋_GB2312" w:hAnsi="仿宋_GB2312" w:eastAsia="仿宋_GB2312" w:cs="仿宋_GB2312"/>
          <w:bCs/>
          <w:sz w:val="32"/>
          <w:szCs w:val="32"/>
        </w:rPr>
        <w:t>党建科</w:t>
      </w:r>
      <w:r>
        <w:rPr>
          <w:rFonts w:hint="eastAsia" w:ascii="仿宋_GB2312" w:hAnsi="仿宋_GB2312" w:eastAsia="仿宋_GB2312" w:cs="仿宋_GB2312"/>
          <w:bCs/>
          <w:sz w:val="32"/>
          <w:szCs w:val="32"/>
          <w:lang w:val="en-US" w:eastAsia="zh-CN"/>
        </w:rPr>
        <w:t>等8</w:t>
      </w:r>
      <w:r>
        <w:rPr>
          <w:rFonts w:hint="eastAsia" w:ascii="仿宋_GB2312" w:hAnsi="仿宋_GB2312" w:eastAsia="仿宋_GB2312" w:cs="仿宋_GB2312"/>
          <w:bCs/>
          <w:sz w:val="32"/>
          <w:szCs w:val="32"/>
        </w:rPr>
        <w:t>个职能科室；归口管理市国有资产运营服务中心、市医药产业发展服务中心、市铜山岭有色金属矿社区服务中心。</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人员编制共3</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名，其中行政编制1</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名，工勤编制2名，全额拨款事业编制13名，现有干部职工3</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人。车辆编制1台，实有车辆0台</w:t>
      </w:r>
      <w:r>
        <w:rPr>
          <w:rFonts w:hint="eastAsia" w:ascii="仿宋_GB2312" w:hAnsi="仿宋_GB2312" w:eastAsia="仿宋_GB2312" w:cs="仿宋_GB2312"/>
          <w:sz w:val="32"/>
          <w:szCs w:val="32"/>
        </w:rPr>
        <w:t>。</w:t>
      </w:r>
    </w:p>
    <w:p>
      <w:pPr>
        <w:numPr>
          <w:ilvl w:val="0"/>
          <w:numId w:val="1"/>
        </w:numPr>
        <w:snapToGrid w:val="0"/>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决算单位构成</w:t>
      </w:r>
    </w:p>
    <w:p>
      <w:pPr>
        <w:snapToGrid w:val="0"/>
        <w:spacing w:line="360" w:lineRule="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Cs/>
          <w:sz w:val="32"/>
          <w:szCs w:val="32"/>
          <w:lang w:val="en-US" w:eastAsia="zh-CN"/>
        </w:rPr>
        <w:t>永州市人民政府国有资产监督管理委员会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年度部门决算汇总公开单位构成包括：</w:t>
      </w:r>
      <w:r>
        <w:rPr>
          <w:rFonts w:hint="eastAsia" w:ascii="仿宋_GB2312" w:hAnsi="仿宋_GB2312" w:eastAsia="仿宋_GB2312" w:cs="仿宋_GB2312"/>
          <w:bCs/>
          <w:sz w:val="32"/>
          <w:szCs w:val="32"/>
        </w:rPr>
        <w:t>永州市人民政府国有资产监督管理委员会本级以及下属管理的两个事业单位：永州市国有资产运营服务中心、永州市医药产业发展服务中心。</w:t>
      </w:r>
      <w:r>
        <w:rPr>
          <w:rFonts w:hint="eastAsia" w:ascii="仿宋_GB2312" w:hAnsi="仿宋_GB2312" w:eastAsia="仿宋_GB2312" w:cs="仿宋_GB2312"/>
          <w:bCs/>
          <w:sz w:val="32"/>
          <w:szCs w:val="32"/>
          <w:lang w:val="en-US" w:eastAsia="zh-CN"/>
        </w:rPr>
        <w:t>市政府临时机构--市国企改革办（由于市国企改革办工作经费预算在财政大预算中，支出由国资委转拨，本年度决算支出合并在委机关公开）。</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9"/>
        <w:jc w:val="both"/>
        <w:rPr>
          <w:rFonts w:hint="eastAsia" w:ascii="方正小标宋_GBK" w:hAnsi="方正小标宋_GBK" w:eastAsia="方正小标宋_GBK" w:cs="方正小标宋_GBK"/>
          <w:sz w:val="84"/>
          <w:szCs w:val="84"/>
        </w:rPr>
      </w:pPr>
    </w:p>
    <w:p>
      <w:pPr>
        <w:pStyle w:val="19"/>
        <w:jc w:val="center"/>
        <w:rPr>
          <w:rFonts w:hint="eastAsia" w:ascii="方正小标宋_GBK" w:hAnsi="方正小标宋_GBK" w:eastAsia="方正小标宋_GBK" w:cs="方正小标宋_GBK"/>
          <w:sz w:val="84"/>
          <w:szCs w:val="84"/>
        </w:rPr>
      </w:pPr>
    </w:p>
    <w:p>
      <w:pPr>
        <w:pStyle w:val="19"/>
        <w:jc w:val="both"/>
        <w:rPr>
          <w:rFonts w:hint="eastAsia" w:eastAsia="方正小标宋_GBK"/>
          <w:sz w:val="72"/>
          <w:szCs w:val="72"/>
          <w:lang w:val="en-US" w:eastAsia="zh-CN"/>
        </w:rPr>
      </w:pPr>
    </w:p>
    <w:p>
      <w:pPr>
        <w:pStyle w:val="19"/>
        <w:jc w:val="both"/>
        <w:rPr>
          <w:rFonts w:hint="eastAsia" w:eastAsia="方正小标宋_GBK"/>
          <w:sz w:val="72"/>
          <w:szCs w:val="72"/>
          <w:lang w:val="en-US" w:eastAsia="zh-CN"/>
        </w:rPr>
      </w:pPr>
    </w:p>
    <w:p>
      <w:pPr>
        <w:pStyle w:val="19"/>
        <w:jc w:val="both"/>
        <w:rPr>
          <w:rFonts w:hint="eastAsia" w:eastAsia="方正小标宋_GBK"/>
          <w:sz w:val="72"/>
          <w:szCs w:val="72"/>
          <w:lang w:val="en-US" w:eastAsia="zh-CN"/>
        </w:rPr>
      </w:pPr>
    </w:p>
    <w:p>
      <w:pPr>
        <w:pStyle w:val="19"/>
        <w:jc w:val="both"/>
        <w:rPr>
          <w:rFonts w:hint="eastAsia" w:eastAsia="方正小标宋_GBK"/>
          <w:sz w:val="72"/>
          <w:szCs w:val="72"/>
          <w:lang w:val="en-US" w:eastAsia="zh-CN"/>
        </w:rPr>
      </w:pPr>
    </w:p>
    <w:p>
      <w:pPr>
        <w:pStyle w:val="19"/>
        <w:jc w:val="both"/>
        <w:rPr>
          <w:rFonts w:hint="eastAsia" w:eastAsia="方正小标宋_GBK"/>
          <w:sz w:val="72"/>
          <w:szCs w:val="72"/>
          <w:lang w:val="en-US" w:eastAsia="zh-CN"/>
        </w:rPr>
      </w:pPr>
    </w:p>
    <w:p>
      <w:pPr>
        <w:pStyle w:val="1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rFonts w:hint="eastAsia" w:ascii="楷体_GB2312" w:hAnsi="楷体_GB2312" w:eastAsia="楷体_GB2312" w:cs="楷体_GB2312"/>
          <w:b/>
          <w:bCs/>
          <w:color w:val="000000"/>
          <w:kern w:val="0"/>
          <w:sz w:val="52"/>
          <w:szCs w:val="52"/>
          <w:lang w:val="en-US" w:eastAsia="zh-CN" w:bidi="ar-SA"/>
        </w:rPr>
      </w:pPr>
      <w:r>
        <w:rPr>
          <w:rFonts w:hint="eastAsia" w:ascii="楷体_GB2312" w:hAnsi="楷体_GB2312" w:eastAsia="楷体_GB2312" w:cs="楷体_GB2312"/>
          <w:b/>
          <w:bCs/>
          <w:color w:val="000000"/>
          <w:kern w:val="0"/>
          <w:sz w:val="52"/>
          <w:szCs w:val="52"/>
          <w:lang w:val="en-US" w:eastAsia="zh-CN" w:bidi="ar-SA"/>
        </w:rPr>
        <w:t>（详见附表）</w:t>
      </w:r>
    </w:p>
    <w:p>
      <w:pPr>
        <w:jc w:val="both"/>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9"/>
        <w:rPr>
          <w:sz w:val="72"/>
          <w:szCs w:val="72"/>
        </w:rPr>
      </w:pPr>
    </w:p>
    <w:p>
      <w:pPr>
        <w:pStyle w:val="19"/>
        <w:rPr>
          <w:sz w:val="72"/>
          <w:szCs w:val="72"/>
        </w:rPr>
      </w:pPr>
    </w:p>
    <w:p>
      <w:pPr>
        <w:pStyle w:val="19"/>
        <w:rPr>
          <w:sz w:val="72"/>
          <w:szCs w:val="72"/>
        </w:rPr>
      </w:pPr>
    </w:p>
    <w:p>
      <w:pPr>
        <w:pStyle w:val="19"/>
        <w:jc w:val="center"/>
        <w:rPr>
          <w:sz w:val="72"/>
          <w:szCs w:val="72"/>
        </w:rPr>
      </w:pPr>
    </w:p>
    <w:p>
      <w:pPr>
        <w:pStyle w:val="19"/>
        <w:jc w:val="center"/>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9"/>
        <w:jc w:val="center"/>
        <w:rPr>
          <w:rFonts w:hint="eastAsia" w:ascii="方正小标宋_GBK" w:hAnsi="方正小标宋_GBK" w:eastAsia="方正小标宋_GBK" w:cs="方正小标宋_GBK"/>
          <w:sz w:val="70"/>
          <w:szCs w:val="70"/>
        </w:rPr>
      </w:pPr>
    </w:p>
    <w:p>
      <w:pPr>
        <w:pStyle w:val="1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一、收入支出决算总体情况说明</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2325.83</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84.48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3.77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增长的</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2023年在职</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工资福利支出</w:t>
      </w:r>
      <w:r>
        <w:rPr>
          <w:rFonts w:hint="eastAsia" w:ascii="仿宋_GB2312" w:hAnsi="仿宋_GB2312" w:eastAsia="仿宋_GB2312" w:cs="仿宋_GB2312"/>
          <w:sz w:val="32"/>
          <w:szCs w:val="32"/>
          <w:lang w:val="en-US" w:eastAsia="zh-CN"/>
        </w:rPr>
        <w:t>和其他往来支出数据</w:t>
      </w:r>
      <w:r>
        <w:rPr>
          <w:rFonts w:hint="eastAsia" w:ascii="仿宋_GB2312" w:hAnsi="仿宋_GB2312" w:eastAsia="仿宋_GB2312" w:cs="仿宋_GB2312"/>
          <w:sz w:val="32"/>
          <w:szCs w:val="32"/>
        </w:rPr>
        <w:t>。其中：一般公共预算财政拨款收入完成</w:t>
      </w:r>
      <w:r>
        <w:rPr>
          <w:rFonts w:hint="eastAsia" w:ascii="仿宋_GB2312" w:hAnsi="仿宋_GB2312" w:eastAsia="仿宋_GB2312" w:cs="仿宋_GB2312"/>
          <w:sz w:val="32"/>
          <w:szCs w:val="32"/>
          <w:lang w:val="en-US" w:eastAsia="zh-CN"/>
        </w:rPr>
        <w:t>2304.44</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2189.48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114.96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5.25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eastAsia="zh-CN"/>
        </w:rPr>
        <w:t>增加了</w:t>
      </w:r>
      <w:r>
        <w:rPr>
          <w:rFonts w:hint="eastAsia" w:ascii="仿宋_GB2312" w:hAnsi="仿宋_GB2312" w:eastAsia="仿宋_GB2312" w:cs="仿宋_GB2312"/>
          <w:sz w:val="32"/>
          <w:szCs w:val="32"/>
          <w:lang w:val="en-US" w:eastAsia="zh-CN"/>
        </w:rPr>
        <w:t>2023年在职</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工资调标等</w:t>
      </w:r>
      <w:r>
        <w:rPr>
          <w:rFonts w:hint="eastAsia" w:ascii="仿宋_GB2312" w:hAnsi="仿宋_GB2312" w:eastAsia="仿宋_GB2312" w:cs="仿宋_GB2312"/>
          <w:sz w:val="32"/>
          <w:szCs w:val="32"/>
          <w:lang w:eastAsia="zh-CN"/>
        </w:rPr>
        <w:t>工资福利支出</w:t>
      </w:r>
      <w:r>
        <w:rPr>
          <w:rFonts w:hint="eastAsia" w:ascii="仿宋_GB2312" w:hAnsi="仿宋_GB2312" w:eastAsia="仿宋_GB2312" w:cs="仿宋_GB2312"/>
          <w:sz w:val="32"/>
          <w:szCs w:val="32"/>
        </w:rPr>
        <w:t>。政府性基金财政拨款收入完成0万元，比上年0万元，增长(下降)0</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；上级补助收入完成0万元，比上年0万元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增长(下降)0</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；事业收入完成0万元，比上年0万元，增长(下降)0</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；经营收入完成0万元，比上年0万元,增长(下降)0</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；附属单位上缴收入完成0万元，比上年0万元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增长(下降)0</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；其他收入完成</w:t>
      </w:r>
      <w:r>
        <w:rPr>
          <w:rFonts w:hint="eastAsia" w:ascii="仿宋_GB2312" w:hAnsi="仿宋_GB2312" w:eastAsia="仿宋_GB2312" w:cs="仿宋_GB2312"/>
          <w:sz w:val="32"/>
          <w:szCs w:val="32"/>
          <w:lang w:val="en-US" w:eastAsia="zh-CN"/>
        </w:rPr>
        <w:t>21.39</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51.87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减少30.48万元，降低58.76</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w:t>
      </w: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二、收入决算情况说明</w:t>
      </w: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2325.83</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2304.44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99.08</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21.39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0.92</w:t>
      </w:r>
      <w:r>
        <w:rPr>
          <w:rFonts w:hint="eastAsia" w:ascii="仿宋_GB2312" w:hAnsi="仿宋_GB2312" w:eastAsia="仿宋_GB2312" w:cs="仿宋_GB2312"/>
          <w:sz w:val="32"/>
          <w:szCs w:val="32"/>
        </w:rPr>
        <w:t>%。</w:t>
      </w: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三、支出决算情况说明</w:t>
      </w: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2325.83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2286.44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98.31</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39.39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1.69</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四、财政拨款收入支出决算总体情况说明</w:t>
      </w:r>
    </w:p>
    <w:p>
      <w:pPr>
        <w:pStyle w:val="19"/>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2304.44</w:t>
      </w:r>
      <w:r>
        <w:rPr>
          <w:rFonts w:hint="eastAsia" w:ascii="仿宋_GB2312" w:hAnsi="仿宋_GB2312" w:eastAsia="仿宋_GB2312" w:cs="仿宋_GB2312"/>
          <w:sz w:val="32"/>
          <w:szCs w:val="32"/>
        </w:rPr>
        <w:t>万元，与上年相比，比上年</w:t>
      </w:r>
      <w:r>
        <w:rPr>
          <w:rFonts w:hint="eastAsia" w:ascii="仿宋_GB2312" w:hAnsi="仿宋_GB2312" w:eastAsia="仿宋_GB2312" w:cs="仿宋_GB2312"/>
          <w:sz w:val="32"/>
          <w:szCs w:val="32"/>
          <w:lang w:val="en-US" w:eastAsia="zh-CN"/>
        </w:rPr>
        <w:t>2189.48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114.96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w:t>
      </w:r>
      <w:r>
        <w:rPr>
          <w:rFonts w:hint="eastAsia" w:ascii="仿宋_GB2312" w:hAnsi="仿宋_GB2312" w:eastAsia="仿宋_GB2312" w:cs="仿宋_GB2312"/>
          <w:sz w:val="32"/>
          <w:szCs w:val="32"/>
          <w:lang w:val="en-US" w:eastAsia="zh-CN"/>
        </w:rPr>
        <w:t>长5.25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eastAsia="zh-CN"/>
        </w:rPr>
        <w:t>增加了</w:t>
      </w:r>
      <w:r>
        <w:rPr>
          <w:rFonts w:hint="eastAsia" w:ascii="仿宋_GB2312" w:hAnsi="仿宋_GB2312" w:eastAsia="仿宋_GB2312" w:cs="仿宋_GB2312"/>
          <w:sz w:val="32"/>
          <w:szCs w:val="32"/>
          <w:lang w:val="en-US" w:eastAsia="zh-CN"/>
        </w:rPr>
        <w:t>2023年在职</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工资调标等</w:t>
      </w:r>
      <w:r>
        <w:rPr>
          <w:rFonts w:hint="eastAsia" w:ascii="仿宋_GB2312" w:hAnsi="仿宋_GB2312" w:eastAsia="仿宋_GB2312" w:cs="仿宋_GB2312"/>
          <w:sz w:val="32"/>
          <w:szCs w:val="32"/>
          <w:lang w:eastAsia="zh-CN"/>
        </w:rPr>
        <w:t>工资福利支出</w:t>
      </w:r>
      <w:r>
        <w:rPr>
          <w:rFonts w:hint="eastAsia" w:ascii="仿宋_GB2312" w:hAnsi="仿宋_GB2312" w:eastAsia="仿宋_GB2312" w:cs="仿宋_GB2312"/>
          <w:sz w:val="32"/>
          <w:szCs w:val="32"/>
        </w:rPr>
        <w:t>。</w:t>
      </w: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五、一般公共预算财政拨款支出决算情况说明</w:t>
      </w: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2304.44</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99.08</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114.96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5.25</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增加了</w:t>
      </w:r>
      <w:r>
        <w:rPr>
          <w:rFonts w:hint="eastAsia" w:ascii="仿宋_GB2312" w:hAnsi="仿宋_GB2312" w:eastAsia="仿宋_GB2312" w:cs="仿宋_GB2312"/>
          <w:sz w:val="32"/>
          <w:szCs w:val="32"/>
          <w:lang w:val="en-US" w:eastAsia="zh-CN"/>
        </w:rPr>
        <w:t>2023年在职</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工资调标等</w:t>
      </w:r>
      <w:r>
        <w:rPr>
          <w:rFonts w:hint="eastAsia" w:ascii="仿宋_GB2312" w:hAnsi="仿宋_GB2312" w:eastAsia="仿宋_GB2312" w:cs="仿宋_GB2312"/>
          <w:sz w:val="32"/>
          <w:szCs w:val="32"/>
          <w:lang w:eastAsia="zh-CN"/>
        </w:rPr>
        <w:t>工资福利支出</w:t>
      </w:r>
      <w:r>
        <w:rPr>
          <w:rFonts w:hint="eastAsia" w:ascii="仿宋_GB2312" w:hAnsi="仿宋_GB2312" w:eastAsia="仿宋_GB2312" w:cs="仿宋_GB2312"/>
          <w:sz w:val="32"/>
          <w:szCs w:val="32"/>
        </w:rPr>
        <w:t>。</w:t>
      </w:r>
    </w:p>
    <w:p>
      <w:pPr>
        <w:pStyle w:val="1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2304.44</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%；教育（类）支出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社会保障和就业（类）支出1779万元，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77.21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卫生健康（类）支出22.12万元，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资源勘探工业信息等（类）支出463万元，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20.09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住房保障（类）支出40.12万元，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1.74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2234.08</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2304.44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103.15</w:t>
      </w:r>
      <w:r>
        <w:rPr>
          <w:rFonts w:hint="eastAsia" w:ascii="仿宋_GB2312" w:hAnsi="仿宋_GB2312" w:eastAsia="仿宋_GB2312" w:cs="仿宋_GB2312"/>
          <w:sz w:val="32"/>
          <w:szCs w:val="32"/>
        </w:rPr>
        <w:t>%，其中：</w:t>
      </w:r>
    </w:p>
    <w:p>
      <w:pPr>
        <w:pStyle w:val="19"/>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社会保障和就业支出（类）行政事业单位养老支出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机关事业单位基本养老保险缴费支出</w:t>
      </w:r>
      <w:r>
        <w:rPr>
          <w:rFonts w:hint="eastAsia" w:ascii="仿宋_GB2312" w:hAnsi="仿宋_GB2312" w:eastAsia="仿宋_GB2312" w:cs="仿宋_GB2312"/>
          <w:sz w:val="32"/>
          <w:szCs w:val="32"/>
        </w:rPr>
        <w:t>（项）。</w:t>
      </w:r>
    </w:p>
    <w:p>
      <w:pPr>
        <w:pStyle w:val="19"/>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38.61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45.28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117.28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val="en-US" w:eastAsia="zh-CN"/>
        </w:rPr>
        <w:t>调整了人员社保缴费基数增加了人员经费。</w:t>
      </w:r>
    </w:p>
    <w:p>
      <w:pPr>
        <w:pStyle w:val="19"/>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社会保障和就业支出（类）行政事业单位养老支出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其他行政事业单位养老支出</w:t>
      </w:r>
      <w:r>
        <w:rPr>
          <w:rFonts w:hint="eastAsia" w:ascii="仿宋_GB2312" w:hAnsi="仿宋_GB2312" w:eastAsia="仿宋_GB2312" w:cs="仿宋_GB2312"/>
          <w:sz w:val="32"/>
          <w:szCs w:val="32"/>
        </w:rPr>
        <w:t>（项）。</w:t>
      </w:r>
    </w:p>
    <w:p>
      <w:pPr>
        <w:pStyle w:val="19"/>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40.28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val="en-US" w:eastAsia="zh-CN"/>
        </w:rPr>
        <w:t>年中财政补发了2022年-2023年度退休人员生活补贴。</w:t>
      </w:r>
    </w:p>
    <w:p>
      <w:pPr>
        <w:pStyle w:val="19"/>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3、社会保障和就业支出（类）抚恤</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死亡抚恤</w:t>
      </w:r>
      <w:r>
        <w:rPr>
          <w:rFonts w:hint="eastAsia" w:ascii="仿宋_GB2312" w:hAnsi="仿宋_GB2312" w:eastAsia="仿宋_GB2312" w:cs="仿宋_GB2312"/>
          <w:sz w:val="32"/>
          <w:szCs w:val="32"/>
        </w:rPr>
        <w:t>（项）。</w:t>
      </w:r>
    </w:p>
    <w:p>
      <w:pPr>
        <w:pStyle w:val="19"/>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于年初预算数的主要原因是：</w:t>
      </w:r>
      <w:r>
        <w:rPr>
          <w:rFonts w:hint="eastAsia" w:ascii="Times New Roman" w:hAnsi="Times New Roman" w:eastAsia="仿宋_GB2312"/>
          <w:sz w:val="32"/>
          <w:szCs w:val="32"/>
        </w:rPr>
        <w:t>财政统一安排，未列入单位预算</w:t>
      </w:r>
      <w:r>
        <w:rPr>
          <w:rFonts w:hint="eastAsia" w:ascii="Times New Roman" w:hAnsi="Times New Roman" w:eastAsia="仿宋_GB2312"/>
          <w:sz w:val="32"/>
          <w:szCs w:val="32"/>
          <w:lang w:eastAsia="zh-CN"/>
        </w:rPr>
        <w:t>。</w:t>
      </w:r>
    </w:p>
    <w:p>
      <w:pPr>
        <w:pStyle w:val="19"/>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4、社会保障和就业支出（类）其他社会保障和就业支出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其他社会保障和就业支出</w:t>
      </w:r>
      <w:r>
        <w:rPr>
          <w:rFonts w:hint="eastAsia" w:ascii="仿宋_GB2312" w:hAnsi="仿宋_GB2312" w:eastAsia="仿宋_GB2312" w:cs="仿宋_GB2312"/>
          <w:sz w:val="32"/>
          <w:szCs w:val="32"/>
        </w:rPr>
        <w:t>（项）。</w:t>
      </w:r>
    </w:p>
    <w:p>
      <w:pPr>
        <w:pStyle w:val="19"/>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1680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1692.29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100.73</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val="en-US" w:eastAsia="zh-CN"/>
        </w:rPr>
        <w:t>2023年改制企业市管干部有8名退休人员以及人员增资等综合原因增加了人员经费。</w:t>
      </w:r>
    </w:p>
    <w:p>
      <w:pPr>
        <w:pStyle w:val="19"/>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5、卫生健康</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行政单位医疗</w:t>
      </w:r>
      <w:r>
        <w:rPr>
          <w:rFonts w:hint="eastAsia" w:ascii="仿宋_GB2312" w:hAnsi="仿宋_GB2312" w:eastAsia="仿宋_GB2312" w:cs="仿宋_GB2312"/>
          <w:sz w:val="32"/>
          <w:szCs w:val="32"/>
        </w:rPr>
        <w:t>（项）。</w:t>
      </w:r>
    </w:p>
    <w:p>
      <w:pPr>
        <w:pStyle w:val="19"/>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19"/>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6、卫生健康</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公务员医疗补助</w:t>
      </w:r>
      <w:r>
        <w:rPr>
          <w:rFonts w:hint="eastAsia" w:ascii="仿宋_GB2312" w:hAnsi="仿宋_GB2312" w:eastAsia="仿宋_GB2312" w:cs="仿宋_GB2312"/>
          <w:sz w:val="32"/>
          <w:szCs w:val="32"/>
        </w:rPr>
        <w:t>（项）。</w:t>
      </w:r>
    </w:p>
    <w:p>
      <w:pPr>
        <w:pStyle w:val="19"/>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%，决算数大于年初预算数的主要原因是：年中追加安排的公务员医疗补助资金。</w:t>
      </w:r>
    </w:p>
    <w:p>
      <w:pPr>
        <w:pStyle w:val="19"/>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7、资源勘探工业信息等（类）国有资产监管（款）行政运行（项）</w:t>
      </w:r>
    </w:p>
    <w:p>
      <w:pPr>
        <w:pStyle w:val="1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434.54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445.01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102.41</w:t>
      </w:r>
      <w:r>
        <w:rPr>
          <w:rFonts w:hint="eastAsia" w:ascii="仿宋_GB2312" w:hAnsi="仿宋_GB2312" w:eastAsia="仿宋_GB2312" w:cs="仿宋_GB2312"/>
          <w:sz w:val="32"/>
          <w:szCs w:val="32"/>
        </w:rPr>
        <w:t>%，决算数大于年初预算数的主要原因是：主要是因为</w:t>
      </w:r>
      <w:r>
        <w:rPr>
          <w:rFonts w:hint="eastAsia" w:ascii="仿宋_GB2312" w:hAnsi="仿宋_GB2312" w:eastAsia="仿宋_GB2312" w:cs="仿宋_GB2312"/>
          <w:sz w:val="32"/>
          <w:szCs w:val="32"/>
          <w:lang w:val="en-US" w:eastAsia="zh-CN"/>
        </w:rPr>
        <w:t>增加和补发了2023年在职人员工资晋级调标等工资福利支出。</w:t>
      </w:r>
    </w:p>
    <w:p>
      <w:pPr>
        <w:pStyle w:val="19"/>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8、资源勘探工业信息等（类）国有资产监管（款）其他国有资产监管支出（项）</w:t>
      </w:r>
    </w:p>
    <w:p>
      <w:pPr>
        <w:pStyle w:val="1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9"/>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9、资源勘探工业信息等（类）国有资产监管（款）其他资源勘探工业信息等支出（项）</w:t>
      </w:r>
    </w:p>
    <w:p>
      <w:pPr>
        <w:pStyle w:val="1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pStyle w:val="19"/>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10、住房保障支出（类）住房改革支出（款）住房公积金（项）</w:t>
      </w:r>
    </w:p>
    <w:p>
      <w:pPr>
        <w:pStyle w:val="1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41.93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40.12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95.68</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val="en-US" w:eastAsia="zh-CN"/>
        </w:rPr>
        <w:t>年中有两名委机关公务员退休而减少。</w:t>
      </w:r>
    </w:p>
    <w:p>
      <w:pPr>
        <w:pStyle w:val="1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六、一般公共预算财政拨款基本支出决算情况说明</w:t>
      </w: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2286.44</w:t>
      </w:r>
      <w:r>
        <w:rPr>
          <w:rFonts w:hint="eastAsia" w:ascii="仿宋_GB2312" w:hAnsi="仿宋_GB2312" w:eastAsia="仿宋_GB2312" w:cs="仿宋_GB2312"/>
          <w:sz w:val="32"/>
          <w:szCs w:val="32"/>
        </w:rPr>
        <w:t>万元，其中：</w:t>
      </w:r>
    </w:p>
    <w:p>
      <w:pPr>
        <w:pStyle w:val="1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2214.05</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96.83</w:t>
      </w:r>
      <w:r>
        <w:rPr>
          <w:rFonts w:hint="eastAsia" w:ascii="仿宋_GB2312" w:hAnsi="仿宋_GB2312" w:eastAsia="仿宋_GB2312" w:cs="仿宋_GB2312"/>
          <w:sz w:val="32"/>
          <w:szCs w:val="32"/>
        </w:rPr>
        <w:t>%,主要包括基本工资、津贴补贴、奖金、</w:t>
      </w:r>
      <w:r>
        <w:rPr>
          <w:rFonts w:hint="eastAsia" w:ascii="仿宋_GB2312" w:hAnsi="仿宋_GB2312" w:eastAsia="仿宋_GB2312" w:cs="仿宋_GB2312"/>
          <w:sz w:val="32"/>
          <w:szCs w:val="32"/>
          <w:lang w:val="en-US" w:eastAsia="zh-CN"/>
        </w:rPr>
        <w:t>绩效工资、机关事业单位养老保险缴费、职工基本医疗保险缴费、</w:t>
      </w:r>
      <w:r>
        <w:rPr>
          <w:rFonts w:hint="eastAsia" w:ascii="仿宋_GB2312" w:hAnsi="仿宋_GB2312" w:eastAsia="仿宋_GB2312" w:cs="仿宋_GB2312"/>
          <w:sz w:val="32"/>
          <w:szCs w:val="32"/>
        </w:rPr>
        <w:t>伙食补助费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其他工资福利支出等</w:t>
      </w:r>
      <w:r>
        <w:rPr>
          <w:rFonts w:hint="eastAsia" w:ascii="仿宋_GB2312" w:hAnsi="仿宋_GB2312" w:eastAsia="仿宋_GB2312" w:cs="仿宋_GB2312"/>
          <w:sz w:val="32"/>
          <w:szCs w:val="32"/>
          <w:lang w:eastAsia="zh-CN"/>
        </w:rPr>
        <w:t>。</w:t>
      </w:r>
    </w:p>
    <w:p>
      <w:pPr>
        <w:pStyle w:val="1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b/>
          <w:bCs/>
          <w:sz w:val="32"/>
          <w:szCs w:val="32"/>
          <w:lang w:val="en-US" w:eastAsia="zh-CN"/>
        </w:rPr>
        <w:t>72.39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3.17</w:t>
      </w:r>
      <w:r>
        <w:rPr>
          <w:rFonts w:hint="eastAsia" w:ascii="仿宋_GB2312" w:hAnsi="仿宋_GB2312" w:eastAsia="仿宋_GB2312" w:cs="仿宋_GB2312"/>
          <w:sz w:val="32"/>
          <w:szCs w:val="32"/>
        </w:rPr>
        <w:t>%，主要包括办公费、印刷费、咨询费、手续费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差旅费、水电费、会议费、培训费、公务接待费、工会经费、福利费、其他交通费、其他商品和服务支出等</w:t>
      </w:r>
      <w:r>
        <w:rPr>
          <w:rFonts w:hint="eastAsia" w:ascii="仿宋_GB2312" w:hAnsi="仿宋_GB2312" w:eastAsia="仿宋_GB2312" w:cs="仿宋_GB2312"/>
          <w:sz w:val="32"/>
          <w:szCs w:val="32"/>
        </w:rPr>
        <w:t>。</w:t>
      </w:r>
    </w:p>
    <w:p>
      <w:pPr>
        <w:pStyle w:val="19"/>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财政拨款三公经费支出决算情况说明</w:t>
      </w:r>
    </w:p>
    <w:p>
      <w:pPr>
        <w:pStyle w:val="1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（一）“三公”经费财政拨款支出决算总体情况说明</w:t>
      </w:r>
    </w:p>
    <w:p>
      <w:pPr>
        <w:pStyle w:val="1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0.33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41.25</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于预算数的主要原因是：</w:t>
      </w:r>
      <w:r>
        <w:rPr>
          <w:rFonts w:hint="eastAsia" w:ascii="仿宋_GB2312" w:hAnsi="仿宋_GB2312" w:eastAsia="仿宋_GB2312" w:cs="仿宋_GB2312"/>
          <w:sz w:val="32"/>
          <w:szCs w:val="32"/>
          <w:lang w:eastAsia="zh-CN"/>
        </w:rPr>
        <w:t>严格按财政“过紧日子”要求，精减了接待次数和人员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本年</w:t>
      </w:r>
      <w:r>
        <w:rPr>
          <w:rFonts w:hint="eastAsia" w:ascii="仿宋_GB2312" w:hAnsi="仿宋_GB2312" w:eastAsia="仿宋_GB2312" w:cs="仿宋_GB2312"/>
          <w:sz w:val="32"/>
          <w:szCs w:val="32"/>
          <w:lang w:val="en-US" w:eastAsia="zh-CN"/>
        </w:rPr>
        <w:t>只有</w:t>
      </w:r>
      <w:r>
        <w:rPr>
          <w:rFonts w:hint="eastAsia" w:ascii="仿宋_GB2312" w:hAnsi="仿宋_GB2312" w:eastAsia="仿宋_GB2312" w:cs="仿宋_GB2312"/>
          <w:sz w:val="32"/>
          <w:szCs w:val="32"/>
          <w:lang w:eastAsia="zh-CN"/>
        </w:rPr>
        <w:t>公务接待</w:t>
      </w:r>
      <w:r>
        <w:rPr>
          <w:rFonts w:hint="eastAsia" w:ascii="仿宋_GB2312" w:hAnsi="仿宋_GB2312" w:eastAsia="仿宋_GB2312" w:cs="仿宋_GB2312"/>
          <w:sz w:val="32"/>
          <w:szCs w:val="32"/>
          <w:lang w:val="en-US" w:eastAsia="zh-CN"/>
        </w:rPr>
        <w:t>支出0.33万元,</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1628元，</w:t>
      </w:r>
      <w:r>
        <w:rPr>
          <w:rFonts w:hint="eastAsia" w:ascii="仿宋_GB2312" w:hAnsi="仿宋_GB2312" w:eastAsia="仿宋_GB2312" w:cs="仿宋_GB2312"/>
          <w:sz w:val="32"/>
          <w:szCs w:val="32"/>
        </w:rPr>
        <w:t>下降</w:t>
      </w:r>
      <w:r>
        <w:rPr>
          <w:rFonts w:hint="eastAsia" w:ascii="仿宋_GB2312" w:hAnsi="仿宋_GB2312" w:eastAsia="仿宋_GB2312" w:cs="仿宋_GB2312"/>
          <w:sz w:val="32"/>
          <w:szCs w:val="32"/>
          <w:lang w:val="en-US" w:eastAsia="zh-CN"/>
        </w:rPr>
        <w:t>32.98</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严格按财政“过紧日子”要求，精减了接待人员次数和人员</w:t>
      </w:r>
      <w:r>
        <w:rPr>
          <w:rFonts w:hint="eastAsia" w:ascii="仿宋_GB2312" w:hAnsi="仿宋_GB2312" w:eastAsia="仿宋_GB2312" w:cs="仿宋_GB2312"/>
          <w:sz w:val="32"/>
          <w:szCs w:val="32"/>
        </w:rPr>
        <w:t>。其中：</w:t>
      </w:r>
    </w:p>
    <w:p>
      <w:pPr>
        <w:pStyle w:val="19"/>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与上年持平</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于预算数的主要原因是</w:t>
      </w:r>
      <w:r>
        <w:rPr>
          <w:rFonts w:hint="eastAsia" w:ascii="仿宋_GB2312" w:hAnsi="仿宋_GB2312" w:eastAsia="仿宋_GB2312" w:cs="仿宋_GB2312"/>
          <w:sz w:val="32"/>
          <w:szCs w:val="32"/>
          <w:lang w:val="en-US" w:eastAsia="zh-CN"/>
        </w:rPr>
        <w:t>今年没有安排因公出国（境）活动支出</w:t>
      </w:r>
      <w:r>
        <w:rPr>
          <w:rFonts w:hint="eastAsia" w:ascii="仿宋_GB2312" w:hAnsi="仿宋_GB2312" w:eastAsia="仿宋_GB2312" w:cs="仿宋_GB2312"/>
          <w:sz w:val="32"/>
          <w:szCs w:val="32"/>
        </w:rPr>
        <w:t>。</w:t>
      </w:r>
    </w:p>
    <w:p>
      <w:pPr>
        <w:pStyle w:val="1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0.33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41.25</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严格按财政“过紧日子”要求，精减了接待人员接待人员</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次数</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0.16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32.98</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严格按财政“过紧日子”要求，精减了接待人员</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次数</w:t>
      </w:r>
      <w:r>
        <w:rPr>
          <w:rFonts w:hint="eastAsia" w:ascii="仿宋_GB2312" w:hAnsi="仿宋_GB2312" w:eastAsia="仿宋_GB2312" w:cs="仿宋_GB2312"/>
          <w:sz w:val="32"/>
          <w:szCs w:val="32"/>
        </w:rPr>
        <w:t>。</w:t>
      </w: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于预算数的主要原因是</w:t>
      </w:r>
      <w:r>
        <w:rPr>
          <w:rFonts w:hint="eastAsia" w:ascii="仿宋_GB2312" w:hAnsi="仿宋_GB2312" w:eastAsia="仿宋_GB2312" w:cs="仿宋_GB2312"/>
          <w:sz w:val="32"/>
          <w:szCs w:val="32"/>
          <w:lang w:val="en-US" w:eastAsia="zh-CN"/>
        </w:rPr>
        <w:t>今年没有安排</w:t>
      </w:r>
      <w:r>
        <w:rPr>
          <w:rFonts w:hint="eastAsia" w:ascii="仿宋_GB2312" w:hAnsi="仿宋_GB2312" w:eastAsia="仿宋_GB2312" w:cs="仿宋_GB2312"/>
          <w:sz w:val="32"/>
          <w:szCs w:val="32"/>
        </w:rPr>
        <w:t>公务用车</w:t>
      </w:r>
      <w:r>
        <w:rPr>
          <w:rFonts w:hint="eastAsia" w:ascii="仿宋_GB2312" w:hAnsi="仿宋_GB2312" w:eastAsia="仿宋_GB2312" w:cs="仿宋_GB2312"/>
          <w:sz w:val="32"/>
          <w:szCs w:val="32"/>
          <w:lang w:val="en-US" w:eastAsia="zh-CN"/>
        </w:rPr>
        <w:t>购置</w:t>
      </w:r>
      <w:r>
        <w:rPr>
          <w:rFonts w:hint="eastAsia" w:ascii="仿宋_GB2312" w:hAnsi="仿宋_GB2312" w:eastAsia="仿宋_GB2312" w:cs="仿宋_GB2312"/>
          <w:sz w:val="32"/>
          <w:szCs w:val="32"/>
        </w:rPr>
        <w:t>费支出</w:t>
      </w:r>
      <w:r>
        <w:rPr>
          <w:rFonts w:hint="eastAsia" w:ascii="仿宋_GB2312" w:hAnsi="仿宋_GB2312" w:eastAsia="仿宋_GB2312" w:cs="仿宋_GB2312"/>
          <w:sz w:val="32"/>
          <w:szCs w:val="32"/>
          <w:lang w:eastAsia="zh-CN"/>
        </w:rPr>
        <w:t>。</w:t>
      </w: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val="en-US" w:eastAsia="zh-CN"/>
        </w:rPr>
        <w:t>今年没有安排</w:t>
      </w:r>
      <w:r>
        <w:rPr>
          <w:rFonts w:hint="eastAsia" w:ascii="仿宋_GB2312" w:hAnsi="仿宋_GB2312" w:eastAsia="仿宋_GB2312" w:cs="仿宋_GB2312"/>
          <w:sz w:val="32"/>
          <w:szCs w:val="32"/>
        </w:rPr>
        <w:t>公务用车运行维护费支出。</w:t>
      </w: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（二）“三公”经费财政拨款支出决算具体情况说明</w:t>
      </w: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0.33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w:t>
      </w:r>
    </w:p>
    <w:p>
      <w:pPr>
        <w:pStyle w:val="1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val="en-US" w:eastAsia="zh-CN"/>
        </w:rPr>
        <w:t>.</w:t>
      </w:r>
    </w:p>
    <w:p>
      <w:pPr>
        <w:pStyle w:val="1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0.33</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val="en-US" w:eastAsia="zh-CN"/>
        </w:rPr>
        <w:t>用于国资监管业务培训、对接国资国企在线监管系统业务系统建设、交流学习央企500强等</w:t>
      </w:r>
      <w:r>
        <w:rPr>
          <w:rFonts w:hint="eastAsia" w:ascii="仿宋_GB2312" w:hAnsi="仿宋_GB2312" w:eastAsia="仿宋_GB2312" w:cs="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万元，更新公务用车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八、政府性基金预算收入支出决算情况</w:t>
      </w:r>
    </w:p>
    <w:p>
      <w:pPr>
        <w:pStyle w:val="19"/>
        <w:keepNext w:val="0"/>
        <w:keepLines w:val="0"/>
        <w:pageBreakBefore w:val="0"/>
        <w:kinsoku/>
        <w:wordWrap/>
        <w:overflowPunct/>
        <w:topLinePunct w:val="0"/>
        <w:bidi w:val="0"/>
        <w:spacing w:line="60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年度我委无政府性基金预算收入和支出</w:t>
      </w:r>
      <w:r>
        <w:rPr>
          <w:rFonts w:hint="eastAsia" w:ascii="仿宋_GB2312" w:hAnsi="仿宋_GB2312" w:eastAsia="仿宋_GB2312" w:cs="仿宋_GB2312"/>
          <w:sz w:val="32"/>
          <w:szCs w:val="32"/>
          <w:lang w:eastAsia="zh-CN"/>
        </w:rPr>
        <w:t>。</w:t>
      </w: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九、关于机关运行经费支出说明</w:t>
      </w:r>
    </w:p>
    <w:p>
      <w:pPr>
        <w:pStyle w:val="1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72.39</w:t>
      </w:r>
      <w:r>
        <w:rPr>
          <w:rFonts w:hint="eastAsia" w:ascii="仿宋_GB2312" w:hAnsi="仿宋_GB2312" w:eastAsia="仿宋_GB2312" w:cs="仿宋_GB2312"/>
          <w:sz w:val="32"/>
          <w:szCs w:val="32"/>
        </w:rPr>
        <w:t>万元，比上年决算数</w:t>
      </w:r>
      <w:r>
        <w:rPr>
          <w:rFonts w:hint="eastAsia" w:ascii="仿宋_GB2312" w:hAnsi="仿宋_GB2312" w:eastAsia="仿宋_GB2312" w:cs="仿宋_GB2312"/>
          <w:sz w:val="32"/>
          <w:szCs w:val="32"/>
          <w:lang w:val="en-US" w:eastAsia="zh-CN"/>
        </w:rPr>
        <w:t>55.46万元增加16.93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增长30.53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将公务员编制的人员交通补贴统计口径进行了调整，计入了公用经费中的交通费，以及年初财政压减了20%公用经费预算额度和节约公用经费支出综合所致。剔除此项原因，我委机关运行经费支出总额全年是下降的。</w:t>
      </w: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十、一般性支出情况说明</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w:t>
      </w:r>
      <w:r>
        <w:rPr>
          <w:rFonts w:hint="eastAsia" w:ascii="仿宋_GB2312" w:hAnsi="仿宋_GB2312" w:eastAsia="仿宋_GB2312" w:cs="仿宋_GB2312"/>
          <w:sz w:val="32"/>
          <w:szCs w:val="32"/>
          <w:lang w:val="en-US" w:eastAsia="zh-CN"/>
        </w:rPr>
        <w:t>会议费预算1万元，实际</w:t>
      </w:r>
      <w:r>
        <w:rPr>
          <w:rFonts w:hint="eastAsia" w:ascii="仿宋_GB2312" w:hAnsi="仿宋_GB2312" w:eastAsia="仿宋_GB2312" w:cs="仿宋_GB2312"/>
          <w:sz w:val="32"/>
          <w:szCs w:val="32"/>
        </w:rPr>
        <w:t>开支会议费</w:t>
      </w:r>
      <w:r>
        <w:rPr>
          <w:rFonts w:hint="eastAsia" w:ascii="仿宋_GB2312" w:hAnsi="仿宋_GB2312" w:eastAsia="仿宋_GB2312" w:cs="仿宋_GB2312"/>
          <w:sz w:val="32"/>
          <w:szCs w:val="32"/>
          <w:lang w:val="en-US" w:eastAsia="zh-CN"/>
        </w:rPr>
        <w:t>1万</w:t>
      </w:r>
      <w:r>
        <w:rPr>
          <w:rFonts w:hint="eastAsia" w:ascii="仿宋_GB2312" w:hAnsi="仿宋_GB2312" w:eastAsia="仿宋_GB2312" w:cs="仿宋_GB2312"/>
          <w:sz w:val="32"/>
          <w:szCs w:val="32"/>
        </w:rPr>
        <w:t>元，用于召开</w:t>
      </w:r>
      <w:r>
        <w:rPr>
          <w:rFonts w:hint="eastAsia" w:ascii="仿宋_GB2312" w:hAnsi="仿宋_GB2312" w:eastAsia="仿宋_GB2312" w:cs="仿宋_GB2312"/>
          <w:sz w:val="32"/>
          <w:szCs w:val="32"/>
          <w:lang w:val="en-US" w:eastAsia="zh-CN"/>
        </w:rPr>
        <w:t>9家市属监管企业安全生产、国资监管、信访维稳</w:t>
      </w:r>
      <w:r>
        <w:rPr>
          <w:rFonts w:hint="eastAsia" w:ascii="仿宋_GB2312" w:hAnsi="仿宋_GB2312" w:eastAsia="仿宋_GB2312" w:cs="仿宋_GB2312"/>
          <w:sz w:val="32"/>
          <w:szCs w:val="32"/>
        </w:rPr>
        <w:t>会议，人数</w:t>
      </w: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en-US" w:eastAsia="zh-CN"/>
        </w:rPr>
        <w:t>监管企业安全生产会议、市属监管企业</w:t>
      </w:r>
      <w:bookmarkStart w:id="0" w:name="_GoBack"/>
      <w:r>
        <w:rPr>
          <w:rFonts w:hint="eastAsia" w:ascii="仿宋_GB2312" w:hAnsi="仿宋_GB2312" w:eastAsia="仿宋_GB2312" w:cs="仿宋_GB2312"/>
          <w:sz w:val="32"/>
          <w:szCs w:val="32"/>
          <w:lang w:val="en-US" w:eastAsia="zh-CN"/>
        </w:rPr>
        <w:t>“</w:t>
      </w:r>
      <w:bookmarkEnd w:id="0"/>
      <w:r>
        <w:rPr>
          <w:rFonts w:hint="eastAsia" w:ascii="仿宋_GB2312" w:hAnsi="仿宋_GB2312" w:eastAsia="仿宋_GB2312" w:cs="仿宋_GB2312"/>
          <w:sz w:val="32"/>
          <w:szCs w:val="32"/>
          <w:lang w:val="en-US" w:eastAsia="zh-CN"/>
        </w:rPr>
        <w:t>两会”期间信访维稳会议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2023年计划培训费1.2万元，实际</w:t>
      </w:r>
      <w:r>
        <w:rPr>
          <w:rFonts w:hint="eastAsia" w:ascii="仿宋_GB2312" w:hAnsi="仿宋_GB2312" w:eastAsia="仿宋_GB2312" w:cs="仿宋_GB2312"/>
          <w:sz w:val="32"/>
          <w:szCs w:val="32"/>
        </w:rPr>
        <w:t>开支培训费</w:t>
      </w: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万元，用于开展监管企业安全生产、财务预决算培训，</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国资国企在线监管系统培训、</w:t>
      </w:r>
      <w:r>
        <w:rPr>
          <w:rFonts w:hint="eastAsia" w:ascii="仿宋_GB2312" w:hAnsi="仿宋_GB2312" w:eastAsia="仿宋_GB2312" w:cs="仿宋_GB2312"/>
          <w:sz w:val="32"/>
          <w:szCs w:val="32"/>
        </w:rPr>
        <w:t>委机关人员保密培训等培训，人数</w:t>
      </w:r>
      <w:r>
        <w:rPr>
          <w:rFonts w:hint="eastAsia" w:ascii="仿宋_GB2312" w:hAnsi="仿宋_GB2312" w:eastAsia="仿宋_GB2312" w:cs="仿宋_GB2312"/>
          <w:sz w:val="32"/>
          <w:szCs w:val="32"/>
          <w:lang w:val="en-US" w:eastAsia="zh-CN"/>
        </w:rPr>
        <w:t>223</w:t>
      </w:r>
      <w:r>
        <w:rPr>
          <w:rFonts w:hint="eastAsia" w:ascii="仿宋_GB2312" w:hAnsi="仿宋_GB2312" w:eastAsia="仿宋_GB2312" w:cs="仿宋_GB2312"/>
          <w:sz w:val="32"/>
          <w:szCs w:val="32"/>
        </w:rPr>
        <w:t>人，内容为对</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家监管企业安全生产、财务预决算培训，</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国资国企在线监管系统培训、</w:t>
      </w:r>
      <w:r>
        <w:rPr>
          <w:rFonts w:hint="eastAsia" w:ascii="仿宋_GB2312" w:hAnsi="仿宋_GB2312" w:eastAsia="仿宋_GB2312" w:cs="仿宋_GB2312"/>
          <w:sz w:val="32"/>
          <w:szCs w:val="32"/>
        </w:rPr>
        <w:t>委机关人员保密培训等；</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本单位本年度未举办节庆、晚会、论坛、赛事等活动。</w:t>
      </w:r>
    </w:p>
    <w:p>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十一、关于政府采购支出说明</w:t>
      </w:r>
    </w:p>
    <w:p>
      <w:pPr>
        <w:pStyle w:val="1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3.08</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1.08</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3.08</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3.08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%。货物采购授予中小企业合同金额占货物支出金额的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9"/>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val="0"/>
          <w:color w:val="auto"/>
          <w:sz w:val="32"/>
          <w:szCs w:val="32"/>
        </w:rPr>
        <w:t>十二、关于国有资产占用情况说明</w:t>
      </w:r>
    </w:p>
    <w:p>
      <w:pPr>
        <w:pStyle w:val="1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十三、关于202</w:t>
      </w:r>
      <w:r>
        <w:rPr>
          <w:rFonts w:hint="eastAsia" w:ascii="仿宋_GB2312" w:hAnsi="仿宋_GB2312" w:eastAsia="仿宋_GB2312" w:cs="仿宋_GB2312"/>
          <w:b/>
          <w:bCs w:val="0"/>
          <w:color w:val="auto"/>
          <w:sz w:val="32"/>
          <w:szCs w:val="32"/>
          <w:lang w:val="en-US" w:eastAsia="zh-CN"/>
        </w:rPr>
        <w:t>3</w:t>
      </w:r>
      <w:r>
        <w:rPr>
          <w:rFonts w:hint="eastAsia" w:ascii="仿宋_GB2312" w:hAnsi="仿宋_GB2312" w:eastAsia="仿宋_GB2312" w:cs="仿宋_GB2312"/>
          <w:b/>
          <w:bCs w:val="0"/>
          <w:color w:val="auto"/>
          <w:sz w:val="32"/>
          <w:szCs w:val="32"/>
        </w:rPr>
        <w:t>年度</w:t>
      </w:r>
      <w:r>
        <w:rPr>
          <w:rFonts w:hint="eastAsia" w:ascii="仿宋_GB2312" w:hAnsi="仿宋_GB2312" w:eastAsia="仿宋_GB2312" w:cs="仿宋_GB2312"/>
          <w:b/>
          <w:bCs w:val="0"/>
          <w:color w:val="auto"/>
          <w:sz w:val="32"/>
          <w:szCs w:val="32"/>
          <w:lang w:eastAsia="zh-CN"/>
        </w:rPr>
        <w:t>预算</w:t>
      </w:r>
      <w:r>
        <w:rPr>
          <w:rFonts w:hint="eastAsia" w:ascii="仿宋_GB2312" w:hAnsi="仿宋_GB2312" w:eastAsia="仿宋_GB2312" w:cs="仿宋_GB2312"/>
          <w:b/>
          <w:bCs w:val="0"/>
          <w:color w:val="auto"/>
          <w:sz w:val="32"/>
          <w:szCs w:val="32"/>
        </w:rPr>
        <w:t>绩效情况的说明</w:t>
      </w:r>
    </w:p>
    <w:p>
      <w:pPr>
        <w:pStyle w:val="1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（一）绩效管理工作开展情况</w:t>
      </w:r>
    </w:p>
    <w:p>
      <w:pPr>
        <w:pStyle w:val="19"/>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根据预算绩效管理的要求，积极开展2023年度预算绩效评价工作，对委机关基本支出和项目支出情况进行了自评，并撰写了年度绩效评价报告，主要评价内容为全年委机关人员经费支出、市管干部人员工资经费支出，市属国有企业国资监管专项经费支出，涉及金额2304.44万元。组织对2023年度0个政府性基金预算项目支出开展绩效自评,共涉及资金0万元，占政府性基金预算项目支出总额的0%。组织对2023年度0个国有资本经营预算项目支出开展绩效自评,共涉及资金0万元，占国有资本经营预算项目支出总额的0%，本单位所属二级单位，都统一归口在委机关核算和开展项目绩效自评,无需再单独开展部门评价。</w:t>
      </w:r>
    </w:p>
    <w:p>
      <w:pPr>
        <w:pStyle w:val="19"/>
        <w:spacing w:line="56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lang w:val="en-US" w:eastAsia="zh-CN"/>
        </w:rPr>
        <w:t>组织对永州市国资委1个单位开展整体支出绩效评价，涉及一般公共预算支出2304.44万元，政府性基金预算支出0万元。从评价情况来看，我委预算配置、预算执行、预算管理等方面较好地支持了我委工作。</w:t>
      </w:r>
    </w:p>
    <w:p>
      <w:pPr>
        <w:pStyle w:val="1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部门</w:t>
      </w:r>
      <w:r>
        <w:rPr>
          <w:rFonts w:hint="eastAsia" w:ascii="仿宋_GB2312" w:hAnsi="仿宋_GB2312" w:eastAsia="仿宋_GB2312" w:cs="仿宋_GB2312"/>
          <w:b/>
          <w:bCs/>
          <w:sz w:val="32"/>
          <w:szCs w:val="32"/>
          <w:lang w:eastAsia="zh-CN"/>
        </w:rPr>
        <w:t>（单位）</w:t>
      </w:r>
      <w:r>
        <w:rPr>
          <w:rFonts w:hint="eastAsia" w:ascii="仿宋_GB2312" w:hAnsi="仿宋_GB2312" w:eastAsia="仿宋_GB2312" w:cs="仿宋_GB2312"/>
          <w:b/>
          <w:bCs/>
          <w:sz w:val="32"/>
          <w:szCs w:val="32"/>
        </w:rPr>
        <w:t>整体支出绩效情况</w:t>
      </w:r>
    </w:p>
    <w:p>
      <w:pPr>
        <w:keepNext w:val="0"/>
        <w:keepLines w:val="0"/>
        <w:pageBreakBefore w:val="0"/>
        <w:widowControl w:val="0"/>
        <w:numPr>
          <w:ilvl w:val="0"/>
          <w:numId w:val="3"/>
        </w:numPr>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永州市人民政府国有资产监督管理委员会</w:t>
      </w:r>
      <w:r>
        <w:rPr>
          <w:rFonts w:hint="eastAsia" w:ascii="仿宋_GB2312" w:hAnsi="仿宋_GB2312" w:eastAsia="仿宋_GB2312" w:cs="仿宋_GB2312"/>
          <w:b/>
          <w:bCs/>
          <w:sz w:val="32"/>
          <w:szCs w:val="32"/>
          <w:lang w:eastAsia="zh-CN"/>
        </w:rPr>
        <w:t>部门整体</w:t>
      </w:r>
      <w:r>
        <w:rPr>
          <w:rFonts w:hint="eastAsia" w:ascii="仿宋_GB2312" w:hAnsi="仿宋_GB2312" w:eastAsia="仿宋_GB2312" w:cs="仿宋_GB2312"/>
          <w:b/>
          <w:bCs/>
          <w:sz w:val="32"/>
          <w:szCs w:val="32"/>
          <w:lang w:val="en-US" w:eastAsia="zh-CN"/>
        </w:rPr>
        <w:t>支出的绩效目标完成情况</w:t>
      </w:r>
    </w:p>
    <w:p>
      <w:pPr>
        <w:pStyle w:val="19"/>
        <w:keepNext w:val="0"/>
        <w:keepLines w:val="0"/>
        <w:pageBreakBefore w:val="0"/>
        <w:widowControl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rPr>
        <w:t>202</w:t>
      </w:r>
      <w:r>
        <w:rPr>
          <w:rFonts w:hint="eastAsia" w:ascii="仿宋_GB2312" w:hAnsi="仿宋_GB2312" w:eastAsia="仿宋_GB2312" w:cs="仿宋_GB2312"/>
          <w:color w:val="auto"/>
          <w:kern w:val="2"/>
          <w:sz w:val="32"/>
          <w:szCs w:val="32"/>
          <w:highlight w:val="none"/>
          <w:lang w:val="en-US" w:eastAsia="zh-CN"/>
        </w:rPr>
        <w:t>3</w:t>
      </w:r>
      <w:r>
        <w:rPr>
          <w:rFonts w:hint="eastAsia" w:ascii="仿宋_GB2312" w:hAnsi="仿宋_GB2312" w:eastAsia="仿宋_GB2312" w:cs="仿宋_GB2312"/>
          <w:color w:val="auto"/>
          <w:kern w:val="2"/>
          <w:sz w:val="32"/>
          <w:szCs w:val="32"/>
          <w:highlight w:val="none"/>
        </w:rPr>
        <w:t>年，在市委、市政府的坚强领导下，市国资委聚焦</w:t>
      </w:r>
      <w:r>
        <w:rPr>
          <w:rFonts w:hint="eastAsia" w:ascii="仿宋_GB2312" w:hAnsi="仿宋_GB2312" w:eastAsia="仿宋_GB2312" w:cs="仿宋_GB2312"/>
          <w:color w:val="auto"/>
          <w:kern w:val="2"/>
          <w:sz w:val="32"/>
          <w:szCs w:val="32"/>
          <w:highlight w:val="none"/>
          <w:lang w:eastAsia="zh-CN"/>
        </w:rPr>
        <w:t>国资</w:t>
      </w:r>
      <w:r>
        <w:rPr>
          <w:rFonts w:hint="eastAsia" w:ascii="仿宋_GB2312" w:hAnsi="仿宋_GB2312" w:eastAsia="仿宋_GB2312" w:cs="仿宋_GB2312"/>
          <w:color w:val="auto"/>
          <w:kern w:val="2"/>
          <w:sz w:val="32"/>
          <w:szCs w:val="32"/>
          <w:highlight w:val="none"/>
        </w:rPr>
        <w:t>主责主业，</w:t>
      </w:r>
      <w:r>
        <w:rPr>
          <w:rFonts w:hint="eastAsia" w:ascii="仿宋_GB2312" w:hAnsi="仿宋_GB2312" w:eastAsia="仿宋_GB2312" w:cs="仿宋_GB2312"/>
          <w:color w:val="auto"/>
          <w:sz w:val="32"/>
          <w:szCs w:val="32"/>
          <w:lang w:bidi="ar-SA"/>
        </w:rPr>
        <w:t>坚持以习近平新时代中国特色社会主义思想为指导，</w:t>
      </w:r>
      <w:r>
        <w:rPr>
          <w:rFonts w:hint="eastAsia" w:ascii="仿宋_GB2312" w:hAnsi="仿宋_GB2312" w:eastAsia="仿宋_GB2312" w:cs="仿宋_GB2312"/>
          <w:color w:val="auto"/>
          <w:sz w:val="32"/>
          <w:szCs w:val="32"/>
          <w:lang w:eastAsia="zh-CN" w:bidi="ar-SA"/>
        </w:rPr>
        <w:t>深入学习</w:t>
      </w:r>
      <w:r>
        <w:rPr>
          <w:rFonts w:hint="eastAsia" w:ascii="仿宋_GB2312" w:hAnsi="仿宋_GB2312" w:eastAsia="仿宋_GB2312" w:cs="仿宋_GB2312"/>
          <w:color w:val="auto"/>
          <w:sz w:val="32"/>
          <w:szCs w:val="32"/>
          <w:lang w:bidi="ar-SA"/>
        </w:rPr>
        <w:t>贯彻党的</w:t>
      </w:r>
      <w:r>
        <w:rPr>
          <w:rFonts w:hint="eastAsia" w:ascii="仿宋_GB2312" w:hAnsi="仿宋_GB2312" w:eastAsia="仿宋_GB2312" w:cs="仿宋_GB2312"/>
          <w:color w:val="auto"/>
          <w:sz w:val="32"/>
          <w:szCs w:val="32"/>
          <w:lang w:val="en-US" w:eastAsia="zh-CN" w:bidi="ar-SA"/>
        </w:rPr>
        <w:t>二十大</w:t>
      </w:r>
      <w:r>
        <w:rPr>
          <w:rFonts w:hint="eastAsia" w:ascii="仿宋_GB2312" w:hAnsi="仿宋_GB2312" w:eastAsia="仿宋_GB2312" w:cs="仿宋_GB2312"/>
          <w:color w:val="auto"/>
          <w:sz w:val="32"/>
          <w:szCs w:val="32"/>
          <w:lang w:bidi="ar-SA"/>
        </w:rPr>
        <w:t>精神，坚决落实</w:t>
      </w:r>
      <w:r>
        <w:rPr>
          <w:rFonts w:hint="eastAsia" w:ascii="仿宋_GB2312" w:hAnsi="仿宋_GB2312" w:eastAsia="仿宋_GB2312" w:cs="仿宋_GB2312"/>
          <w:color w:val="auto"/>
          <w:sz w:val="32"/>
          <w:szCs w:val="32"/>
          <w:lang w:eastAsia="zh-CN" w:bidi="ar-SA"/>
        </w:rPr>
        <w:t>省委、省政府</w:t>
      </w:r>
      <w:r>
        <w:rPr>
          <w:rFonts w:hint="eastAsia" w:ascii="仿宋_GB2312" w:hAnsi="仿宋_GB2312" w:eastAsia="仿宋_GB2312" w:cs="仿宋_GB2312"/>
          <w:color w:val="auto"/>
          <w:sz w:val="32"/>
          <w:szCs w:val="32"/>
          <w:lang w:bidi="ar-SA"/>
        </w:rPr>
        <w:t>和</w:t>
      </w:r>
      <w:r>
        <w:rPr>
          <w:rFonts w:hint="eastAsia" w:ascii="仿宋_GB2312" w:hAnsi="仿宋_GB2312" w:eastAsia="仿宋_GB2312" w:cs="仿宋_GB2312"/>
          <w:color w:val="auto"/>
          <w:sz w:val="32"/>
          <w:szCs w:val="32"/>
          <w:lang w:eastAsia="zh-CN" w:bidi="ar-SA"/>
        </w:rPr>
        <w:t>市</w:t>
      </w:r>
      <w:r>
        <w:rPr>
          <w:rFonts w:hint="eastAsia" w:ascii="仿宋_GB2312" w:hAnsi="仿宋_GB2312" w:eastAsia="仿宋_GB2312" w:cs="仿宋_GB2312"/>
          <w:color w:val="auto"/>
          <w:sz w:val="32"/>
          <w:szCs w:val="32"/>
          <w:lang w:bidi="ar-SA"/>
        </w:rPr>
        <w:t>委</w:t>
      </w:r>
      <w:r>
        <w:rPr>
          <w:rFonts w:hint="eastAsia" w:ascii="仿宋_GB2312" w:hAnsi="仿宋_GB2312" w:eastAsia="仿宋_GB2312" w:cs="仿宋_GB2312"/>
          <w:color w:val="auto"/>
          <w:sz w:val="32"/>
          <w:szCs w:val="32"/>
          <w:lang w:eastAsia="zh-CN" w:bidi="ar-SA"/>
        </w:rPr>
        <w:t>、市政府</w:t>
      </w:r>
      <w:r>
        <w:rPr>
          <w:rFonts w:hint="eastAsia" w:ascii="仿宋_GB2312" w:hAnsi="仿宋_GB2312" w:eastAsia="仿宋_GB2312" w:cs="仿宋_GB2312"/>
          <w:color w:val="auto"/>
          <w:sz w:val="32"/>
          <w:szCs w:val="32"/>
          <w:lang w:bidi="ar-SA"/>
        </w:rPr>
        <w:t>各项决策部署，坚持稳中求进工作总基调，坚持以高质量发展统揽全局，全力推动全</w:t>
      </w:r>
      <w:r>
        <w:rPr>
          <w:rFonts w:hint="eastAsia" w:ascii="仿宋_GB2312" w:hAnsi="仿宋_GB2312" w:eastAsia="仿宋_GB2312" w:cs="仿宋_GB2312"/>
          <w:color w:val="auto"/>
          <w:sz w:val="32"/>
          <w:szCs w:val="32"/>
          <w:lang w:eastAsia="zh-CN" w:bidi="ar-SA"/>
        </w:rPr>
        <w:t>市</w:t>
      </w:r>
      <w:r>
        <w:rPr>
          <w:rFonts w:hint="eastAsia" w:ascii="仿宋_GB2312" w:hAnsi="仿宋_GB2312" w:eastAsia="仿宋_GB2312" w:cs="仿宋_GB2312"/>
          <w:color w:val="auto"/>
          <w:sz w:val="32"/>
          <w:szCs w:val="32"/>
          <w:lang w:bidi="ar-SA"/>
        </w:rPr>
        <w:t>国资国企改革发展和党的建设各项工作，有力保持高质量发展的良好态势，为</w:t>
      </w:r>
      <w:r>
        <w:rPr>
          <w:rFonts w:hint="eastAsia" w:ascii="仿宋_GB2312" w:hAnsi="仿宋_GB2312" w:eastAsia="仿宋_GB2312" w:cs="仿宋_GB2312"/>
          <w:color w:val="auto"/>
          <w:sz w:val="32"/>
          <w:szCs w:val="32"/>
          <w:lang w:eastAsia="zh-CN" w:bidi="ar-SA"/>
        </w:rPr>
        <w:t>全市企业</w:t>
      </w:r>
      <w:r>
        <w:rPr>
          <w:rFonts w:hint="eastAsia" w:ascii="仿宋_GB2312" w:hAnsi="仿宋_GB2312" w:eastAsia="仿宋_GB2312" w:cs="仿宋_GB2312"/>
          <w:color w:val="auto"/>
          <w:sz w:val="32"/>
          <w:szCs w:val="32"/>
          <w:lang w:bidi="ar-SA"/>
        </w:rPr>
        <w:t>国有资产保值增值奠定坚实的基础。</w:t>
      </w:r>
      <w:r>
        <w:rPr>
          <w:rFonts w:hint="eastAsia" w:ascii="仿宋_GB2312" w:hAnsi="仿宋_GB2312" w:eastAsia="仿宋_GB2312" w:cs="仿宋_GB2312"/>
          <w:color w:val="auto"/>
          <w:kern w:val="2"/>
          <w:sz w:val="32"/>
          <w:szCs w:val="32"/>
          <w:highlight w:val="none"/>
          <w:u w:val="none"/>
          <w:lang w:val="en-US" w:eastAsia="zh-CN" w:bidi="ar-SA"/>
        </w:rPr>
        <w:t>全年主要做好了以下几方面的工作：</w:t>
      </w:r>
    </w:p>
    <w:p>
      <w:pPr>
        <w:pStyle w:val="19"/>
        <w:keepNext w:val="0"/>
        <w:keepLines w:val="0"/>
        <w:pageBreakBefore w:val="0"/>
        <w:widowControl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bCs/>
          <w:color w:val="auto"/>
          <w:sz w:val="32"/>
          <w:szCs w:val="32"/>
          <w:highlight w:val="none"/>
          <w:lang w:val="en-US" w:eastAsia="zh-CN" w:bidi="ar-SA"/>
        </w:rPr>
        <w:t>强化企业党建理论武装，发挥党组织堡垒作用。</w:t>
      </w:r>
      <w:r>
        <w:rPr>
          <w:rFonts w:hint="eastAsia" w:ascii="仿宋_GB2312" w:hAnsi="仿宋_GB2312" w:eastAsia="仿宋_GB2312" w:cs="仿宋_GB2312"/>
          <w:b w:val="0"/>
          <w:bCs w:val="0"/>
          <w:color w:val="auto"/>
          <w:sz w:val="32"/>
          <w:szCs w:val="32"/>
          <w:highlight w:val="none"/>
          <w:lang w:val="en-US" w:eastAsia="zh-CN" w:bidi="ar-SA"/>
        </w:rPr>
        <w:t>通过组织国资系统</w:t>
      </w:r>
      <w:r>
        <w:rPr>
          <w:rFonts w:hint="eastAsia" w:ascii="仿宋_GB2312" w:hAnsi="仿宋_GB2312" w:eastAsia="仿宋_GB2312" w:cs="仿宋_GB2312"/>
          <w:b w:val="0"/>
          <w:bCs w:val="0"/>
          <w:color w:val="auto"/>
          <w:sz w:val="32"/>
          <w:szCs w:val="32"/>
          <w:highlight w:val="none"/>
          <w:lang w:eastAsia="zh-CN" w:bidi="ar-SA"/>
        </w:rPr>
        <w:t>学习</w:t>
      </w:r>
      <w:r>
        <w:rPr>
          <w:rFonts w:hint="eastAsia" w:ascii="仿宋_GB2312" w:hAnsi="仿宋_GB2312" w:eastAsia="仿宋_GB2312" w:cs="仿宋_GB2312"/>
          <w:b w:val="0"/>
          <w:bCs w:val="0"/>
          <w:color w:val="auto"/>
          <w:sz w:val="32"/>
          <w:szCs w:val="32"/>
          <w:highlight w:val="none"/>
          <w:lang w:bidi="ar-SA"/>
        </w:rPr>
        <w:t>党的</w:t>
      </w:r>
      <w:r>
        <w:rPr>
          <w:rFonts w:hint="eastAsia" w:ascii="仿宋_GB2312" w:hAnsi="仿宋_GB2312" w:eastAsia="仿宋_GB2312" w:cs="仿宋_GB2312"/>
          <w:b w:val="0"/>
          <w:bCs w:val="0"/>
          <w:color w:val="auto"/>
          <w:sz w:val="32"/>
          <w:szCs w:val="32"/>
          <w:highlight w:val="none"/>
          <w:lang w:eastAsia="zh-CN" w:bidi="ar-SA"/>
        </w:rPr>
        <w:t>二十大</w:t>
      </w:r>
      <w:r>
        <w:rPr>
          <w:rFonts w:hint="eastAsia" w:ascii="仿宋_GB2312" w:hAnsi="仿宋_GB2312" w:eastAsia="仿宋_GB2312" w:cs="仿宋_GB2312"/>
          <w:b w:val="0"/>
          <w:bCs w:val="0"/>
          <w:color w:val="auto"/>
          <w:sz w:val="32"/>
          <w:szCs w:val="32"/>
          <w:highlight w:val="none"/>
          <w:lang w:bidi="ar-SA"/>
        </w:rPr>
        <w:t>精神</w:t>
      </w:r>
      <w:r>
        <w:rPr>
          <w:rFonts w:hint="eastAsia" w:ascii="仿宋_GB2312" w:hAnsi="仿宋_GB2312" w:eastAsia="仿宋_GB2312" w:cs="仿宋_GB2312"/>
          <w:b w:val="0"/>
          <w:bCs w:val="0"/>
          <w:color w:val="auto"/>
          <w:sz w:val="32"/>
          <w:szCs w:val="32"/>
          <w:highlight w:val="none"/>
          <w:lang w:eastAsia="zh-CN" w:bidi="ar-SA"/>
        </w:rPr>
        <w:t>专题培训和开展知识竞赛，加强</w:t>
      </w:r>
      <w:r>
        <w:rPr>
          <w:rFonts w:hint="eastAsia" w:ascii="仿宋_GB2312" w:hAnsi="仿宋_GB2312" w:eastAsia="仿宋_GB2312" w:cs="仿宋_GB2312"/>
          <w:b w:val="0"/>
          <w:bCs w:val="0"/>
          <w:color w:val="auto"/>
          <w:sz w:val="32"/>
          <w:szCs w:val="32"/>
          <w:highlight w:val="none"/>
          <w:lang w:bidi="ar-SA"/>
        </w:rPr>
        <w:t>党的</w:t>
      </w:r>
      <w:r>
        <w:rPr>
          <w:rFonts w:hint="eastAsia" w:ascii="仿宋_GB2312" w:hAnsi="仿宋_GB2312" w:eastAsia="仿宋_GB2312" w:cs="仿宋_GB2312"/>
          <w:b w:val="0"/>
          <w:bCs w:val="0"/>
          <w:color w:val="auto"/>
          <w:sz w:val="32"/>
          <w:szCs w:val="32"/>
          <w:highlight w:val="none"/>
          <w:lang w:eastAsia="zh-CN" w:bidi="ar-SA"/>
        </w:rPr>
        <w:t>二十大</w:t>
      </w:r>
      <w:r>
        <w:rPr>
          <w:rFonts w:hint="eastAsia" w:ascii="仿宋_GB2312" w:hAnsi="仿宋_GB2312" w:eastAsia="仿宋_GB2312" w:cs="仿宋_GB2312"/>
          <w:b w:val="0"/>
          <w:bCs w:val="0"/>
          <w:color w:val="auto"/>
          <w:sz w:val="32"/>
          <w:szCs w:val="32"/>
          <w:highlight w:val="none"/>
          <w:lang w:bidi="ar-SA"/>
        </w:rPr>
        <w:t>精神</w:t>
      </w:r>
      <w:r>
        <w:rPr>
          <w:rFonts w:hint="eastAsia" w:ascii="仿宋_GB2312" w:hAnsi="仿宋_GB2312" w:eastAsia="仿宋_GB2312" w:cs="仿宋_GB2312"/>
          <w:b w:val="0"/>
          <w:bCs w:val="0"/>
          <w:color w:val="auto"/>
          <w:sz w:val="32"/>
          <w:szCs w:val="32"/>
          <w:highlight w:val="none"/>
          <w:lang w:eastAsia="zh-CN" w:bidi="ar-SA"/>
        </w:rPr>
        <w:t>学习和贯彻</w:t>
      </w:r>
      <w:r>
        <w:rPr>
          <w:rFonts w:hint="eastAsia" w:ascii="仿宋_GB2312" w:hAnsi="仿宋_GB2312" w:eastAsia="仿宋_GB2312" w:cs="仿宋_GB2312"/>
          <w:b w:val="0"/>
          <w:bCs w:val="0"/>
          <w:color w:val="auto"/>
          <w:sz w:val="32"/>
          <w:szCs w:val="32"/>
          <w:highlight w:val="none"/>
          <w:lang w:val="en-US" w:eastAsia="zh-CN" w:bidi="ar-SA"/>
        </w:rPr>
        <w:t>，</w:t>
      </w:r>
      <w:r>
        <w:rPr>
          <w:rFonts w:hint="eastAsia" w:ascii="仿宋_GB2312" w:hAnsi="仿宋_GB2312" w:eastAsia="仿宋_GB2312" w:cs="仿宋_GB2312"/>
          <w:bCs/>
          <w:color w:val="auto"/>
          <w:sz w:val="32"/>
          <w:szCs w:val="32"/>
          <w:highlight w:val="none"/>
          <w:lang w:val="en-US" w:eastAsia="zh-CN" w:bidi="ar-SA"/>
        </w:rPr>
        <w:t>扎实开展学习贯彻新时代中国特色社会主义思想主题教育，深入开展“走基层、找问题、想办法、促发展”系列调研活动，把学习成果转为坚定理想、锤炼党性和指导实践、推动工作的强大力量。</w:t>
      </w:r>
      <w:r>
        <w:rPr>
          <w:rFonts w:hint="eastAsia" w:ascii="仿宋_GB2312" w:hAnsi="仿宋_GB2312" w:eastAsia="仿宋_GB2312" w:cs="仿宋_GB2312"/>
          <w:b w:val="0"/>
          <w:bCs w:val="0"/>
          <w:color w:val="auto"/>
          <w:sz w:val="32"/>
          <w:szCs w:val="32"/>
          <w:highlight w:val="none"/>
          <w:lang w:val="en-US" w:eastAsia="zh-CN" w:bidi="ar-SA"/>
        </w:rPr>
        <w:t>督促指导华永（湖南）勘测设计有限公司、市港发集团成立党组织，解决企业基层党组织应建未建问题。协调将长丰集团130余名党员组织关系转入社区，解决因企业司法重整、解除劳动关系等原因党员无法正常参加组织生活问题。</w:t>
      </w:r>
      <w:r>
        <w:rPr>
          <w:rFonts w:hint="eastAsia" w:ascii="仿宋_GB2312" w:hAnsi="仿宋_GB2312" w:eastAsia="仿宋_GB2312" w:cs="仿宋_GB2312"/>
          <w:b w:val="0"/>
          <w:bCs w:val="0"/>
          <w:color w:val="auto"/>
          <w:sz w:val="32"/>
          <w:szCs w:val="32"/>
          <w:highlight w:val="none"/>
          <w:lang w:eastAsia="zh-CN"/>
        </w:rPr>
        <w:t>深入开展“一企一特色，一企一亮点”创建活动，成功打造建华公司三线军工党史教育基地和零陵卷烟厂党员教育活动中心等国企党建品牌。</w:t>
      </w:r>
      <w:r>
        <w:rPr>
          <w:rFonts w:hint="eastAsia" w:ascii="仿宋_GB2312" w:hAnsi="仿宋_GB2312" w:eastAsia="仿宋_GB2312" w:cs="仿宋_GB2312"/>
          <w:b w:val="0"/>
          <w:bCs w:val="0"/>
          <w:color w:val="auto"/>
          <w:sz w:val="32"/>
          <w:szCs w:val="32"/>
          <w:highlight w:val="none"/>
          <w:lang w:val="en-US" w:eastAsia="zh-CN" w:bidi="ar-SA"/>
        </w:rPr>
        <w:t>年初</w:t>
      </w:r>
      <w:r>
        <w:rPr>
          <w:rFonts w:hint="eastAsia" w:ascii="仿宋_GB2312" w:hAnsi="仿宋_GB2312" w:eastAsia="仿宋_GB2312" w:cs="仿宋_GB2312"/>
          <w:b w:val="0"/>
          <w:bCs w:val="0"/>
          <w:color w:val="auto"/>
          <w:sz w:val="32"/>
          <w:szCs w:val="32"/>
          <w:highlight w:val="none"/>
          <w:lang w:eastAsia="zh-CN" w:bidi="ar-SA"/>
        </w:rPr>
        <w:t>召开了</w:t>
      </w:r>
      <w:r>
        <w:rPr>
          <w:rFonts w:hint="eastAsia" w:ascii="仿宋_GB2312" w:hAnsi="仿宋_GB2312" w:eastAsia="仿宋_GB2312" w:cs="仿宋_GB2312"/>
          <w:b w:val="0"/>
          <w:bCs w:val="0"/>
          <w:color w:val="auto"/>
          <w:sz w:val="32"/>
          <w:szCs w:val="32"/>
          <w:highlight w:val="none"/>
          <w:lang w:eastAsia="zh-CN"/>
        </w:rPr>
        <w:t>国资系统</w:t>
      </w:r>
      <w:r>
        <w:rPr>
          <w:rFonts w:hint="eastAsia" w:ascii="仿宋_GB2312" w:hAnsi="仿宋_GB2312" w:eastAsia="仿宋_GB2312" w:cs="仿宋_GB2312"/>
          <w:b w:val="0"/>
          <w:bCs w:val="0"/>
          <w:color w:val="auto"/>
          <w:sz w:val="32"/>
          <w:szCs w:val="32"/>
          <w:highlight w:val="none"/>
        </w:rPr>
        <w:t>党风廉政建设和反腐败工作会议</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坚持</w:t>
      </w:r>
      <w:r>
        <w:rPr>
          <w:rFonts w:hint="eastAsia" w:ascii="仿宋_GB2312" w:hAnsi="仿宋_GB2312" w:eastAsia="仿宋_GB2312" w:cs="仿宋_GB2312"/>
          <w:b w:val="0"/>
          <w:bCs w:val="0"/>
          <w:color w:val="auto"/>
          <w:sz w:val="32"/>
          <w:szCs w:val="32"/>
          <w:highlight w:val="none"/>
          <w:lang w:eastAsia="zh-CN"/>
        </w:rPr>
        <w:t>党风廉政</w:t>
      </w:r>
      <w:r>
        <w:rPr>
          <w:rFonts w:hint="eastAsia" w:ascii="仿宋_GB2312" w:hAnsi="仿宋_GB2312" w:eastAsia="仿宋_GB2312" w:cs="仿宋_GB2312"/>
          <w:b w:val="0"/>
          <w:bCs w:val="0"/>
          <w:color w:val="auto"/>
          <w:sz w:val="32"/>
          <w:szCs w:val="32"/>
          <w:highlight w:val="none"/>
        </w:rPr>
        <w:t>建设与业务工作同谋划、同部署、同考核</w:t>
      </w:r>
      <w:r>
        <w:rPr>
          <w:rFonts w:hint="eastAsia" w:ascii="仿宋_GB2312" w:hAnsi="仿宋_GB2312" w:eastAsia="仿宋_GB2312" w:cs="仿宋_GB2312"/>
          <w:b w:val="0"/>
          <w:bCs w:val="0"/>
          <w:color w:val="auto"/>
          <w:sz w:val="32"/>
          <w:szCs w:val="32"/>
          <w:highlight w:val="none"/>
          <w:lang w:eastAsia="zh-CN"/>
        </w:rPr>
        <w:t>。扎实开展</w:t>
      </w:r>
      <w:r>
        <w:rPr>
          <w:rFonts w:hint="eastAsia" w:ascii="仿宋_GB2312" w:hAnsi="仿宋_GB2312" w:eastAsia="仿宋_GB2312" w:cs="仿宋_GB2312"/>
          <w:b w:val="0"/>
          <w:bCs w:val="0"/>
          <w:color w:val="auto"/>
          <w:sz w:val="32"/>
          <w:szCs w:val="32"/>
          <w:highlight w:val="none"/>
          <w:lang w:val="en-US" w:eastAsia="zh-CN"/>
        </w:rPr>
        <w:t>巡视巡查、审计、人大常委会履职评议和关于审议企业国有资产管理报告反馈意见等内容的整改落实，补齐工作短板弱项，真正把党委从严治党主体责任落到实处。</w:t>
      </w:r>
      <w:r>
        <w:rPr>
          <w:rFonts w:hint="eastAsia" w:ascii="仿宋_GB2312" w:hAnsi="仿宋_GB2312" w:eastAsia="仿宋_GB2312" w:cs="仿宋_GB2312"/>
          <w:b w:val="0"/>
          <w:bCs w:val="0"/>
          <w:color w:val="auto"/>
          <w:sz w:val="32"/>
          <w:szCs w:val="32"/>
          <w:highlight w:val="none"/>
          <w:lang w:eastAsia="zh-CN" w:bidi="ar-SA"/>
        </w:rPr>
        <w:t>深入开展</w:t>
      </w:r>
      <w:r>
        <w:rPr>
          <w:rFonts w:hint="eastAsia" w:ascii="仿宋_GB2312" w:hAnsi="仿宋_GB2312" w:eastAsia="仿宋_GB2312" w:cs="仿宋_GB2312"/>
          <w:b w:val="0"/>
          <w:bCs w:val="0"/>
          <w:color w:val="auto"/>
          <w:spacing w:val="0"/>
          <w:sz w:val="32"/>
          <w:szCs w:val="32"/>
          <w:highlight w:val="none"/>
          <w:shd w:val="clear" w:color="auto" w:fill="FFFFFF"/>
          <w:lang w:bidi="ar-SA"/>
        </w:rPr>
        <w:t>清廉国企</w:t>
      </w:r>
      <w:r>
        <w:rPr>
          <w:rFonts w:hint="eastAsia" w:ascii="仿宋_GB2312" w:hAnsi="仿宋_GB2312" w:eastAsia="仿宋_GB2312" w:cs="仿宋_GB2312"/>
          <w:b w:val="0"/>
          <w:bCs w:val="0"/>
          <w:color w:val="auto"/>
          <w:spacing w:val="0"/>
          <w:sz w:val="32"/>
          <w:szCs w:val="32"/>
          <w:highlight w:val="none"/>
          <w:shd w:val="clear" w:color="auto" w:fill="FFFFFF"/>
          <w:lang w:eastAsia="zh-CN" w:bidi="ar-SA"/>
        </w:rPr>
        <w:t>、清廉机关</w:t>
      </w:r>
      <w:r>
        <w:rPr>
          <w:rFonts w:hint="eastAsia" w:ascii="仿宋_GB2312" w:hAnsi="仿宋_GB2312" w:eastAsia="仿宋_GB2312" w:cs="仿宋_GB2312"/>
          <w:b w:val="0"/>
          <w:bCs w:val="0"/>
          <w:color w:val="auto"/>
          <w:spacing w:val="0"/>
          <w:sz w:val="32"/>
          <w:szCs w:val="32"/>
          <w:highlight w:val="none"/>
          <w:shd w:val="clear" w:color="auto" w:fill="FFFFFF"/>
          <w:lang w:bidi="ar-SA"/>
        </w:rPr>
        <w:t>建设</w:t>
      </w:r>
      <w:r>
        <w:rPr>
          <w:rFonts w:hint="eastAsia" w:ascii="仿宋_GB2312" w:hAnsi="仿宋_GB2312" w:eastAsia="仿宋_GB2312" w:cs="仿宋_GB2312"/>
          <w:b w:val="0"/>
          <w:bCs w:val="0"/>
          <w:color w:val="auto"/>
          <w:sz w:val="32"/>
          <w:szCs w:val="32"/>
          <w:highlight w:val="none"/>
          <w:lang w:bidi="ar-SA"/>
        </w:rPr>
        <w:t>，</w:t>
      </w:r>
      <w:r>
        <w:rPr>
          <w:rFonts w:hint="eastAsia" w:ascii="仿宋_GB2312" w:hAnsi="仿宋_GB2312" w:eastAsia="仿宋_GB2312" w:cs="仿宋_GB2312"/>
          <w:b w:val="0"/>
          <w:bCs w:val="0"/>
          <w:color w:val="auto"/>
          <w:sz w:val="32"/>
          <w:szCs w:val="32"/>
          <w:highlight w:val="none"/>
          <w:lang w:eastAsia="zh-CN" w:bidi="ar-SA"/>
        </w:rPr>
        <w:t>市</w:t>
      </w:r>
      <w:r>
        <w:rPr>
          <w:rFonts w:hint="eastAsia" w:ascii="仿宋_GB2312" w:hAnsi="仿宋_GB2312" w:eastAsia="仿宋_GB2312" w:cs="仿宋_GB2312"/>
          <w:b w:val="0"/>
          <w:bCs w:val="0"/>
          <w:color w:val="auto"/>
          <w:sz w:val="32"/>
          <w:szCs w:val="32"/>
          <w:highlight w:val="none"/>
          <w:lang w:val="en-US" w:eastAsia="zh-CN"/>
        </w:rPr>
        <w:t>公交公司成功创建全市“清廉国企”建设示范点。</w:t>
      </w:r>
      <w:r>
        <w:rPr>
          <w:rFonts w:hint="eastAsia" w:ascii="仿宋_GB2312" w:hAnsi="仿宋_GB2312" w:eastAsia="仿宋_GB2312" w:cs="仿宋_GB2312"/>
          <w:b w:val="0"/>
          <w:bCs w:val="0"/>
          <w:color w:val="auto"/>
          <w:sz w:val="32"/>
          <w:szCs w:val="32"/>
          <w:highlight w:val="none"/>
          <w:lang w:eastAsia="zh-CN"/>
        </w:rPr>
        <w:t>以“清风行动”、</w:t>
      </w:r>
      <w:r>
        <w:rPr>
          <w:rFonts w:hint="eastAsia" w:ascii="仿宋_GB2312" w:hAnsi="仿宋_GB2312" w:eastAsia="仿宋_GB2312" w:cs="仿宋_GB2312"/>
          <w:b w:val="0"/>
          <w:bCs w:val="0"/>
          <w:color w:val="auto"/>
          <w:sz w:val="32"/>
          <w:szCs w:val="32"/>
          <w:highlight w:val="none"/>
        </w:rPr>
        <w:t>“两带头五整治”纠风防腐专项行动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领导干部利用职权或影响力为亲友牟利专项整治</w:t>
      </w:r>
      <w:r>
        <w:rPr>
          <w:rFonts w:hint="eastAsia" w:ascii="仿宋_GB2312" w:hAnsi="仿宋_GB2312" w:eastAsia="仿宋_GB2312" w:cs="仿宋_GB2312"/>
          <w:b w:val="0"/>
          <w:bCs w:val="0"/>
          <w:color w:val="auto"/>
          <w:sz w:val="32"/>
          <w:szCs w:val="32"/>
          <w:highlight w:val="none"/>
          <w:lang w:eastAsia="zh-CN"/>
        </w:rPr>
        <w:t>以及</w:t>
      </w:r>
      <w:r>
        <w:rPr>
          <w:rFonts w:hint="eastAsia" w:ascii="仿宋_GB2312" w:hAnsi="仿宋_GB2312" w:eastAsia="仿宋_GB2312" w:cs="仿宋_GB2312"/>
          <w:b w:val="0"/>
          <w:bCs w:val="0"/>
          <w:color w:val="auto"/>
          <w:sz w:val="32"/>
          <w:szCs w:val="32"/>
          <w:highlight w:val="none"/>
        </w:rPr>
        <w:t>易鹏飞严重违纪违法案件以案促改</w:t>
      </w:r>
      <w:r>
        <w:rPr>
          <w:rFonts w:hint="eastAsia" w:ascii="仿宋_GB2312" w:hAnsi="仿宋_GB2312" w:eastAsia="仿宋_GB2312" w:cs="仿宋_GB2312"/>
          <w:b w:val="0"/>
          <w:bCs w:val="0"/>
          <w:color w:val="auto"/>
          <w:sz w:val="32"/>
          <w:szCs w:val="32"/>
          <w:highlight w:val="none"/>
          <w:lang w:eastAsia="zh-CN"/>
        </w:rPr>
        <w:t>等契机，加强警示教育，组织“靠企吃企”专项整治，深入开展自查自纠，</w:t>
      </w:r>
      <w:r>
        <w:rPr>
          <w:rFonts w:hint="eastAsia" w:ascii="仿宋_GB2312" w:hAnsi="仿宋_GB2312" w:eastAsia="仿宋_GB2312" w:cs="仿宋_GB2312"/>
          <w:color w:val="auto"/>
          <w:kern w:val="0"/>
          <w:sz w:val="32"/>
          <w:szCs w:val="32"/>
          <w:highlight w:val="none"/>
          <w:lang w:val="en-US" w:eastAsia="zh-CN" w:bidi="ar-SA"/>
        </w:rPr>
        <w:t>营造风清气正的政治生态。</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二是深化</w:t>
      </w:r>
      <w:r>
        <w:rPr>
          <w:rFonts w:hint="eastAsia" w:ascii="仿宋_GB2312" w:hAnsi="仿宋_GB2312" w:eastAsia="仿宋_GB2312" w:cs="仿宋_GB2312"/>
          <w:b/>
          <w:color w:val="auto"/>
          <w:sz w:val="32"/>
          <w:szCs w:val="32"/>
          <w:highlight w:val="none"/>
        </w:rPr>
        <w:t>国企改革。</w:t>
      </w:r>
      <w:r>
        <w:rPr>
          <w:rFonts w:hint="eastAsia" w:ascii="仿宋_GB2312" w:hAnsi="仿宋_GB2312" w:eastAsia="仿宋_GB2312" w:cs="仿宋_GB2312"/>
          <w:b/>
          <w:bCs/>
          <w:color w:val="auto"/>
          <w:sz w:val="32"/>
          <w:szCs w:val="32"/>
          <w:highlight w:val="none"/>
          <w:u w:val="none"/>
          <w:lang w:val="en-US" w:eastAsia="zh-CN" w:bidi="ar-SA"/>
        </w:rPr>
        <w:t>促进国企高质量发展。</w:t>
      </w:r>
      <w:r>
        <w:rPr>
          <w:rFonts w:hint="eastAsia" w:ascii="仿宋_GB2312" w:hAnsi="仿宋_GB2312" w:eastAsia="仿宋_GB2312" w:cs="仿宋_GB2312"/>
          <w:color w:val="auto"/>
          <w:sz w:val="32"/>
          <w:szCs w:val="32"/>
          <w:highlight w:val="none"/>
          <w:lang w:val="en-US" w:eastAsia="zh-CN"/>
        </w:rPr>
        <w:t>印发</w:t>
      </w:r>
      <w:r>
        <w:rPr>
          <w:rFonts w:hint="eastAsia" w:ascii="仿宋_GB2312" w:hAnsi="仿宋_GB2312" w:eastAsia="仿宋_GB2312" w:cs="仿宋_GB2312"/>
          <w:color w:val="auto"/>
          <w:sz w:val="32"/>
          <w:szCs w:val="32"/>
          <w:highlight w:val="none"/>
        </w:rPr>
        <w:t>《关于深化监管企业内部劳动、人事、分配三项制度改革实施意见（试行）》，</w:t>
      </w:r>
      <w:r>
        <w:rPr>
          <w:rFonts w:hint="eastAsia" w:ascii="仿宋_GB2312" w:hAnsi="仿宋_GB2312" w:eastAsia="仿宋_GB2312" w:cs="仿宋_GB2312"/>
          <w:color w:val="auto"/>
          <w:sz w:val="32"/>
          <w:szCs w:val="32"/>
          <w:highlight w:val="none"/>
          <w:lang w:eastAsia="zh-CN"/>
        </w:rPr>
        <w:t>推进监管企业三项制度改革持续深化。</w:t>
      </w:r>
      <w:r>
        <w:rPr>
          <w:rFonts w:hint="eastAsia" w:ascii="仿宋_GB2312" w:hAnsi="仿宋_GB2312" w:eastAsia="仿宋_GB2312" w:cs="仿宋_GB2312"/>
          <w:sz w:val="32"/>
          <w:szCs w:val="32"/>
          <w:lang w:val="en-US" w:eastAsia="zh-CN"/>
        </w:rPr>
        <w:t>出台了《永州市国资委监管企业工资总额管理办法（试行）》，建立健全监管企业工资决定和正常增长机制。</w:t>
      </w:r>
      <w:r>
        <w:rPr>
          <w:rFonts w:hint="eastAsia" w:ascii="仿宋_GB2312" w:hAnsi="仿宋_GB2312" w:eastAsia="仿宋_GB2312" w:cs="仿宋_GB2312"/>
          <w:color w:val="auto"/>
          <w:sz w:val="32"/>
          <w:szCs w:val="32"/>
          <w:highlight w:val="none"/>
          <w:lang w:eastAsia="zh-CN"/>
        </w:rPr>
        <w:t>起草了《永州市市属国有企业改革深化提升行动实施方案》，</w:t>
      </w:r>
      <w:r>
        <w:rPr>
          <w:rFonts w:hint="eastAsia" w:ascii="仿宋_GB2312" w:hAnsi="仿宋_GB2312" w:eastAsia="仿宋_GB2312" w:cs="仿宋_GB2312"/>
          <w:color w:val="auto"/>
          <w:sz w:val="32"/>
          <w:szCs w:val="32"/>
          <w:highlight w:val="none"/>
          <w:lang w:val="en-US" w:eastAsia="zh-CN"/>
        </w:rPr>
        <w:t>以提高核心竞争力和增强核心功能为重点，扎实推进国企改革深化提升行动，努力构建新发展格局、推动企业高质量发展。</w:t>
      </w:r>
      <w:r>
        <w:rPr>
          <w:rFonts w:hint="eastAsia" w:ascii="仿宋_GB2312" w:hAnsi="仿宋_GB2312" w:eastAsia="仿宋_GB2312" w:cs="仿宋_GB2312"/>
          <w:bCs/>
          <w:color w:val="auto"/>
          <w:sz w:val="32"/>
          <w:szCs w:val="32"/>
          <w:highlight w:val="none"/>
          <w:lang w:eastAsia="zh-CN" w:bidi="ar-SA"/>
        </w:rPr>
        <w:t>完成</w:t>
      </w:r>
      <w:r>
        <w:rPr>
          <w:rFonts w:hint="eastAsia" w:ascii="仿宋_GB2312" w:hAnsi="仿宋_GB2312" w:eastAsia="仿宋_GB2312" w:cs="仿宋_GB2312"/>
          <w:bCs/>
          <w:color w:val="auto"/>
          <w:sz w:val="32"/>
          <w:szCs w:val="32"/>
          <w:highlight w:val="none"/>
          <w:lang w:val="en-US" w:eastAsia="zh-CN" w:bidi="ar-SA"/>
        </w:rPr>
        <w:t>了</w:t>
      </w:r>
      <w:r>
        <w:rPr>
          <w:rFonts w:hint="eastAsia" w:ascii="仿宋_GB2312" w:hAnsi="仿宋_GB2312" w:eastAsia="仿宋_GB2312" w:cs="仿宋_GB2312"/>
          <w:bCs/>
          <w:color w:val="auto"/>
          <w:sz w:val="32"/>
          <w:szCs w:val="32"/>
          <w:highlight w:val="none"/>
          <w:lang w:eastAsia="zh-CN" w:bidi="ar-SA"/>
        </w:rPr>
        <w:t>企业转型方案的审核、印发并组织实施。</w:t>
      </w:r>
      <w:r>
        <w:rPr>
          <w:rFonts w:hint="eastAsia" w:ascii="仿宋_GB2312" w:hAnsi="仿宋_GB2312" w:eastAsia="仿宋_GB2312" w:cs="仿宋_GB2312"/>
          <w:bCs/>
          <w:color w:val="auto"/>
          <w:sz w:val="32"/>
          <w:szCs w:val="32"/>
          <w:highlight w:val="none"/>
          <w:lang w:val="en-US" w:eastAsia="zh-CN" w:bidi="ar-SA"/>
        </w:rPr>
        <w:t>严格落实省债管办“每年十分之一”的任务目标要求，督导企业推进隐性债务化解</w:t>
      </w:r>
      <w:r>
        <w:rPr>
          <w:rFonts w:hint="eastAsia" w:ascii="仿宋_GB2312" w:hAnsi="仿宋_GB2312" w:eastAsia="仿宋_GB2312" w:cs="仿宋_GB2312"/>
          <w:bCs/>
          <w:color w:val="auto"/>
          <w:sz w:val="32"/>
          <w:szCs w:val="32"/>
          <w:highlight w:val="none"/>
          <w:lang w:eastAsia="zh-CN" w:bidi="ar-SA"/>
        </w:rPr>
        <w:t>。通过</w:t>
      </w:r>
      <w:r>
        <w:rPr>
          <w:rFonts w:hint="eastAsia" w:ascii="仿宋_GB2312" w:hAnsi="仿宋_GB2312" w:eastAsia="仿宋_GB2312" w:cs="仿宋_GB2312"/>
          <w:bCs/>
          <w:color w:val="auto"/>
          <w:sz w:val="32"/>
          <w:szCs w:val="32"/>
          <w:highlight w:val="none"/>
          <w:lang w:val="en-US" w:eastAsia="zh-CN" w:bidi="ar-SA"/>
        </w:rPr>
        <w:t>压层级、减法人，逐步优化规范企业组织架构，完成了一级子公司主要负责人的调整配备。起草了原事业编身份人员安置建议方案并经政府常务会议审议通过。3月份，</w:t>
      </w:r>
      <w:r>
        <w:rPr>
          <w:rFonts w:hint="eastAsia" w:ascii="仿宋_GB2312" w:hAnsi="仿宋_GB2312" w:eastAsia="仿宋_GB2312" w:cs="仿宋_GB2312"/>
          <w:bCs/>
          <w:color w:val="auto"/>
          <w:sz w:val="32"/>
          <w:szCs w:val="32"/>
          <w:highlight w:val="none"/>
          <w:lang w:eastAsia="zh-CN" w:bidi="ar-SA"/>
        </w:rPr>
        <w:t>组织了委机关和监管企业相关人员进行了政策法规、监管制度培训</w:t>
      </w:r>
      <w:r>
        <w:rPr>
          <w:rFonts w:hint="eastAsia" w:ascii="仿宋_GB2312" w:hAnsi="仿宋_GB2312" w:eastAsia="仿宋_GB2312" w:cs="仿宋_GB2312"/>
          <w:bCs/>
          <w:color w:val="auto"/>
          <w:sz w:val="32"/>
          <w:szCs w:val="32"/>
          <w:highlight w:val="none"/>
          <w:lang w:val="en-US" w:eastAsia="zh-CN" w:bidi="ar-SA"/>
        </w:rPr>
        <w:t>；7月份，组织委机关、监管企业中层以上干部在省国资委培训中心举办了2期改革深化提升业务培训班，通过加强学习教育，有效提高了国资国企干部队伍业务能力水平。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bCs/>
          <w:color w:val="auto"/>
          <w:sz w:val="32"/>
          <w:szCs w:val="32"/>
          <w:highlight w:val="none"/>
          <w:lang w:val="en-US" w:eastAsia="zh-CN" w:bidi="ar-SA"/>
        </w:rPr>
        <w:t>降本增效提质，确保国有资产保值增值。</w:t>
      </w:r>
      <w:r>
        <w:rPr>
          <w:rFonts w:hint="eastAsia" w:ascii="仿宋_GB2312" w:hAnsi="仿宋_GB2312" w:eastAsia="仿宋_GB2312" w:cs="仿宋_GB2312"/>
          <w:b w:val="0"/>
          <w:bCs w:val="0"/>
          <w:color w:val="auto"/>
          <w:sz w:val="32"/>
          <w:szCs w:val="32"/>
          <w:highlight w:val="none"/>
          <w:lang w:val="en-US" w:eastAsia="zh-CN" w:bidi="ar-SA"/>
        </w:rPr>
        <w:t>年初，对监管企业年度融资计划进行了审核备案并对资金的使用管理实施全过程监管，全年成功发行两期合计20亿元非公开公司债，严守6%融资成本底线。加强企业信用等级提升，市城发集团、市经发集团先后获评AA+主体信用等级，有效降低了企业融资成本，拓宽了融资渠道。</w:t>
      </w:r>
      <w:r>
        <w:rPr>
          <w:rFonts w:hint="eastAsia" w:ascii="仿宋_GB2312" w:hAnsi="仿宋_GB2312" w:eastAsia="仿宋_GB2312" w:cs="仿宋_GB2312"/>
          <w:bCs/>
          <w:color w:val="auto"/>
          <w:sz w:val="32"/>
          <w:szCs w:val="32"/>
          <w:highlight w:val="none"/>
          <w:lang w:eastAsia="zh-CN" w:bidi="ar-SA"/>
        </w:rPr>
        <w:t>出台了《关于进一步加强国有企业“三资”清查处置与管理改革工作有关事项的通知》，积极推进全市国有企业闲置资产清查工作。通过灵活运用市场化处置、公开出租、有效利用、资产证券化等方式完成处置</w:t>
      </w:r>
      <w:r>
        <w:rPr>
          <w:rFonts w:hint="eastAsia" w:ascii="仿宋_GB2312" w:hAnsi="仿宋_GB2312" w:eastAsia="仿宋_GB2312" w:cs="仿宋_GB2312"/>
          <w:bCs/>
          <w:color w:val="auto"/>
          <w:sz w:val="32"/>
          <w:szCs w:val="32"/>
          <w:highlight w:val="none"/>
          <w:lang w:val="en-US" w:eastAsia="zh-CN" w:bidi="ar-SA"/>
        </w:rPr>
        <w:t>161</w:t>
      </w:r>
      <w:r>
        <w:rPr>
          <w:rFonts w:hint="eastAsia" w:ascii="仿宋_GB2312" w:hAnsi="仿宋_GB2312" w:eastAsia="仿宋_GB2312" w:cs="仿宋_GB2312"/>
          <w:bCs/>
          <w:color w:val="auto"/>
          <w:sz w:val="32"/>
          <w:szCs w:val="32"/>
          <w:highlight w:val="none"/>
          <w:lang w:eastAsia="zh-CN" w:bidi="ar-SA"/>
        </w:rPr>
        <w:t>项，已回收值</w:t>
      </w:r>
      <w:r>
        <w:rPr>
          <w:rFonts w:hint="eastAsia" w:ascii="仿宋_GB2312" w:hAnsi="仿宋_GB2312" w:eastAsia="仿宋_GB2312" w:cs="仿宋_GB2312"/>
          <w:bCs/>
          <w:color w:val="auto"/>
          <w:sz w:val="32"/>
          <w:szCs w:val="32"/>
          <w:highlight w:val="none"/>
          <w:lang w:val="en-US" w:eastAsia="zh-CN" w:bidi="ar-SA"/>
        </w:rPr>
        <w:t>86.66</w:t>
      </w:r>
      <w:r>
        <w:rPr>
          <w:rFonts w:hint="eastAsia" w:ascii="仿宋_GB2312" w:hAnsi="仿宋_GB2312" w:eastAsia="仿宋_GB2312" w:cs="仿宋_GB2312"/>
          <w:bCs/>
          <w:color w:val="auto"/>
          <w:sz w:val="32"/>
          <w:szCs w:val="32"/>
          <w:highlight w:val="none"/>
          <w:lang w:eastAsia="zh-CN" w:bidi="ar-SA"/>
        </w:rPr>
        <w:t>亿元</w:t>
      </w:r>
      <w:r>
        <w:rPr>
          <w:rFonts w:hint="eastAsia" w:ascii="仿宋_GB2312" w:hAnsi="仿宋_GB2312" w:eastAsia="仿宋_GB2312" w:cs="仿宋_GB2312"/>
          <w:bCs/>
          <w:color w:val="auto"/>
          <w:sz w:val="32"/>
          <w:szCs w:val="32"/>
          <w:highlight w:val="none"/>
          <w:lang w:val="en-US" w:eastAsia="zh-CN" w:bidi="ar-SA"/>
        </w:rPr>
        <w:t>，其中入库收益2.47亿元，通过以盘活“三资”为契机，以盘清底数、数字监管、化解难题为举措不断提升国有企业资产效益。目前，基金规模已扩大至3200万元，合作银行机构增加至17家，转贷业务基本实现市内全覆盖；2023年完成转贷业务135笔，同比增长22.2%；滚动投放总量达到8.42亿元，同比增长24.18%；实现转贷收入260万元，同比增长27.78%；为中小微企业节约融资成本2800余万元，切实发挥资本支持实体经济发展的作用。</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bCs/>
          <w:color w:val="auto"/>
          <w:sz w:val="32"/>
          <w:szCs w:val="32"/>
          <w:highlight w:val="none"/>
          <w:lang w:val="en-US" w:eastAsia="zh-CN" w:bidi="ar-SA"/>
        </w:rPr>
        <w:t>严格监督管理，国资监管工作水平得到提升。</w:t>
      </w:r>
      <w:r>
        <w:rPr>
          <w:rFonts w:hint="eastAsia" w:ascii="仿宋_GB2312" w:hAnsi="仿宋_GB2312" w:eastAsia="仿宋_GB2312" w:cs="仿宋_GB2312"/>
          <w:color w:val="auto"/>
          <w:sz w:val="32"/>
          <w:szCs w:val="32"/>
          <w:lang w:eastAsia="zh-CN" w:bidi="ar-SA"/>
        </w:rPr>
        <w:t>继去年“国资监管制度建设年”活动后，今年又</w:t>
      </w:r>
      <w:r>
        <w:rPr>
          <w:rFonts w:hint="eastAsia" w:ascii="仿宋_GB2312" w:hAnsi="仿宋_GB2312" w:eastAsia="仿宋_GB2312" w:cs="仿宋_GB2312"/>
          <w:bCs/>
          <w:color w:val="auto"/>
          <w:sz w:val="32"/>
          <w:szCs w:val="32"/>
          <w:highlight w:val="none"/>
          <w:lang w:eastAsia="zh-CN" w:bidi="ar-SA"/>
        </w:rPr>
        <w:t>起草了《永州市国资委市属监管企业外部董事选聘和管理办法（试行）》等监管制度文件</w:t>
      </w:r>
      <w:r>
        <w:rPr>
          <w:rFonts w:hint="eastAsia" w:ascii="仿宋_GB2312" w:hAnsi="仿宋_GB2312" w:eastAsia="仿宋_GB2312" w:cs="仿宋_GB2312"/>
          <w:bCs/>
          <w:color w:val="auto"/>
          <w:sz w:val="32"/>
          <w:szCs w:val="32"/>
          <w:highlight w:val="none"/>
          <w:lang w:val="en-US" w:eastAsia="zh-CN" w:bidi="ar-SA"/>
        </w:rPr>
        <w:t>5份</w:t>
      </w:r>
      <w:r>
        <w:rPr>
          <w:rFonts w:hint="eastAsia" w:ascii="仿宋_GB2312" w:hAnsi="仿宋_GB2312" w:eastAsia="仿宋_GB2312" w:cs="仿宋_GB2312"/>
          <w:bCs/>
          <w:color w:val="auto"/>
          <w:sz w:val="32"/>
          <w:szCs w:val="32"/>
          <w:highlight w:val="none"/>
          <w:lang w:eastAsia="zh-CN" w:bidi="ar-SA"/>
        </w:rPr>
        <w:t>，编订印发了《国资监管工作有关法律、法规、文件汇编》，指导监管企业修改完善各类内控管理制度</w:t>
      </w:r>
      <w:r>
        <w:rPr>
          <w:rFonts w:hint="eastAsia" w:ascii="仿宋_GB2312" w:hAnsi="仿宋_GB2312" w:eastAsia="仿宋_GB2312" w:cs="仿宋_GB2312"/>
          <w:bCs/>
          <w:color w:val="auto"/>
          <w:sz w:val="32"/>
          <w:szCs w:val="32"/>
          <w:highlight w:val="none"/>
          <w:lang w:val="en-US" w:eastAsia="zh-CN" w:bidi="ar-SA"/>
        </w:rPr>
        <w:t>96项</w:t>
      </w:r>
      <w:r>
        <w:rPr>
          <w:rFonts w:hint="eastAsia" w:ascii="仿宋_GB2312" w:hAnsi="仿宋_GB2312" w:eastAsia="仿宋_GB2312" w:cs="仿宋_GB2312"/>
          <w:bCs/>
          <w:color w:val="auto"/>
          <w:sz w:val="32"/>
          <w:szCs w:val="32"/>
          <w:highlight w:val="none"/>
          <w:lang w:eastAsia="zh-CN" w:bidi="ar-SA"/>
        </w:rPr>
        <w:t>，</w:t>
      </w:r>
      <w:r>
        <w:rPr>
          <w:rFonts w:hint="eastAsia" w:ascii="仿宋_GB2312" w:hAnsi="仿宋_GB2312" w:eastAsia="仿宋_GB2312" w:cs="仿宋_GB2312"/>
          <w:bCs/>
          <w:color w:val="auto"/>
          <w:sz w:val="32"/>
          <w:szCs w:val="32"/>
          <w:highlight w:val="none"/>
          <w:lang w:val="en-US" w:eastAsia="zh-CN" w:bidi="ar-SA"/>
        </w:rPr>
        <w:t>逐步构建起“产权明晰、权责明确、政企分开、管理科学”的现代企业制度</w:t>
      </w:r>
      <w:r>
        <w:rPr>
          <w:rFonts w:hint="eastAsia" w:ascii="仿宋_GB2312" w:hAnsi="仿宋_GB2312" w:eastAsia="仿宋_GB2312" w:cs="仿宋_GB2312"/>
          <w:bCs/>
          <w:color w:val="auto"/>
          <w:sz w:val="32"/>
          <w:szCs w:val="32"/>
          <w:highlight w:val="none"/>
          <w:lang w:eastAsia="zh-CN" w:bidi="ar-SA"/>
        </w:rPr>
        <w:t>和</w:t>
      </w:r>
      <w:r>
        <w:rPr>
          <w:rFonts w:hint="eastAsia" w:ascii="仿宋_GB2312" w:hAnsi="仿宋_GB2312" w:eastAsia="仿宋_GB2312" w:cs="仿宋_GB2312"/>
          <w:color w:val="000000"/>
          <w:sz w:val="32"/>
          <w:szCs w:val="32"/>
          <w:lang w:bidi="ar-SA"/>
        </w:rPr>
        <w:t>以管资本为主</w:t>
      </w:r>
      <w:r>
        <w:rPr>
          <w:rFonts w:hint="eastAsia" w:ascii="仿宋_GB2312" w:hAnsi="仿宋_GB2312" w:eastAsia="仿宋_GB2312" w:cs="仿宋_GB2312"/>
          <w:color w:val="000000"/>
          <w:sz w:val="32"/>
          <w:szCs w:val="32"/>
          <w:lang w:eastAsia="zh-CN" w:bidi="ar-SA"/>
        </w:rPr>
        <w:t>的</w:t>
      </w:r>
      <w:r>
        <w:rPr>
          <w:rFonts w:hint="eastAsia" w:ascii="仿宋_GB2312" w:hAnsi="仿宋_GB2312" w:eastAsia="仿宋_GB2312" w:cs="仿宋_GB2312"/>
          <w:color w:val="000000"/>
          <w:sz w:val="32"/>
          <w:szCs w:val="32"/>
          <w:lang w:bidi="ar-SA"/>
        </w:rPr>
        <w:t>专业化、体系化、法治化国资监管体制。</w:t>
      </w:r>
      <w:r>
        <w:rPr>
          <w:rFonts w:hint="eastAsia" w:ascii="仿宋_GB2312" w:hAnsi="仿宋_GB2312" w:eastAsia="仿宋_GB2312" w:cs="仿宋_GB2312"/>
          <w:bCs/>
          <w:color w:val="auto"/>
          <w:sz w:val="32"/>
          <w:szCs w:val="32"/>
          <w:lang w:eastAsia="zh-CN" w:bidi="ar-SA"/>
        </w:rPr>
        <w:t>出台了国有企业绩效考核和薪酬管理办法</w:t>
      </w:r>
      <w:r>
        <w:rPr>
          <w:rFonts w:hint="eastAsia" w:ascii="仿宋_GB2312" w:hAnsi="仿宋_GB2312" w:eastAsia="仿宋_GB2312" w:cs="仿宋_GB2312"/>
          <w:color w:val="auto"/>
          <w:sz w:val="32"/>
          <w:szCs w:val="32"/>
          <w:lang w:bidi="ar-SA"/>
        </w:rPr>
        <w:t>，</w:t>
      </w:r>
      <w:r>
        <w:rPr>
          <w:rFonts w:hint="eastAsia" w:ascii="仿宋_GB2312" w:hAnsi="仿宋_GB2312" w:eastAsia="仿宋_GB2312" w:cs="仿宋_GB2312"/>
          <w:color w:val="auto"/>
          <w:sz w:val="32"/>
          <w:szCs w:val="32"/>
          <w:highlight w:val="none"/>
          <w:u w:val="none"/>
          <w:lang w:eastAsia="zh-CN" w:bidi="ar-SA"/>
        </w:rPr>
        <w:t>先后完成了</w:t>
      </w:r>
      <w:r>
        <w:rPr>
          <w:rFonts w:hint="eastAsia" w:ascii="仿宋_GB2312" w:hAnsi="仿宋_GB2312" w:eastAsia="仿宋_GB2312" w:cs="仿宋_GB2312"/>
          <w:color w:val="auto"/>
          <w:sz w:val="32"/>
          <w:szCs w:val="32"/>
          <w:highlight w:val="none"/>
          <w:u w:val="none"/>
          <w:lang w:val="en-US" w:eastAsia="zh-CN" w:bidi="ar-SA"/>
        </w:rPr>
        <w:t>2021、2022绩效考核计分和企业负责人薪酬测算工作，对2023年度绩效考核指标进行了优化完善</w:t>
      </w:r>
      <w:r>
        <w:rPr>
          <w:rFonts w:hint="eastAsia" w:ascii="仿宋_GB2312" w:hAnsi="仿宋_GB2312" w:eastAsia="仿宋_GB2312" w:cs="仿宋_GB2312"/>
          <w:color w:val="auto"/>
          <w:sz w:val="32"/>
          <w:szCs w:val="32"/>
          <w:lang w:bidi="ar-SA"/>
        </w:rPr>
        <w:t>，</w:t>
      </w:r>
      <w:r>
        <w:rPr>
          <w:rFonts w:hint="eastAsia" w:ascii="仿宋_GB2312" w:hAnsi="仿宋_GB2312" w:eastAsia="仿宋_GB2312" w:cs="仿宋_GB2312"/>
          <w:color w:val="auto"/>
          <w:sz w:val="32"/>
          <w:szCs w:val="32"/>
          <w:lang w:eastAsia="zh-CN" w:bidi="ar-SA"/>
        </w:rPr>
        <w:t>推动差异化考核</w:t>
      </w:r>
      <w:r>
        <w:rPr>
          <w:rFonts w:hint="eastAsia" w:ascii="仿宋_GB2312" w:hAnsi="仿宋_GB2312" w:eastAsia="仿宋_GB2312" w:cs="仿宋_GB2312"/>
          <w:color w:val="auto"/>
          <w:sz w:val="32"/>
          <w:szCs w:val="32"/>
          <w:lang w:bidi="ar-SA"/>
        </w:rPr>
        <w:t>。</w:t>
      </w:r>
      <w:r>
        <w:rPr>
          <w:rFonts w:hint="eastAsia" w:ascii="仿宋_GB2312" w:hAnsi="仿宋_GB2312" w:eastAsia="仿宋_GB2312" w:cs="仿宋_GB2312"/>
          <w:color w:val="auto"/>
          <w:sz w:val="32"/>
          <w:szCs w:val="32"/>
          <w:lang w:eastAsia="zh-CN" w:bidi="ar-SA"/>
        </w:rPr>
        <w:t>结合巡察、审计指出的问题和工作实际，加强</w:t>
      </w:r>
      <w:r>
        <w:rPr>
          <w:rFonts w:hint="eastAsia" w:ascii="仿宋_GB2312" w:hAnsi="仿宋_GB2312" w:eastAsia="仿宋_GB2312" w:cs="仿宋_GB2312"/>
          <w:bCs/>
          <w:color w:val="auto"/>
          <w:sz w:val="32"/>
          <w:szCs w:val="32"/>
          <w:u w:val="none"/>
          <w:lang w:eastAsia="zh-CN" w:bidi="ar-SA"/>
        </w:rPr>
        <w:t>监管企业产权管</w:t>
      </w:r>
      <w:r>
        <w:rPr>
          <w:rFonts w:hint="eastAsia" w:ascii="仿宋_GB2312" w:hAnsi="仿宋_GB2312" w:eastAsia="仿宋_GB2312" w:cs="仿宋_GB2312"/>
          <w:color w:val="auto"/>
          <w:sz w:val="32"/>
          <w:szCs w:val="32"/>
          <w:u w:val="none"/>
          <w:lang w:eastAsia="zh-CN" w:bidi="ar-SA"/>
        </w:rPr>
        <w:t>理、</w:t>
      </w:r>
      <w:r>
        <w:rPr>
          <w:rFonts w:hint="eastAsia" w:ascii="仿宋_GB2312" w:hAnsi="仿宋_GB2312" w:eastAsia="仿宋_GB2312" w:cs="仿宋_GB2312"/>
          <w:color w:val="auto"/>
          <w:kern w:val="0"/>
          <w:sz w:val="32"/>
          <w:szCs w:val="32"/>
          <w:u w:val="none"/>
          <w:shd w:val="clear" w:color="auto" w:fill="FFFFFF"/>
          <w:lang w:eastAsia="zh-CN" w:bidi="ar-SA"/>
        </w:rPr>
        <w:t>资产租赁及</w:t>
      </w:r>
      <w:r>
        <w:rPr>
          <w:rFonts w:hint="eastAsia" w:ascii="仿宋_GB2312" w:hAnsi="仿宋_GB2312" w:eastAsia="仿宋_GB2312" w:cs="仿宋_GB2312"/>
          <w:color w:val="auto"/>
          <w:sz w:val="32"/>
          <w:szCs w:val="32"/>
          <w:u w:val="none"/>
          <w:lang w:bidi="ar-SA"/>
        </w:rPr>
        <w:t>国有资产交易</w:t>
      </w:r>
      <w:r>
        <w:rPr>
          <w:rFonts w:hint="eastAsia" w:ascii="仿宋_GB2312" w:hAnsi="仿宋_GB2312" w:eastAsia="仿宋_GB2312" w:cs="仿宋_GB2312"/>
          <w:color w:val="auto"/>
          <w:sz w:val="32"/>
          <w:szCs w:val="32"/>
          <w:u w:val="none"/>
          <w:lang w:eastAsia="zh-CN" w:bidi="ar-SA"/>
        </w:rPr>
        <w:t>的</w:t>
      </w:r>
      <w:r>
        <w:rPr>
          <w:rFonts w:hint="eastAsia" w:ascii="仿宋_GB2312" w:hAnsi="仿宋_GB2312" w:eastAsia="仿宋_GB2312" w:cs="仿宋_GB2312"/>
          <w:color w:val="auto"/>
          <w:sz w:val="32"/>
          <w:szCs w:val="32"/>
          <w:u w:val="none"/>
          <w:lang w:bidi="ar-SA"/>
        </w:rPr>
        <w:t>监</w:t>
      </w:r>
      <w:r>
        <w:rPr>
          <w:rFonts w:hint="eastAsia" w:ascii="仿宋_GB2312" w:hAnsi="仿宋_GB2312" w:eastAsia="仿宋_GB2312" w:cs="仿宋_GB2312"/>
          <w:color w:val="auto"/>
          <w:sz w:val="32"/>
          <w:szCs w:val="32"/>
          <w:u w:val="none"/>
          <w:lang w:eastAsia="zh-CN" w:bidi="ar-SA"/>
        </w:rPr>
        <w:t>管</w:t>
      </w:r>
      <w:r>
        <w:rPr>
          <w:rFonts w:hint="eastAsia" w:ascii="仿宋_GB2312" w:hAnsi="仿宋_GB2312" w:eastAsia="仿宋_GB2312" w:cs="仿宋_GB2312"/>
          <w:color w:val="auto"/>
          <w:sz w:val="32"/>
          <w:szCs w:val="32"/>
          <w:u w:val="none"/>
          <w:lang w:bidi="ar-SA"/>
        </w:rPr>
        <w:t>，</w:t>
      </w:r>
      <w:r>
        <w:rPr>
          <w:rFonts w:hint="eastAsia" w:ascii="仿宋_GB2312" w:hAnsi="仿宋_GB2312" w:eastAsia="仿宋_GB2312" w:cs="仿宋_GB2312"/>
          <w:color w:val="auto"/>
          <w:sz w:val="32"/>
          <w:szCs w:val="32"/>
          <w:u w:val="none"/>
          <w:lang w:eastAsia="zh-CN" w:bidi="ar-SA"/>
        </w:rPr>
        <w:t>不断规范工作流程。</w:t>
      </w:r>
      <w:r>
        <w:rPr>
          <w:rFonts w:hint="eastAsia" w:ascii="仿宋_GB2312" w:hAnsi="仿宋_GB2312" w:eastAsia="仿宋_GB2312" w:cs="仿宋_GB2312"/>
          <w:sz w:val="32"/>
          <w:szCs w:val="32"/>
          <w:lang w:eastAsia="zh-CN" w:bidi="ar-SA"/>
        </w:rPr>
        <w:t>起草了《关于构建全市国资监管大格局的实施方案》，积极推进工作落实。年初，召集各县（市）区监管机构召开了全市国资工作会议，加强了市县两级工作联动。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color w:val="auto"/>
          <w:sz w:val="32"/>
          <w:szCs w:val="32"/>
          <w:lang w:val="en-US" w:eastAsia="zh-CN"/>
        </w:rPr>
        <w:t>五是</w:t>
      </w:r>
      <w:r>
        <w:rPr>
          <w:rFonts w:hint="eastAsia" w:ascii="仿宋_GB2312" w:hAnsi="仿宋_GB2312" w:eastAsia="仿宋_GB2312" w:cs="仿宋_GB2312"/>
          <w:b/>
          <w:color w:val="auto"/>
          <w:sz w:val="32"/>
          <w:szCs w:val="32"/>
          <w:highlight w:val="none"/>
          <w:lang w:val="en-US" w:eastAsia="zh-CN"/>
        </w:rPr>
        <w:t>做好安全生产和信访维稳工作</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val="0"/>
          <w:bCs/>
          <w:color w:val="auto"/>
          <w:sz w:val="32"/>
          <w:szCs w:val="32"/>
          <w:lang w:val="en-US" w:eastAsia="zh-CN"/>
        </w:rPr>
        <w:t>积极开展安全生产“百日攻坚”活动，</w:t>
      </w:r>
      <w:r>
        <w:rPr>
          <w:rFonts w:hint="eastAsia" w:ascii="仿宋_GB2312" w:hAnsi="仿宋_GB2312" w:eastAsia="仿宋_GB2312" w:cs="仿宋_GB2312"/>
          <w:color w:val="auto"/>
          <w:sz w:val="32"/>
          <w:szCs w:val="32"/>
        </w:rPr>
        <w:t>督促监管企业履行安全生产主体责任，定期开展安全生产检查，</w:t>
      </w:r>
      <w:r>
        <w:rPr>
          <w:rFonts w:hint="eastAsia" w:ascii="仿宋_GB2312" w:hAnsi="仿宋_GB2312" w:eastAsia="仿宋_GB2312" w:cs="仿宋_GB2312"/>
          <w:color w:val="auto"/>
          <w:sz w:val="32"/>
          <w:szCs w:val="32"/>
          <w:lang w:eastAsia="zh-CN"/>
        </w:rPr>
        <w:t>及时消除</w:t>
      </w:r>
      <w:r>
        <w:rPr>
          <w:rFonts w:hint="eastAsia" w:ascii="仿宋_GB2312" w:hAnsi="仿宋_GB2312" w:eastAsia="仿宋_GB2312" w:cs="仿宋_GB2312"/>
          <w:color w:val="auto"/>
          <w:sz w:val="32"/>
          <w:szCs w:val="32"/>
        </w:rPr>
        <w:t>安全隐患。</w:t>
      </w:r>
      <w:r>
        <w:rPr>
          <w:rFonts w:hint="eastAsia" w:ascii="仿宋_GB2312" w:hAnsi="仿宋_GB2312" w:eastAsia="仿宋_GB2312" w:cs="仿宋_GB2312"/>
          <w:b w:val="0"/>
          <w:bCs/>
          <w:color w:val="auto"/>
          <w:sz w:val="32"/>
          <w:szCs w:val="32"/>
        </w:rPr>
        <w:t>认真做好信访维稳和“平安企业”创建工作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及时全面掌握企</w:t>
      </w:r>
      <w:r>
        <w:rPr>
          <w:rFonts w:hint="eastAsia" w:ascii="仿宋_GB2312" w:hAnsi="仿宋_GB2312" w:eastAsia="仿宋_GB2312" w:cs="仿宋_GB2312"/>
          <w:color w:val="auto"/>
          <w:sz w:val="32"/>
          <w:szCs w:val="32"/>
        </w:rPr>
        <w:t>业矛盾隐患情况，</w:t>
      </w:r>
      <w:r>
        <w:rPr>
          <w:rFonts w:hint="eastAsia" w:ascii="仿宋_GB2312" w:hAnsi="仿宋_GB2312" w:eastAsia="仿宋_GB2312" w:cs="仿宋_GB2312"/>
          <w:bCs/>
          <w:color w:val="auto"/>
          <w:sz w:val="32"/>
          <w:szCs w:val="32"/>
          <w:highlight w:val="none"/>
          <w:lang w:val="en-US" w:eastAsia="zh-CN" w:bidi="ar-SA"/>
        </w:rPr>
        <w:t>严格落实安全生产“十五条”硬措施，完善安全风险分级管控和隐患排查治理双重预防机制，定期分析研判，做到隐患排查整治常态化、制度化，确保企业安全稳定。严格落实“三到位一处理”要求，有效化解信访矛盾隐患，全年，共接待处理群众来访110余人次、办理智慧永州平台18件、网上信访系统25件，受理率、办理率均为100%。</w:t>
      </w:r>
    </w:p>
    <w:p>
      <w:pPr>
        <w:pStyle w:val="5"/>
        <w:keepNext w:val="0"/>
        <w:keepLines w:val="0"/>
        <w:pageBreakBefore w:val="0"/>
        <w:widowControl w:val="0"/>
        <w:numPr>
          <w:ilvl w:val="0"/>
          <w:numId w:val="3"/>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永州市人民政府国有资产监督管理委员会实现产出和取得效益的情况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lang w:bidi="ar"/>
        </w:rPr>
      </w:pPr>
      <w:r>
        <w:rPr>
          <w:rFonts w:hint="eastAsia" w:ascii="仿宋_GB2312" w:hAnsi="仿宋_GB2312" w:eastAsia="仿宋_GB2312" w:cs="仿宋_GB2312"/>
          <w:color w:val="auto"/>
          <w:sz w:val="32"/>
          <w:szCs w:val="32"/>
          <w:lang w:val="en-US" w:eastAsia="zh-CN"/>
        </w:rPr>
        <w:t>2023年完成了对</w:t>
      </w:r>
      <w:r>
        <w:rPr>
          <w:rFonts w:hint="eastAsia" w:ascii="仿宋_GB2312" w:hAnsi="仿宋_GB2312" w:eastAsia="仿宋_GB2312" w:cs="仿宋_GB2312"/>
          <w:bCs/>
          <w:color w:val="auto"/>
          <w:sz w:val="32"/>
          <w:szCs w:val="32"/>
        </w:rPr>
        <w:t>市政府授权</w:t>
      </w:r>
      <w:r>
        <w:rPr>
          <w:rFonts w:hint="eastAsia" w:ascii="仿宋_GB2312" w:hAnsi="仿宋_GB2312" w:eastAsia="仿宋_GB2312" w:cs="仿宋_GB2312"/>
          <w:bCs/>
          <w:color w:val="auto"/>
          <w:sz w:val="32"/>
          <w:szCs w:val="32"/>
          <w:lang w:val="en-US" w:eastAsia="zh-CN"/>
        </w:rPr>
        <w:t>的9</w:t>
      </w:r>
      <w:r>
        <w:rPr>
          <w:rFonts w:hint="eastAsia" w:ascii="仿宋_GB2312" w:hAnsi="仿宋_GB2312" w:eastAsia="仿宋_GB2312" w:cs="仿宋_GB2312"/>
          <w:bCs/>
          <w:color w:val="auto"/>
          <w:sz w:val="32"/>
          <w:szCs w:val="32"/>
        </w:rPr>
        <w:t>家</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分别是市城发集团、市经投集团、涔天河公司、市公交公司、永汽总公司、市国投公司</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市</w:t>
      </w:r>
      <w:r>
        <w:rPr>
          <w:rFonts w:hint="eastAsia" w:ascii="仿宋_GB2312" w:hAnsi="仿宋_GB2312" w:eastAsia="仿宋_GB2312" w:cs="仿宋_GB2312"/>
          <w:bCs/>
          <w:color w:val="auto"/>
          <w:sz w:val="32"/>
          <w:szCs w:val="32"/>
        </w:rPr>
        <w:t>农高科公司</w:t>
      </w:r>
      <w:r>
        <w:rPr>
          <w:rFonts w:hint="eastAsia" w:ascii="仿宋_GB2312" w:hAnsi="仿宋_GB2312" w:eastAsia="仿宋_GB2312" w:cs="仿宋_GB2312"/>
          <w:bCs/>
          <w:color w:val="auto"/>
          <w:sz w:val="32"/>
          <w:szCs w:val="32"/>
          <w:lang w:eastAsia="zh-CN"/>
        </w:rPr>
        <w:t>和市勘测规划研究院有限公司、</w:t>
      </w:r>
      <w:r>
        <w:rPr>
          <w:rFonts w:hint="eastAsia" w:ascii="仿宋_GB2312" w:hAnsi="仿宋_GB2312" w:eastAsia="仿宋_GB2312" w:cs="仿宋_GB2312"/>
          <w:bCs/>
          <w:color w:val="auto"/>
          <w:sz w:val="32"/>
          <w:szCs w:val="32"/>
          <w:lang w:val="en-US" w:eastAsia="zh-CN"/>
        </w:rPr>
        <w:t>市港发集团</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市属国有</w:t>
      </w:r>
      <w:r>
        <w:rPr>
          <w:rFonts w:hint="eastAsia" w:ascii="仿宋_GB2312" w:hAnsi="仿宋_GB2312" w:eastAsia="仿宋_GB2312" w:cs="仿宋_GB2312"/>
          <w:bCs/>
          <w:color w:val="auto"/>
          <w:sz w:val="32"/>
          <w:szCs w:val="32"/>
        </w:rPr>
        <w:t>企业</w:t>
      </w:r>
      <w:r>
        <w:rPr>
          <w:rFonts w:hint="eastAsia" w:ascii="仿宋_GB2312" w:hAnsi="仿宋_GB2312" w:eastAsia="仿宋_GB2312" w:cs="仿宋_GB2312"/>
          <w:bCs/>
          <w:color w:val="auto"/>
          <w:sz w:val="32"/>
          <w:szCs w:val="32"/>
          <w:lang w:val="en-US" w:eastAsia="zh-CN"/>
        </w:rPr>
        <w:t>的国资监管工作</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全年</w:t>
      </w:r>
      <w:r>
        <w:rPr>
          <w:rFonts w:hint="eastAsia" w:ascii="仿宋_GB2312" w:hAnsi="仿宋_GB2312" w:eastAsia="仿宋_GB2312" w:cs="仿宋_GB2312"/>
          <w:bCs/>
          <w:color w:val="auto"/>
          <w:sz w:val="32"/>
          <w:szCs w:val="32"/>
          <w:lang w:bidi="ar"/>
        </w:rPr>
        <w:t>立足新发展阶段，全面贯彻新发展理念，服务和融入新发展格局，以管资本为主，推进国有资产监管体制改革，转变国有资产监管职能。坚持“稳进高新”工作方针，统筹推进国有资本布局优化和结构调整，深化改革、强化管理、持续创新；系统推动国资监管机构全面履行出资人、国资监管和加强国有企业党的建设职责。</w:t>
      </w:r>
      <w:r>
        <w:rPr>
          <w:rFonts w:hint="eastAsia" w:ascii="仿宋_GB2312" w:hAnsi="仿宋_GB2312" w:eastAsia="仿宋_GB2312" w:cs="仿宋_GB2312"/>
          <w:bCs/>
          <w:color w:val="auto"/>
          <w:sz w:val="32"/>
          <w:szCs w:val="32"/>
          <w:lang w:val="en-US" w:eastAsia="zh-CN" w:bidi="ar"/>
        </w:rPr>
        <w:t>进一步</w:t>
      </w:r>
      <w:r>
        <w:rPr>
          <w:rFonts w:hint="eastAsia" w:ascii="仿宋_GB2312" w:hAnsi="仿宋_GB2312" w:eastAsia="仿宋_GB2312" w:cs="仿宋_GB2312"/>
          <w:bCs/>
          <w:color w:val="auto"/>
          <w:sz w:val="32"/>
          <w:szCs w:val="32"/>
          <w:lang w:bidi="ar"/>
        </w:rPr>
        <w:t>加强</w:t>
      </w:r>
      <w:r>
        <w:rPr>
          <w:rFonts w:hint="eastAsia" w:ascii="仿宋_GB2312" w:hAnsi="仿宋_GB2312" w:eastAsia="仿宋_GB2312" w:cs="仿宋_GB2312"/>
          <w:bCs/>
          <w:color w:val="auto"/>
          <w:sz w:val="32"/>
          <w:szCs w:val="32"/>
          <w:lang w:val="en-US" w:eastAsia="zh-CN" w:bidi="ar"/>
        </w:rPr>
        <w:t>了</w:t>
      </w:r>
      <w:r>
        <w:rPr>
          <w:rFonts w:hint="eastAsia" w:ascii="仿宋_GB2312" w:hAnsi="仿宋_GB2312" w:eastAsia="仿宋_GB2312" w:cs="仿宋_GB2312"/>
          <w:bCs/>
          <w:color w:val="auto"/>
          <w:sz w:val="32"/>
          <w:szCs w:val="32"/>
          <w:lang w:bidi="ar"/>
        </w:rPr>
        <w:t>对</w:t>
      </w:r>
      <w:r>
        <w:rPr>
          <w:rFonts w:hint="eastAsia" w:ascii="仿宋_GB2312" w:hAnsi="仿宋_GB2312" w:eastAsia="仿宋_GB2312" w:cs="仿宋_GB2312"/>
          <w:bCs/>
          <w:color w:val="auto"/>
          <w:sz w:val="32"/>
          <w:szCs w:val="32"/>
          <w:lang w:val="en-US" w:eastAsia="zh-CN" w:bidi="ar"/>
        </w:rPr>
        <w:t>市属监管的</w:t>
      </w:r>
      <w:r>
        <w:rPr>
          <w:rFonts w:hint="eastAsia" w:ascii="仿宋_GB2312" w:hAnsi="仿宋_GB2312" w:eastAsia="仿宋_GB2312" w:cs="仿宋_GB2312"/>
          <w:bCs/>
          <w:color w:val="auto"/>
          <w:sz w:val="32"/>
          <w:szCs w:val="32"/>
          <w:lang w:bidi="ar"/>
        </w:rPr>
        <w:t>国有企业事前、事中、事后监管，维护国有资本安全，</w:t>
      </w:r>
      <w:r>
        <w:rPr>
          <w:rFonts w:hint="eastAsia" w:ascii="仿宋_GB2312" w:hAnsi="仿宋_GB2312" w:eastAsia="仿宋_GB2312" w:cs="仿宋_GB2312"/>
          <w:bCs/>
          <w:color w:val="auto"/>
          <w:sz w:val="32"/>
          <w:szCs w:val="32"/>
          <w:lang w:val="en-US" w:eastAsia="zh-CN" w:bidi="ar"/>
        </w:rPr>
        <w:t>从而</w:t>
      </w:r>
      <w:r>
        <w:rPr>
          <w:rFonts w:hint="eastAsia" w:ascii="仿宋_GB2312" w:hAnsi="仿宋_GB2312" w:eastAsia="仿宋_GB2312" w:cs="仿宋_GB2312"/>
          <w:bCs/>
          <w:color w:val="auto"/>
          <w:sz w:val="32"/>
          <w:szCs w:val="32"/>
          <w:lang w:bidi="ar"/>
        </w:rPr>
        <w:t>实现国有资产保值增值。</w:t>
      </w:r>
    </w:p>
    <w:p>
      <w:pPr>
        <w:pStyle w:val="5"/>
        <w:keepNext w:val="0"/>
        <w:keepLines w:val="0"/>
        <w:pageBreakBefore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FF"/>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rPr>
        <w:t>截止2023年12月底，9家监管企业资产总额1210.52亿元，同比增加7.42%；负债总额625.61亿元，同比增加14.22%；营业收入39.02亿元，同比增加5.24%；成本费用35.6亿元，同比增加6.84%；利润总额3.42亿元，同比下降8.95%；上缴税费5.25亿元，同比下降7.58%。</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Cs/>
          <w:sz w:val="32"/>
          <w:szCs w:val="32"/>
          <w:lang w:val="en-US" w:eastAsia="zh-CN"/>
        </w:rPr>
        <w:t>同时，在2023年全市绩效考核中委机关获得良好等次，获得2023年度平安建设（综治）和保持平安建设先进单位，2023年在省国资委对市州国资监管工作评估评价中获得良好等次</w:t>
      </w:r>
      <w:r>
        <w:rPr>
          <w:rFonts w:hint="eastAsia" w:ascii="仿宋_GB2312" w:hAnsi="仿宋_GB2312" w:eastAsia="仿宋_GB2312" w:cs="仿宋_GB2312"/>
          <w:b w:val="0"/>
          <w:bCs w:val="0"/>
          <w:color w:val="000000"/>
          <w:kern w:val="0"/>
          <w:sz w:val="32"/>
          <w:szCs w:val="32"/>
          <w:lang w:val="en-US" w:eastAsia="zh-CN" w:bidi="ar"/>
        </w:rPr>
        <w:t>。</w:t>
      </w:r>
    </w:p>
    <w:p>
      <w:pPr>
        <w:pStyle w:val="4"/>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3、永州市人民政府国有资产监督管理委员职责、行业发展规划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val="0"/>
          <w:bCs w:val="0"/>
          <w:sz w:val="32"/>
          <w:szCs w:val="32"/>
          <w:lang w:val="en-US" w:eastAsia="zh-CN"/>
        </w:rPr>
        <w:t xml:space="preserve"> 永州市国资委的主要职责：</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Cs/>
          <w:sz w:val="32"/>
          <w:szCs w:val="32"/>
        </w:rPr>
        <w:t>依照《中华人民共和国公司法》、《企业国有资产监督管理暂行条例》等法律、行政法规履行出资人职责，承担监督所监管企业国有资产保值增值的责任，指导和推进市属国有企业改革和重组；推进国有企业的现代企业制度建设，完善公司治理结构；通过法定程序，对所监管企业的负责人进行任免、考核、奖惩；负责组织所监管企业上交国有资本收益；负责企业国有资产基础管理，起草有关国有资产管理的规范性文件；根据市政府授权，代表</w:t>
      </w:r>
      <w:r>
        <w:rPr>
          <w:rFonts w:hint="eastAsia" w:ascii="仿宋_GB2312" w:hAnsi="仿宋_GB2312" w:eastAsia="仿宋_GB2312" w:cs="仿宋_GB2312"/>
          <w:bCs/>
          <w:sz w:val="32"/>
          <w:szCs w:val="32"/>
          <w:lang w:val="en-US" w:eastAsia="zh-CN"/>
        </w:rPr>
        <w:t>政府</w:t>
      </w:r>
      <w:r>
        <w:rPr>
          <w:rFonts w:hint="eastAsia" w:ascii="仿宋_GB2312" w:hAnsi="仿宋_GB2312" w:eastAsia="仿宋_GB2312" w:cs="仿宋_GB2312"/>
          <w:bCs/>
          <w:sz w:val="32"/>
          <w:szCs w:val="32"/>
        </w:rPr>
        <w:t>对市属国有企业履行国有资产出资人职责，并进行监督管理。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 xml:space="preserve"> 行业发展规划：</w:t>
      </w:r>
      <w:r>
        <w:rPr>
          <w:rFonts w:hint="eastAsia" w:ascii="仿宋_GB2312" w:hAnsi="仿宋_GB2312" w:eastAsia="仿宋_GB2312" w:cs="仿宋_GB2312"/>
          <w:bCs w:val="0"/>
          <w:sz w:val="32"/>
          <w:szCs w:val="32"/>
        </w:rPr>
        <w:t>以提高国有企业核心竞争力和增加国有企业核心功能为重，补短板、强弱项，</w:t>
      </w:r>
      <w:r>
        <w:rPr>
          <w:rFonts w:hint="eastAsia" w:ascii="仿宋_GB2312" w:hAnsi="仿宋_GB2312" w:eastAsia="仿宋_GB2312" w:cs="仿宋_GB2312"/>
          <w:bCs w:val="0"/>
          <w:sz w:val="32"/>
          <w:szCs w:val="32"/>
          <w:lang w:eastAsia="zh-CN"/>
        </w:rPr>
        <w:t>力争到</w:t>
      </w:r>
      <w:r>
        <w:rPr>
          <w:rFonts w:hint="eastAsia" w:ascii="仿宋_GB2312" w:hAnsi="仿宋_GB2312" w:eastAsia="仿宋_GB2312" w:cs="仿宋_GB2312"/>
          <w:bCs w:val="0"/>
          <w:sz w:val="32"/>
          <w:szCs w:val="32"/>
          <w:lang w:val="en-US" w:eastAsia="zh-CN"/>
        </w:rPr>
        <w:t>2025年底</w:t>
      </w:r>
      <w:r>
        <w:rPr>
          <w:rFonts w:hint="eastAsia" w:ascii="仿宋_GB2312" w:hAnsi="仿宋_GB2312" w:eastAsia="仿宋_GB2312" w:cs="仿宋_GB2312"/>
          <w:bCs w:val="0"/>
          <w:sz w:val="32"/>
          <w:szCs w:val="32"/>
        </w:rPr>
        <w:t>，通过坚持和加强党对国有企业的全面领导，持续提升国有企业现代公司治理水平；通过以市场化方式推进国有企业整合重组，持续推进国有资本布局优化和结构调整；通过深化企业内部改革和优化企业管理，持续提升国有企业核心竞争能力；通过转变国资监管职能和强化全过程监督，持续推进构建国资监管大格局。</w:t>
      </w:r>
      <w:r>
        <w:rPr>
          <w:rFonts w:hint="eastAsia" w:ascii="仿宋_GB2312" w:hAnsi="仿宋_GB2312" w:eastAsia="仿宋_GB2312" w:cs="仿宋_GB2312"/>
          <w:color w:val="000000"/>
          <w:sz w:val="32"/>
          <w:szCs w:val="32"/>
        </w:rPr>
        <w:t>加强县级国资监管工作指导监督，加快形成市县国资监管工作大格局。</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到2035年，全市国资国企改革发展工作保持创先争优，国有经济活力、竞争力、创新力、控制力、影响力、抗风险能力显著增强，国资国企成为市委市政府实施重大战略的坚强保障，成为推动我市经济社会高质量发展的骨干力量，成为提升人民群众获得感幸福感的重要支撑。</w:t>
      </w:r>
    </w:p>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auto"/>
          <w:sz w:val="32"/>
          <w:szCs w:val="32"/>
          <w:lang w:val="en-US" w:eastAsia="zh-CN"/>
        </w:rPr>
        <w:t xml:space="preserve">   4、以预算资金管理为主线，资产管理和开展业务情况 </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永州市国资</w:t>
      </w:r>
      <w:r>
        <w:rPr>
          <w:rFonts w:hint="eastAsia" w:ascii="仿宋_GB2312" w:hAnsi="仿宋_GB2312" w:eastAsia="仿宋_GB2312" w:cs="仿宋_GB2312"/>
          <w:b w:val="0"/>
          <w:bCs w:val="0"/>
          <w:sz w:val="32"/>
          <w:szCs w:val="32"/>
          <w:lang w:val="en-US" w:eastAsia="zh-CN"/>
        </w:rPr>
        <w:t>委</w:t>
      </w:r>
      <w:r>
        <w:rPr>
          <w:rFonts w:hint="eastAsia" w:ascii="仿宋_GB2312" w:hAnsi="仿宋_GB2312" w:eastAsia="仿宋_GB2312" w:cs="仿宋_GB2312"/>
          <w:b w:val="0"/>
          <w:bCs w:val="0"/>
          <w:sz w:val="32"/>
          <w:szCs w:val="32"/>
          <w:lang w:eastAsia="zh-CN"/>
        </w:rPr>
        <w:t>制定了资产管理办法，对资产申购、采购、分配、保管、处置等进行规定，资产配置按照“合法依规、保障需要、调剂优先、共享共用”的原则，严格执行《行政事业性国有资产管理条例》有关规定，并完善资产申购审批程序，确定购置标准，严格按照《永州市市直行政事业单位通用办公设备和办公家具配置限额标准》的有关规定进行采购。同时，加强资产管理，各科室定期对所属固定资产进行清理，办公室明确专人负责机关固定资产管理，</w:t>
      </w:r>
      <w:r>
        <w:rPr>
          <w:rFonts w:hint="eastAsia" w:ascii="仿宋_GB2312" w:hAnsi="仿宋_GB2312" w:eastAsia="仿宋_GB2312" w:cs="仿宋_GB2312"/>
          <w:b w:val="0"/>
          <w:bCs w:val="0"/>
          <w:sz w:val="32"/>
          <w:szCs w:val="32"/>
          <w:lang w:val="en-US" w:eastAsia="zh-CN"/>
        </w:rPr>
        <w:t>2023年我们对委机关内的固定资产进行一次全面清理，建立了台账，按规定张贴了标签。2023年度委机关总共采购了办公设备1.08万元。</w:t>
      </w:r>
    </w:p>
    <w:p>
      <w:pPr>
        <w:pStyle w:val="5"/>
        <w:keepNext w:val="0"/>
        <w:keepLines w:val="0"/>
        <w:pageBreakBefore w:val="0"/>
        <w:widowControl w:val="0"/>
        <w:numPr>
          <w:ilvl w:val="0"/>
          <w:numId w:val="0"/>
        </w:numPr>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5、从运行成本、管理效率、履职效能、社会效应、可持续发展能力和服务对象满意度等方面、衡量部门单位整体及核心业务实施效果。</w:t>
      </w:r>
    </w:p>
    <w:p>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从委机关运行成本、管理效率、履职效能、社会效应、可持续发展能力和服务对象满意度等方面分析，我委圆满的完成了全年市委、市政府安排的各项工作任务，较好地完成了对9家所监管的国有企业监管。从全年运行情况看，我委所监管的9家市属国有企业在国有资产保值增值上取得明显成效，国有企业扭亏减亏，主营业务收入提升，改制企业职工稳定，改制企业市管干部队伍建设、待遇落实措施有力，得到了广大企业职工和改制企业市管干部一致好评。</w:t>
      </w:r>
      <w:r>
        <w:rPr>
          <w:rFonts w:hint="eastAsia" w:ascii="仿宋_GB2312" w:hAnsi="仿宋_GB2312" w:eastAsia="仿宋_GB2312" w:cs="仿宋_GB2312"/>
          <w:color w:val="auto"/>
          <w:sz w:val="32"/>
          <w:szCs w:val="32"/>
          <w:lang w:val="en-US" w:eastAsia="zh-CN"/>
        </w:rPr>
        <w:t>社会公众和企业服务对象满意度达到95%以上。</w:t>
      </w:r>
    </w:p>
    <w:p>
      <w:pPr>
        <w:pStyle w:val="1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存在的问题及原因分析</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1、从预算和</w:t>
      </w:r>
      <w:r>
        <w:rPr>
          <w:rFonts w:hint="eastAsia" w:ascii="仿宋_GB2312" w:hAnsi="仿宋_GB2312" w:eastAsia="仿宋_GB2312" w:cs="仿宋_GB2312"/>
          <w:b w:val="0"/>
          <w:bCs w:val="0"/>
          <w:sz w:val="32"/>
          <w:szCs w:val="32"/>
          <w:lang w:eastAsia="zh-CN"/>
        </w:rPr>
        <w:t>预算</w:t>
      </w:r>
      <w:r>
        <w:rPr>
          <w:rFonts w:hint="eastAsia" w:ascii="仿宋_GB2312" w:hAnsi="仿宋_GB2312" w:eastAsia="仿宋_GB2312" w:cs="仿宋_GB2312"/>
          <w:b w:val="0"/>
          <w:bCs w:val="0"/>
          <w:sz w:val="32"/>
          <w:szCs w:val="32"/>
          <w:lang w:val="en-US" w:eastAsia="zh-CN"/>
        </w:rPr>
        <w:t xml:space="preserve">绩效管理、部门履职能力、资金分配、使用和管理、资产和财务管理、政府采购等方面归纳存在的问题。 </w:t>
      </w:r>
    </w:p>
    <w:p>
      <w:pPr>
        <w:pStyle w:val="13"/>
        <w:keepNext w:val="0"/>
        <w:keepLines w:val="0"/>
        <w:pageBreakBefore w:val="0"/>
        <w:kinsoku/>
        <w:wordWrap/>
        <w:overflowPunct/>
        <w:topLinePunct w:val="0"/>
        <w:bidi w:val="0"/>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从全年运行情况看，在履职过程中，在资金分配方面存在的问题有：一是用于对市属9家国有企业的监管、督查活动中发生的差旅费支出存在缺口；二是用于乡村振兴、文明创建的经费有缺口。</w:t>
      </w:r>
    </w:p>
    <w:p>
      <w:pPr>
        <w:pStyle w:val="5"/>
        <w:keepNext w:val="0"/>
        <w:keepLines w:val="0"/>
        <w:pageBreakBefore w:val="0"/>
        <w:numPr>
          <w:ilvl w:val="0"/>
          <w:numId w:val="0"/>
        </w:numPr>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2、反映各种预算支出执行偏离绩效目标的情况，并分析原因。</w:t>
      </w:r>
    </w:p>
    <w:p>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从2023年本部门</w:t>
      </w:r>
      <w:r>
        <w:rPr>
          <w:rFonts w:hint="eastAsia" w:ascii="仿宋_GB2312" w:hAnsi="仿宋_GB2312" w:eastAsia="仿宋_GB2312" w:cs="仿宋_GB2312"/>
          <w:b w:val="0"/>
          <w:bCs w:val="0"/>
          <w:sz w:val="32"/>
          <w:szCs w:val="32"/>
          <w:lang w:val="en-US" w:eastAsia="zh-CN"/>
        </w:rPr>
        <w:t>预算支出执行偏离绩效目标情况看，</w:t>
      </w:r>
      <w:r>
        <w:rPr>
          <w:rFonts w:hint="eastAsia" w:ascii="仿宋_GB2312" w:hAnsi="仿宋_GB2312" w:eastAsia="仿宋_GB2312" w:cs="仿宋_GB2312"/>
          <w:kern w:val="0"/>
          <w:sz w:val="32"/>
          <w:szCs w:val="32"/>
        </w:rPr>
        <w:t>年初预算批复金额和实际支出</w:t>
      </w:r>
      <w:r>
        <w:rPr>
          <w:rFonts w:hint="eastAsia" w:ascii="仿宋_GB2312" w:hAnsi="仿宋_GB2312" w:eastAsia="仿宋_GB2312" w:cs="仿宋_GB2312"/>
          <w:kern w:val="0"/>
          <w:sz w:val="32"/>
          <w:szCs w:val="32"/>
          <w:lang w:eastAsia="zh-CN"/>
        </w:rPr>
        <w:t>有一定</w:t>
      </w:r>
      <w:r>
        <w:rPr>
          <w:rFonts w:hint="eastAsia" w:ascii="仿宋_GB2312" w:hAnsi="仿宋_GB2312" w:eastAsia="仿宋_GB2312" w:cs="仿宋_GB2312"/>
          <w:kern w:val="0"/>
          <w:sz w:val="32"/>
          <w:szCs w:val="32"/>
          <w:lang w:val="en-US" w:eastAsia="zh-CN"/>
        </w:rPr>
        <w:t>差异</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val="en-US" w:eastAsia="zh-CN"/>
        </w:rPr>
        <w:t>预算编制欠精准。</w:t>
      </w:r>
      <w:r>
        <w:rPr>
          <w:rFonts w:hint="eastAsia" w:ascii="仿宋_GB2312" w:hAnsi="仿宋_GB2312" w:eastAsia="仿宋_GB2312" w:cs="仿宋_GB2312"/>
          <w:color w:val="auto"/>
          <w:sz w:val="32"/>
          <w:szCs w:val="32"/>
        </w:rPr>
        <w:t>基本支出</w:t>
      </w:r>
      <w:r>
        <w:rPr>
          <w:rFonts w:hint="eastAsia" w:ascii="仿宋_GB2312" w:hAnsi="仿宋_GB2312" w:eastAsia="仿宋_GB2312" w:cs="仿宋_GB2312"/>
          <w:color w:val="auto"/>
          <w:sz w:val="32"/>
          <w:szCs w:val="32"/>
          <w:lang w:eastAsia="zh-CN"/>
        </w:rPr>
        <w:t>预算数为</w:t>
      </w:r>
      <w:r>
        <w:rPr>
          <w:rFonts w:hint="eastAsia" w:ascii="仿宋_GB2312" w:hAnsi="仿宋_GB2312" w:eastAsia="仿宋_GB2312" w:cs="仿宋_GB2312"/>
          <w:color w:val="auto"/>
          <w:sz w:val="32"/>
          <w:szCs w:val="32"/>
          <w:lang w:val="en-US" w:eastAsia="zh-CN"/>
        </w:rPr>
        <w:t>2224.08</w:t>
      </w:r>
      <w:r>
        <w:rPr>
          <w:rFonts w:hint="eastAsia" w:ascii="仿宋_GB2312" w:hAnsi="仿宋_GB2312" w:eastAsia="仿宋_GB2312" w:cs="仿宋_GB2312"/>
          <w:color w:val="auto"/>
          <w:sz w:val="32"/>
          <w:szCs w:val="32"/>
          <w:lang w:eastAsia="zh-CN"/>
        </w:rPr>
        <w:t>万元，实际基本支出</w:t>
      </w:r>
      <w:r>
        <w:rPr>
          <w:rFonts w:hint="eastAsia" w:ascii="仿宋_GB2312" w:hAnsi="仿宋_GB2312" w:eastAsia="仿宋_GB2312" w:cs="仿宋_GB2312"/>
          <w:color w:val="auto"/>
          <w:sz w:val="32"/>
          <w:szCs w:val="32"/>
          <w:lang w:val="en-US" w:eastAsia="zh-CN"/>
        </w:rPr>
        <w:t>2286.44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，预算执行率</w:t>
      </w:r>
      <w:r>
        <w:rPr>
          <w:rFonts w:hint="eastAsia" w:ascii="仿宋_GB2312" w:hAnsi="仿宋_GB2312" w:eastAsia="仿宋_GB2312" w:cs="仿宋_GB2312"/>
          <w:color w:val="auto"/>
          <w:sz w:val="32"/>
          <w:szCs w:val="32"/>
          <w:lang w:val="en-US" w:eastAsia="zh-CN"/>
        </w:rPr>
        <w:t>102.8%。存在</w:t>
      </w:r>
      <w:r>
        <w:rPr>
          <w:rFonts w:hint="eastAsia" w:ascii="仿宋_GB2312" w:hAnsi="仿宋_GB2312" w:eastAsia="仿宋_GB2312" w:cs="仿宋_GB2312"/>
          <w:b w:val="0"/>
          <w:bCs w:val="0"/>
          <w:sz w:val="32"/>
          <w:szCs w:val="32"/>
          <w:lang w:val="en-US" w:eastAsia="zh-CN"/>
        </w:rPr>
        <w:t>预算支出执行</w:t>
      </w:r>
      <w:r>
        <w:rPr>
          <w:rFonts w:hint="eastAsia" w:ascii="仿宋_GB2312" w:hAnsi="仿宋_GB2312" w:eastAsia="仿宋_GB2312" w:cs="仿宋_GB2312"/>
          <w:color w:val="auto"/>
          <w:sz w:val="32"/>
          <w:szCs w:val="32"/>
          <w:lang w:val="en-US" w:eastAsia="zh-CN"/>
        </w:rPr>
        <w:t>偏离的主要原因：</w:t>
      </w:r>
      <w:r>
        <w:rPr>
          <w:rFonts w:hint="eastAsia" w:ascii="仿宋_GB2312" w:hAnsi="仿宋_GB2312" w:eastAsia="仿宋_GB2312" w:cs="仿宋_GB2312"/>
          <w:color w:val="000000"/>
          <w:kern w:val="0"/>
          <w:sz w:val="32"/>
          <w:szCs w:val="32"/>
          <w:lang w:val="en-US" w:eastAsia="zh-CN" w:bidi="ar-SA"/>
        </w:rPr>
        <w:t>一是预算编制与实际使用的实际情况发生了变化，导致预算执行时出现了偏差；二是因新增临时政府工作任务，支出增大，但没有相应的保障费用，导致资金短缺。今后，将针对这些问题，采取有效的措施进行改进。</w:t>
      </w:r>
    </w:p>
    <w:p>
      <w:pPr>
        <w:pStyle w:val="4"/>
        <w:numPr>
          <w:ilvl w:val="0"/>
          <w:numId w:val="0"/>
        </w:numPr>
        <w:ind w:left="420" w:leftChars="0"/>
        <w:rPr>
          <w:rFonts w:hint="eastAsia" w:ascii="仿宋_GB2312" w:hAnsi="仿宋_GB2312" w:eastAsia="仿宋_GB2312" w:cs="仿宋_GB2312"/>
          <w:sz w:val="32"/>
          <w:szCs w:val="32"/>
          <w:lang w:val="en-US" w:eastAsia="zh-CN"/>
        </w:rPr>
      </w:pPr>
    </w:p>
    <w:p>
      <w:pPr>
        <w:pStyle w:val="19"/>
        <w:jc w:val="both"/>
        <w:rPr>
          <w:rFonts w:hint="default" w:eastAsia="黑体"/>
          <w:sz w:val="72"/>
          <w:szCs w:val="72"/>
          <w:lang w:val="en-US" w:eastAsia="zh-CN"/>
        </w:rPr>
      </w:pPr>
    </w:p>
    <w:p>
      <w:pPr>
        <w:pStyle w:val="19"/>
        <w:jc w:val="center"/>
        <w:rPr>
          <w:sz w:val="72"/>
          <w:szCs w:val="72"/>
        </w:rPr>
      </w:pPr>
    </w:p>
    <w:p>
      <w:pPr>
        <w:pStyle w:val="19"/>
        <w:jc w:val="center"/>
        <w:rPr>
          <w:sz w:val="72"/>
          <w:szCs w:val="72"/>
        </w:rPr>
      </w:pPr>
    </w:p>
    <w:p>
      <w:pPr>
        <w:pStyle w:val="19"/>
        <w:jc w:val="both"/>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财政拨款收入：指财政当年拨付的资金，主要包括一般公共预算财政拨款，政府性基金预算财政拨款，国有资本经营预算财政拨款。</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 xml:space="preserve">二、上级补助收入：指事业单位从主管部门和上级单位取得的非财政补助收入。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 xml:space="preserve">三、事业收入：指事业单位开展专业业务活动及辅助活动所取得的收入。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 xml:space="preserve">四、经营收入：指事业单位在专业业务活动及其辅助活动之外开展非独立核算经营活动取得的收入。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 xml:space="preserve">五、附属单位上缴收入：指事业单位附属独立核算单位按照有关规定上缴的收入。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 xml:space="preserve">六、其他收入：指除上述“财政拨款收入”、“事业收入”、“经营收入”等以外的收入。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七、基本支出：指为保障机构正常运转、完成日常工作任务而发生的各项支出，包括人员支出和公用支出。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八、项目支出：指在基本支出以外为完成相关行政任务和事业发展目标所发生的各项支出。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九、“三公”经费：指通过财政拨款资金安排的因公出国（境）费、公务用车购置及运行费和公务接待费支出。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sz w:val="72"/>
          <w:szCs w:val="72"/>
        </w:rPr>
      </w:pPr>
      <w:r>
        <w:rPr>
          <w:rFonts w:hint="eastAsia" w:ascii="仿宋_GB2312" w:eastAsia="仿宋_GB2312" w:cs="仿宋_GB2312"/>
          <w:sz w:val="32"/>
          <w:szCs w:val="32"/>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19"/>
        <w:jc w:val="center"/>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72"/>
          <w:szCs w:val="72"/>
        </w:rPr>
      </w:pPr>
    </w:p>
    <w:p>
      <w:pPr>
        <w:pStyle w:val="1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9"/>
        <w:jc w:val="center"/>
        <w:rPr>
          <w:rFonts w:hint="eastAsia" w:ascii="方正小标宋_GBK" w:hAnsi="方正小标宋_GBK" w:eastAsia="方正小标宋_GBK" w:cs="方正小标宋_GBK"/>
          <w:sz w:val="70"/>
          <w:szCs w:val="70"/>
        </w:rPr>
      </w:pPr>
    </w:p>
    <w:p>
      <w:pPr>
        <w:pStyle w:val="19"/>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4"/>
        <w:widowControl/>
        <w:shd w:val="clear" w:color="auto" w:fill="FFFFFF"/>
        <w:spacing w:beforeAutospacing="0" w:afterAutospacing="0" w:line="640" w:lineRule="exact"/>
        <w:ind w:firstLine="1920" w:firstLineChars="400"/>
        <w:jc w:val="both"/>
        <w:rPr>
          <w:rFonts w:hint="eastAsia" w:ascii="黑体" w:hAnsi="黑体" w:eastAsia="黑体" w:cs="黑体"/>
          <w:b/>
          <w:bCs/>
          <w:sz w:val="48"/>
          <w:szCs w:val="48"/>
        </w:rPr>
      </w:pPr>
      <w:r>
        <w:rPr>
          <w:rFonts w:hint="eastAsia" w:ascii="黑体" w:hAnsi="黑体" w:eastAsia="黑体" w:cs="黑体"/>
          <w:b/>
          <w:bCs/>
          <w:sz w:val="48"/>
          <w:szCs w:val="48"/>
        </w:rPr>
        <w:t>202</w:t>
      </w:r>
      <w:r>
        <w:rPr>
          <w:rFonts w:hint="eastAsia" w:ascii="黑体" w:hAnsi="黑体" w:eastAsia="黑体" w:cs="黑体"/>
          <w:b/>
          <w:bCs/>
          <w:sz w:val="48"/>
          <w:szCs w:val="48"/>
          <w:lang w:val="en-US" w:eastAsia="zh-CN"/>
        </w:rPr>
        <w:t>3</w:t>
      </w:r>
      <w:r>
        <w:rPr>
          <w:rFonts w:hint="eastAsia" w:ascii="黑体" w:hAnsi="黑体" w:eastAsia="黑体" w:cs="黑体"/>
          <w:b/>
          <w:bCs/>
          <w:sz w:val="48"/>
          <w:szCs w:val="48"/>
        </w:rPr>
        <w:t>年度市国资委整</w:t>
      </w:r>
      <w:r>
        <w:rPr>
          <w:rFonts w:hint="eastAsia" w:ascii="黑体" w:hAnsi="黑体" w:eastAsia="黑体" w:cs="黑体"/>
          <w:b/>
          <w:bCs/>
          <w:sz w:val="48"/>
          <w:szCs w:val="48"/>
          <w:lang w:val="en-US" w:eastAsia="zh-CN"/>
        </w:rPr>
        <w:t>体</w:t>
      </w:r>
      <w:r>
        <w:rPr>
          <w:rFonts w:hint="eastAsia" w:ascii="黑体" w:hAnsi="黑体" w:eastAsia="黑体" w:cs="黑体"/>
          <w:b/>
          <w:bCs/>
          <w:sz w:val="48"/>
          <w:szCs w:val="48"/>
        </w:rPr>
        <w:t>支出</w:t>
      </w:r>
    </w:p>
    <w:p>
      <w:pPr>
        <w:pStyle w:val="14"/>
        <w:widowControl/>
        <w:shd w:val="clear" w:color="auto" w:fill="FFFFFF"/>
        <w:spacing w:beforeAutospacing="0" w:afterAutospacing="0" w:line="640" w:lineRule="exact"/>
        <w:ind w:firstLine="3360" w:firstLineChars="700"/>
        <w:jc w:val="both"/>
        <w:rPr>
          <w:rFonts w:hint="eastAsia" w:ascii="黑体" w:hAnsi="黑体" w:eastAsia="黑体" w:cs="黑体"/>
          <w:b/>
          <w:bCs/>
          <w:color w:val="333333"/>
          <w:sz w:val="48"/>
          <w:szCs w:val="48"/>
        </w:rPr>
      </w:pPr>
      <w:r>
        <w:rPr>
          <w:rFonts w:hint="eastAsia" w:ascii="黑体" w:hAnsi="黑体" w:eastAsia="黑体" w:cs="黑体"/>
          <w:b/>
          <w:bCs/>
          <w:sz w:val="48"/>
          <w:szCs w:val="48"/>
        </w:rPr>
        <w:t>绩效自评报告</w:t>
      </w:r>
      <w:r>
        <w:rPr>
          <w:rFonts w:hint="eastAsia" w:ascii="黑体" w:hAnsi="黑体" w:eastAsia="黑体" w:cs="黑体"/>
          <w:b/>
          <w:bCs/>
          <w:color w:val="333333"/>
          <w:sz w:val="48"/>
          <w:szCs w:val="48"/>
          <w:shd w:val="clear" w:color="auto" w:fill="FFFFFF"/>
        </w:rPr>
        <w:t> </w:t>
      </w:r>
    </w:p>
    <w:p>
      <w:pPr>
        <w:spacing w:beforeLines="100" w:line="560" w:lineRule="exact"/>
        <w:ind w:firstLine="960" w:firstLineChars="200"/>
        <w:jc w:val="both"/>
        <w:rPr>
          <w:rFonts w:hint="eastAsia" w:ascii="黑体" w:hAnsi="黑体" w:eastAsia="黑体" w:cs="黑体"/>
          <w:b/>
          <w:bCs/>
          <w:color w:val="333333"/>
          <w:sz w:val="48"/>
          <w:szCs w:val="48"/>
          <w:shd w:val="clear" w:color="auto" w:fill="FFFFFF"/>
        </w:rPr>
      </w:pPr>
    </w:p>
    <w:p>
      <w:pPr>
        <w:spacing w:beforeLines="100" w:line="560" w:lineRule="exact"/>
        <w:ind w:firstLine="640" w:firstLineChars="200"/>
        <w:rPr>
          <w:rFonts w:hint="eastAsia" w:ascii="黑体" w:hAnsi="黑体" w:eastAsia="黑体" w:cs="黑体"/>
          <w:b/>
          <w:bCs/>
          <w:color w:val="333333"/>
          <w:sz w:val="32"/>
          <w:szCs w:val="32"/>
          <w:shd w:val="clear" w:color="auto" w:fill="FFFFFF"/>
        </w:rPr>
      </w:pPr>
    </w:p>
    <w:p>
      <w:pPr>
        <w:spacing w:beforeLines="100" w:line="560" w:lineRule="exact"/>
        <w:ind w:firstLine="640" w:firstLineChars="200"/>
        <w:rPr>
          <w:rFonts w:hint="eastAsia" w:ascii="黑体" w:hAnsi="黑体" w:eastAsia="黑体" w:cs="黑体"/>
          <w:b/>
          <w:bCs/>
          <w:color w:val="333333"/>
          <w:sz w:val="32"/>
          <w:szCs w:val="32"/>
          <w:shd w:val="clear" w:color="auto" w:fill="FFFFFF"/>
        </w:rPr>
      </w:pPr>
    </w:p>
    <w:p>
      <w:pPr>
        <w:spacing w:beforeLines="100" w:line="560" w:lineRule="exact"/>
        <w:ind w:firstLine="640" w:firstLineChars="200"/>
        <w:rPr>
          <w:rFonts w:hint="eastAsia" w:ascii="黑体" w:hAnsi="黑体" w:eastAsia="黑体" w:cs="黑体"/>
          <w:b/>
          <w:bCs/>
          <w:color w:val="333333"/>
          <w:sz w:val="32"/>
          <w:szCs w:val="32"/>
          <w:shd w:val="clear" w:color="auto" w:fill="FFFFFF"/>
        </w:rPr>
      </w:pPr>
    </w:p>
    <w:p>
      <w:pPr>
        <w:spacing w:beforeLines="100" w:line="560" w:lineRule="exact"/>
        <w:ind w:firstLine="640" w:firstLineChars="200"/>
        <w:rPr>
          <w:rFonts w:hint="eastAsia" w:ascii="黑体" w:hAnsi="黑体" w:eastAsia="黑体" w:cs="黑体"/>
          <w:b/>
          <w:bCs/>
          <w:color w:val="333333"/>
          <w:sz w:val="32"/>
          <w:szCs w:val="32"/>
          <w:shd w:val="clear" w:color="auto" w:fill="FFFFFF"/>
        </w:rPr>
      </w:pPr>
    </w:p>
    <w:p>
      <w:pPr>
        <w:spacing w:beforeLines="100" w:line="560" w:lineRule="exact"/>
        <w:ind w:firstLine="640" w:firstLineChars="200"/>
        <w:rPr>
          <w:rFonts w:hint="eastAsia" w:ascii="黑体" w:hAnsi="黑体" w:eastAsia="黑体" w:cs="黑体"/>
          <w:b/>
          <w:bCs/>
          <w:color w:val="333333"/>
          <w:sz w:val="32"/>
          <w:szCs w:val="32"/>
          <w:shd w:val="clear" w:color="auto" w:fill="FFFFFF"/>
        </w:rPr>
      </w:pPr>
    </w:p>
    <w:p>
      <w:pPr>
        <w:spacing w:beforeLines="100" w:line="560" w:lineRule="exact"/>
        <w:ind w:firstLine="640" w:firstLineChars="200"/>
        <w:rPr>
          <w:rFonts w:hint="eastAsia" w:ascii="黑体" w:hAnsi="黑体" w:eastAsia="黑体" w:cs="黑体"/>
          <w:b/>
          <w:bCs/>
          <w:color w:val="333333"/>
          <w:sz w:val="32"/>
          <w:szCs w:val="32"/>
          <w:shd w:val="clear" w:color="auto" w:fill="FFFFFF"/>
        </w:rPr>
      </w:pPr>
    </w:p>
    <w:p>
      <w:pPr>
        <w:spacing w:beforeLines="100" w:line="560" w:lineRule="exact"/>
        <w:ind w:firstLine="640" w:firstLineChars="200"/>
        <w:rPr>
          <w:rFonts w:hint="eastAsia" w:ascii="黑体" w:hAnsi="黑体" w:eastAsia="黑体" w:cs="黑体"/>
          <w:b/>
          <w:bCs/>
          <w:color w:val="333333"/>
          <w:sz w:val="32"/>
          <w:szCs w:val="32"/>
          <w:shd w:val="clear" w:color="auto" w:fill="FFFFFF"/>
        </w:rPr>
      </w:pPr>
    </w:p>
    <w:p>
      <w:pPr>
        <w:spacing w:beforeLines="100" w:line="560" w:lineRule="exact"/>
        <w:ind w:firstLine="640" w:firstLineChars="200"/>
        <w:rPr>
          <w:rFonts w:hint="eastAsia" w:ascii="黑体" w:hAnsi="黑体" w:eastAsia="黑体" w:cs="黑体"/>
          <w:b/>
          <w:bCs/>
          <w:color w:val="333333"/>
          <w:sz w:val="32"/>
          <w:szCs w:val="32"/>
          <w:shd w:val="clear" w:color="auto" w:fill="FFFFFF"/>
        </w:rPr>
      </w:pPr>
    </w:p>
    <w:p>
      <w:pPr>
        <w:spacing w:beforeLines="100" w:line="560" w:lineRule="exact"/>
        <w:rPr>
          <w:rFonts w:hint="eastAsia" w:ascii="黑体" w:hAnsi="黑体" w:eastAsia="黑体" w:cs="黑体"/>
          <w:b/>
          <w:bCs/>
          <w:color w:val="333333"/>
          <w:sz w:val="32"/>
          <w:szCs w:val="32"/>
          <w:shd w:val="clear" w:color="auto" w:fill="FFFFFF"/>
        </w:rPr>
      </w:pPr>
    </w:p>
    <w:p>
      <w:pPr>
        <w:spacing w:beforeLines="100" w:line="560" w:lineRule="exact"/>
        <w:ind w:firstLine="1080" w:firstLineChars="300"/>
        <w:rPr>
          <w:rFonts w:hint="eastAsia" w:ascii="黑体" w:hAnsi="黑体" w:eastAsia="黑体" w:cs="黑体"/>
          <w:b/>
          <w:bCs/>
          <w:color w:val="333333"/>
          <w:sz w:val="36"/>
          <w:szCs w:val="36"/>
          <w:u w:val="single"/>
          <w:shd w:val="clear" w:color="auto" w:fill="FFFFFF"/>
          <w:lang w:val="en-US" w:eastAsia="zh-CN"/>
        </w:rPr>
      </w:pPr>
      <w:r>
        <w:rPr>
          <w:rFonts w:hint="eastAsia" w:ascii="黑体" w:hAnsi="黑体" w:eastAsia="黑体" w:cs="黑体"/>
          <w:b/>
          <w:bCs/>
          <w:color w:val="333333"/>
          <w:sz w:val="36"/>
          <w:szCs w:val="36"/>
          <w:shd w:val="clear" w:color="auto" w:fill="FFFFFF"/>
          <w:lang w:val="en-US" w:eastAsia="zh-CN"/>
        </w:rPr>
        <w:t>单位名称：</w:t>
      </w:r>
      <w:r>
        <w:rPr>
          <w:rFonts w:hint="eastAsia" w:ascii="黑体" w:hAnsi="黑体" w:eastAsia="黑体" w:cs="黑体"/>
          <w:b/>
          <w:bCs/>
          <w:color w:val="333333"/>
          <w:sz w:val="36"/>
          <w:szCs w:val="36"/>
          <w:u w:val="single"/>
          <w:shd w:val="clear" w:color="auto" w:fill="FFFFFF"/>
          <w:lang w:val="en-US" w:eastAsia="zh-CN"/>
        </w:rPr>
        <w:t>永州市人民政府国有资产监管管理委员会</w:t>
      </w:r>
    </w:p>
    <w:p>
      <w:pPr>
        <w:spacing w:beforeLines="100" w:line="560" w:lineRule="exact"/>
        <w:ind w:firstLine="640" w:firstLineChars="200"/>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lang w:val="en-US" w:eastAsia="zh-CN"/>
        </w:rPr>
        <w:t xml:space="preserve">                   2024年9月 15 日</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b/>
          <w:bCs/>
          <w:color w:val="333333"/>
          <w:sz w:val="32"/>
          <w:szCs w:val="32"/>
          <w:shd w:val="clear" w:color="auto" w:fill="FFFFFF"/>
        </w:rPr>
      </w:pPr>
    </w:p>
    <w:p>
      <w:pPr>
        <w:pStyle w:val="2"/>
        <w:rPr>
          <w:rFonts w:hint="eastAsia" w:ascii="仿宋_GB2312" w:hAnsi="仿宋_GB2312" w:eastAsia="仿宋_GB2312" w:cs="仿宋_GB2312"/>
          <w:b/>
          <w:bCs/>
          <w:color w:val="333333"/>
          <w:sz w:val="32"/>
          <w:szCs w:val="32"/>
          <w:shd w:val="clear" w:color="auto" w:fill="FFFFFF"/>
        </w:rPr>
      </w:pPr>
    </w:p>
    <w:p>
      <w:pPr>
        <w:pStyle w:val="2"/>
        <w:rPr>
          <w:rFonts w:hint="eastAsia" w:ascii="仿宋_GB2312" w:hAnsi="仿宋_GB2312" w:eastAsia="仿宋_GB2312" w:cs="仿宋_GB2312"/>
          <w:b/>
          <w:bCs/>
          <w:color w:val="333333"/>
          <w:sz w:val="32"/>
          <w:szCs w:val="32"/>
          <w:shd w:val="clear" w:color="auto" w:fill="FFFFFF"/>
        </w:rPr>
      </w:pPr>
    </w:p>
    <w:p>
      <w:pPr>
        <w:pStyle w:val="2"/>
        <w:rPr>
          <w:rFonts w:hint="eastAsia" w:ascii="仿宋_GB2312" w:hAnsi="仿宋_GB2312" w:eastAsia="仿宋_GB2312" w:cs="仿宋_GB2312"/>
          <w:b/>
          <w:bCs/>
          <w:color w:val="333333"/>
          <w:sz w:val="32"/>
          <w:szCs w:val="32"/>
          <w:shd w:val="clear" w:color="auto" w:fill="FFFFFF"/>
        </w:rPr>
      </w:pPr>
    </w:p>
    <w:p>
      <w:pPr>
        <w:pStyle w:val="2"/>
        <w:rPr>
          <w:rFonts w:hint="eastAsia" w:ascii="仿宋_GB2312" w:hAnsi="仿宋_GB2312" w:eastAsia="仿宋_GB2312" w:cs="仿宋_GB2312"/>
          <w:b/>
          <w:bCs/>
          <w:color w:val="333333"/>
          <w:sz w:val="32"/>
          <w:szCs w:val="32"/>
          <w:shd w:val="clear" w:color="auto" w:fill="FFFFFF"/>
        </w:rPr>
      </w:pP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333333"/>
          <w:sz w:val="32"/>
          <w:szCs w:val="32"/>
          <w:shd w:val="clear" w:color="auto" w:fill="FFFFFF"/>
        </w:rPr>
        <w:t>一、</w:t>
      </w:r>
      <w:r>
        <w:rPr>
          <w:rFonts w:hint="eastAsia" w:ascii="仿宋_GB2312" w:hAnsi="仿宋_GB2312" w:eastAsia="仿宋_GB2312" w:cs="仿宋_GB2312"/>
          <w:b/>
          <w:bCs/>
          <w:sz w:val="32"/>
          <w:szCs w:val="32"/>
        </w:rPr>
        <w:t>部门（单位）基本情况</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333333"/>
          <w:sz w:val="32"/>
          <w:szCs w:val="32"/>
          <w:lang w:eastAsia="zh-CN"/>
        </w:rPr>
        <w:t>（</w:t>
      </w:r>
      <w:r>
        <w:rPr>
          <w:rFonts w:hint="eastAsia" w:ascii="仿宋_GB2312" w:hAnsi="仿宋_GB2312" w:eastAsia="仿宋_GB2312" w:cs="仿宋_GB2312"/>
          <w:b/>
          <w:bCs/>
          <w:color w:val="333333"/>
          <w:sz w:val="32"/>
          <w:szCs w:val="32"/>
          <w:lang w:val="en-US" w:eastAsia="zh-CN"/>
        </w:rPr>
        <w:t>一）</w:t>
      </w:r>
      <w:r>
        <w:rPr>
          <w:rFonts w:hint="eastAsia" w:ascii="仿宋_GB2312" w:hAnsi="仿宋_GB2312" w:eastAsia="仿宋_GB2312" w:cs="仿宋_GB2312"/>
          <w:b/>
          <w:bCs/>
          <w:sz w:val="32"/>
          <w:szCs w:val="32"/>
        </w:rPr>
        <w:t>部门（单位）</w:t>
      </w:r>
      <w:r>
        <w:rPr>
          <w:rFonts w:hint="eastAsia" w:ascii="仿宋_GB2312" w:hAnsi="仿宋_GB2312" w:eastAsia="仿宋_GB2312" w:cs="仿宋_GB2312"/>
          <w:b/>
          <w:bCs/>
          <w:sz w:val="32"/>
          <w:szCs w:val="32"/>
          <w:lang w:val="en-US" w:eastAsia="zh-CN"/>
        </w:rPr>
        <w:t>职能职责、机构编制、人员构成等。</w:t>
      </w:r>
    </w:p>
    <w:p>
      <w:pPr>
        <w:keepNext w:val="0"/>
        <w:keepLines w:val="0"/>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1．主要职能。</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依照《</w:t>
      </w:r>
      <w:r>
        <w:rPr>
          <w:rFonts w:hint="eastAsia" w:ascii="仿宋_GB2312" w:hAnsi="仿宋_GB2312" w:eastAsia="仿宋_GB2312" w:cs="仿宋_GB2312"/>
          <w:sz w:val="32"/>
          <w:lang w:val="en-US" w:eastAsia="zh-CN"/>
        </w:rPr>
        <w:t>中华人民共和国</w:t>
      </w:r>
      <w:r>
        <w:rPr>
          <w:rFonts w:hint="eastAsia" w:ascii="仿宋_GB2312" w:hAnsi="仿宋_GB2312" w:eastAsia="仿宋_GB2312" w:cs="仿宋_GB2312"/>
          <w:sz w:val="32"/>
        </w:rPr>
        <w:t>公司法》、《企业国有资产监督管理暂行条例》等法律、行政法规履行出资人职责，承担监督所监管企业国有资产保值增值的责任，指导和推进市属国有企业改革和重组；推进国有企业的现代企业制度建设，完善公司治理结构；组织协调全市与中央、省属企业对接合作工作；通过法定程序，对所监管企业的负责人进行任免、考核、奖惩；负责组织所监管企业上交国有资本收益；负责企业国有资产基础管理，起草有关国有资产管理的规范性文件；根据市政府授权，代表</w:t>
      </w:r>
      <w:r>
        <w:rPr>
          <w:rFonts w:hint="eastAsia" w:ascii="仿宋_GB2312" w:hAnsi="仿宋_GB2312" w:eastAsia="仿宋_GB2312" w:cs="仿宋_GB2312"/>
          <w:sz w:val="32"/>
          <w:lang w:val="en-US" w:eastAsia="zh-CN"/>
        </w:rPr>
        <w:t>政府</w:t>
      </w:r>
      <w:r>
        <w:rPr>
          <w:rFonts w:hint="eastAsia" w:ascii="仿宋_GB2312" w:hAnsi="仿宋_GB2312" w:eastAsia="仿宋_GB2312" w:cs="仿宋_GB2312"/>
          <w:sz w:val="32"/>
        </w:rPr>
        <w:t>对市属国有企业履行国有资产出资人职责，并进行监督管理。</w:t>
      </w:r>
    </w:p>
    <w:p>
      <w:pPr>
        <w:keepNext w:val="0"/>
        <w:keepLines w:val="0"/>
        <w:pageBreakBefore w:val="0"/>
        <w:widowControl w:val="0"/>
        <w:numPr>
          <w:ilvl w:val="0"/>
          <w:numId w:val="5"/>
        </w:numPr>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机构情况</w:t>
      </w:r>
    </w:p>
    <w:p>
      <w:pPr>
        <w:keepNext w:val="0"/>
        <w:keepLines w:val="0"/>
        <w:pageBreakBefore w:val="0"/>
        <w:widowControl w:val="0"/>
        <w:kinsoku/>
        <w:wordWrap/>
        <w:overflowPunct/>
        <w:topLinePunct w:val="0"/>
        <w:autoSpaceDE/>
        <w:autoSpaceDN/>
        <w:bidi w:val="0"/>
        <w:snapToGrid w:val="0"/>
        <w:spacing w:line="64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我委为正处级单位，内设办公室、</w:t>
      </w:r>
      <w:r>
        <w:rPr>
          <w:rFonts w:hint="eastAsia" w:ascii="仿宋_GB2312" w:hAnsi="仿宋_GB2312" w:eastAsia="仿宋_GB2312" w:cs="仿宋_GB2312"/>
          <w:sz w:val="32"/>
          <w:lang w:eastAsia="zh-CN"/>
        </w:rPr>
        <w:t>监督与考核科</w:t>
      </w:r>
      <w:r>
        <w:rPr>
          <w:rFonts w:hint="eastAsia" w:ascii="仿宋_GB2312" w:hAnsi="仿宋_GB2312" w:eastAsia="仿宋_GB2312" w:cs="仿宋_GB2312"/>
          <w:sz w:val="32"/>
        </w:rPr>
        <w:t>、产权管理科、规划发展</w:t>
      </w:r>
      <w:r>
        <w:rPr>
          <w:rFonts w:hint="eastAsia" w:ascii="仿宋_GB2312" w:hAnsi="仿宋_GB2312" w:eastAsia="仿宋_GB2312" w:cs="仿宋_GB2312"/>
          <w:sz w:val="32"/>
          <w:lang w:val="en-US" w:eastAsia="zh-CN"/>
        </w:rPr>
        <w:t>与</w:t>
      </w:r>
      <w:r>
        <w:rPr>
          <w:rFonts w:hint="eastAsia" w:ascii="仿宋_GB2312" w:hAnsi="仿宋_GB2312" w:eastAsia="仿宋_GB2312" w:cs="仿宋_GB2312"/>
          <w:sz w:val="32"/>
        </w:rPr>
        <w:t>改革改制科、人事科、</w:t>
      </w:r>
      <w:r>
        <w:rPr>
          <w:rFonts w:hint="eastAsia" w:ascii="仿宋_GB2312" w:hAnsi="仿宋_GB2312" w:eastAsia="仿宋_GB2312" w:cs="仿宋_GB2312"/>
          <w:sz w:val="32"/>
          <w:lang w:eastAsia="zh-CN"/>
        </w:rPr>
        <w:t>社会责任</w:t>
      </w:r>
      <w:r>
        <w:rPr>
          <w:rFonts w:hint="eastAsia" w:ascii="仿宋_GB2312" w:hAnsi="仿宋_GB2312" w:eastAsia="仿宋_GB2312" w:cs="仿宋_GB2312"/>
          <w:sz w:val="32"/>
        </w:rPr>
        <w:t>科、</w:t>
      </w:r>
      <w:r>
        <w:rPr>
          <w:rFonts w:hint="eastAsia" w:ascii="仿宋_GB2312" w:hAnsi="仿宋_GB2312" w:eastAsia="仿宋_GB2312" w:cs="仿宋_GB2312"/>
          <w:sz w:val="32"/>
          <w:lang w:val="en-US" w:eastAsia="zh-CN"/>
        </w:rPr>
        <w:t>对外</w:t>
      </w:r>
      <w:r>
        <w:rPr>
          <w:rFonts w:hint="eastAsia" w:ascii="仿宋_GB2312" w:hAnsi="仿宋_GB2312" w:eastAsia="仿宋_GB2312" w:cs="仿宋_GB2312"/>
          <w:sz w:val="32"/>
        </w:rPr>
        <w:t>合作科、党建科8个职能科室；归口管理市国有资产运营服务中心、市医药产业发展服务中心、市铜山岭有色金属矿社区服务中心。</w:t>
      </w:r>
    </w:p>
    <w:p>
      <w:pPr>
        <w:keepNext w:val="0"/>
        <w:keepLines w:val="0"/>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highlight w:val="none"/>
          <w:lang w:val="en-US" w:eastAsia="zh-CN"/>
        </w:rPr>
        <w:t>3.</w:t>
      </w:r>
      <w:r>
        <w:rPr>
          <w:rFonts w:hint="eastAsia" w:ascii="仿宋_GB2312" w:hAnsi="仿宋_GB2312" w:eastAsia="仿宋_GB2312" w:cs="仿宋_GB2312"/>
          <w:sz w:val="32"/>
          <w:highlight w:val="none"/>
        </w:rPr>
        <w:t>人员情况。</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年本单位年末实有人数</w:t>
      </w:r>
      <w:r>
        <w:rPr>
          <w:rFonts w:hint="eastAsia" w:ascii="仿宋_GB2312" w:hAnsi="仿宋_GB2312" w:eastAsia="仿宋_GB2312" w:cs="仿宋_GB2312"/>
          <w:color w:val="auto"/>
          <w:sz w:val="32"/>
          <w:szCs w:val="32"/>
          <w:highlight w:val="none"/>
          <w:lang w:val="en-US" w:eastAsia="zh-CN"/>
        </w:rPr>
        <w:t>53</w:t>
      </w:r>
      <w:r>
        <w:rPr>
          <w:rFonts w:hint="eastAsia" w:ascii="仿宋_GB2312" w:hAnsi="仿宋_GB2312" w:eastAsia="仿宋_GB2312" w:cs="仿宋_GB2312"/>
          <w:color w:val="auto"/>
          <w:sz w:val="32"/>
          <w:szCs w:val="32"/>
          <w:highlight w:val="none"/>
        </w:rPr>
        <w:t>人，比上年减少</w:t>
      </w:r>
      <w:r>
        <w:rPr>
          <w:rFonts w:hint="eastAsia" w:ascii="仿宋_GB2312" w:hAnsi="仿宋_GB2312" w:eastAsia="仿宋_GB2312" w:cs="仿宋_GB2312"/>
          <w:color w:val="auto"/>
          <w:sz w:val="32"/>
          <w:szCs w:val="32"/>
          <w:highlight w:val="none"/>
          <w:lang w:val="en-US" w:eastAsia="zh-CN"/>
        </w:rPr>
        <w:t>48</w:t>
      </w:r>
      <w:r>
        <w:rPr>
          <w:rFonts w:hint="eastAsia" w:ascii="仿宋_GB2312" w:hAnsi="仿宋_GB2312" w:eastAsia="仿宋_GB2312" w:cs="仿宋_GB2312"/>
          <w:color w:val="auto"/>
          <w:sz w:val="32"/>
          <w:szCs w:val="32"/>
          <w:highlight w:val="none"/>
        </w:rPr>
        <w:t>人。人员变化的主要原因是：一是</w:t>
      </w:r>
      <w:r>
        <w:rPr>
          <w:rFonts w:hint="eastAsia" w:ascii="仿宋_GB2312" w:hAnsi="仿宋_GB2312" w:eastAsia="仿宋_GB2312" w:cs="仿宋_GB2312"/>
          <w:color w:val="auto"/>
          <w:sz w:val="32"/>
          <w:szCs w:val="32"/>
          <w:highlight w:val="none"/>
          <w:lang w:eastAsia="zh-CN"/>
        </w:rPr>
        <w:t>因本年</w:t>
      </w:r>
      <w:r>
        <w:rPr>
          <w:rFonts w:hint="eastAsia" w:ascii="仿宋_GB2312" w:hAnsi="仿宋_GB2312" w:eastAsia="仿宋_GB2312" w:cs="仿宋_GB2312"/>
          <w:sz w:val="32"/>
          <w:szCs w:val="32"/>
          <w:highlight w:val="none"/>
          <w:lang w:eastAsia="zh-CN"/>
        </w:rPr>
        <w:t>退休了</w:t>
      </w:r>
      <w:r>
        <w:rPr>
          <w:rFonts w:hint="eastAsia" w:ascii="仿宋_GB2312" w:hAnsi="仿宋_GB2312" w:eastAsia="仿宋_GB2312" w:cs="仿宋_GB2312"/>
          <w:sz w:val="32"/>
          <w:szCs w:val="32"/>
          <w:highlight w:val="none"/>
          <w:lang w:val="en-US" w:eastAsia="zh-CN"/>
        </w:rPr>
        <w:t>2名公务员</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退休了8位市管干部，调整了</w:t>
      </w:r>
      <w:r>
        <w:rPr>
          <w:rFonts w:hint="eastAsia" w:ascii="仿宋_GB2312" w:hAnsi="仿宋_GB2312" w:eastAsia="仿宋_GB2312" w:cs="仿宋_GB2312"/>
          <w:sz w:val="32"/>
          <w:szCs w:val="32"/>
          <w:highlight w:val="none"/>
        </w:rPr>
        <w:t>市管干部</w:t>
      </w:r>
      <w:r>
        <w:rPr>
          <w:rFonts w:hint="eastAsia" w:ascii="仿宋_GB2312" w:hAnsi="仿宋_GB2312" w:eastAsia="仿宋_GB2312" w:cs="仿宋_GB2312"/>
          <w:sz w:val="32"/>
          <w:szCs w:val="32"/>
          <w:highlight w:val="none"/>
          <w:lang w:val="en-US" w:eastAsia="zh-CN"/>
        </w:rPr>
        <w:t>在职人数统计口径，只计算在职人员，返聘人员不计入统计口径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二是把</w:t>
      </w:r>
      <w:r>
        <w:rPr>
          <w:rFonts w:hint="eastAsia" w:ascii="仿宋_GB2312" w:hAnsi="仿宋_GB2312" w:eastAsia="仿宋_GB2312" w:cs="仿宋_GB2312"/>
          <w:sz w:val="32"/>
          <w:szCs w:val="32"/>
          <w:lang w:eastAsia="zh-CN"/>
        </w:rPr>
        <w:t>列入市财政大预算中的</w:t>
      </w:r>
      <w:r>
        <w:rPr>
          <w:rFonts w:hint="eastAsia" w:ascii="仿宋_GB2312" w:hAnsi="仿宋_GB2312" w:eastAsia="仿宋_GB2312" w:cs="仿宋_GB2312"/>
          <w:sz w:val="32"/>
          <w:szCs w:val="32"/>
        </w:rPr>
        <w:t>市管干部在职人员</w:t>
      </w:r>
      <w:r>
        <w:rPr>
          <w:rFonts w:hint="eastAsia" w:ascii="仿宋_GB2312" w:hAnsi="仿宋_GB2312" w:eastAsia="仿宋_GB2312" w:cs="仿宋_GB2312"/>
          <w:sz w:val="32"/>
          <w:szCs w:val="32"/>
          <w:lang w:eastAsia="zh-CN"/>
        </w:rPr>
        <w:t>工资</w:t>
      </w:r>
      <w:r>
        <w:rPr>
          <w:rFonts w:hint="eastAsia" w:ascii="仿宋_GB2312" w:hAnsi="仿宋_GB2312" w:eastAsia="仿宋_GB2312" w:cs="仿宋_GB2312"/>
          <w:sz w:val="32"/>
          <w:szCs w:val="32"/>
          <w:lang w:val="en-US" w:eastAsia="zh-CN"/>
        </w:rPr>
        <w:t>及经费</w:t>
      </w:r>
      <w:r>
        <w:rPr>
          <w:rFonts w:hint="eastAsia" w:ascii="仿宋_GB2312" w:hAnsi="仿宋_GB2312" w:eastAsia="仿宋_GB2312" w:cs="仿宋_GB2312"/>
          <w:sz w:val="32"/>
          <w:szCs w:val="32"/>
        </w:rPr>
        <w:t>列入了计算口径。三是委机关退休人员未列入，在社保基金决算中填列。</w:t>
      </w:r>
      <w:r>
        <w:rPr>
          <w:rFonts w:hint="eastAsia" w:ascii="仿宋_GB2312" w:hAnsi="仿宋_GB2312" w:eastAsia="仿宋_GB2312" w:cs="仿宋_GB2312"/>
          <w:sz w:val="32"/>
          <w:szCs w:val="32"/>
          <w:lang w:eastAsia="zh-CN"/>
        </w:rPr>
        <w:t>四是本年列入市财政大预算中的市政府临时机构市国企改革办工作经费决算支出计算口径。</w:t>
      </w:r>
    </w:p>
    <w:p>
      <w:pPr>
        <w:pStyle w:val="5"/>
        <w:numPr>
          <w:ilvl w:val="0"/>
          <w:numId w:val="6"/>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部门整体支出规模。</w:t>
      </w:r>
    </w:p>
    <w:p>
      <w:pPr>
        <w:pStyle w:val="4"/>
        <w:numPr>
          <w:ilvl w:val="0"/>
          <w:numId w:val="7"/>
        </w:numPr>
        <w:ind w:left="84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部门整体支出情况</w:t>
      </w:r>
    </w:p>
    <w:p>
      <w:pPr>
        <w:keepNext w:val="0"/>
        <w:keepLines w:val="0"/>
        <w:pageBreakBefore w:val="0"/>
        <w:widowControl w:val="0"/>
        <w:kinsoku/>
        <w:wordWrap/>
        <w:overflowPunct/>
        <w:topLinePunct w:val="0"/>
        <w:autoSpaceDE/>
        <w:autoSpaceDN/>
        <w:bidi w:val="0"/>
        <w:spacing w:line="64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年，本部门实际支出</w:t>
      </w:r>
      <w:r>
        <w:rPr>
          <w:rFonts w:hint="eastAsia" w:ascii="仿宋_GB2312" w:hAnsi="仿宋_GB2312" w:eastAsia="仿宋_GB2312" w:cs="仿宋_GB2312"/>
          <w:sz w:val="32"/>
          <w:szCs w:val="32"/>
          <w:lang w:val="en-US" w:eastAsia="zh-CN"/>
        </w:rPr>
        <w:t>2325.83</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2241.35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84.48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3.77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增长的</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2023年在职</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工资福利支出</w:t>
      </w:r>
      <w:r>
        <w:rPr>
          <w:rFonts w:hint="eastAsia" w:ascii="仿宋_GB2312" w:hAnsi="仿宋_GB2312" w:eastAsia="仿宋_GB2312" w:cs="仿宋_GB2312"/>
          <w:sz w:val="32"/>
          <w:szCs w:val="32"/>
          <w:lang w:val="en-US" w:eastAsia="zh-CN"/>
        </w:rPr>
        <w:t>和其他往来支出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640" w:lineRule="exact"/>
        <w:ind w:firstLine="643"/>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其中：基本支出完成</w:t>
      </w:r>
      <w:r>
        <w:rPr>
          <w:rFonts w:hint="eastAsia" w:ascii="仿宋_GB2312" w:hAnsi="仿宋_GB2312" w:eastAsia="仿宋_GB2312" w:cs="仿宋_GB2312"/>
          <w:sz w:val="32"/>
          <w:szCs w:val="32"/>
          <w:lang w:val="en-US" w:eastAsia="zh-CN"/>
        </w:rPr>
        <w:t>2286.44</w:t>
      </w:r>
      <w:r>
        <w:rPr>
          <w:rFonts w:hint="eastAsia" w:ascii="仿宋_GB2312" w:hAnsi="仿宋_GB2312" w:eastAsia="仿宋_GB2312" w:cs="仿宋_GB2312"/>
          <w:sz w:val="32"/>
          <w:szCs w:val="32"/>
        </w:rPr>
        <w:t>万元，比上年基本支出</w:t>
      </w:r>
      <w:r>
        <w:rPr>
          <w:rFonts w:hint="eastAsia" w:ascii="仿宋_GB2312" w:hAnsi="仿宋_GB2312" w:eastAsia="仿宋_GB2312" w:cs="仿宋_GB2312"/>
          <w:sz w:val="32"/>
          <w:szCs w:val="32"/>
          <w:lang w:val="en-US" w:eastAsia="zh-CN"/>
        </w:rPr>
        <w:t>2181.35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105.09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4.82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变化的主要原因：</w:t>
      </w:r>
      <w:r>
        <w:rPr>
          <w:rFonts w:hint="eastAsia" w:ascii="仿宋_GB2312" w:hAnsi="仿宋_GB2312" w:eastAsia="仿宋_GB2312" w:cs="仿宋_GB2312"/>
          <w:sz w:val="32"/>
          <w:szCs w:val="32"/>
          <w:lang w:val="en-US" w:eastAsia="zh-CN"/>
        </w:rPr>
        <w:t>增加了人员工资调标、</w:t>
      </w:r>
      <w:r>
        <w:rPr>
          <w:rFonts w:hint="eastAsia" w:ascii="仿宋_GB2312" w:hAnsi="仿宋_GB2312" w:eastAsia="仿宋_GB2312" w:cs="仿宋_GB2312"/>
          <w:sz w:val="32"/>
          <w:szCs w:val="32"/>
        </w:rPr>
        <w:t>精减</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增加了</w:t>
      </w:r>
      <w:r>
        <w:rPr>
          <w:rFonts w:hint="eastAsia" w:ascii="仿宋_GB2312" w:hAnsi="仿宋_GB2312" w:eastAsia="仿宋_GB2312" w:cs="仿宋_GB2312"/>
          <w:sz w:val="32"/>
          <w:szCs w:val="32"/>
        </w:rPr>
        <w:t>人员退休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代扣代缴个人社保费</w:t>
      </w:r>
      <w:r>
        <w:rPr>
          <w:rFonts w:hint="eastAsia" w:ascii="仿宋_GB2312" w:hAnsi="仿宋_GB2312" w:eastAsia="仿宋_GB2312" w:cs="仿宋_GB2312"/>
          <w:sz w:val="32"/>
          <w:szCs w:val="32"/>
        </w:rPr>
        <w:t>等综合</w:t>
      </w:r>
      <w:r>
        <w:rPr>
          <w:rFonts w:hint="eastAsia" w:ascii="仿宋_GB2312" w:hAnsi="仿宋_GB2312" w:eastAsia="仿宋_GB2312" w:cs="仿宋_GB2312"/>
          <w:sz w:val="32"/>
          <w:szCs w:val="32"/>
          <w:lang w:eastAsia="zh-CN"/>
        </w:rPr>
        <w:t>所致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人员经费</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2214.05</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2125.88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88.17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4.15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变化的主要原因：</w:t>
      </w:r>
      <w:r>
        <w:rPr>
          <w:rFonts w:hint="eastAsia" w:ascii="仿宋_GB2312" w:hAnsi="仿宋_GB2312" w:eastAsia="仿宋_GB2312" w:cs="仿宋_GB2312"/>
          <w:sz w:val="32"/>
          <w:szCs w:val="32"/>
          <w:lang w:val="en-US" w:eastAsia="zh-CN"/>
        </w:rPr>
        <w:t>增</w:t>
      </w:r>
      <w:r>
        <w:rPr>
          <w:rFonts w:hint="eastAsia" w:ascii="仿宋_GB2312" w:hAnsi="仿宋_GB2312" w:eastAsia="仿宋_GB2312" w:cs="仿宋_GB2312"/>
          <w:sz w:val="32"/>
          <w:szCs w:val="32"/>
          <w:lang w:val="zh-CN"/>
        </w:rPr>
        <w:t>发了</w:t>
      </w:r>
      <w:r>
        <w:rPr>
          <w:rFonts w:hint="eastAsia" w:ascii="仿宋_GB2312" w:hAnsi="仿宋_GB2312" w:eastAsia="仿宋_GB2312" w:cs="仿宋_GB2312"/>
          <w:sz w:val="32"/>
          <w:szCs w:val="32"/>
          <w:lang w:val="en-US" w:eastAsia="zh-CN"/>
        </w:rPr>
        <w:t>2023年度人员工资调标、增加了</w:t>
      </w:r>
      <w:r>
        <w:rPr>
          <w:rFonts w:hint="eastAsia" w:ascii="仿宋_GB2312" w:hAnsi="仿宋_GB2312" w:eastAsia="仿宋_GB2312" w:cs="仿宋_GB2312"/>
          <w:sz w:val="32"/>
          <w:szCs w:val="32"/>
        </w:rPr>
        <w:t>人员退休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代缴社保费</w:t>
      </w:r>
      <w:r>
        <w:rPr>
          <w:rFonts w:hint="eastAsia" w:ascii="仿宋_GB2312" w:hAnsi="仿宋_GB2312" w:eastAsia="仿宋_GB2312" w:cs="仿宋_GB2312"/>
          <w:sz w:val="32"/>
          <w:szCs w:val="32"/>
        </w:rPr>
        <w:t>等；公用</w:t>
      </w:r>
      <w:r>
        <w:rPr>
          <w:rFonts w:hint="eastAsia" w:ascii="仿宋_GB2312" w:hAnsi="仿宋_GB2312" w:eastAsia="仿宋_GB2312" w:cs="仿宋_GB2312"/>
          <w:sz w:val="32"/>
          <w:szCs w:val="32"/>
          <w:lang w:val="zh-CN"/>
        </w:rPr>
        <w:t>经费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72.39</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55.46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增加16.93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增长30.53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变化的主要原因：</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公用经费计算</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lang w:eastAsia="zh-CN"/>
        </w:rPr>
        <w:t>额</w:t>
      </w:r>
      <w:r>
        <w:rPr>
          <w:rFonts w:hint="eastAsia" w:ascii="仿宋_GB2312" w:hAnsi="仿宋_GB2312" w:eastAsia="仿宋_GB2312" w:cs="仿宋_GB2312"/>
          <w:sz w:val="32"/>
          <w:szCs w:val="32"/>
        </w:rPr>
        <w:t>口径进行了调整，</w:t>
      </w:r>
      <w:r>
        <w:rPr>
          <w:rFonts w:hint="eastAsia" w:ascii="仿宋_GB2312" w:hAnsi="仿宋_GB2312" w:eastAsia="仿宋_GB2312" w:cs="仿宋_GB2312"/>
          <w:sz w:val="32"/>
          <w:szCs w:val="32"/>
          <w:lang w:val="en-US" w:eastAsia="zh-CN"/>
        </w:rPr>
        <w:t>将行政编制公务员的公务交通补贴22.22万元统计到了公用经费总额中，剔除此因素，公用经费支出总额比上年是减少的。</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市属国有企业监管专项</w:t>
      </w:r>
      <w:r>
        <w:rPr>
          <w:rFonts w:hint="eastAsia" w:ascii="仿宋_GB2312" w:hAnsi="仿宋_GB2312" w:eastAsia="仿宋_GB2312" w:cs="仿宋_GB2312"/>
          <w:sz w:val="32"/>
        </w:rPr>
        <w:t>项目支出</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主要</w:t>
      </w:r>
      <w:r>
        <w:rPr>
          <w:rFonts w:hint="eastAsia" w:ascii="仿宋_GB2312" w:hAnsi="仿宋_GB2312" w:eastAsia="仿宋_GB2312" w:cs="仿宋_GB2312"/>
          <w:sz w:val="32"/>
        </w:rPr>
        <w:t>用于</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家市属监管企业</w:t>
      </w:r>
      <w:r>
        <w:rPr>
          <w:rFonts w:hint="eastAsia" w:ascii="仿宋_GB2312" w:hAnsi="仿宋_GB2312" w:eastAsia="仿宋_GB2312" w:cs="仿宋_GB2312"/>
          <w:sz w:val="32"/>
          <w:lang w:eastAsia="zh-CN"/>
        </w:rPr>
        <w:t>的办公费、差旅费、会议费等</w:t>
      </w:r>
      <w:r>
        <w:rPr>
          <w:rFonts w:hint="eastAsia" w:ascii="仿宋_GB2312" w:hAnsi="仿宋_GB2312" w:eastAsia="仿宋_GB2312" w:cs="仿宋_GB2312"/>
          <w:sz w:val="32"/>
        </w:rPr>
        <w:t>支出。</w:t>
      </w:r>
    </w:p>
    <w:p>
      <w:pPr>
        <w:pStyle w:val="5"/>
        <w:keepNext w:val="0"/>
        <w:keepLines w:val="0"/>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新增项目支出10万元，主要用于</w:t>
      </w:r>
      <w:r>
        <w:rPr>
          <w:rFonts w:hint="eastAsia" w:ascii="仿宋_GB2312" w:hAnsi="仿宋_GB2312" w:eastAsia="仿宋_GB2312" w:cs="仿宋_GB2312"/>
          <w:sz w:val="32"/>
          <w:lang w:eastAsia="zh-CN"/>
        </w:rPr>
        <w:t>市政府临时机构</w:t>
      </w:r>
      <w:r>
        <w:rPr>
          <w:rFonts w:hint="eastAsia" w:ascii="仿宋_GB2312" w:hAnsi="仿宋_GB2312" w:eastAsia="仿宋_GB2312" w:cs="仿宋_GB2312"/>
          <w:sz w:val="32"/>
          <w:lang w:val="en-US" w:eastAsia="zh-CN"/>
        </w:rPr>
        <w:t>--永州</w:t>
      </w:r>
      <w:r>
        <w:rPr>
          <w:rFonts w:hint="eastAsia" w:ascii="仿宋_GB2312" w:hAnsi="仿宋_GB2312" w:eastAsia="仿宋_GB2312" w:cs="仿宋_GB2312"/>
          <w:sz w:val="32"/>
          <w:lang w:eastAsia="zh-CN"/>
        </w:rPr>
        <w:t>市国企业改革办工作经费</w:t>
      </w:r>
      <w:r>
        <w:rPr>
          <w:rFonts w:hint="eastAsia" w:ascii="仿宋_GB2312" w:hAnsi="仿宋_GB2312" w:eastAsia="仿宋_GB2312" w:cs="仿宋_GB2312"/>
          <w:sz w:val="32"/>
          <w:lang w:val="en-US" w:eastAsia="zh-CN"/>
        </w:rPr>
        <w:t>10万元。</w:t>
      </w:r>
    </w:p>
    <w:p>
      <w:pPr>
        <w:pStyle w:val="4"/>
        <w:keepNext w:val="0"/>
        <w:keepLines w:val="0"/>
        <w:pageBreakBefore w:val="0"/>
        <w:widowControl w:val="0"/>
        <w:kinsoku/>
        <w:wordWrap/>
        <w:overflowPunct/>
        <w:topLinePunct w:val="0"/>
        <w:autoSpaceDE/>
        <w:autoSpaceDN/>
        <w:bidi w:val="0"/>
        <w:spacing w:line="640" w:lineRule="exact"/>
        <w:ind w:left="0" w:leftChars="0"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新增其他项目支出21.39万元，主要用于军转干部住院医疗补贴和慰问费及代缴个人社保费支出。</w:t>
      </w:r>
    </w:p>
    <w:p>
      <w:pPr>
        <w:rPr>
          <w:rFonts w:hint="eastAsia" w:ascii="仿宋_GB2312" w:hAnsi="仿宋_GB2312" w:eastAsia="仿宋_GB2312" w:cs="仿宋_GB2312"/>
          <w:lang w:val="en-US" w:eastAsia="zh-CN"/>
        </w:rPr>
      </w:pPr>
    </w:p>
    <w:p>
      <w:pPr>
        <w:pStyle w:val="4"/>
        <w:numPr>
          <w:ilvl w:val="0"/>
          <w:numId w:val="0"/>
        </w:numPr>
        <w:ind w:firstLine="640"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sz w:val="32"/>
          <w:szCs w:val="32"/>
          <w:lang w:val="en-US" w:eastAsia="zh-CN"/>
        </w:rPr>
        <w:t>2、部门预算收支决算情况及三公经费支出使用情况</w:t>
      </w:r>
      <w:r>
        <w:rPr>
          <w:rFonts w:hint="eastAsia" w:ascii="仿宋_GB2312" w:hAnsi="仿宋_GB2312" w:eastAsia="仿宋_GB2312" w:cs="仿宋_GB2312"/>
          <w:b/>
          <w:bCs/>
          <w:lang w:val="en-US" w:eastAsia="zh-CN"/>
        </w:rPr>
        <w:t xml:space="preserve"> </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市国资委年初</w:t>
      </w:r>
      <w:r>
        <w:rPr>
          <w:rFonts w:hint="eastAsia" w:ascii="仿宋_GB2312" w:hAnsi="仿宋_GB2312" w:eastAsia="仿宋_GB2312" w:cs="仿宋_GB2312"/>
          <w:sz w:val="32"/>
        </w:rPr>
        <w:t>预算收入</w:t>
      </w:r>
      <w:r>
        <w:rPr>
          <w:rFonts w:hint="eastAsia" w:ascii="仿宋_GB2312" w:hAnsi="仿宋_GB2312" w:eastAsia="仿宋_GB2312" w:cs="仿宋_GB2312"/>
          <w:sz w:val="32"/>
          <w:lang w:val="en-US" w:eastAsia="zh-CN"/>
        </w:rPr>
        <w:t>2234.08</w:t>
      </w:r>
      <w:r>
        <w:rPr>
          <w:rFonts w:hint="eastAsia" w:ascii="仿宋_GB2312" w:hAnsi="仿宋_GB2312" w:eastAsia="仿宋_GB2312" w:cs="仿宋_GB2312"/>
          <w:sz w:val="32"/>
        </w:rPr>
        <w:t>万元，决算收入</w:t>
      </w:r>
      <w:r>
        <w:rPr>
          <w:rFonts w:hint="eastAsia" w:ascii="仿宋_GB2312" w:hAnsi="仿宋_GB2312" w:eastAsia="仿宋_GB2312" w:cs="仿宋_GB2312"/>
          <w:sz w:val="32"/>
          <w:lang w:val="en-US" w:eastAsia="zh-CN"/>
        </w:rPr>
        <w:t>2325.83</w:t>
      </w:r>
      <w:r>
        <w:rPr>
          <w:rFonts w:hint="eastAsia" w:ascii="仿宋_GB2312" w:hAnsi="仿宋_GB2312" w:eastAsia="仿宋_GB2312" w:cs="仿宋_GB2312"/>
          <w:sz w:val="32"/>
        </w:rPr>
        <w:t>万元，决算比预算收入</w:t>
      </w:r>
      <w:r>
        <w:rPr>
          <w:rFonts w:hint="eastAsia" w:ascii="仿宋_GB2312" w:hAnsi="仿宋_GB2312" w:eastAsia="仿宋_GB2312" w:cs="仿宋_GB2312"/>
          <w:sz w:val="32"/>
          <w:lang w:val="en-US" w:eastAsia="zh-CN"/>
        </w:rPr>
        <w:t>增加91.75</w:t>
      </w:r>
      <w:r>
        <w:rPr>
          <w:rFonts w:hint="eastAsia" w:ascii="仿宋_GB2312" w:hAnsi="仿宋_GB2312" w:eastAsia="仿宋_GB2312" w:cs="仿宋_GB2312"/>
          <w:sz w:val="32"/>
        </w:rPr>
        <w:t>万元，差异率</w:t>
      </w:r>
      <w:r>
        <w:rPr>
          <w:rFonts w:hint="eastAsia" w:ascii="仿宋_GB2312" w:hAnsi="仿宋_GB2312" w:eastAsia="仿宋_GB2312" w:cs="仿宋_GB2312"/>
          <w:sz w:val="32"/>
          <w:lang w:val="en-US" w:eastAsia="zh-CN"/>
        </w:rPr>
        <w:t>4.11</w:t>
      </w:r>
      <w:r>
        <w:rPr>
          <w:rFonts w:hint="eastAsia" w:ascii="仿宋_GB2312" w:hAnsi="仿宋_GB2312" w:eastAsia="仿宋_GB2312" w:cs="仿宋_GB2312"/>
          <w:sz w:val="32"/>
        </w:rPr>
        <w:t>%。</w:t>
      </w:r>
    </w:p>
    <w:p>
      <w:pPr>
        <w:spacing w:line="500" w:lineRule="exact"/>
        <w:rPr>
          <w:rFonts w:hint="eastAsia" w:ascii="仿宋_GB2312" w:hAnsi="仿宋_GB2312" w:eastAsia="仿宋_GB2312" w:cs="仿宋_GB2312"/>
          <w:sz w:val="32"/>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年决算收入比预算收入</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的主要原因是精减了公用经费，</w:t>
      </w:r>
      <w:r>
        <w:rPr>
          <w:rFonts w:hint="eastAsia" w:ascii="仿宋_GB2312" w:hAnsi="仿宋_GB2312" w:eastAsia="仿宋_GB2312" w:cs="仿宋_GB2312"/>
          <w:sz w:val="32"/>
          <w:szCs w:val="32"/>
          <w:lang w:val="en-US" w:eastAsia="zh-CN"/>
        </w:rPr>
        <w:t>增加了在职人员和</w:t>
      </w:r>
      <w:r>
        <w:rPr>
          <w:rFonts w:hint="eastAsia" w:ascii="仿宋_GB2312" w:hAnsi="仿宋_GB2312" w:eastAsia="仿宋_GB2312" w:cs="仿宋_GB2312"/>
          <w:sz w:val="32"/>
          <w:szCs w:val="32"/>
        </w:rPr>
        <w:t>市管干部</w:t>
      </w:r>
      <w:r>
        <w:rPr>
          <w:rFonts w:hint="eastAsia" w:ascii="仿宋_GB2312" w:hAnsi="仿宋_GB2312" w:eastAsia="仿宋_GB2312" w:cs="仿宋_GB2312"/>
          <w:sz w:val="32"/>
          <w:szCs w:val="32"/>
          <w:lang w:val="en-US" w:eastAsia="zh-CN"/>
        </w:rPr>
        <w:t>工资调标</w:t>
      </w:r>
      <w:r>
        <w:rPr>
          <w:rFonts w:hint="eastAsia" w:ascii="仿宋_GB2312" w:hAnsi="仿宋_GB2312" w:eastAsia="仿宋_GB2312" w:cs="仿宋_GB2312"/>
          <w:sz w:val="32"/>
          <w:szCs w:val="32"/>
        </w:rPr>
        <w:t>、职教、幼教人员年终生活补贴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人员退休及</w:t>
      </w:r>
      <w:r>
        <w:rPr>
          <w:rFonts w:hint="eastAsia" w:ascii="仿宋_GB2312" w:hAnsi="仿宋_GB2312" w:eastAsia="仿宋_GB2312" w:cs="仿宋_GB2312"/>
          <w:sz w:val="32"/>
          <w:szCs w:val="32"/>
          <w:lang w:val="en-US" w:eastAsia="zh-CN"/>
        </w:rPr>
        <w:t>其他往来款支出</w:t>
      </w:r>
      <w:r>
        <w:rPr>
          <w:rFonts w:hint="eastAsia" w:ascii="仿宋_GB2312" w:hAnsi="仿宋_GB2312" w:eastAsia="仿宋_GB2312" w:cs="仿宋_GB2312"/>
          <w:sz w:val="32"/>
          <w:szCs w:val="32"/>
        </w:rPr>
        <w:t>等综合</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所致。按具体收入支出功能科目分类为208其他社会保障就业支出，即市管干部人员经费决算支出比预算</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52.57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另外增加了229其他收入决算21.39万元，主要是增加了其他单位往来款的支出数据。</w:t>
      </w:r>
    </w:p>
    <w:p>
      <w:pPr>
        <w:keepNext w:val="0"/>
        <w:keepLines w:val="0"/>
        <w:pageBreakBefore w:val="0"/>
        <w:widowControl w:val="0"/>
        <w:numPr>
          <w:ilvl w:val="0"/>
          <w:numId w:val="0"/>
        </w:numPr>
        <w:kinsoku/>
        <w:wordWrap/>
        <w:overflowPunct/>
        <w:topLinePunct w:val="0"/>
        <w:bidi w:val="0"/>
        <w:spacing w:line="64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“三公”经费完成</w:t>
      </w:r>
      <w:r>
        <w:rPr>
          <w:rFonts w:hint="eastAsia" w:ascii="仿宋_GB2312" w:hAnsi="仿宋_GB2312" w:eastAsia="仿宋_GB2312" w:cs="仿宋_GB2312"/>
          <w:sz w:val="32"/>
          <w:szCs w:val="32"/>
          <w:lang w:val="en-US" w:eastAsia="zh-CN"/>
        </w:rPr>
        <w:t>3308</w:t>
      </w:r>
      <w:r>
        <w:rPr>
          <w:rFonts w:hint="eastAsia" w:ascii="仿宋_GB2312" w:hAnsi="仿宋_GB2312" w:eastAsia="仿宋_GB2312" w:cs="仿宋_GB2312"/>
          <w:sz w:val="32"/>
          <w:szCs w:val="32"/>
        </w:rPr>
        <w:t>元，与上年</w:t>
      </w:r>
      <w:r>
        <w:rPr>
          <w:rFonts w:hint="eastAsia" w:ascii="仿宋_GB2312" w:hAnsi="仿宋_GB2312" w:eastAsia="仿宋_GB2312" w:cs="仿宋_GB2312"/>
          <w:sz w:val="32"/>
          <w:szCs w:val="32"/>
          <w:lang w:val="en-US" w:eastAsia="zh-CN"/>
        </w:rPr>
        <w:t>4936元相比减少1628元</w:t>
      </w:r>
      <w:r>
        <w:rPr>
          <w:rFonts w:hint="eastAsia" w:ascii="仿宋_GB2312" w:hAnsi="仿宋_GB2312" w:eastAsia="仿宋_GB2312" w:cs="仿宋_GB2312"/>
          <w:sz w:val="32"/>
          <w:szCs w:val="32"/>
        </w:rPr>
        <w:t>。减</w:t>
      </w:r>
      <w:r>
        <w:rPr>
          <w:rFonts w:hint="eastAsia" w:ascii="仿宋_GB2312" w:hAnsi="仿宋_GB2312" w:eastAsia="仿宋_GB2312" w:cs="仿宋_GB2312"/>
          <w:sz w:val="32"/>
          <w:szCs w:val="32"/>
          <w:lang w:eastAsia="zh-CN"/>
        </w:rPr>
        <w:t>少</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eastAsia="zh-CN"/>
        </w:rPr>
        <w:t>严格按财政“过紧日子”要求，精减了接待人员次数和人员。本年公务接待共</w:t>
      </w:r>
      <w:r>
        <w:rPr>
          <w:rFonts w:hint="eastAsia" w:ascii="仿宋_GB2312" w:hAnsi="仿宋_GB2312" w:eastAsia="仿宋_GB2312" w:cs="仿宋_GB2312"/>
          <w:sz w:val="32"/>
          <w:szCs w:val="32"/>
          <w:lang w:val="en-US" w:eastAsia="zh-CN"/>
        </w:rPr>
        <w:t>4批次，接待人员共计23人。</w:t>
      </w:r>
      <w:r>
        <w:rPr>
          <w:rFonts w:hint="eastAsia" w:ascii="仿宋_GB2312" w:hAnsi="仿宋_GB2312" w:eastAsia="仿宋_GB2312" w:cs="仿宋_GB2312"/>
          <w:sz w:val="32"/>
          <w:szCs w:val="32"/>
          <w:lang w:val="zh-CN"/>
        </w:rPr>
        <w:t>其中：</w:t>
      </w:r>
      <w:r>
        <w:rPr>
          <w:rFonts w:hint="eastAsia" w:ascii="仿宋_GB2312" w:hAnsi="仿宋_GB2312" w:eastAsia="仿宋_GB2312" w:cs="仿宋_GB2312"/>
          <w:b/>
          <w:sz w:val="32"/>
          <w:szCs w:val="32"/>
          <w:lang w:val="zh-CN"/>
        </w:rPr>
        <w:t>公务接待费</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3308</w:t>
      </w:r>
      <w:r>
        <w:rPr>
          <w:rFonts w:hint="eastAsia" w:ascii="仿宋_GB2312" w:hAnsi="仿宋_GB2312" w:eastAsia="仿宋_GB2312" w:cs="仿宋_GB2312"/>
          <w:sz w:val="32"/>
          <w:szCs w:val="32"/>
        </w:rPr>
        <w:t>元，与上年</w:t>
      </w:r>
      <w:r>
        <w:rPr>
          <w:rFonts w:hint="eastAsia" w:ascii="仿宋_GB2312" w:hAnsi="仿宋_GB2312" w:eastAsia="仿宋_GB2312" w:cs="仿宋_GB2312"/>
          <w:sz w:val="32"/>
          <w:szCs w:val="32"/>
          <w:lang w:val="en-US" w:eastAsia="zh-CN"/>
        </w:rPr>
        <w:t>相比减少1628元，</w:t>
      </w:r>
      <w:r>
        <w:rPr>
          <w:rFonts w:hint="eastAsia" w:ascii="仿宋_GB2312" w:hAnsi="仿宋_GB2312" w:eastAsia="仿宋_GB2312" w:cs="仿宋_GB2312"/>
          <w:sz w:val="32"/>
          <w:szCs w:val="32"/>
        </w:rPr>
        <w:t>下降</w:t>
      </w:r>
      <w:r>
        <w:rPr>
          <w:rFonts w:hint="eastAsia" w:ascii="仿宋_GB2312" w:hAnsi="仿宋_GB2312" w:eastAsia="仿宋_GB2312" w:cs="仿宋_GB2312"/>
          <w:sz w:val="32"/>
          <w:szCs w:val="32"/>
          <w:lang w:val="en-US" w:eastAsia="zh-CN"/>
        </w:rPr>
        <w:t>32.98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sz w:val="32"/>
          <w:szCs w:val="32"/>
          <w:lang w:val="zh-CN"/>
        </w:rPr>
        <w:t>因公出国（境）费</w:t>
      </w:r>
      <w:r>
        <w:rPr>
          <w:rFonts w:hint="eastAsia" w:ascii="仿宋_GB2312" w:hAnsi="仿宋_GB2312" w:eastAsia="仿宋_GB2312" w:cs="仿宋_GB2312"/>
          <w:sz w:val="32"/>
          <w:szCs w:val="32"/>
        </w:rPr>
        <w:t>完成0元，</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b/>
          <w:sz w:val="32"/>
          <w:szCs w:val="32"/>
          <w:lang w:val="zh-CN"/>
        </w:rPr>
        <w:t>公务用车购置及运行维护费</w:t>
      </w:r>
      <w:r>
        <w:rPr>
          <w:rFonts w:hint="eastAsia" w:ascii="仿宋_GB2312" w:hAnsi="仿宋_GB2312" w:eastAsia="仿宋_GB2312" w:cs="仿宋_GB2312"/>
          <w:sz w:val="32"/>
          <w:szCs w:val="32"/>
        </w:rPr>
        <w:t>完成0元，因公务用车上交市公车办统一管理，本年无公务用车支出，与上年持平。</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w:t>
      </w:r>
      <w:r>
        <w:rPr>
          <w:rFonts w:hint="eastAsia" w:ascii="仿宋_GB2312" w:hAnsi="仿宋_GB2312" w:eastAsia="仿宋_GB2312" w:cs="仿宋_GB2312"/>
          <w:b/>
          <w:bCs w:val="0"/>
          <w:sz w:val="32"/>
          <w:szCs w:val="32"/>
          <w:lang w:val="en-US" w:eastAsia="zh-CN"/>
        </w:rPr>
        <w:t>一般公共预算支出</w:t>
      </w:r>
      <w:r>
        <w:rPr>
          <w:rFonts w:hint="eastAsia" w:ascii="仿宋_GB2312" w:hAnsi="仿宋_GB2312" w:eastAsia="仿宋_GB2312" w:cs="仿宋_GB2312"/>
          <w:b/>
          <w:bCs w:val="0"/>
          <w:sz w:val="32"/>
          <w:szCs w:val="32"/>
        </w:rPr>
        <w:t>情况</w:t>
      </w:r>
    </w:p>
    <w:p>
      <w:pPr>
        <w:keepNext w:val="0"/>
        <w:keepLines w:val="0"/>
        <w:pageBreakBefore w:val="0"/>
        <w:kinsoku/>
        <w:wordWrap/>
        <w:overflowPunct/>
        <w:topLinePunct w:val="0"/>
        <w:bidi w:val="0"/>
        <w:snapToGrid/>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年，按照市委、市政府的整体工作部署，以及年初财政预算的安排，我委加强了财务收支预算管理，严格控制经费支出，聚焦国资监管主责主业，圆满完成了工作任务。全年总支出为</w:t>
      </w:r>
      <w:r>
        <w:rPr>
          <w:rFonts w:hint="eastAsia" w:ascii="仿宋_GB2312" w:hAnsi="仿宋_GB2312" w:eastAsia="仿宋_GB2312" w:cs="仿宋_GB2312"/>
          <w:sz w:val="32"/>
          <w:szCs w:val="32"/>
          <w:lang w:val="en-US" w:eastAsia="zh-CN"/>
        </w:rPr>
        <w:t>2304.44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2286.44</w:t>
      </w:r>
      <w:r>
        <w:rPr>
          <w:rFonts w:hint="eastAsia" w:ascii="仿宋_GB2312" w:hAnsi="仿宋_GB2312" w:eastAsia="仿宋_GB2312" w:cs="仿宋_GB2312"/>
          <w:sz w:val="32"/>
          <w:szCs w:val="32"/>
        </w:rPr>
        <w:t>万元，专项支出</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万元。具体情况如下：</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（一）基本支出</w:t>
      </w:r>
      <w:r>
        <w:rPr>
          <w:rFonts w:hint="eastAsia" w:ascii="仿宋_GB2312" w:hAnsi="仿宋_GB2312" w:eastAsia="仿宋_GB2312" w:cs="仿宋_GB2312"/>
          <w:b/>
          <w:bCs/>
          <w:sz w:val="32"/>
          <w:szCs w:val="32"/>
          <w:lang w:val="en-US" w:eastAsia="zh-CN"/>
        </w:rPr>
        <w:t>情况</w:t>
      </w:r>
    </w:p>
    <w:p>
      <w:pPr>
        <w:keepNext w:val="0"/>
        <w:keepLines w:val="0"/>
        <w:pageBreakBefore w:val="0"/>
        <w:kinsoku/>
        <w:wordWrap/>
        <w:overflowPunct/>
        <w:topLinePunct w:val="0"/>
        <w:bidi w:val="0"/>
        <w:snapToGrid/>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年度基本支出</w:t>
      </w:r>
      <w:r>
        <w:rPr>
          <w:rFonts w:hint="eastAsia" w:ascii="仿宋_GB2312" w:hAnsi="仿宋_GB2312" w:eastAsia="仿宋_GB2312" w:cs="仿宋_GB2312"/>
          <w:sz w:val="32"/>
          <w:szCs w:val="32"/>
          <w:lang w:val="en-US" w:eastAsia="zh-CN"/>
        </w:rPr>
        <w:t>2286.44</w:t>
      </w:r>
      <w:r>
        <w:rPr>
          <w:rFonts w:hint="eastAsia" w:ascii="仿宋_GB2312" w:hAnsi="仿宋_GB2312" w:eastAsia="仿宋_GB2312" w:cs="仿宋_GB2312"/>
          <w:sz w:val="32"/>
          <w:szCs w:val="32"/>
        </w:rPr>
        <w:t>万元，一是工资福利支出</w:t>
      </w:r>
      <w:r>
        <w:rPr>
          <w:rFonts w:hint="eastAsia" w:ascii="仿宋_GB2312" w:hAnsi="仿宋_GB2312" w:eastAsia="仿宋_GB2312" w:cs="仿宋_GB2312"/>
          <w:sz w:val="32"/>
          <w:szCs w:val="32"/>
          <w:lang w:val="en-US" w:eastAsia="zh-CN"/>
        </w:rPr>
        <w:t>2120.16</w:t>
      </w:r>
      <w:r>
        <w:rPr>
          <w:rFonts w:hint="eastAsia" w:ascii="仿宋_GB2312" w:hAnsi="仿宋_GB2312" w:eastAsia="仿宋_GB2312" w:cs="仿宋_GB2312"/>
          <w:sz w:val="32"/>
          <w:szCs w:val="32"/>
        </w:rPr>
        <w:t>万元，比上年度工资福利支出</w:t>
      </w:r>
      <w:r>
        <w:rPr>
          <w:rFonts w:hint="eastAsia" w:ascii="仿宋_GB2312" w:hAnsi="仿宋_GB2312" w:eastAsia="仿宋_GB2312" w:cs="仿宋_GB2312"/>
          <w:sz w:val="32"/>
          <w:szCs w:val="32"/>
          <w:lang w:val="en-US" w:eastAsia="zh-CN"/>
        </w:rPr>
        <w:t>2116.27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增加3.89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增长0.18</w:t>
      </w:r>
      <w:r>
        <w:rPr>
          <w:rFonts w:hint="eastAsia" w:ascii="仿宋_GB2312" w:hAnsi="仿宋_GB2312" w:eastAsia="仿宋_GB2312" w:cs="仿宋_GB2312"/>
          <w:sz w:val="32"/>
          <w:szCs w:val="32"/>
        </w:rPr>
        <w:t>%；二是商品服务支出</w:t>
      </w:r>
      <w:r>
        <w:rPr>
          <w:rFonts w:hint="eastAsia" w:ascii="仿宋_GB2312" w:hAnsi="仿宋_GB2312" w:eastAsia="仿宋_GB2312" w:cs="仿宋_GB2312"/>
          <w:sz w:val="32"/>
          <w:szCs w:val="32"/>
          <w:lang w:val="en-US" w:eastAsia="zh-CN"/>
        </w:rPr>
        <w:t>89.31</w:t>
      </w:r>
      <w:r>
        <w:rPr>
          <w:rFonts w:hint="eastAsia" w:ascii="仿宋_GB2312" w:hAnsi="仿宋_GB2312" w:eastAsia="仿宋_GB2312" w:cs="仿宋_GB2312"/>
          <w:sz w:val="32"/>
          <w:szCs w:val="32"/>
        </w:rPr>
        <w:t>万元，比上年度商品服务支出</w:t>
      </w:r>
      <w:r>
        <w:rPr>
          <w:rFonts w:hint="eastAsia" w:ascii="仿宋_GB2312" w:hAnsi="仿宋_GB2312" w:eastAsia="仿宋_GB2312" w:cs="仿宋_GB2312"/>
          <w:sz w:val="32"/>
          <w:szCs w:val="32"/>
          <w:lang w:val="en-US" w:eastAsia="zh-CN"/>
        </w:rPr>
        <w:t>68.9</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增加20.41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增长29.62</w:t>
      </w:r>
      <w:r>
        <w:rPr>
          <w:rFonts w:hint="eastAsia" w:ascii="仿宋_GB2312" w:hAnsi="仿宋_GB2312" w:eastAsia="仿宋_GB2312" w:cs="仿宋_GB2312"/>
          <w:sz w:val="32"/>
          <w:szCs w:val="32"/>
        </w:rPr>
        <w:t>%；三是对个人和家庭的补助支出</w:t>
      </w:r>
      <w:r>
        <w:rPr>
          <w:rFonts w:hint="eastAsia" w:ascii="仿宋_GB2312" w:hAnsi="仿宋_GB2312" w:eastAsia="仿宋_GB2312" w:cs="仿宋_GB2312"/>
          <w:sz w:val="32"/>
          <w:szCs w:val="32"/>
          <w:lang w:val="en-US" w:eastAsia="zh-CN"/>
        </w:rPr>
        <w:t>115.28</w:t>
      </w:r>
      <w:r>
        <w:rPr>
          <w:rFonts w:hint="eastAsia" w:ascii="仿宋_GB2312" w:hAnsi="仿宋_GB2312" w:eastAsia="仿宋_GB2312" w:cs="仿宋_GB2312"/>
          <w:sz w:val="32"/>
          <w:szCs w:val="32"/>
        </w:rPr>
        <w:t>万元 ，比上年度个人和家庭的补助支出</w:t>
      </w:r>
      <w:r>
        <w:rPr>
          <w:rFonts w:hint="eastAsia" w:ascii="仿宋_GB2312" w:hAnsi="仿宋_GB2312" w:eastAsia="仿宋_GB2312" w:cs="仿宋_GB2312"/>
          <w:sz w:val="32"/>
          <w:szCs w:val="32"/>
          <w:lang w:val="en-US" w:eastAsia="zh-CN"/>
        </w:rPr>
        <w:t>3.65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增加111.63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增长2958%</w:t>
      </w:r>
      <w:r>
        <w:rPr>
          <w:rFonts w:hint="eastAsia" w:ascii="仿宋_GB2312" w:hAnsi="仿宋_GB2312" w:eastAsia="仿宋_GB2312" w:cs="仿宋_GB2312"/>
          <w:sz w:val="32"/>
          <w:szCs w:val="32"/>
        </w:rPr>
        <w:t>；四是资本性支出</w:t>
      </w:r>
      <w:r>
        <w:rPr>
          <w:rFonts w:hint="eastAsia" w:ascii="仿宋_GB2312" w:hAnsi="仿宋_GB2312" w:eastAsia="仿宋_GB2312" w:cs="仿宋_GB2312"/>
          <w:sz w:val="32"/>
          <w:szCs w:val="32"/>
          <w:lang w:val="en-US" w:eastAsia="zh-CN"/>
        </w:rPr>
        <w:t>1.08</w:t>
      </w:r>
      <w:r>
        <w:rPr>
          <w:rFonts w:hint="eastAsia" w:ascii="仿宋_GB2312" w:hAnsi="仿宋_GB2312" w:eastAsia="仿宋_GB2312" w:cs="仿宋_GB2312"/>
          <w:sz w:val="32"/>
          <w:szCs w:val="32"/>
        </w:rPr>
        <w:t>万元，比上年度资本性支出</w:t>
      </w:r>
      <w:r>
        <w:rPr>
          <w:rFonts w:hint="eastAsia" w:ascii="仿宋_GB2312" w:hAnsi="仿宋_GB2312" w:eastAsia="仿宋_GB2312" w:cs="仿宋_GB2312"/>
          <w:sz w:val="32"/>
          <w:szCs w:val="32"/>
          <w:lang w:val="en-US" w:eastAsia="zh-CN"/>
        </w:rPr>
        <w:t>0.66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增加0.42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增长63.64</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年“三公”经费决算支出0.</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万元，本年度只有</w:t>
      </w:r>
      <w:r>
        <w:rPr>
          <w:rFonts w:hint="eastAsia" w:ascii="仿宋_GB2312" w:hAnsi="仿宋_GB2312" w:eastAsia="仿宋_GB2312" w:cs="仿宋_GB2312"/>
          <w:spacing w:val="-4"/>
          <w:sz w:val="32"/>
          <w:szCs w:val="32"/>
        </w:rPr>
        <w:t>公务接待费支出，</w:t>
      </w:r>
      <w:r>
        <w:rPr>
          <w:rFonts w:hint="eastAsia" w:ascii="仿宋_GB2312" w:hAnsi="仿宋_GB2312" w:eastAsia="仿宋_GB2312" w:cs="仿宋_GB2312"/>
          <w:spacing w:val="-4"/>
          <w:sz w:val="32"/>
          <w:szCs w:val="32"/>
          <w:lang w:val="zh-CN"/>
        </w:rPr>
        <w:t>无因公出国（境）费和公务用车运行维护费</w:t>
      </w:r>
      <w:r>
        <w:rPr>
          <w:rFonts w:hint="eastAsia" w:ascii="仿宋_GB2312" w:hAnsi="仿宋_GB2312" w:eastAsia="仿宋_GB2312" w:cs="仿宋_GB2312"/>
          <w:spacing w:val="-4"/>
          <w:sz w:val="32"/>
          <w:szCs w:val="32"/>
        </w:rPr>
        <w:t>。</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（二）项</w:t>
      </w:r>
      <w:r>
        <w:rPr>
          <w:rFonts w:hint="eastAsia" w:ascii="仿宋_GB2312" w:hAnsi="仿宋_GB2312" w:eastAsia="仿宋_GB2312" w:cs="仿宋_GB2312"/>
          <w:b/>
          <w:bCs/>
          <w:sz w:val="32"/>
          <w:szCs w:val="32"/>
          <w:lang w:val="en-US" w:eastAsia="zh-CN"/>
        </w:rPr>
        <w:t>目</w:t>
      </w:r>
      <w:r>
        <w:rPr>
          <w:rFonts w:hint="eastAsia" w:ascii="仿宋_GB2312" w:hAnsi="仿宋_GB2312" w:eastAsia="仿宋_GB2312" w:cs="仿宋_GB2312"/>
          <w:b/>
          <w:bCs/>
          <w:sz w:val="32"/>
          <w:szCs w:val="32"/>
        </w:rPr>
        <w:t>支出</w:t>
      </w:r>
      <w:r>
        <w:rPr>
          <w:rFonts w:hint="eastAsia" w:ascii="仿宋_GB2312" w:hAnsi="仿宋_GB2312" w:eastAsia="仿宋_GB2312" w:cs="仿宋_GB2312"/>
          <w:b/>
          <w:bCs/>
          <w:sz w:val="32"/>
          <w:szCs w:val="32"/>
          <w:lang w:val="en-US" w:eastAsia="zh-CN"/>
        </w:rPr>
        <w:t>情况</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1.专项资金安排情况分析</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年专项资金安排</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一是市属监管国有企业的专项工作经费8万元,具体支出包括：市属监管的国有企业</w:t>
      </w:r>
      <w:r>
        <w:rPr>
          <w:rFonts w:hint="eastAsia" w:ascii="仿宋_GB2312" w:hAnsi="仿宋_GB2312" w:eastAsia="仿宋_GB2312" w:cs="仿宋_GB2312"/>
          <w:sz w:val="32"/>
          <w:szCs w:val="32"/>
        </w:rPr>
        <w:t>国企改革</w:t>
      </w:r>
      <w:r>
        <w:rPr>
          <w:rFonts w:hint="eastAsia" w:ascii="仿宋_GB2312" w:hAnsi="仿宋_GB2312" w:eastAsia="仿宋_GB2312" w:cs="仿宋_GB2312"/>
          <w:sz w:val="32"/>
          <w:szCs w:val="32"/>
          <w:lang w:val="en-US" w:eastAsia="zh-CN"/>
        </w:rPr>
        <w:t>改制</w:t>
      </w:r>
      <w:r>
        <w:rPr>
          <w:rFonts w:hint="eastAsia" w:ascii="仿宋_GB2312" w:hAnsi="仿宋_GB2312" w:eastAsia="仿宋_GB2312" w:cs="仿宋_GB2312"/>
          <w:sz w:val="32"/>
          <w:szCs w:val="32"/>
        </w:rPr>
        <w:t>、信访维稳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基层党建</w:t>
      </w:r>
      <w:r>
        <w:rPr>
          <w:rFonts w:hint="eastAsia" w:ascii="仿宋_GB2312" w:hAnsi="仿宋_GB2312" w:eastAsia="仿宋_GB2312" w:cs="仿宋_GB2312"/>
          <w:sz w:val="32"/>
          <w:szCs w:val="32"/>
        </w:rPr>
        <w:t>等专项支出。</w:t>
      </w:r>
      <w:r>
        <w:rPr>
          <w:rFonts w:hint="eastAsia" w:ascii="仿宋_GB2312" w:hAnsi="仿宋_GB2312" w:eastAsia="仿宋_GB2312" w:cs="仿宋_GB2312"/>
          <w:sz w:val="32"/>
          <w:szCs w:val="32"/>
          <w:lang w:val="en-US" w:eastAsia="zh-CN"/>
        </w:rPr>
        <w:t>二是用于市国企改革办工作经费10万元，主要用于全市国企改革而发生的差旅费、办公费、电费、资料费等支出。</w:t>
      </w:r>
      <w:r>
        <w:rPr>
          <w:rFonts w:hint="eastAsia" w:ascii="仿宋_GB2312" w:hAnsi="仿宋_GB2312" w:eastAsia="仿宋_GB2312" w:cs="仿宋_GB2312"/>
          <w:sz w:val="32"/>
          <w:szCs w:val="32"/>
        </w:rPr>
        <w:t>总投入</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万元，财政已拨入到位。</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2.专项资金实际使用情况分析</w:t>
      </w:r>
    </w:p>
    <w:p>
      <w:pPr>
        <w:keepNext w:val="0"/>
        <w:keepLines w:val="0"/>
        <w:pageBreakBefore w:val="0"/>
        <w:kinsoku/>
        <w:wordWrap/>
        <w:overflowPunct/>
        <w:topLinePunct w:val="0"/>
        <w:bidi w:val="0"/>
        <w:snapToGrid/>
        <w:spacing w:line="580" w:lineRule="exact"/>
        <w:ind w:firstLine="643"/>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年项目支出为</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万元，占总支出的0.</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是用于</w:t>
      </w:r>
      <w:r>
        <w:rPr>
          <w:rFonts w:hint="eastAsia" w:ascii="仿宋_GB2312" w:hAnsi="仿宋_GB2312" w:eastAsia="仿宋_GB2312" w:cs="仿宋_GB2312"/>
          <w:sz w:val="32"/>
          <w:szCs w:val="32"/>
          <w:lang w:val="en-US" w:eastAsia="zh-CN"/>
        </w:rPr>
        <w:t>市属国有企业</w:t>
      </w:r>
      <w:r>
        <w:rPr>
          <w:rFonts w:hint="eastAsia" w:ascii="仿宋_GB2312" w:hAnsi="仿宋_GB2312" w:eastAsia="仿宋_GB2312" w:cs="仿宋_GB2312"/>
          <w:sz w:val="32"/>
          <w:szCs w:val="32"/>
        </w:rPr>
        <w:t>国资监管专项支出</w:t>
      </w:r>
      <w:r>
        <w:rPr>
          <w:rFonts w:hint="eastAsia" w:ascii="仿宋_GB2312" w:hAnsi="仿宋_GB2312" w:eastAsia="仿宋_GB2312" w:cs="仿宋_GB2312"/>
          <w:sz w:val="32"/>
          <w:szCs w:val="32"/>
          <w:lang w:val="en-US" w:eastAsia="zh-CN"/>
        </w:rPr>
        <w:t>8万元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律师咨询费2万元，办公费1万元，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bCs/>
          <w:sz w:val="32"/>
          <w:szCs w:val="32"/>
          <w:lang w:val="en-US" w:eastAsia="zh-CN"/>
        </w:rPr>
        <w:t>会议</w:t>
      </w:r>
      <w:r>
        <w:rPr>
          <w:rFonts w:hint="eastAsia" w:ascii="仿宋_GB2312" w:hAnsi="仿宋_GB2312" w:eastAsia="仿宋_GB2312" w:cs="仿宋_GB2312"/>
          <w:bCs/>
          <w:sz w:val="32"/>
          <w:szCs w:val="32"/>
        </w:rPr>
        <w:t>费</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培训费1万元</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二是用于全市国企改革工作经费10万元。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办公费6万元，电费1万元，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bCs/>
          <w:sz w:val="32"/>
          <w:szCs w:val="32"/>
          <w:lang w:val="en-US" w:eastAsia="zh-CN"/>
        </w:rPr>
        <w:t>。</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3.专项资金管理情况分析</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年专项资金支出遵循专款专用原则，</w:t>
      </w:r>
      <w:r>
        <w:rPr>
          <w:rFonts w:hint="eastAsia" w:ascii="仿宋_GB2312" w:hAnsi="仿宋_GB2312" w:eastAsia="仿宋_GB2312" w:cs="仿宋_GB2312"/>
          <w:sz w:val="32"/>
          <w:szCs w:val="32"/>
        </w:rPr>
        <w:t>严格按照内部控制制度及专项资金财务管理制度执行。</w:t>
      </w:r>
      <w:r>
        <w:rPr>
          <w:rFonts w:hint="eastAsia" w:ascii="仿宋_GB2312" w:hAnsi="仿宋_GB2312" w:eastAsia="仿宋_GB2312" w:cs="仿宋_GB2312"/>
          <w:bCs/>
          <w:sz w:val="32"/>
          <w:szCs w:val="32"/>
        </w:rPr>
        <w:t>在经费有限的情况下，加强对</w:t>
      </w:r>
      <w:r>
        <w:rPr>
          <w:rFonts w:hint="eastAsia" w:ascii="仿宋_GB2312" w:hAnsi="仿宋_GB2312" w:eastAsia="仿宋_GB2312" w:cs="仿宋_GB2312"/>
          <w:bCs/>
          <w:sz w:val="32"/>
          <w:szCs w:val="32"/>
          <w:lang w:val="en-US" w:eastAsia="zh-CN"/>
        </w:rPr>
        <w:t>市属</w:t>
      </w:r>
      <w:r>
        <w:rPr>
          <w:rFonts w:hint="eastAsia" w:ascii="仿宋_GB2312" w:hAnsi="仿宋_GB2312" w:eastAsia="仿宋_GB2312" w:cs="仿宋_GB2312"/>
          <w:bCs/>
          <w:sz w:val="32"/>
          <w:szCs w:val="32"/>
        </w:rPr>
        <w:t>监管企业的指导、督查、培训，</w:t>
      </w:r>
      <w:r>
        <w:rPr>
          <w:rFonts w:hint="eastAsia" w:ascii="仿宋_GB2312" w:hAnsi="仿宋_GB2312" w:eastAsia="仿宋_GB2312" w:cs="仿宋_GB2312"/>
          <w:sz w:val="32"/>
          <w:szCs w:val="32"/>
        </w:rPr>
        <w:t>确保国有资产保值增值。</w:t>
      </w:r>
      <w:r>
        <w:rPr>
          <w:rFonts w:hint="eastAsia" w:ascii="仿宋_GB2312" w:hAnsi="仿宋_GB2312" w:eastAsia="仿宋_GB2312" w:cs="仿宋_GB2312"/>
          <w:bCs/>
          <w:sz w:val="32"/>
          <w:szCs w:val="32"/>
        </w:rPr>
        <w:t>如，</w:t>
      </w:r>
      <w:r>
        <w:rPr>
          <w:rFonts w:hint="eastAsia" w:ascii="仿宋_GB2312" w:hAnsi="仿宋_GB2312" w:eastAsia="仿宋_GB2312" w:cs="仿宋_GB2312"/>
          <w:sz w:val="32"/>
          <w:szCs w:val="32"/>
        </w:rPr>
        <w:t>认真贯彻落实省委省政府、市委市政府关于</w:t>
      </w:r>
      <w:r>
        <w:rPr>
          <w:rFonts w:hint="eastAsia" w:ascii="仿宋_GB2312" w:hAnsi="仿宋_GB2312" w:eastAsia="仿宋_GB2312" w:cs="仿宋_GB2312"/>
          <w:sz w:val="32"/>
          <w:szCs w:val="32"/>
          <w:lang w:val="en-US" w:eastAsia="zh-CN"/>
        </w:rPr>
        <w:t>深化国企改革提升行动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不断完善国资监管制度，</w:t>
      </w:r>
      <w:r>
        <w:rPr>
          <w:rFonts w:hint="eastAsia" w:ascii="仿宋_GB2312" w:hAnsi="仿宋_GB2312" w:eastAsia="仿宋_GB2312" w:cs="仿宋_GB2312"/>
          <w:b w:val="0"/>
          <w:bCs w:val="0"/>
          <w:color w:val="auto"/>
          <w:sz w:val="32"/>
          <w:szCs w:val="32"/>
          <w:highlight w:val="none"/>
          <w:lang w:val="en-US" w:eastAsia="zh-CN" w:bidi="ar-SA"/>
        </w:rPr>
        <w:t>持续抓好降本增效，</w:t>
      </w:r>
      <w:r>
        <w:rPr>
          <w:rFonts w:hint="eastAsia" w:ascii="仿宋_GB2312" w:hAnsi="仿宋_GB2312" w:eastAsia="仿宋_GB2312" w:cs="仿宋_GB2312"/>
          <w:b w:val="0"/>
          <w:bCs w:val="0"/>
          <w:sz w:val="32"/>
          <w:szCs w:val="32"/>
          <w:lang w:val="en-US" w:eastAsia="zh-CN"/>
        </w:rPr>
        <w:t>做好“三资盘活”，</w:t>
      </w:r>
      <w:r>
        <w:rPr>
          <w:rFonts w:hint="eastAsia" w:ascii="仿宋_GB2312" w:hAnsi="仿宋_GB2312" w:eastAsia="仿宋_GB2312" w:cs="仿宋_GB2312"/>
          <w:b w:val="0"/>
          <w:bCs w:val="0"/>
          <w:sz w:val="32"/>
          <w:szCs w:val="32"/>
        </w:rPr>
        <w:t>大力推进平台公司转型发展</w:t>
      </w:r>
      <w:r>
        <w:rPr>
          <w:rFonts w:hint="eastAsia" w:ascii="仿宋_GB2312" w:hAnsi="仿宋_GB2312" w:eastAsia="仿宋_GB2312" w:cs="仿宋_GB2312"/>
          <w:b w:val="0"/>
          <w:bCs w:val="0"/>
          <w:color w:val="000000"/>
          <w:sz w:val="32"/>
          <w:szCs w:val="32"/>
        </w:rPr>
        <w:t>和债务化解工作</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rPr>
        <w:t>全面推动经营性事业单位转企改制，</w:t>
      </w:r>
      <w:r>
        <w:rPr>
          <w:rFonts w:hint="eastAsia" w:ascii="仿宋_GB2312" w:hAnsi="仿宋_GB2312" w:eastAsia="仿宋_GB2312" w:cs="仿宋_GB2312"/>
          <w:b w:val="0"/>
          <w:bCs w:val="0"/>
          <w:sz w:val="32"/>
          <w:szCs w:val="32"/>
        </w:rPr>
        <w:t>实现市属</w:t>
      </w:r>
      <w:r>
        <w:rPr>
          <w:rFonts w:hint="eastAsia" w:ascii="仿宋_GB2312" w:hAnsi="仿宋_GB2312" w:eastAsia="仿宋_GB2312" w:cs="仿宋_GB2312"/>
          <w:sz w:val="32"/>
          <w:szCs w:val="32"/>
        </w:rPr>
        <w:t>国企改革发展新突破；切实做好全国两会、省两会及中秋、国庆特别防护期的信访维稳工作，确保社会大局稳定。</w:t>
      </w:r>
    </w:p>
    <w:p>
      <w:pPr>
        <w:keepNext w:val="0"/>
        <w:keepLines w:val="0"/>
        <w:pageBreakBefore w:val="0"/>
        <w:numPr>
          <w:ilvl w:val="0"/>
          <w:numId w:val="8"/>
        </w:numPr>
        <w:kinsoku/>
        <w:wordWrap/>
        <w:overflowPunct/>
        <w:topLinePunct w:val="0"/>
        <w:bidi w:val="0"/>
        <w:snapToGrid/>
        <w:spacing w:line="58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除专项资金以外的其他项目支出情况。</w:t>
      </w:r>
    </w:p>
    <w:p>
      <w:pPr>
        <w:keepNext w:val="0"/>
        <w:keepLines w:val="0"/>
        <w:pageBreakBefore w:val="0"/>
        <w:numPr>
          <w:ilvl w:val="0"/>
          <w:numId w:val="0"/>
        </w:numPr>
        <w:kinsoku/>
        <w:wordWrap/>
        <w:overflowPunct/>
        <w:topLinePunct w:val="0"/>
        <w:bidi w:val="0"/>
        <w:snapToGrid/>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2023年度委机关无其他项目支出。</w:t>
      </w:r>
    </w:p>
    <w:p>
      <w:pPr>
        <w:keepNext w:val="0"/>
        <w:keepLines w:val="0"/>
        <w:pageBreakBefore w:val="0"/>
        <w:numPr>
          <w:ilvl w:val="0"/>
          <w:numId w:val="0"/>
        </w:numPr>
        <w:kinsoku/>
        <w:wordWrap/>
        <w:overflowPunct/>
        <w:topLinePunct w:val="0"/>
        <w:bidi w:val="0"/>
        <w:snapToGrid/>
        <w:spacing w:line="580" w:lineRule="exac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
          <w:bCs w:val="0"/>
          <w:sz w:val="32"/>
          <w:szCs w:val="32"/>
          <w:lang w:val="en-US" w:eastAsia="zh-CN"/>
        </w:rPr>
        <w:t>三、政府性基金预算支出情况。无。</w:t>
      </w:r>
    </w:p>
    <w:p>
      <w:pPr>
        <w:keepNext w:val="0"/>
        <w:keepLines w:val="0"/>
        <w:pageBreakBefore w:val="0"/>
        <w:numPr>
          <w:ilvl w:val="0"/>
          <w:numId w:val="0"/>
        </w:numPr>
        <w:kinsoku/>
        <w:wordWrap/>
        <w:overflowPunct/>
        <w:topLinePunct w:val="0"/>
        <w:bidi w:val="0"/>
        <w:snapToGrid/>
        <w:spacing w:line="580" w:lineRule="exact"/>
        <w:ind w:firstLine="640" w:firstLineChars="20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四、国有资本经营预算支出情况。无。</w:t>
      </w:r>
    </w:p>
    <w:p>
      <w:pPr>
        <w:keepNext w:val="0"/>
        <w:keepLines w:val="0"/>
        <w:pageBreakBefore w:val="0"/>
        <w:numPr>
          <w:ilvl w:val="0"/>
          <w:numId w:val="0"/>
        </w:numPr>
        <w:kinsoku/>
        <w:wordWrap/>
        <w:overflowPunct/>
        <w:topLinePunct w:val="0"/>
        <w:bidi w:val="0"/>
        <w:snapToGrid/>
        <w:spacing w:line="580" w:lineRule="exact"/>
        <w:ind w:firstLine="640" w:firstLineChars="20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五、社会保险基金预算支出情况。无。</w:t>
      </w:r>
    </w:p>
    <w:p>
      <w:pPr>
        <w:keepNext w:val="0"/>
        <w:keepLines w:val="0"/>
        <w:pageBreakBefore w:val="0"/>
        <w:numPr>
          <w:ilvl w:val="0"/>
          <w:numId w:val="0"/>
        </w:numPr>
        <w:kinsoku/>
        <w:wordWrap/>
        <w:overflowPunct/>
        <w:topLinePunct w:val="0"/>
        <w:bidi w:val="0"/>
        <w:snapToGrid/>
        <w:spacing w:line="580" w:lineRule="exact"/>
        <w:ind w:firstLine="640"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六、</w:t>
      </w:r>
      <w:r>
        <w:rPr>
          <w:rFonts w:hint="eastAsia" w:ascii="仿宋_GB2312" w:hAnsi="仿宋_GB2312" w:eastAsia="仿宋_GB2312" w:cs="仿宋_GB2312"/>
          <w:b/>
          <w:bCs w:val="0"/>
          <w:sz w:val="32"/>
          <w:szCs w:val="32"/>
        </w:rPr>
        <w:t>部门</w:t>
      </w:r>
      <w:r>
        <w:rPr>
          <w:rFonts w:hint="eastAsia" w:ascii="仿宋_GB2312" w:hAnsi="仿宋_GB2312" w:eastAsia="仿宋_GB2312" w:cs="仿宋_GB2312"/>
          <w:b/>
          <w:bCs w:val="0"/>
          <w:sz w:val="32"/>
          <w:szCs w:val="32"/>
          <w:lang w:val="en-US" w:eastAsia="zh-CN"/>
        </w:rPr>
        <w:t>整体支出绩效情况</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2023年度</w:t>
      </w:r>
      <w:r>
        <w:rPr>
          <w:rFonts w:hint="eastAsia" w:ascii="仿宋_GB2312" w:hAnsi="仿宋_GB2312" w:eastAsia="仿宋_GB2312" w:cs="仿宋_GB2312"/>
          <w:bCs/>
          <w:sz w:val="32"/>
          <w:szCs w:val="32"/>
        </w:rPr>
        <w:t>我委履职及履职效益情况良好。一是对各项支出严格按照</w:t>
      </w:r>
      <w:r>
        <w:rPr>
          <w:rFonts w:hint="eastAsia" w:ascii="仿宋_GB2312" w:hAnsi="仿宋_GB2312" w:eastAsia="仿宋_GB2312" w:cs="仿宋_GB2312"/>
          <w:bCs/>
          <w:sz w:val="32"/>
          <w:szCs w:val="32"/>
          <w:lang w:val="en-US" w:eastAsia="zh-CN"/>
        </w:rPr>
        <w:t>财政</w:t>
      </w:r>
      <w:r>
        <w:rPr>
          <w:rFonts w:hint="eastAsia" w:ascii="仿宋_GB2312" w:hAnsi="仿宋_GB2312" w:eastAsia="仿宋_GB2312" w:cs="仿宋_GB2312"/>
          <w:bCs/>
          <w:sz w:val="32"/>
          <w:szCs w:val="32"/>
        </w:rPr>
        <w:t>预算额度进行控制、努力节约</w:t>
      </w:r>
      <w:r>
        <w:rPr>
          <w:rFonts w:hint="eastAsia" w:ascii="仿宋_GB2312" w:hAnsi="仿宋_GB2312" w:eastAsia="仿宋_GB2312" w:cs="仿宋_GB2312"/>
          <w:bCs/>
          <w:sz w:val="32"/>
          <w:szCs w:val="32"/>
          <w:lang w:val="en-US" w:eastAsia="zh-CN"/>
        </w:rPr>
        <w:t>各项</w:t>
      </w:r>
      <w:r>
        <w:rPr>
          <w:rFonts w:hint="eastAsia" w:ascii="仿宋_GB2312" w:hAnsi="仿宋_GB2312" w:eastAsia="仿宋_GB2312" w:cs="仿宋_GB2312"/>
          <w:bCs/>
          <w:sz w:val="32"/>
          <w:szCs w:val="32"/>
        </w:rPr>
        <w:t>经费；二是各项工作均能够按时完成，且质量较高；三是部门整体支出使用效果达到了预期</w:t>
      </w:r>
      <w:r>
        <w:rPr>
          <w:rFonts w:hint="eastAsia" w:ascii="仿宋_GB2312" w:hAnsi="仿宋_GB2312" w:eastAsia="仿宋_GB2312" w:cs="仿宋_GB2312"/>
          <w:bCs/>
          <w:sz w:val="32"/>
          <w:szCs w:val="32"/>
          <w:lang w:val="en-US" w:eastAsia="zh-CN"/>
        </w:rPr>
        <w:t>目标</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（一）绩效目标完成情况</w:t>
      </w:r>
    </w:p>
    <w:p>
      <w:pPr>
        <w:keepNext w:val="0"/>
        <w:keepLines w:val="0"/>
        <w:pageBreakBefore w:val="0"/>
        <w:widowControl w:val="0"/>
        <w:kinsoku/>
        <w:wordWrap/>
        <w:overflowPunct/>
        <w:topLinePunct w:val="0"/>
        <w:autoSpaceDE/>
        <w:autoSpaceDN/>
        <w:bidi w:val="0"/>
        <w:spacing w:line="640" w:lineRule="exact"/>
        <w:ind w:firstLine="640"/>
        <w:textAlignment w:val="auto"/>
        <w:rPr>
          <w:rFonts w:hint="eastAsia" w:ascii="仿宋_GB2312" w:hAnsi="仿宋_GB2312" w:eastAsia="仿宋_GB2312" w:cs="仿宋_GB2312"/>
          <w:b/>
          <w:bCs/>
          <w:color w:val="auto"/>
          <w:sz w:val="32"/>
          <w:szCs w:val="32"/>
          <w:highlight w:val="none"/>
          <w:lang w:val="en-US" w:eastAsia="zh-CN" w:bidi="ar-SA"/>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以来，在市委、市政府的坚强领导下，市国资委认真贯彻落实中央、省、市决策部署，紧紧围绕和服务全市经济社会发展大局，聚焦主责主业，积极开拓进取，大力推动国资国企改革发展，各项重点工作顺利推进。主要做好了以下几方面的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b/>
          <w:bCs/>
          <w:color w:val="auto"/>
          <w:sz w:val="32"/>
          <w:szCs w:val="32"/>
          <w:highlight w:val="none"/>
          <w:lang w:val="en-US" w:eastAsia="zh-CN" w:bidi="ar-SA"/>
        </w:rPr>
        <w:t>1.通过严格监督管理，国资监管工作水平得到大幅提升。</w:t>
      </w:r>
      <w:r>
        <w:rPr>
          <w:rFonts w:hint="eastAsia" w:ascii="仿宋_GB2312" w:hAnsi="仿宋_GB2312" w:eastAsia="仿宋_GB2312" w:cs="仿宋_GB2312"/>
          <w:b/>
          <w:bCs/>
          <w:color w:val="auto"/>
          <w:sz w:val="32"/>
          <w:szCs w:val="32"/>
          <w:lang w:bidi="ar-SA"/>
        </w:rPr>
        <w:t>一是</w:t>
      </w:r>
      <w:r>
        <w:rPr>
          <w:rFonts w:hint="eastAsia" w:ascii="仿宋_GB2312" w:hAnsi="仿宋_GB2312" w:eastAsia="仿宋_GB2312" w:cs="仿宋_GB2312"/>
          <w:b/>
          <w:bCs/>
          <w:color w:val="auto"/>
          <w:sz w:val="32"/>
          <w:szCs w:val="32"/>
          <w:lang w:eastAsia="zh-CN" w:bidi="ar-SA"/>
        </w:rPr>
        <w:t>监管制度更加健全</w:t>
      </w:r>
      <w:r>
        <w:rPr>
          <w:rFonts w:hint="eastAsia" w:ascii="仿宋_GB2312" w:hAnsi="仿宋_GB2312" w:eastAsia="仿宋_GB2312" w:cs="仿宋_GB2312"/>
          <w:b/>
          <w:bCs/>
          <w:color w:val="auto"/>
          <w:sz w:val="32"/>
          <w:szCs w:val="32"/>
          <w:lang w:bidi="ar-SA"/>
        </w:rPr>
        <w:t>。</w:t>
      </w:r>
      <w:r>
        <w:rPr>
          <w:rFonts w:hint="eastAsia" w:ascii="仿宋_GB2312" w:hAnsi="仿宋_GB2312" w:eastAsia="仿宋_GB2312" w:cs="仿宋_GB2312"/>
          <w:color w:val="auto"/>
          <w:sz w:val="32"/>
          <w:szCs w:val="32"/>
          <w:lang w:eastAsia="zh-CN" w:bidi="ar-SA"/>
        </w:rPr>
        <w:t>继去年“国资监管制度建设年”活动后，今年又</w:t>
      </w:r>
      <w:r>
        <w:rPr>
          <w:rFonts w:hint="eastAsia" w:ascii="仿宋_GB2312" w:hAnsi="仿宋_GB2312" w:eastAsia="仿宋_GB2312" w:cs="仿宋_GB2312"/>
          <w:bCs/>
          <w:color w:val="auto"/>
          <w:sz w:val="32"/>
          <w:szCs w:val="32"/>
          <w:highlight w:val="none"/>
          <w:lang w:eastAsia="zh-CN" w:bidi="ar-SA"/>
        </w:rPr>
        <w:t>起草了《永州市国资委市属监管企业外部董事选聘和管理办法（试行）》等监管制度文件</w:t>
      </w:r>
      <w:r>
        <w:rPr>
          <w:rFonts w:hint="eastAsia" w:ascii="仿宋_GB2312" w:hAnsi="仿宋_GB2312" w:eastAsia="仿宋_GB2312" w:cs="仿宋_GB2312"/>
          <w:bCs/>
          <w:color w:val="auto"/>
          <w:sz w:val="32"/>
          <w:szCs w:val="32"/>
          <w:highlight w:val="none"/>
          <w:lang w:val="en-US" w:eastAsia="zh-CN" w:bidi="ar-SA"/>
        </w:rPr>
        <w:t>5份</w:t>
      </w:r>
      <w:r>
        <w:rPr>
          <w:rFonts w:hint="eastAsia" w:ascii="仿宋_GB2312" w:hAnsi="仿宋_GB2312" w:eastAsia="仿宋_GB2312" w:cs="仿宋_GB2312"/>
          <w:bCs/>
          <w:color w:val="auto"/>
          <w:sz w:val="32"/>
          <w:szCs w:val="32"/>
          <w:highlight w:val="none"/>
          <w:lang w:eastAsia="zh-CN" w:bidi="ar-SA"/>
        </w:rPr>
        <w:t>，编订印发了《国资监管工作有关法律、法规、文件汇编》，指导监管企业修改完善各类内控管理制度</w:t>
      </w:r>
      <w:r>
        <w:rPr>
          <w:rFonts w:hint="eastAsia" w:ascii="仿宋_GB2312" w:hAnsi="仿宋_GB2312" w:eastAsia="仿宋_GB2312" w:cs="仿宋_GB2312"/>
          <w:bCs/>
          <w:color w:val="auto"/>
          <w:sz w:val="32"/>
          <w:szCs w:val="32"/>
          <w:highlight w:val="none"/>
          <w:lang w:val="en-US" w:eastAsia="zh-CN" w:bidi="ar-SA"/>
        </w:rPr>
        <w:t>96项</w:t>
      </w:r>
      <w:r>
        <w:rPr>
          <w:rFonts w:hint="eastAsia" w:ascii="仿宋_GB2312" w:hAnsi="仿宋_GB2312" w:eastAsia="仿宋_GB2312" w:cs="仿宋_GB2312"/>
          <w:bCs/>
          <w:color w:val="auto"/>
          <w:sz w:val="32"/>
          <w:szCs w:val="32"/>
          <w:highlight w:val="none"/>
          <w:lang w:eastAsia="zh-CN" w:bidi="ar-SA"/>
        </w:rPr>
        <w:t>，</w:t>
      </w:r>
      <w:r>
        <w:rPr>
          <w:rFonts w:hint="eastAsia" w:ascii="仿宋_GB2312" w:hAnsi="仿宋_GB2312" w:eastAsia="仿宋_GB2312" w:cs="仿宋_GB2312"/>
          <w:bCs/>
          <w:color w:val="auto"/>
          <w:sz w:val="32"/>
          <w:szCs w:val="32"/>
          <w:highlight w:val="none"/>
          <w:lang w:val="en-US" w:eastAsia="zh-CN" w:bidi="ar-SA"/>
        </w:rPr>
        <w:t>逐步构建起“产权明晰、权责明确、政企分开、管理科学”的现代企业制度</w:t>
      </w:r>
      <w:r>
        <w:rPr>
          <w:rFonts w:hint="eastAsia" w:ascii="仿宋_GB2312" w:hAnsi="仿宋_GB2312" w:eastAsia="仿宋_GB2312" w:cs="仿宋_GB2312"/>
          <w:bCs/>
          <w:color w:val="auto"/>
          <w:sz w:val="32"/>
          <w:szCs w:val="32"/>
          <w:highlight w:val="none"/>
          <w:lang w:eastAsia="zh-CN" w:bidi="ar-SA"/>
        </w:rPr>
        <w:t>和</w:t>
      </w:r>
      <w:r>
        <w:rPr>
          <w:rFonts w:hint="eastAsia" w:ascii="仿宋_GB2312" w:hAnsi="仿宋_GB2312" w:eastAsia="仿宋_GB2312" w:cs="仿宋_GB2312"/>
          <w:color w:val="000000"/>
          <w:sz w:val="32"/>
          <w:szCs w:val="32"/>
          <w:lang w:bidi="ar-SA"/>
        </w:rPr>
        <w:t>以管资本为主</w:t>
      </w:r>
      <w:r>
        <w:rPr>
          <w:rFonts w:hint="eastAsia" w:ascii="仿宋_GB2312" w:hAnsi="仿宋_GB2312" w:eastAsia="仿宋_GB2312" w:cs="仿宋_GB2312"/>
          <w:color w:val="000000"/>
          <w:sz w:val="32"/>
          <w:szCs w:val="32"/>
          <w:lang w:eastAsia="zh-CN" w:bidi="ar-SA"/>
        </w:rPr>
        <w:t>的</w:t>
      </w:r>
      <w:r>
        <w:rPr>
          <w:rFonts w:hint="eastAsia" w:ascii="仿宋_GB2312" w:hAnsi="仿宋_GB2312" w:eastAsia="仿宋_GB2312" w:cs="仿宋_GB2312"/>
          <w:color w:val="000000"/>
          <w:sz w:val="32"/>
          <w:szCs w:val="32"/>
          <w:lang w:bidi="ar-SA"/>
        </w:rPr>
        <w:t>专业化、体系化、法治化国资监管体制。</w:t>
      </w:r>
      <w:r>
        <w:rPr>
          <w:rFonts w:hint="eastAsia" w:ascii="仿宋_GB2312" w:hAnsi="仿宋_GB2312" w:eastAsia="仿宋_GB2312" w:cs="仿宋_GB2312"/>
          <w:b/>
          <w:bCs/>
          <w:color w:val="auto"/>
          <w:sz w:val="32"/>
          <w:szCs w:val="32"/>
          <w:lang w:eastAsia="zh-CN" w:bidi="ar-SA"/>
        </w:rPr>
        <w:t>二</w:t>
      </w:r>
      <w:r>
        <w:rPr>
          <w:rFonts w:hint="eastAsia" w:ascii="仿宋_GB2312" w:hAnsi="仿宋_GB2312" w:eastAsia="仿宋_GB2312" w:cs="仿宋_GB2312"/>
          <w:b/>
          <w:bCs/>
          <w:color w:val="auto"/>
          <w:sz w:val="32"/>
          <w:szCs w:val="32"/>
          <w:lang w:bidi="ar-SA"/>
        </w:rPr>
        <w:t>是</w:t>
      </w:r>
      <w:r>
        <w:rPr>
          <w:rFonts w:hint="eastAsia" w:ascii="仿宋_GB2312" w:hAnsi="仿宋_GB2312" w:eastAsia="仿宋_GB2312" w:cs="仿宋_GB2312"/>
          <w:b/>
          <w:bCs/>
          <w:color w:val="auto"/>
          <w:sz w:val="32"/>
          <w:szCs w:val="32"/>
          <w:lang w:eastAsia="zh-CN" w:bidi="ar-SA"/>
        </w:rPr>
        <w:t>监管措施更加精准</w:t>
      </w:r>
      <w:r>
        <w:rPr>
          <w:rFonts w:hint="eastAsia" w:ascii="仿宋_GB2312" w:hAnsi="仿宋_GB2312" w:eastAsia="仿宋_GB2312" w:cs="仿宋_GB2312"/>
          <w:b/>
          <w:bCs/>
          <w:color w:val="auto"/>
          <w:sz w:val="32"/>
          <w:szCs w:val="32"/>
          <w:lang w:bidi="ar-SA"/>
        </w:rPr>
        <w:t>。</w:t>
      </w:r>
      <w:r>
        <w:rPr>
          <w:rFonts w:hint="eastAsia" w:ascii="仿宋_GB2312" w:hAnsi="仿宋_GB2312" w:eastAsia="仿宋_GB2312" w:cs="仿宋_GB2312"/>
          <w:bCs/>
          <w:color w:val="auto"/>
          <w:sz w:val="32"/>
          <w:szCs w:val="32"/>
          <w:lang w:eastAsia="zh-CN" w:bidi="ar-SA"/>
        </w:rPr>
        <w:t>出台了国有企业绩效考核和薪酬管理办法</w:t>
      </w:r>
      <w:r>
        <w:rPr>
          <w:rFonts w:hint="eastAsia" w:ascii="仿宋_GB2312" w:hAnsi="仿宋_GB2312" w:eastAsia="仿宋_GB2312" w:cs="仿宋_GB2312"/>
          <w:color w:val="auto"/>
          <w:sz w:val="32"/>
          <w:szCs w:val="32"/>
          <w:lang w:bidi="ar-SA"/>
        </w:rPr>
        <w:t>，</w:t>
      </w:r>
      <w:r>
        <w:rPr>
          <w:rFonts w:hint="eastAsia" w:ascii="仿宋_GB2312" w:hAnsi="仿宋_GB2312" w:eastAsia="仿宋_GB2312" w:cs="仿宋_GB2312"/>
          <w:color w:val="auto"/>
          <w:sz w:val="32"/>
          <w:szCs w:val="32"/>
          <w:highlight w:val="none"/>
          <w:u w:val="none"/>
          <w:lang w:eastAsia="zh-CN" w:bidi="ar-SA"/>
        </w:rPr>
        <w:t>先后完成了</w:t>
      </w:r>
      <w:r>
        <w:rPr>
          <w:rFonts w:hint="eastAsia" w:ascii="仿宋_GB2312" w:hAnsi="仿宋_GB2312" w:eastAsia="仿宋_GB2312" w:cs="仿宋_GB2312"/>
          <w:color w:val="auto"/>
          <w:sz w:val="32"/>
          <w:szCs w:val="32"/>
          <w:highlight w:val="none"/>
          <w:u w:val="none"/>
          <w:lang w:val="en-US" w:eastAsia="zh-CN" w:bidi="ar-SA"/>
        </w:rPr>
        <w:t>2021、2022绩效考核计分和企业负责人薪酬测算工作，对2023年度绩效考核指标进行了优化完善</w:t>
      </w:r>
      <w:r>
        <w:rPr>
          <w:rFonts w:hint="eastAsia" w:ascii="仿宋_GB2312" w:hAnsi="仿宋_GB2312" w:eastAsia="仿宋_GB2312" w:cs="仿宋_GB2312"/>
          <w:color w:val="auto"/>
          <w:sz w:val="32"/>
          <w:szCs w:val="32"/>
          <w:lang w:bidi="ar-SA"/>
        </w:rPr>
        <w:t>，</w:t>
      </w:r>
      <w:r>
        <w:rPr>
          <w:rFonts w:hint="eastAsia" w:ascii="仿宋_GB2312" w:hAnsi="仿宋_GB2312" w:eastAsia="仿宋_GB2312" w:cs="仿宋_GB2312"/>
          <w:color w:val="auto"/>
          <w:sz w:val="32"/>
          <w:szCs w:val="32"/>
          <w:lang w:eastAsia="zh-CN" w:bidi="ar-SA"/>
        </w:rPr>
        <w:t>推动差异化考核</w:t>
      </w:r>
      <w:r>
        <w:rPr>
          <w:rFonts w:hint="eastAsia" w:ascii="仿宋_GB2312" w:hAnsi="仿宋_GB2312" w:eastAsia="仿宋_GB2312" w:cs="仿宋_GB2312"/>
          <w:color w:val="auto"/>
          <w:sz w:val="32"/>
          <w:szCs w:val="32"/>
          <w:lang w:bidi="ar-SA"/>
        </w:rPr>
        <w:t>。</w:t>
      </w:r>
      <w:r>
        <w:rPr>
          <w:rFonts w:hint="eastAsia" w:ascii="仿宋_GB2312" w:hAnsi="仿宋_GB2312" w:eastAsia="仿宋_GB2312" w:cs="仿宋_GB2312"/>
          <w:color w:val="auto"/>
          <w:sz w:val="32"/>
          <w:szCs w:val="32"/>
          <w:lang w:eastAsia="zh-CN" w:bidi="ar-SA"/>
        </w:rPr>
        <w:t>结合巡察、审计指出的问题和工作实际，加强</w:t>
      </w:r>
      <w:r>
        <w:rPr>
          <w:rFonts w:hint="eastAsia" w:ascii="仿宋_GB2312" w:hAnsi="仿宋_GB2312" w:eastAsia="仿宋_GB2312" w:cs="仿宋_GB2312"/>
          <w:bCs/>
          <w:color w:val="auto"/>
          <w:sz w:val="32"/>
          <w:szCs w:val="32"/>
          <w:u w:val="none"/>
          <w:lang w:eastAsia="zh-CN" w:bidi="ar-SA"/>
        </w:rPr>
        <w:t>监管企业产权管</w:t>
      </w:r>
      <w:r>
        <w:rPr>
          <w:rFonts w:hint="eastAsia" w:ascii="仿宋_GB2312" w:hAnsi="仿宋_GB2312" w:eastAsia="仿宋_GB2312" w:cs="仿宋_GB2312"/>
          <w:color w:val="auto"/>
          <w:sz w:val="32"/>
          <w:szCs w:val="32"/>
          <w:u w:val="none"/>
          <w:lang w:eastAsia="zh-CN" w:bidi="ar-SA"/>
        </w:rPr>
        <w:t>理、</w:t>
      </w:r>
      <w:r>
        <w:rPr>
          <w:rFonts w:hint="eastAsia" w:ascii="仿宋_GB2312" w:hAnsi="仿宋_GB2312" w:eastAsia="仿宋_GB2312" w:cs="仿宋_GB2312"/>
          <w:color w:val="auto"/>
          <w:kern w:val="0"/>
          <w:sz w:val="32"/>
          <w:szCs w:val="32"/>
          <w:u w:val="none"/>
          <w:shd w:val="clear" w:color="auto" w:fill="FFFFFF"/>
          <w:lang w:eastAsia="zh-CN" w:bidi="ar-SA"/>
        </w:rPr>
        <w:t>资产租赁及</w:t>
      </w:r>
      <w:r>
        <w:rPr>
          <w:rFonts w:hint="eastAsia" w:ascii="仿宋_GB2312" w:hAnsi="仿宋_GB2312" w:eastAsia="仿宋_GB2312" w:cs="仿宋_GB2312"/>
          <w:color w:val="auto"/>
          <w:sz w:val="32"/>
          <w:szCs w:val="32"/>
          <w:u w:val="none"/>
          <w:lang w:bidi="ar-SA"/>
        </w:rPr>
        <w:t>国有资产交易</w:t>
      </w:r>
      <w:r>
        <w:rPr>
          <w:rFonts w:hint="eastAsia" w:ascii="仿宋_GB2312" w:hAnsi="仿宋_GB2312" w:eastAsia="仿宋_GB2312" w:cs="仿宋_GB2312"/>
          <w:color w:val="auto"/>
          <w:sz w:val="32"/>
          <w:szCs w:val="32"/>
          <w:u w:val="none"/>
          <w:lang w:eastAsia="zh-CN" w:bidi="ar-SA"/>
        </w:rPr>
        <w:t>的</w:t>
      </w:r>
      <w:r>
        <w:rPr>
          <w:rFonts w:hint="eastAsia" w:ascii="仿宋_GB2312" w:hAnsi="仿宋_GB2312" w:eastAsia="仿宋_GB2312" w:cs="仿宋_GB2312"/>
          <w:color w:val="auto"/>
          <w:sz w:val="32"/>
          <w:szCs w:val="32"/>
          <w:u w:val="none"/>
          <w:lang w:bidi="ar-SA"/>
        </w:rPr>
        <w:t>监</w:t>
      </w:r>
      <w:r>
        <w:rPr>
          <w:rFonts w:hint="eastAsia" w:ascii="仿宋_GB2312" w:hAnsi="仿宋_GB2312" w:eastAsia="仿宋_GB2312" w:cs="仿宋_GB2312"/>
          <w:color w:val="auto"/>
          <w:sz w:val="32"/>
          <w:szCs w:val="32"/>
          <w:u w:val="none"/>
          <w:lang w:eastAsia="zh-CN" w:bidi="ar-SA"/>
        </w:rPr>
        <w:t>管</w:t>
      </w:r>
      <w:r>
        <w:rPr>
          <w:rFonts w:hint="eastAsia" w:ascii="仿宋_GB2312" w:hAnsi="仿宋_GB2312" w:eastAsia="仿宋_GB2312" w:cs="仿宋_GB2312"/>
          <w:color w:val="auto"/>
          <w:sz w:val="32"/>
          <w:szCs w:val="32"/>
          <w:u w:val="none"/>
          <w:lang w:bidi="ar-SA"/>
        </w:rPr>
        <w:t>，</w:t>
      </w:r>
      <w:r>
        <w:rPr>
          <w:rFonts w:hint="eastAsia" w:ascii="仿宋_GB2312" w:hAnsi="仿宋_GB2312" w:eastAsia="仿宋_GB2312" w:cs="仿宋_GB2312"/>
          <w:color w:val="auto"/>
          <w:sz w:val="32"/>
          <w:szCs w:val="32"/>
          <w:u w:val="none"/>
          <w:lang w:eastAsia="zh-CN" w:bidi="ar-SA"/>
        </w:rPr>
        <w:t>不断规范工作流程。</w:t>
      </w:r>
      <w:r>
        <w:rPr>
          <w:rFonts w:hint="eastAsia" w:ascii="仿宋_GB2312" w:hAnsi="仿宋_GB2312" w:eastAsia="仿宋_GB2312" w:cs="仿宋_GB2312"/>
          <w:color w:val="auto"/>
          <w:sz w:val="32"/>
          <w:szCs w:val="32"/>
          <w:lang w:eastAsia="zh-CN" w:bidi="ar-SA"/>
        </w:rPr>
        <w:t>三</w:t>
      </w:r>
      <w:r>
        <w:rPr>
          <w:rFonts w:hint="eastAsia" w:ascii="仿宋_GB2312" w:hAnsi="仿宋_GB2312" w:eastAsia="仿宋_GB2312" w:cs="仿宋_GB2312"/>
          <w:b/>
          <w:bCs/>
          <w:color w:val="auto"/>
          <w:sz w:val="32"/>
          <w:szCs w:val="32"/>
          <w:lang w:eastAsia="zh-CN" w:bidi="ar-SA"/>
        </w:rPr>
        <w:t>是</w:t>
      </w:r>
      <w:r>
        <w:rPr>
          <w:rFonts w:hint="eastAsia" w:ascii="仿宋_GB2312" w:hAnsi="仿宋_GB2312" w:eastAsia="仿宋_GB2312" w:cs="仿宋_GB2312"/>
          <w:b/>
          <w:bCs w:val="0"/>
          <w:color w:val="auto"/>
          <w:sz w:val="32"/>
          <w:szCs w:val="32"/>
          <w:highlight w:val="none"/>
          <w:lang w:val="en-US" w:eastAsia="zh-CN" w:bidi="ar-SA"/>
        </w:rPr>
        <w:t>国资监管大格局建设稳步推进。</w:t>
      </w:r>
      <w:r>
        <w:rPr>
          <w:rFonts w:hint="eastAsia" w:ascii="仿宋_GB2312" w:hAnsi="仿宋_GB2312" w:eastAsia="仿宋_GB2312" w:cs="仿宋_GB2312"/>
          <w:sz w:val="32"/>
          <w:szCs w:val="32"/>
          <w:lang w:eastAsia="zh-CN" w:bidi="ar-SA"/>
        </w:rPr>
        <w:t>起草了《关于构建全市国资监管大格局的实施方案》，积极推进工作落实。年初，召集各县（市）区监管机构召开了全市国资工作会议，加强了市县两级工作联动。</w:t>
      </w:r>
      <w:r>
        <w:rPr>
          <w:rFonts w:hint="eastAsia" w:ascii="仿宋_GB2312" w:hAnsi="仿宋_GB2312" w:eastAsia="仿宋_GB2312" w:cs="仿宋_GB2312"/>
          <w:sz w:val="32"/>
          <w:szCs w:val="32"/>
          <w:lang w:val="en-US" w:eastAsia="zh-CN" w:bidi="ar-SA"/>
        </w:rPr>
        <w:t>6月份，我市国资</w:t>
      </w:r>
      <w:r>
        <w:rPr>
          <w:rFonts w:hint="eastAsia" w:ascii="仿宋_GB2312" w:hAnsi="仿宋_GB2312" w:eastAsia="仿宋_GB2312" w:cs="仿宋_GB2312"/>
          <w:bCs/>
          <w:color w:val="auto"/>
          <w:kern w:val="0"/>
          <w:sz w:val="32"/>
          <w:szCs w:val="32"/>
          <w:lang w:val="en-US" w:eastAsia="zh-CN"/>
        </w:rPr>
        <w:t>在线监管系统正式上线运营</w:t>
      </w:r>
      <w:r>
        <w:rPr>
          <w:rFonts w:hint="eastAsia" w:ascii="仿宋_GB2312" w:hAnsi="仿宋_GB2312" w:eastAsia="仿宋_GB2312" w:cs="仿宋_GB2312"/>
          <w:b w:val="0"/>
          <w:color w:val="auto"/>
          <w:kern w:val="0"/>
          <w:sz w:val="32"/>
          <w:szCs w:val="32"/>
          <w:lang w:val="en-US" w:eastAsia="zh-CN"/>
        </w:rPr>
        <w:t>，形成与省国资委上下联通的信息化监管格局，标志着我市国资监管工作进入了数字化、信息化新阶段。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2.通过强化风险管控，企业防范化解风险工作扎实有效。</w:t>
      </w:r>
      <w:r>
        <w:rPr>
          <w:rFonts w:hint="eastAsia" w:ascii="仿宋_GB2312" w:hAnsi="仿宋_GB2312" w:eastAsia="仿宋_GB2312" w:cs="仿宋_GB2312"/>
          <w:b/>
          <w:bCs/>
          <w:color w:val="auto"/>
          <w:sz w:val="32"/>
          <w:szCs w:val="32"/>
          <w:u w:val="none"/>
          <w:lang w:eastAsia="zh-CN" w:bidi="ar-SA"/>
        </w:rPr>
        <w:t>一是风险防范意识增强。</w:t>
      </w:r>
      <w:r>
        <w:rPr>
          <w:rFonts w:hint="eastAsia" w:ascii="仿宋_GB2312" w:hAnsi="仿宋_GB2312" w:eastAsia="仿宋_GB2312" w:cs="仿宋_GB2312"/>
          <w:b w:val="0"/>
          <w:bCs w:val="0"/>
          <w:color w:val="auto"/>
          <w:sz w:val="32"/>
          <w:szCs w:val="32"/>
          <w:highlight w:val="none"/>
          <w:lang w:val="en-US" w:eastAsia="zh-CN" w:bidi="ar-SA"/>
        </w:rPr>
        <w:t>坚持依法治企，强化合规管理经营，大力推进法治宣传教育，邀请专业律师开展了“防风险、促合规、企业合规管理培训”，并对企业规章制度制订、重大事项决策、重要合同签订等经营管理行为进行合规审查。</w:t>
      </w:r>
      <w:r>
        <w:rPr>
          <w:rFonts w:hint="eastAsia" w:ascii="仿宋_GB2312" w:hAnsi="仿宋_GB2312" w:eastAsia="仿宋_GB2312" w:cs="仿宋_GB2312"/>
          <w:b/>
          <w:bCs/>
          <w:color w:val="auto"/>
          <w:sz w:val="32"/>
          <w:szCs w:val="32"/>
          <w:highlight w:val="none"/>
          <w:lang w:val="en-US" w:eastAsia="zh-CN" w:bidi="ar-SA"/>
        </w:rPr>
        <w:t>二是企业资金管理增强。</w:t>
      </w:r>
      <w:r>
        <w:rPr>
          <w:rFonts w:hint="eastAsia" w:ascii="仿宋_GB2312" w:hAnsi="仿宋_GB2312" w:eastAsia="仿宋_GB2312" w:cs="仿宋_GB2312"/>
          <w:color w:val="auto"/>
          <w:sz w:val="32"/>
          <w:szCs w:val="32"/>
          <w:lang w:val="en-US" w:eastAsia="zh-CN"/>
        </w:rPr>
        <w:t>不断</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内部管理，大力盘活现有资产、资金存量，优化资源配置，压低企业主营业务成本和各项管理费用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8月份，</w:t>
      </w:r>
      <w:r>
        <w:rPr>
          <w:rFonts w:hint="eastAsia" w:ascii="仿宋_GB2312" w:hAnsi="仿宋_GB2312" w:eastAsia="仿宋_GB2312" w:cs="仿宋_GB2312"/>
          <w:b w:val="0"/>
          <w:bCs w:val="0"/>
          <w:color w:val="auto"/>
          <w:sz w:val="32"/>
          <w:szCs w:val="32"/>
          <w:highlight w:val="none"/>
          <w:lang w:val="en-US" w:eastAsia="zh-CN" w:bidi="ar-SA"/>
        </w:rPr>
        <w:t>组织对监管企业财务运行管理现状进行了全面梳理检查，督促整改问题20余项，有效防范资金安全风险，提高资金使用效率与运营管理效益。</w:t>
      </w:r>
      <w:r>
        <w:rPr>
          <w:rFonts w:hint="eastAsia" w:ascii="仿宋_GB2312" w:hAnsi="仿宋_GB2312" w:eastAsia="仿宋_GB2312" w:cs="仿宋_GB2312"/>
          <w:b/>
          <w:bCs/>
          <w:color w:val="auto"/>
          <w:sz w:val="32"/>
          <w:szCs w:val="32"/>
          <w:highlight w:val="none"/>
          <w:lang w:val="en-US" w:eastAsia="zh-CN" w:bidi="ar-SA"/>
        </w:rPr>
        <w:t>三是投融资审核把关增强。</w:t>
      </w:r>
      <w:r>
        <w:rPr>
          <w:rFonts w:hint="eastAsia" w:ascii="仿宋_GB2312" w:hAnsi="仿宋_GB2312" w:eastAsia="仿宋_GB2312" w:cs="仿宋_GB2312"/>
          <w:color w:val="auto"/>
          <w:w w:val="100"/>
          <w:sz w:val="32"/>
          <w:szCs w:val="32"/>
          <w:u w:val="none"/>
          <w:lang w:val="en-US" w:eastAsia="zh-CN"/>
        </w:rPr>
        <w:t>印发《关于加强市国资委监管企业债券风险管控工作的实施方案》，建立健全监管工作机制。</w:t>
      </w:r>
      <w:r>
        <w:rPr>
          <w:rFonts w:hint="eastAsia" w:ascii="仿宋_GB2312" w:hAnsi="仿宋_GB2312" w:eastAsia="仿宋_GB2312" w:cs="仿宋_GB2312"/>
          <w:b w:val="0"/>
          <w:bCs w:val="0"/>
          <w:color w:val="auto"/>
          <w:sz w:val="32"/>
          <w:szCs w:val="32"/>
          <w:highlight w:val="none"/>
          <w:lang w:val="en-US" w:eastAsia="zh-CN" w:bidi="ar-SA"/>
        </w:rPr>
        <w:t>出台了《永州市市属国有企业违规经营投资损失责任追究办法（试行）》，加强对重点项目建设的审核把关，防止盲目投资、无效投资，加强违规经营责任追究，防控企业</w:t>
      </w:r>
      <w:r>
        <w:rPr>
          <w:rFonts w:hint="eastAsia" w:ascii="仿宋_GB2312" w:hAnsi="仿宋_GB2312" w:eastAsia="仿宋_GB2312" w:cs="仿宋_GB2312"/>
          <w:bCs/>
          <w:color w:val="auto"/>
          <w:sz w:val="32"/>
          <w:szCs w:val="32"/>
          <w:highlight w:val="none"/>
          <w:lang w:val="en-US" w:eastAsia="zh-CN" w:bidi="ar-SA"/>
        </w:rPr>
        <w:t>经营风险。</w:t>
      </w:r>
      <w:r>
        <w:rPr>
          <w:rFonts w:hint="eastAsia" w:ascii="仿宋_GB2312" w:hAnsi="仿宋_GB2312" w:eastAsia="仿宋_GB2312" w:cs="仿宋_GB2312"/>
          <w:b/>
          <w:bCs w:val="0"/>
          <w:color w:val="auto"/>
          <w:sz w:val="32"/>
          <w:szCs w:val="32"/>
          <w:highlight w:val="none"/>
          <w:lang w:val="en-US" w:eastAsia="zh-CN" w:bidi="ar-SA"/>
        </w:rPr>
        <w:t>四是安全、信访风险防范增强。</w:t>
      </w:r>
      <w:r>
        <w:rPr>
          <w:rFonts w:hint="eastAsia" w:ascii="仿宋_GB2312" w:hAnsi="仿宋_GB2312" w:eastAsia="仿宋_GB2312" w:cs="仿宋_GB2312"/>
          <w:bCs/>
          <w:color w:val="auto"/>
          <w:sz w:val="32"/>
          <w:szCs w:val="32"/>
          <w:highlight w:val="none"/>
          <w:lang w:val="en-US" w:eastAsia="zh-CN" w:bidi="ar-SA"/>
        </w:rPr>
        <w:t>严格落实安全生产“十五条”硬措施，完善安全风险分级管控和隐患排查治理双重预防机制，定期分析研判，做到隐患排查整治常态化、制度化，确保企业安全稳定。严格落实“三到位一处理”要求，有效化解信访矛盾隐患，全年，共接待处理群众来访110余人次、办理智慧永州平台18件、网上信访系统25件，受理率、办理率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lang w:val="en-US" w:eastAsia="zh-CN" w:bidi="ar-SA"/>
        </w:rPr>
        <w:t>3.通过降本增效提质，国有资产保值增值工作成效显著。一是持续抓好降本增效。</w:t>
      </w:r>
      <w:r>
        <w:rPr>
          <w:rFonts w:hint="eastAsia" w:ascii="仿宋_GB2312" w:hAnsi="仿宋_GB2312" w:eastAsia="仿宋_GB2312" w:cs="仿宋_GB2312"/>
          <w:b w:val="0"/>
          <w:bCs w:val="0"/>
          <w:color w:val="auto"/>
          <w:sz w:val="32"/>
          <w:szCs w:val="32"/>
          <w:highlight w:val="none"/>
          <w:lang w:val="en-US" w:eastAsia="zh-CN" w:bidi="ar-SA"/>
        </w:rPr>
        <w:t>年初，对监管企业年度融资计划进行了审核备案并对资金的使用管理实施全过程监管，全年成功发行两期合计20亿元非公开公司债，严守6%融资成本底线。加强企业信用等级提升，市城发集团、市经发集团先后获评AA+主体信用等级，有效降低了企业融资成本，拓宽了融资渠道。</w:t>
      </w:r>
      <w:r>
        <w:rPr>
          <w:rFonts w:hint="eastAsia" w:ascii="仿宋_GB2312" w:hAnsi="仿宋_GB2312" w:eastAsia="仿宋_GB2312" w:cs="仿宋_GB2312"/>
          <w:b/>
          <w:bCs/>
          <w:color w:val="auto"/>
          <w:spacing w:val="0"/>
          <w:sz w:val="32"/>
          <w:szCs w:val="32"/>
          <w:highlight w:val="none"/>
          <w:shd w:val="clear" w:color="auto" w:fill="FFFFFF"/>
          <w:lang w:val="en-US" w:eastAsia="zh-CN" w:bidi="ar-SA"/>
        </w:rPr>
        <w:t>二是做好“三资”清理盘活。</w:t>
      </w:r>
      <w:r>
        <w:rPr>
          <w:rFonts w:hint="eastAsia" w:ascii="仿宋_GB2312" w:hAnsi="仿宋_GB2312" w:eastAsia="仿宋_GB2312" w:cs="仿宋_GB2312"/>
          <w:bCs/>
          <w:color w:val="auto"/>
          <w:sz w:val="32"/>
          <w:szCs w:val="32"/>
          <w:highlight w:val="none"/>
          <w:lang w:eastAsia="zh-CN" w:bidi="ar-SA"/>
        </w:rPr>
        <w:t>出台了《关于进一步加强国有企业“三资”清查处置与管理改革工作有关事项的通知》，积极推进全市国有企业闲置资产清查工作。通过灵活运用市场化处置、公开出租、有效利用、资产证券化等方式完成处置</w:t>
      </w:r>
      <w:r>
        <w:rPr>
          <w:rFonts w:hint="eastAsia" w:ascii="仿宋_GB2312" w:hAnsi="仿宋_GB2312" w:eastAsia="仿宋_GB2312" w:cs="仿宋_GB2312"/>
          <w:bCs/>
          <w:color w:val="auto"/>
          <w:sz w:val="32"/>
          <w:szCs w:val="32"/>
          <w:highlight w:val="none"/>
          <w:lang w:val="en-US" w:eastAsia="zh-CN" w:bidi="ar-SA"/>
        </w:rPr>
        <w:t>161</w:t>
      </w:r>
      <w:r>
        <w:rPr>
          <w:rFonts w:hint="eastAsia" w:ascii="仿宋_GB2312" w:hAnsi="仿宋_GB2312" w:eastAsia="仿宋_GB2312" w:cs="仿宋_GB2312"/>
          <w:bCs/>
          <w:color w:val="auto"/>
          <w:sz w:val="32"/>
          <w:szCs w:val="32"/>
          <w:highlight w:val="none"/>
          <w:lang w:eastAsia="zh-CN" w:bidi="ar-SA"/>
        </w:rPr>
        <w:t>项，已回收值</w:t>
      </w:r>
      <w:r>
        <w:rPr>
          <w:rFonts w:hint="eastAsia" w:ascii="仿宋_GB2312" w:hAnsi="仿宋_GB2312" w:eastAsia="仿宋_GB2312" w:cs="仿宋_GB2312"/>
          <w:bCs/>
          <w:color w:val="auto"/>
          <w:sz w:val="32"/>
          <w:szCs w:val="32"/>
          <w:highlight w:val="none"/>
          <w:lang w:val="en-US" w:eastAsia="zh-CN" w:bidi="ar-SA"/>
        </w:rPr>
        <w:t>86.66</w:t>
      </w:r>
      <w:r>
        <w:rPr>
          <w:rFonts w:hint="eastAsia" w:ascii="仿宋_GB2312" w:hAnsi="仿宋_GB2312" w:eastAsia="仿宋_GB2312" w:cs="仿宋_GB2312"/>
          <w:bCs/>
          <w:color w:val="auto"/>
          <w:sz w:val="32"/>
          <w:szCs w:val="32"/>
          <w:highlight w:val="none"/>
          <w:lang w:eastAsia="zh-CN" w:bidi="ar-SA"/>
        </w:rPr>
        <w:t>亿元</w:t>
      </w:r>
      <w:r>
        <w:rPr>
          <w:rFonts w:hint="eastAsia" w:ascii="仿宋_GB2312" w:hAnsi="仿宋_GB2312" w:eastAsia="仿宋_GB2312" w:cs="仿宋_GB2312"/>
          <w:bCs/>
          <w:color w:val="auto"/>
          <w:sz w:val="32"/>
          <w:szCs w:val="32"/>
          <w:highlight w:val="none"/>
          <w:lang w:val="en-US" w:eastAsia="zh-CN" w:bidi="ar-SA"/>
        </w:rPr>
        <w:t>，其中入库收益2.47亿元，通过以盘活“三资”为契机，以盘清底数、数字监管、化解难题为举措不断提升国有企业资产效益。</w:t>
      </w:r>
      <w:r>
        <w:rPr>
          <w:rFonts w:hint="eastAsia" w:ascii="仿宋_GB2312" w:hAnsi="仿宋_GB2312" w:eastAsia="仿宋_GB2312" w:cs="仿宋_GB2312"/>
          <w:b/>
          <w:bCs w:val="0"/>
          <w:color w:val="auto"/>
          <w:sz w:val="32"/>
          <w:szCs w:val="32"/>
          <w:highlight w:val="none"/>
          <w:lang w:val="en-US" w:eastAsia="zh-CN" w:bidi="ar-SA"/>
        </w:rPr>
        <w:t>三是应急转贷基金成效显著。</w:t>
      </w:r>
      <w:r>
        <w:rPr>
          <w:rFonts w:hint="eastAsia" w:ascii="仿宋_GB2312" w:hAnsi="仿宋_GB2312" w:eastAsia="仿宋_GB2312" w:cs="仿宋_GB2312"/>
          <w:bCs/>
          <w:color w:val="auto"/>
          <w:sz w:val="32"/>
          <w:szCs w:val="32"/>
          <w:highlight w:val="none"/>
          <w:lang w:val="en-US" w:eastAsia="zh-CN" w:bidi="ar-SA"/>
        </w:rPr>
        <w:t>目前，基金规模已扩大至3200万元，合作银行机构增加至17家，转贷业务基本实现市内全覆盖；2023年完成转贷业务135笔，同比增长22.2%；滚动投放总量达到8.42亿元，同比增长24.18%；实现转贷收入260万元，同比增长27.78%；为中小微企业节约融资成本2800余万元，切实发挥资本支持实体经济发展的作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bidi="ar-SA"/>
        </w:rPr>
        <w:t>4.通过持续深化改革，</w:t>
      </w:r>
      <w:r>
        <w:rPr>
          <w:rFonts w:hint="eastAsia" w:ascii="仿宋_GB2312" w:hAnsi="仿宋_GB2312" w:eastAsia="仿宋_GB2312" w:cs="仿宋_GB2312"/>
          <w:b/>
          <w:bCs/>
          <w:color w:val="auto"/>
          <w:sz w:val="32"/>
          <w:szCs w:val="32"/>
          <w:highlight w:val="none"/>
          <w:u w:val="none"/>
          <w:lang w:val="en-US" w:eastAsia="zh-CN" w:bidi="ar-SA"/>
        </w:rPr>
        <w:t>国有企业高质量发展得到有效推动</w:t>
      </w:r>
      <w:r>
        <w:rPr>
          <w:rFonts w:hint="eastAsia" w:ascii="仿宋_GB2312" w:hAnsi="仿宋_GB2312" w:eastAsia="仿宋_GB2312" w:cs="仿宋_GB2312"/>
          <w:b/>
          <w:bCs/>
          <w:color w:val="auto"/>
          <w:sz w:val="32"/>
          <w:szCs w:val="32"/>
          <w:highlight w:val="none"/>
          <w:lang w:val="en-US" w:eastAsia="zh-CN" w:bidi="ar-SA"/>
        </w:rPr>
        <w:t>。</w:t>
      </w:r>
      <w:r>
        <w:rPr>
          <w:rFonts w:hint="eastAsia" w:ascii="仿宋_GB2312" w:hAnsi="仿宋_GB2312" w:eastAsia="仿宋_GB2312" w:cs="仿宋_GB2312"/>
          <w:b/>
          <w:bCs/>
          <w:sz w:val="32"/>
          <w:szCs w:val="32"/>
          <w:highlight w:val="none"/>
          <w:lang w:val="en-US" w:eastAsia="zh-CN" w:bidi="ar-SA"/>
        </w:rPr>
        <w:t>一是实施国企改革深化提升行动</w:t>
      </w:r>
      <w:r>
        <w:rPr>
          <w:rFonts w:hint="eastAsia" w:ascii="仿宋_GB2312" w:hAnsi="仿宋_GB2312" w:eastAsia="仿宋_GB2312" w:cs="仿宋_GB2312"/>
          <w:b/>
          <w:bCs/>
          <w:sz w:val="32"/>
          <w:szCs w:val="32"/>
          <w:highlight w:val="none"/>
          <w:lang w:eastAsia="zh-CN" w:bidi="ar-SA"/>
        </w:rPr>
        <w:t>。</w:t>
      </w:r>
      <w:r>
        <w:rPr>
          <w:rFonts w:hint="eastAsia" w:ascii="仿宋_GB2312" w:hAnsi="仿宋_GB2312" w:eastAsia="仿宋_GB2312" w:cs="仿宋_GB2312"/>
          <w:color w:val="auto"/>
          <w:sz w:val="32"/>
          <w:szCs w:val="32"/>
          <w:highlight w:val="none"/>
          <w:lang w:val="en-US" w:eastAsia="zh-CN"/>
        </w:rPr>
        <w:t>印发</w:t>
      </w:r>
      <w:r>
        <w:rPr>
          <w:rFonts w:hint="eastAsia" w:ascii="仿宋_GB2312" w:hAnsi="仿宋_GB2312" w:eastAsia="仿宋_GB2312" w:cs="仿宋_GB2312"/>
          <w:bCs/>
          <w:color w:val="auto"/>
          <w:sz w:val="32"/>
          <w:szCs w:val="32"/>
          <w:highlight w:val="none"/>
          <w:lang w:val="en-US" w:eastAsia="zh-CN" w:bidi="ar-SA"/>
        </w:rPr>
        <w:t>了</w:t>
      </w:r>
      <w:r>
        <w:rPr>
          <w:rFonts w:hint="eastAsia" w:ascii="仿宋_GB2312" w:hAnsi="仿宋_GB2312" w:eastAsia="仿宋_GB2312" w:cs="仿宋_GB2312"/>
          <w:color w:val="auto"/>
          <w:sz w:val="32"/>
          <w:szCs w:val="32"/>
          <w:highlight w:val="none"/>
        </w:rPr>
        <w:t>《关于深化监管企业内部劳动、人事、分配三项制度改革实施意见（试行）》，</w:t>
      </w:r>
      <w:r>
        <w:rPr>
          <w:rFonts w:hint="eastAsia" w:ascii="仿宋_GB2312" w:hAnsi="仿宋_GB2312" w:eastAsia="仿宋_GB2312" w:cs="仿宋_GB2312"/>
          <w:color w:val="auto"/>
          <w:sz w:val="32"/>
          <w:szCs w:val="32"/>
          <w:highlight w:val="none"/>
          <w:lang w:eastAsia="zh-CN"/>
        </w:rPr>
        <w:t>推进监管企业三项制度改革持续深化。</w:t>
      </w:r>
      <w:r>
        <w:rPr>
          <w:rFonts w:hint="eastAsia" w:ascii="仿宋_GB2312" w:hAnsi="仿宋_GB2312" w:eastAsia="仿宋_GB2312" w:cs="仿宋_GB2312"/>
          <w:sz w:val="32"/>
          <w:szCs w:val="32"/>
          <w:lang w:val="en-US" w:eastAsia="zh-CN"/>
        </w:rPr>
        <w:t>出台了《永州市国资委监管企业工资总额管理办法（试行）》，建立健全监管企业工资决定和正常增长机制。</w:t>
      </w:r>
      <w:r>
        <w:rPr>
          <w:rFonts w:hint="eastAsia" w:ascii="仿宋_GB2312" w:hAnsi="仿宋_GB2312" w:eastAsia="仿宋_GB2312" w:cs="仿宋_GB2312"/>
          <w:color w:val="auto"/>
          <w:sz w:val="32"/>
          <w:szCs w:val="32"/>
          <w:highlight w:val="none"/>
          <w:lang w:eastAsia="zh-CN"/>
        </w:rPr>
        <w:t>起草了《永州市市属国有企业改革深化提升行动实施方案》，</w:t>
      </w:r>
      <w:r>
        <w:rPr>
          <w:rFonts w:hint="eastAsia" w:ascii="仿宋_GB2312" w:hAnsi="仿宋_GB2312" w:eastAsia="仿宋_GB2312" w:cs="仿宋_GB2312"/>
          <w:color w:val="auto"/>
          <w:sz w:val="32"/>
          <w:szCs w:val="32"/>
          <w:highlight w:val="none"/>
          <w:lang w:val="en-US" w:eastAsia="zh-CN"/>
        </w:rPr>
        <w:t>以提高核心竞争力和增强核心功能为重点，扎实推进国企改革深化提升行动，努力构建新发展格局、推动企业高质量发展。</w:t>
      </w:r>
      <w:r>
        <w:rPr>
          <w:rFonts w:hint="eastAsia" w:ascii="仿宋_GB2312" w:hAnsi="仿宋_GB2312" w:eastAsia="仿宋_GB2312" w:cs="仿宋_GB2312"/>
          <w:b/>
          <w:bCs/>
          <w:color w:val="auto"/>
          <w:sz w:val="32"/>
          <w:szCs w:val="32"/>
          <w:highlight w:val="none"/>
          <w:lang w:val="en-US" w:eastAsia="zh-CN" w:bidi="ar-SA"/>
        </w:rPr>
        <w:t>二是加快市城发、经发集团市场化转型发展。</w:t>
      </w:r>
      <w:r>
        <w:rPr>
          <w:rFonts w:hint="eastAsia" w:ascii="仿宋_GB2312" w:hAnsi="仿宋_GB2312" w:eastAsia="仿宋_GB2312" w:cs="仿宋_GB2312"/>
          <w:bCs/>
          <w:color w:val="auto"/>
          <w:sz w:val="32"/>
          <w:szCs w:val="32"/>
          <w:highlight w:val="none"/>
          <w:lang w:eastAsia="zh-CN" w:bidi="ar-SA"/>
        </w:rPr>
        <w:t>完成企业转型方案的审核、印发并组织实施。</w:t>
      </w:r>
      <w:r>
        <w:rPr>
          <w:rFonts w:hint="eastAsia" w:ascii="仿宋_GB2312" w:hAnsi="仿宋_GB2312" w:eastAsia="仿宋_GB2312" w:cs="仿宋_GB2312"/>
          <w:bCs/>
          <w:color w:val="auto"/>
          <w:sz w:val="32"/>
          <w:szCs w:val="32"/>
          <w:highlight w:val="none"/>
          <w:lang w:val="en-US" w:eastAsia="zh-CN" w:bidi="ar-SA"/>
        </w:rPr>
        <w:t>严格落实省债管办“每年十分之一”的任务目标要求，督导企业推进隐性债务化解</w:t>
      </w:r>
      <w:r>
        <w:rPr>
          <w:rFonts w:hint="eastAsia" w:ascii="仿宋_GB2312" w:hAnsi="仿宋_GB2312" w:eastAsia="仿宋_GB2312" w:cs="仿宋_GB2312"/>
          <w:bCs/>
          <w:color w:val="auto"/>
          <w:sz w:val="32"/>
          <w:szCs w:val="32"/>
          <w:highlight w:val="none"/>
          <w:lang w:eastAsia="zh-CN" w:bidi="ar-SA"/>
        </w:rPr>
        <w:t>。通过</w:t>
      </w:r>
      <w:r>
        <w:rPr>
          <w:rFonts w:hint="eastAsia" w:ascii="仿宋_GB2312" w:hAnsi="仿宋_GB2312" w:eastAsia="仿宋_GB2312" w:cs="仿宋_GB2312"/>
          <w:bCs/>
          <w:color w:val="auto"/>
          <w:sz w:val="32"/>
          <w:szCs w:val="32"/>
          <w:highlight w:val="none"/>
          <w:lang w:val="en-US" w:eastAsia="zh-CN" w:bidi="ar-SA"/>
        </w:rPr>
        <w:t>压层级、减法人，逐步优化规范企业组织架构，完成了一级子公司主要负责人的调整配备。起草了原事业编身份人员安置建议方案并经政府常务会议审议通过。</w:t>
      </w:r>
      <w:r>
        <w:rPr>
          <w:rFonts w:hint="eastAsia" w:ascii="仿宋_GB2312" w:hAnsi="仿宋_GB2312" w:eastAsia="仿宋_GB2312" w:cs="仿宋_GB2312"/>
          <w:b/>
          <w:bCs w:val="0"/>
          <w:color w:val="auto"/>
          <w:sz w:val="32"/>
          <w:szCs w:val="32"/>
          <w:highlight w:val="none"/>
          <w:lang w:val="en-US" w:eastAsia="zh-CN" w:bidi="ar-SA"/>
        </w:rPr>
        <w:t>三是强化队伍业务能力建设培养。</w:t>
      </w:r>
      <w:r>
        <w:rPr>
          <w:rFonts w:hint="eastAsia" w:ascii="仿宋_GB2312" w:hAnsi="仿宋_GB2312" w:eastAsia="仿宋_GB2312" w:cs="仿宋_GB2312"/>
          <w:bCs/>
          <w:color w:val="auto"/>
          <w:sz w:val="32"/>
          <w:szCs w:val="32"/>
          <w:highlight w:val="none"/>
          <w:lang w:val="en-US" w:eastAsia="zh-CN" w:bidi="ar-SA"/>
        </w:rPr>
        <w:t>3月份，</w:t>
      </w:r>
      <w:r>
        <w:rPr>
          <w:rFonts w:hint="eastAsia" w:ascii="仿宋_GB2312" w:hAnsi="仿宋_GB2312" w:eastAsia="仿宋_GB2312" w:cs="仿宋_GB2312"/>
          <w:bCs/>
          <w:color w:val="auto"/>
          <w:sz w:val="32"/>
          <w:szCs w:val="32"/>
          <w:highlight w:val="none"/>
          <w:lang w:eastAsia="zh-CN" w:bidi="ar-SA"/>
        </w:rPr>
        <w:t>组织了委机关和监管企业相关人员进行了政策法规、监管制度培训</w:t>
      </w:r>
      <w:r>
        <w:rPr>
          <w:rFonts w:hint="eastAsia" w:ascii="仿宋_GB2312" w:hAnsi="仿宋_GB2312" w:eastAsia="仿宋_GB2312" w:cs="仿宋_GB2312"/>
          <w:bCs/>
          <w:color w:val="auto"/>
          <w:sz w:val="32"/>
          <w:szCs w:val="32"/>
          <w:highlight w:val="none"/>
          <w:lang w:val="en-US" w:eastAsia="zh-CN" w:bidi="ar-SA"/>
        </w:rPr>
        <w:t>；7月份，组织委机关、监管企业中层以上干部在省国资委培训中心举办了2期改革深化提升业务培训班，通过加强学习教育，有效提高了国资国企干部队伍业务能力水平。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bidi="ar-SA"/>
        </w:rPr>
        <w:t>5.通过强化企业党建，国有企业党组织堡垒作用更加明显。一是强化理论武装。</w:t>
      </w:r>
      <w:r>
        <w:rPr>
          <w:rFonts w:hint="eastAsia" w:ascii="仿宋_GB2312" w:hAnsi="仿宋_GB2312" w:eastAsia="仿宋_GB2312" w:cs="仿宋_GB2312"/>
          <w:b w:val="0"/>
          <w:bCs w:val="0"/>
          <w:color w:val="auto"/>
          <w:sz w:val="32"/>
          <w:szCs w:val="32"/>
          <w:highlight w:val="none"/>
          <w:lang w:val="en-US" w:eastAsia="zh-CN" w:bidi="ar-SA"/>
        </w:rPr>
        <w:t>通过组织国资系统</w:t>
      </w:r>
      <w:r>
        <w:rPr>
          <w:rFonts w:hint="eastAsia" w:ascii="仿宋_GB2312" w:hAnsi="仿宋_GB2312" w:eastAsia="仿宋_GB2312" w:cs="仿宋_GB2312"/>
          <w:b w:val="0"/>
          <w:bCs w:val="0"/>
          <w:color w:val="auto"/>
          <w:sz w:val="32"/>
          <w:szCs w:val="32"/>
          <w:highlight w:val="none"/>
          <w:lang w:eastAsia="zh-CN" w:bidi="ar-SA"/>
        </w:rPr>
        <w:t>学习</w:t>
      </w:r>
      <w:r>
        <w:rPr>
          <w:rFonts w:hint="eastAsia" w:ascii="仿宋_GB2312" w:hAnsi="仿宋_GB2312" w:eastAsia="仿宋_GB2312" w:cs="仿宋_GB2312"/>
          <w:b w:val="0"/>
          <w:bCs w:val="0"/>
          <w:color w:val="auto"/>
          <w:sz w:val="32"/>
          <w:szCs w:val="32"/>
          <w:highlight w:val="none"/>
          <w:lang w:bidi="ar-SA"/>
        </w:rPr>
        <w:t>党的</w:t>
      </w:r>
      <w:r>
        <w:rPr>
          <w:rFonts w:hint="eastAsia" w:ascii="仿宋_GB2312" w:hAnsi="仿宋_GB2312" w:eastAsia="仿宋_GB2312" w:cs="仿宋_GB2312"/>
          <w:b w:val="0"/>
          <w:bCs w:val="0"/>
          <w:color w:val="auto"/>
          <w:sz w:val="32"/>
          <w:szCs w:val="32"/>
          <w:highlight w:val="none"/>
          <w:lang w:eastAsia="zh-CN" w:bidi="ar-SA"/>
        </w:rPr>
        <w:t>二十大</w:t>
      </w:r>
      <w:r>
        <w:rPr>
          <w:rFonts w:hint="eastAsia" w:ascii="仿宋_GB2312" w:hAnsi="仿宋_GB2312" w:eastAsia="仿宋_GB2312" w:cs="仿宋_GB2312"/>
          <w:b w:val="0"/>
          <w:bCs w:val="0"/>
          <w:color w:val="auto"/>
          <w:sz w:val="32"/>
          <w:szCs w:val="32"/>
          <w:highlight w:val="none"/>
          <w:lang w:bidi="ar-SA"/>
        </w:rPr>
        <w:t>精神</w:t>
      </w:r>
      <w:r>
        <w:rPr>
          <w:rFonts w:hint="eastAsia" w:ascii="仿宋_GB2312" w:hAnsi="仿宋_GB2312" w:eastAsia="仿宋_GB2312" w:cs="仿宋_GB2312"/>
          <w:b w:val="0"/>
          <w:bCs w:val="0"/>
          <w:color w:val="auto"/>
          <w:sz w:val="32"/>
          <w:szCs w:val="32"/>
          <w:highlight w:val="none"/>
          <w:lang w:eastAsia="zh-CN" w:bidi="ar-SA"/>
        </w:rPr>
        <w:t>专题培训和开展知识竞赛，加强</w:t>
      </w:r>
      <w:r>
        <w:rPr>
          <w:rFonts w:hint="eastAsia" w:ascii="仿宋_GB2312" w:hAnsi="仿宋_GB2312" w:eastAsia="仿宋_GB2312" w:cs="仿宋_GB2312"/>
          <w:b w:val="0"/>
          <w:bCs w:val="0"/>
          <w:color w:val="auto"/>
          <w:sz w:val="32"/>
          <w:szCs w:val="32"/>
          <w:highlight w:val="none"/>
          <w:lang w:bidi="ar-SA"/>
        </w:rPr>
        <w:t>党的</w:t>
      </w:r>
      <w:r>
        <w:rPr>
          <w:rFonts w:hint="eastAsia" w:ascii="仿宋_GB2312" w:hAnsi="仿宋_GB2312" w:eastAsia="仿宋_GB2312" w:cs="仿宋_GB2312"/>
          <w:b w:val="0"/>
          <w:bCs w:val="0"/>
          <w:color w:val="auto"/>
          <w:sz w:val="32"/>
          <w:szCs w:val="32"/>
          <w:highlight w:val="none"/>
          <w:lang w:eastAsia="zh-CN" w:bidi="ar-SA"/>
        </w:rPr>
        <w:t>二十大</w:t>
      </w:r>
      <w:r>
        <w:rPr>
          <w:rFonts w:hint="eastAsia" w:ascii="仿宋_GB2312" w:hAnsi="仿宋_GB2312" w:eastAsia="仿宋_GB2312" w:cs="仿宋_GB2312"/>
          <w:b w:val="0"/>
          <w:bCs w:val="0"/>
          <w:color w:val="auto"/>
          <w:sz w:val="32"/>
          <w:szCs w:val="32"/>
          <w:highlight w:val="none"/>
          <w:lang w:bidi="ar-SA"/>
        </w:rPr>
        <w:t>精神</w:t>
      </w:r>
      <w:r>
        <w:rPr>
          <w:rFonts w:hint="eastAsia" w:ascii="仿宋_GB2312" w:hAnsi="仿宋_GB2312" w:eastAsia="仿宋_GB2312" w:cs="仿宋_GB2312"/>
          <w:b w:val="0"/>
          <w:bCs w:val="0"/>
          <w:color w:val="auto"/>
          <w:sz w:val="32"/>
          <w:szCs w:val="32"/>
          <w:highlight w:val="none"/>
          <w:lang w:eastAsia="zh-CN" w:bidi="ar-SA"/>
        </w:rPr>
        <w:t>学习和贯彻</w:t>
      </w:r>
      <w:r>
        <w:rPr>
          <w:rFonts w:hint="eastAsia" w:ascii="仿宋_GB2312" w:hAnsi="仿宋_GB2312" w:eastAsia="仿宋_GB2312" w:cs="仿宋_GB2312"/>
          <w:b w:val="0"/>
          <w:bCs w:val="0"/>
          <w:color w:val="auto"/>
          <w:sz w:val="32"/>
          <w:szCs w:val="32"/>
          <w:highlight w:val="none"/>
          <w:lang w:val="en-US" w:eastAsia="zh-CN" w:bidi="ar-SA"/>
        </w:rPr>
        <w:t>。</w:t>
      </w:r>
      <w:r>
        <w:rPr>
          <w:rFonts w:hint="eastAsia" w:ascii="仿宋_GB2312" w:hAnsi="仿宋_GB2312" w:eastAsia="仿宋_GB2312" w:cs="仿宋_GB2312"/>
          <w:bCs/>
          <w:color w:val="auto"/>
          <w:sz w:val="32"/>
          <w:szCs w:val="32"/>
          <w:highlight w:val="none"/>
          <w:lang w:val="en-US" w:eastAsia="zh-CN" w:bidi="ar-SA"/>
        </w:rPr>
        <w:t>扎实开展学习贯彻新时代中国特色社会主义思想主题教育，深入开展“走基层、找问题、想办法、促发展”系列调研活动，把学习成果转为坚定理想、锤炼党性和指导实践、推动工作的强大力量。</w:t>
      </w:r>
      <w:r>
        <w:rPr>
          <w:rFonts w:hint="eastAsia" w:ascii="仿宋_GB2312" w:hAnsi="仿宋_GB2312" w:eastAsia="仿宋_GB2312" w:cs="仿宋_GB2312"/>
          <w:b/>
          <w:bCs/>
          <w:color w:val="auto"/>
          <w:sz w:val="32"/>
          <w:szCs w:val="32"/>
          <w:highlight w:val="none"/>
          <w:lang w:val="en-US" w:eastAsia="zh-CN" w:bidi="ar-SA"/>
        </w:rPr>
        <w:t>二是加强组织建设。</w:t>
      </w:r>
      <w:r>
        <w:rPr>
          <w:rFonts w:hint="eastAsia" w:ascii="仿宋_GB2312" w:hAnsi="仿宋_GB2312" w:eastAsia="仿宋_GB2312" w:cs="仿宋_GB2312"/>
          <w:b w:val="0"/>
          <w:bCs w:val="0"/>
          <w:color w:val="auto"/>
          <w:sz w:val="32"/>
          <w:szCs w:val="32"/>
          <w:highlight w:val="none"/>
          <w:lang w:val="en-US" w:eastAsia="zh-CN" w:bidi="ar-SA"/>
        </w:rPr>
        <w:t>督促指导华永（湖南）勘测设计有限公司、市港发集团成立党组织，解决企业基层党组织应建未建问题。协调将长丰集团130余名党员组织关系转入社区，解决因企业司法重整、解除劳动关系等原因党员无法正常参加组织生活问题。</w:t>
      </w:r>
      <w:r>
        <w:rPr>
          <w:rFonts w:hint="eastAsia" w:ascii="仿宋_GB2312" w:hAnsi="仿宋_GB2312" w:eastAsia="仿宋_GB2312" w:cs="仿宋_GB2312"/>
          <w:b w:val="0"/>
          <w:bCs w:val="0"/>
          <w:color w:val="auto"/>
          <w:sz w:val="32"/>
          <w:szCs w:val="32"/>
          <w:highlight w:val="none"/>
          <w:lang w:eastAsia="zh-CN"/>
        </w:rPr>
        <w:t>深入开展“一企一特色，一企一亮点”创建活动，成功打造建华公司三线军工党史教育基地和零陵卷烟厂党员教育活动中心等国企党建品牌。</w:t>
      </w:r>
      <w:r>
        <w:rPr>
          <w:rFonts w:hint="eastAsia" w:ascii="仿宋_GB2312" w:hAnsi="仿宋_GB2312" w:eastAsia="仿宋_GB2312" w:cs="仿宋_GB2312"/>
          <w:b/>
          <w:bCs/>
          <w:color w:val="auto"/>
          <w:sz w:val="32"/>
          <w:szCs w:val="32"/>
          <w:highlight w:val="none"/>
          <w:lang w:val="en-US" w:eastAsia="zh-CN" w:bidi="ar-SA"/>
        </w:rPr>
        <w:t>三是从严管党治党。</w:t>
      </w:r>
      <w:r>
        <w:rPr>
          <w:rFonts w:hint="eastAsia" w:ascii="仿宋_GB2312" w:hAnsi="仿宋_GB2312" w:eastAsia="仿宋_GB2312" w:cs="仿宋_GB2312"/>
          <w:b w:val="0"/>
          <w:bCs w:val="0"/>
          <w:color w:val="auto"/>
          <w:sz w:val="32"/>
          <w:szCs w:val="32"/>
          <w:highlight w:val="none"/>
          <w:lang w:val="en-US" w:eastAsia="zh-CN" w:bidi="ar-SA"/>
        </w:rPr>
        <w:t>年初</w:t>
      </w:r>
      <w:r>
        <w:rPr>
          <w:rFonts w:hint="eastAsia" w:ascii="仿宋_GB2312" w:hAnsi="仿宋_GB2312" w:eastAsia="仿宋_GB2312" w:cs="仿宋_GB2312"/>
          <w:b w:val="0"/>
          <w:bCs w:val="0"/>
          <w:color w:val="auto"/>
          <w:sz w:val="32"/>
          <w:szCs w:val="32"/>
          <w:highlight w:val="none"/>
          <w:lang w:eastAsia="zh-CN" w:bidi="ar-SA"/>
        </w:rPr>
        <w:t>召开了</w:t>
      </w:r>
      <w:r>
        <w:rPr>
          <w:rFonts w:hint="eastAsia" w:ascii="仿宋_GB2312" w:hAnsi="仿宋_GB2312" w:eastAsia="仿宋_GB2312" w:cs="仿宋_GB2312"/>
          <w:b w:val="0"/>
          <w:bCs w:val="0"/>
          <w:color w:val="auto"/>
          <w:sz w:val="32"/>
          <w:szCs w:val="32"/>
          <w:highlight w:val="none"/>
          <w:lang w:eastAsia="zh-CN"/>
        </w:rPr>
        <w:t>国资系统</w:t>
      </w:r>
      <w:r>
        <w:rPr>
          <w:rFonts w:hint="eastAsia" w:ascii="仿宋_GB2312" w:hAnsi="仿宋_GB2312" w:eastAsia="仿宋_GB2312" w:cs="仿宋_GB2312"/>
          <w:b w:val="0"/>
          <w:bCs w:val="0"/>
          <w:color w:val="auto"/>
          <w:sz w:val="32"/>
          <w:szCs w:val="32"/>
          <w:highlight w:val="none"/>
        </w:rPr>
        <w:t>党风廉政建设和反腐败工作会议</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坚持</w:t>
      </w:r>
      <w:r>
        <w:rPr>
          <w:rFonts w:hint="eastAsia" w:ascii="仿宋_GB2312" w:hAnsi="仿宋_GB2312" w:eastAsia="仿宋_GB2312" w:cs="仿宋_GB2312"/>
          <w:b w:val="0"/>
          <w:bCs w:val="0"/>
          <w:color w:val="auto"/>
          <w:sz w:val="32"/>
          <w:szCs w:val="32"/>
          <w:highlight w:val="none"/>
          <w:lang w:eastAsia="zh-CN"/>
        </w:rPr>
        <w:t>党风廉政</w:t>
      </w:r>
      <w:r>
        <w:rPr>
          <w:rFonts w:hint="eastAsia" w:ascii="仿宋_GB2312" w:hAnsi="仿宋_GB2312" w:eastAsia="仿宋_GB2312" w:cs="仿宋_GB2312"/>
          <w:b w:val="0"/>
          <w:bCs w:val="0"/>
          <w:color w:val="auto"/>
          <w:sz w:val="32"/>
          <w:szCs w:val="32"/>
          <w:highlight w:val="none"/>
        </w:rPr>
        <w:t>建设与业务工作同谋划、同部署、同考核</w:t>
      </w:r>
      <w:r>
        <w:rPr>
          <w:rFonts w:hint="eastAsia" w:ascii="仿宋_GB2312" w:hAnsi="仿宋_GB2312" w:eastAsia="仿宋_GB2312" w:cs="仿宋_GB2312"/>
          <w:b w:val="0"/>
          <w:bCs w:val="0"/>
          <w:color w:val="auto"/>
          <w:sz w:val="32"/>
          <w:szCs w:val="32"/>
          <w:highlight w:val="none"/>
          <w:lang w:eastAsia="zh-CN"/>
        </w:rPr>
        <w:t>。扎实开展</w:t>
      </w:r>
      <w:r>
        <w:rPr>
          <w:rFonts w:hint="eastAsia" w:ascii="仿宋_GB2312" w:hAnsi="仿宋_GB2312" w:eastAsia="仿宋_GB2312" w:cs="仿宋_GB2312"/>
          <w:b w:val="0"/>
          <w:bCs w:val="0"/>
          <w:color w:val="auto"/>
          <w:sz w:val="32"/>
          <w:szCs w:val="32"/>
          <w:highlight w:val="none"/>
          <w:lang w:val="en-US" w:eastAsia="zh-CN"/>
        </w:rPr>
        <w:t>巡视巡查、审计、人大常委会履职评议和关于审议企业国有资产管理报告反馈意见等内容的整改落实，补齐工作短板弱项，真正把党委从严治党主体责任落到实处。</w:t>
      </w:r>
      <w:r>
        <w:rPr>
          <w:rFonts w:hint="eastAsia" w:ascii="仿宋_GB2312" w:hAnsi="仿宋_GB2312" w:eastAsia="仿宋_GB2312" w:cs="仿宋_GB2312"/>
          <w:b w:val="0"/>
          <w:bCs w:val="0"/>
          <w:color w:val="auto"/>
          <w:sz w:val="32"/>
          <w:szCs w:val="32"/>
          <w:highlight w:val="none"/>
          <w:lang w:eastAsia="zh-CN" w:bidi="ar-SA"/>
        </w:rPr>
        <w:t>深入开展</w:t>
      </w:r>
      <w:r>
        <w:rPr>
          <w:rFonts w:hint="eastAsia" w:ascii="仿宋_GB2312" w:hAnsi="仿宋_GB2312" w:eastAsia="仿宋_GB2312" w:cs="仿宋_GB2312"/>
          <w:b w:val="0"/>
          <w:bCs w:val="0"/>
          <w:color w:val="auto"/>
          <w:spacing w:val="0"/>
          <w:sz w:val="32"/>
          <w:szCs w:val="32"/>
          <w:highlight w:val="none"/>
          <w:shd w:val="clear" w:color="auto" w:fill="FFFFFF"/>
          <w:lang w:bidi="ar-SA"/>
        </w:rPr>
        <w:t>清廉国企</w:t>
      </w:r>
      <w:r>
        <w:rPr>
          <w:rFonts w:hint="eastAsia" w:ascii="仿宋_GB2312" w:hAnsi="仿宋_GB2312" w:eastAsia="仿宋_GB2312" w:cs="仿宋_GB2312"/>
          <w:b w:val="0"/>
          <w:bCs w:val="0"/>
          <w:color w:val="auto"/>
          <w:spacing w:val="0"/>
          <w:sz w:val="32"/>
          <w:szCs w:val="32"/>
          <w:highlight w:val="none"/>
          <w:shd w:val="clear" w:color="auto" w:fill="FFFFFF"/>
          <w:lang w:eastAsia="zh-CN" w:bidi="ar-SA"/>
        </w:rPr>
        <w:t>、清廉机关</w:t>
      </w:r>
      <w:r>
        <w:rPr>
          <w:rFonts w:hint="eastAsia" w:ascii="仿宋_GB2312" w:hAnsi="仿宋_GB2312" w:eastAsia="仿宋_GB2312" w:cs="仿宋_GB2312"/>
          <w:b w:val="0"/>
          <w:bCs w:val="0"/>
          <w:color w:val="auto"/>
          <w:spacing w:val="0"/>
          <w:sz w:val="32"/>
          <w:szCs w:val="32"/>
          <w:highlight w:val="none"/>
          <w:shd w:val="clear" w:color="auto" w:fill="FFFFFF"/>
          <w:lang w:bidi="ar-SA"/>
        </w:rPr>
        <w:t>建设</w:t>
      </w:r>
      <w:r>
        <w:rPr>
          <w:rFonts w:hint="eastAsia" w:ascii="仿宋_GB2312" w:hAnsi="仿宋_GB2312" w:eastAsia="仿宋_GB2312" w:cs="仿宋_GB2312"/>
          <w:b w:val="0"/>
          <w:bCs w:val="0"/>
          <w:color w:val="auto"/>
          <w:sz w:val="32"/>
          <w:szCs w:val="32"/>
          <w:highlight w:val="none"/>
          <w:lang w:bidi="ar-SA"/>
        </w:rPr>
        <w:t>，</w:t>
      </w:r>
      <w:r>
        <w:rPr>
          <w:rFonts w:hint="eastAsia" w:ascii="仿宋_GB2312" w:hAnsi="仿宋_GB2312" w:eastAsia="仿宋_GB2312" w:cs="仿宋_GB2312"/>
          <w:b w:val="0"/>
          <w:bCs w:val="0"/>
          <w:color w:val="auto"/>
          <w:sz w:val="32"/>
          <w:szCs w:val="32"/>
          <w:highlight w:val="none"/>
          <w:lang w:eastAsia="zh-CN" w:bidi="ar-SA"/>
        </w:rPr>
        <w:t>市</w:t>
      </w:r>
      <w:r>
        <w:rPr>
          <w:rFonts w:hint="eastAsia" w:ascii="仿宋_GB2312" w:hAnsi="仿宋_GB2312" w:eastAsia="仿宋_GB2312" w:cs="仿宋_GB2312"/>
          <w:b w:val="0"/>
          <w:bCs w:val="0"/>
          <w:color w:val="auto"/>
          <w:sz w:val="32"/>
          <w:szCs w:val="32"/>
          <w:highlight w:val="none"/>
          <w:lang w:val="en-US" w:eastAsia="zh-CN"/>
        </w:rPr>
        <w:t>公交公司成功创建全市“清廉国企”建设示范点。</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（二）本单位整体支出绩效目标实现情况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auto"/>
          <w:sz w:val="32"/>
          <w:szCs w:val="32"/>
          <w:highlight w:val="none"/>
          <w:u w:val="none"/>
          <w:lang w:val="en-US" w:eastAsia="zh-CN"/>
        </w:rPr>
      </w:pPr>
      <w:r>
        <w:rPr>
          <w:rFonts w:hint="eastAsia" w:ascii="仿宋_GB2312" w:hAnsi="仿宋_GB2312" w:eastAsia="仿宋_GB2312" w:cs="仿宋_GB2312"/>
          <w:color w:val="auto"/>
          <w:kern w:val="2"/>
          <w:sz w:val="32"/>
        </w:rPr>
        <w:t>202</w:t>
      </w:r>
      <w:r>
        <w:rPr>
          <w:rFonts w:hint="eastAsia" w:ascii="仿宋_GB2312" w:hAnsi="仿宋_GB2312" w:eastAsia="仿宋_GB2312" w:cs="仿宋_GB2312"/>
          <w:color w:val="auto"/>
          <w:kern w:val="2"/>
          <w:sz w:val="32"/>
          <w:lang w:val="en-US" w:eastAsia="zh-CN"/>
        </w:rPr>
        <w:t>3</w:t>
      </w:r>
      <w:r>
        <w:rPr>
          <w:rFonts w:hint="eastAsia" w:ascii="仿宋_GB2312" w:hAnsi="仿宋_GB2312" w:eastAsia="仿宋_GB2312" w:cs="仿宋_GB2312"/>
          <w:color w:val="auto"/>
          <w:kern w:val="2"/>
          <w:sz w:val="32"/>
        </w:rPr>
        <w:t>年，在市委、市政府的坚强领导下，市国资委聚焦</w:t>
      </w:r>
      <w:r>
        <w:rPr>
          <w:rFonts w:hint="eastAsia" w:ascii="仿宋_GB2312" w:hAnsi="仿宋_GB2312" w:eastAsia="仿宋_GB2312" w:cs="仿宋_GB2312"/>
          <w:color w:val="auto"/>
          <w:kern w:val="2"/>
          <w:sz w:val="32"/>
          <w:lang w:val="en-US" w:eastAsia="zh-CN"/>
        </w:rPr>
        <w:t>国资</w:t>
      </w:r>
      <w:r>
        <w:rPr>
          <w:rFonts w:hint="eastAsia" w:ascii="仿宋_GB2312" w:hAnsi="仿宋_GB2312" w:eastAsia="仿宋_GB2312" w:cs="仿宋_GB2312"/>
          <w:color w:val="auto"/>
          <w:kern w:val="2"/>
          <w:sz w:val="32"/>
        </w:rPr>
        <w:t>主责主业，</w:t>
      </w:r>
      <w:r>
        <w:rPr>
          <w:rFonts w:hint="eastAsia" w:ascii="仿宋_GB2312" w:hAnsi="仿宋_GB2312" w:eastAsia="仿宋_GB2312" w:cs="仿宋_GB2312"/>
          <w:sz w:val="32"/>
          <w:szCs w:val="32"/>
        </w:rPr>
        <w:t>大力实施国企改革</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行动，</w:t>
      </w:r>
      <w:r>
        <w:rPr>
          <w:rFonts w:hint="eastAsia" w:ascii="仿宋_GB2312" w:hAnsi="仿宋_GB2312" w:eastAsia="仿宋_GB2312" w:cs="仿宋_GB2312"/>
          <w:sz w:val="32"/>
          <w:szCs w:val="32"/>
          <w:lang w:val="en-US" w:eastAsia="zh-CN"/>
        </w:rPr>
        <w:t>不断建立完善国资监管制度体系、全面加强国有企业党的建设，切实提高国资监管效能</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color w:val="auto"/>
          <w:sz w:val="32"/>
          <w:szCs w:val="32"/>
          <w:highlight w:val="none"/>
          <w:lang w:val="en-US" w:eastAsia="zh-CN" w:bidi="ar-SA"/>
        </w:rPr>
        <w:t>加快市城发、经发集团市场化转型发展。</w:t>
      </w:r>
      <w:r>
        <w:rPr>
          <w:rFonts w:hint="eastAsia" w:ascii="仿宋_GB2312" w:hAnsi="仿宋_GB2312" w:eastAsia="仿宋_GB2312" w:cs="仿宋_GB2312"/>
          <w:bCs/>
          <w:color w:val="auto"/>
          <w:sz w:val="32"/>
          <w:szCs w:val="32"/>
          <w:highlight w:val="none"/>
          <w:lang w:eastAsia="zh-CN" w:bidi="ar-SA"/>
        </w:rPr>
        <w:t>完成企业转型方案的审核、印发并组织实施。</w:t>
      </w:r>
      <w:r>
        <w:rPr>
          <w:rFonts w:hint="eastAsia" w:ascii="仿宋_GB2312" w:hAnsi="仿宋_GB2312" w:eastAsia="仿宋_GB2312" w:cs="仿宋_GB2312"/>
          <w:bCs/>
          <w:color w:val="auto"/>
          <w:sz w:val="32"/>
          <w:szCs w:val="32"/>
          <w:highlight w:val="none"/>
          <w:lang w:val="en-US" w:eastAsia="zh-CN" w:bidi="ar-SA"/>
        </w:rPr>
        <w:t>严格落实省债管办“每年十分之一”的任务目标要求，督导企业推进隐性债务化解</w:t>
      </w:r>
      <w:r>
        <w:rPr>
          <w:rFonts w:hint="eastAsia" w:ascii="仿宋_GB2312" w:hAnsi="仿宋_GB2312" w:eastAsia="仿宋_GB2312" w:cs="仿宋_GB2312"/>
          <w:bCs/>
          <w:color w:val="auto"/>
          <w:sz w:val="32"/>
          <w:szCs w:val="32"/>
          <w:highlight w:val="none"/>
          <w:lang w:eastAsia="zh-CN" w:bidi="ar-SA"/>
        </w:rPr>
        <w:t>。通过</w:t>
      </w:r>
      <w:r>
        <w:rPr>
          <w:rFonts w:hint="eastAsia" w:ascii="仿宋_GB2312" w:hAnsi="仿宋_GB2312" w:eastAsia="仿宋_GB2312" w:cs="仿宋_GB2312"/>
          <w:bCs/>
          <w:color w:val="auto"/>
          <w:sz w:val="32"/>
          <w:szCs w:val="32"/>
          <w:highlight w:val="none"/>
          <w:lang w:val="en-US" w:eastAsia="zh-CN" w:bidi="ar-SA"/>
        </w:rPr>
        <w:t>压层级、减法人，逐步优化规范企业组织架构，完成了一级子公司主要负责人的调整配备。起草了原事业编身份人员安置建议方案并经政府常务会议审议通过。</w:t>
      </w:r>
      <w:r>
        <w:rPr>
          <w:rFonts w:hint="eastAsia" w:ascii="仿宋_GB2312" w:hAnsi="仿宋_GB2312" w:eastAsia="仿宋_GB2312" w:cs="仿宋_GB2312"/>
          <w:b/>
          <w:bCs w:val="0"/>
          <w:color w:val="auto"/>
          <w:sz w:val="32"/>
          <w:szCs w:val="32"/>
          <w:highlight w:val="none"/>
          <w:lang w:val="en-US" w:eastAsia="zh-CN"/>
        </w:rPr>
        <w:t>二是降本增效</w:t>
      </w:r>
      <w:r>
        <w:rPr>
          <w:rFonts w:hint="eastAsia" w:ascii="仿宋_GB2312" w:hAnsi="仿宋_GB2312" w:eastAsia="仿宋_GB2312" w:cs="仿宋_GB2312"/>
          <w:b/>
          <w:bCs/>
          <w:color w:val="auto"/>
          <w:kern w:val="2"/>
          <w:sz w:val="32"/>
          <w:szCs w:val="32"/>
          <w:lang w:val="en-US" w:eastAsia="zh-CN" w:bidi="ar-SA"/>
        </w:rPr>
        <w:t>，提升国资国企效益。</w:t>
      </w:r>
      <w:r>
        <w:rPr>
          <w:rFonts w:hint="eastAsia" w:ascii="仿宋_GB2312" w:hAnsi="仿宋_GB2312" w:eastAsia="仿宋_GB2312" w:cs="仿宋_GB2312"/>
          <w:b/>
          <w:bCs/>
          <w:color w:val="auto"/>
          <w:sz w:val="32"/>
          <w:szCs w:val="32"/>
          <w:highlight w:val="none"/>
          <w:lang w:val="en-US" w:eastAsia="zh-CN" w:bidi="ar-SA"/>
        </w:rPr>
        <w:t>通过降本增效提质，国有资产保值增值工作成效显著。1.持续抓好降本增效。</w:t>
      </w:r>
      <w:r>
        <w:rPr>
          <w:rFonts w:hint="eastAsia" w:ascii="仿宋_GB2312" w:hAnsi="仿宋_GB2312" w:eastAsia="仿宋_GB2312" w:cs="仿宋_GB2312"/>
          <w:b w:val="0"/>
          <w:bCs w:val="0"/>
          <w:color w:val="auto"/>
          <w:sz w:val="32"/>
          <w:szCs w:val="32"/>
          <w:highlight w:val="none"/>
          <w:lang w:val="en-US" w:eastAsia="zh-CN" w:bidi="ar-SA"/>
        </w:rPr>
        <w:t>年初，对监管企业年度融资计划进行了审核备案并对资金的使用管理实施全过程监管，全年成功发行两期合计20亿元非公开公司债，严守6%融资成本底线。加强企业信用等级提升，市城发集团、市经发集团先后获评AA+主体信用等级，有效降低了企业融资成本，拓宽了融资渠道。</w:t>
      </w:r>
      <w:r>
        <w:rPr>
          <w:rFonts w:hint="eastAsia" w:ascii="仿宋_GB2312" w:hAnsi="仿宋_GB2312" w:eastAsia="仿宋_GB2312" w:cs="仿宋_GB2312"/>
          <w:b/>
          <w:bCs/>
          <w:color w:val="auto"/>
          <w:spacing w:val="0"/>
          <w:sz w:val="32"/>
          <w:szCs w:val="32"/>
          <w:highlight w:val="none"/>
          <w:shd w:val="clear" w:color="auto" w:fill="FFFFFF"/>
          <w:lang w:val="en-US" w:eastAsia="zh-CN" w:bidi="ar-SA"/>
        </w:rPr>
        <w:t>2.做好“三资”清理盘活。</w:t>
      </w:r>
      <w:r>
        <w:rPr>
          <w:rFonts w:hint="eastAsia" w:ascii="仿宋_GB2312" w:hAnsi="仿宋_GB2312" w:eastAsia="仿宋_GB2312" w:cs="仿宋_GB2312"/>
          <w:bCs/>
          <w:color w:val="auto"/>
          <w:sz w:val="32"/>
          <w:szCs w:val="32"/>
          <w:highlight w:val="none"/>
          <w:lang w:eastAsia="zh-CN" w:bidi="ar-SA"/>
        </w:rPr>
        <w:t>出台了《关于进一步加强国有企业“三资”清查处置与管理改革工作有关事项的通知》，积极推进全市国有企业闲置资产清查工作。</w:t>
      </w:r>
      <w:r>
        <w:rPr>
          <w:rFonts w:hint="eastAsia" w:ascii="仿宋_GB2312" w:hAnsi="仿宋_GB2312" w:eastAsia="仿宋_GB2312" w:cs="仿宋_GB2312"/>
          <w:b/>
          <w:bCs w:val="0"/>
          <w:color w:val="auto"/>
          <w:sz w:val="32"/>
          <w:szCs w:val="32"/>
          <w:highlight w:val="none"/>
          <w:lang w:val="en-US" w:eastAsia="zh-CN" w:bidi="ar-SA"/>
        </w:rPr>
        <w:t>3.应急转贷基金成效显著。</w:t>
      </w:r>
      <w:r>
        <w:rPr>
          <w:rFonts w:hint="eastAsia" w:ascii="仿宋_GB2312" w:hAnsi="仿宋_GB2312" w:eastAsia="仿宋_GB2312" w:cs="仿宋_GB2312"/>
          <w:bCs/>
          <w:color w:val="auto"/>
          <w:sz w:val="32"/>
          <w:szCs w:val="32"/>
          <w:highlight w:val="none"/>
          <w:lang w:val="en-US" w:eastAsia="zh-CN" w:bidi="ar-SA"/>
        </w:rPr>
        <w:t>目前，基金规模已扩大至3200万元，合作银行机构增加至17家，转贷业务基本实现市内全覆盖；2023年完成转贷业务135笔，同比增长22.2%；滚动投放总量达到8.42亿元，同比增长24.18%；实现转贷收入260万元，同比增长27.78%；为中小微企业节约融资成本2800余万元，切实发挥资本支持实体经济发展的作用。</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bCs/>
          <w:color w:val="000000"/>
          <w:sz w:val="32"/>
          <w:szCs w:val="32"/>
          <w:highlight w:val="none"/>
          <w:lang w:val="en-US" w:eastAsia="zh-CN"/>
        </w:rPr>
        <w:t>三是</w:t>
      </w:r>
      <w:r>
        <w:rPr>
          <w:rFonts w:hint="eastAsia" w:ascii="仿宋_GB2312" w:hAnsi="仿宋_GB2312" w:eastAsia="仿宋_GB2312" w:cs="仿宋_GB2312"/>
          <w:b/>
          <w:bCs/>
          <w:color w:val="auto"/>
          <w:sz w:val="32"/>
          <w:szCs w:val="40"/>
          <w:lang w:eastAsia="zh-CN"/>
        </w:rPr>
        <w:t>持续</w:t>
      </w:r>
      <w:r>
        <w:rPr>
          <w:rFonts w:hint="eastAsia" w:ascii="仿宋_GB2312" w:hAnsi="仿宋_GB2312" w:eastAsia="仿宋_GB2312" w:cs="仿宋_GB2312"/>
          <w:b/>
          <w:bCs/>
          <w:color w:val="auto"/>
          <w:sz w:val="32"/>
          <w:szCs w:val="40"/>
        </w:rPr>
        <w:t>加强</w:t>
      </w:r>
      <w:r>
        <w:rPr>
          <w:rFonts w:hint="eastAsia" w:ascii="仿宋_GB2312" w:hAnsi="仿宋_GB2312" w:eastAsia="仿宋_GB2312" w:cs="仿宋_GB2312"/>
          <w:b/>
          <w:bCs/>
          <w:color w:val="auto"/>
          <w:sz w:val="32"/>
          <w:szCs w:val="40"/>
          <w:lang w:eastAsia="zh-CN"/>
        </w:rPr>
        <w:t>党的建设，引领国有企业高质量发展</w:t>
      </w:r>
      <w:r>
        <w:rPr>
          <w:rFonts w:hint="eastAsia" w:ascii="仿宋_GB2312" w:hAnsi="仿宋_GB2312" w:eastAsia="仿宋_GB2312" w:cs="仿宋_GB2312"/>
          <w:b/>
          <w:bCs/>
          <w:color w:val="auto"/>
          <w:sz w:val="32"/>
          <w:szCs w:val="40"/>
        </w:rPr>
        <w:t>。</w:t>
      </w:r>
      <w:r>
        <w:rPr>
          <w:rFonts w:hint="eastAsia" w:ascii="仿宋_GB2312" w:hAnsi="仿宋_GB2312" w:eastAsia="仿宋_GB2312" w:cs="仿宋_GB2312"/>
          <w:b w:val="0"/>
          <w:bCs w:val="0"/>
          <w:color w:val="auto"/>
          <w:sz w:val="32"/>
          <w:szCs w:val="40"/>
          <w:lang w:eastAsia="zh-CN"/>
        </w:rPr>
        <w:t>以党组织书记上红色党课、红色主题党日活动为载体，持续推进“红色教育进企业”活动，</w:t>
      </w:r>
      <w:r>
        <w:rPr>
          <w:rFonts w:hint="eastAsia" w:ascii="仿宋_GB2312" w:hAnsi="仿宋_GB2312" w:eastAsia="仿宋_GB2312" w:cs="仿宋_GB2312"/>
          <w:b w:val="0"/>
          <w:bCs w:val="0"/>
          <w:color w:val="auto"/>
          <w:sz w:val="32"/>
          <w:szCs w:val="40"/>
          <w:lang w:val="en-US" w:eastAsia="zh-CN"/>
        </w:rPr>
        <w:t>国资系统</w:t>
      </w:r>
      <w:r>
        <w:rPr>
          <w:rFonts w:hint="eastAsia" w:ascii="仿宋_GB2312" w:hAnsi="仿宋_GB2312" w:eastAsia="仿宋_GB2312" w:cs="仿宋_GB2312"/>
          <w:color w:val="auto"/>
          <w:sz w:val="32"/>
          <w:szCs w:val="32"/>
          <w:lang w:eastAsia="zh-CN"/>
        </w:rPr>
        <w:t>党组织书记上党课</w:t>
      </w:r>
      <w:r>
        <w:rPr>
          <w:rFonts w:hint="eastAsia" w:ascii="仿宋_GB2312" w:hAnsi="仿宋_GB2312" w:eastAsia="仿宋_GB2312" w:cs="仿宋_GB2312"/>
          <w:color w:val="auto"/>
          <w:sz w:val="32"/>
          <w:szCs w:val="32"/>
          <w:lang w:val="en-US" w:eastAsia="zh-CN"/>
        </w:rPr>
        <w:t>380次，</w:t>
      </w:r>
      <w:r>
        <w:rPr>
          <w:rFonts w:hint="eastAsia" w:ascii="仿宋_GB2312" w:hAnsi="仿宋_GB2312" w:eastAsia="仿宋_GB2312" w:cs="仿宋_GB2312"/>
          <w:b w:val="0"/>
          <w:bCs w:val="0"/>
          <w:color w:val="auto"/>
          <w:sz w:val="32"/>
          <w:szCs w:val="40"/>
          <w:lang w:eastAsia="zh-CN"/>
        </w:rPr>
        <w:t>开展爱国主义教育</w:t>
      </w:r>
      <w:r>
        <w:rPr>
          <w:rFonts w:hint="eastAsia" w:ascii="仿宋_GB2312" w:hAnsi="仿宋_GB2312" w:eastAsia="仿宋_GB2312" w:cs="仿宋_GB2312"/>
          <w:b w:val="0"/>
          <w:bCs w:val="0"/>
          <w:color w:val="auto"/>
          <w:sz w:val="32"/>
          <w:szCs w:val="40"/>
          <w:lang w:val="en-US" w:eastAsia="zh-CN"/>
        </w:rPr>
        <w:t>9</w:t>
      </w:r>
      <w:r>
        <w:rPr>
          <w:rFonts w:hint="eastAsia" w:ascii="仿宋_GB2312" w:hAnsi="仿宋_GB2312" w:eastAsia="仿宋_GB2312" w:cs="仿宋_GB2312"/>
          <w:b w:val="0"/>
          <w:bCs w:val="0"/>
          <w:color w:val="auto"/>
          <w:sz w:val="32"/>
          <w:szCs w:val="40"/>
          <w:lang w:eastAsia="zh-CN"/>
        </w:rPr>
        <w:t>次，</w:t>
      </w:r>
      <w:r>
        <w:rPr>
          <w:rFonts w:hint="eastAsia" w:ascii="仿宋_GB2312" w:hAnsi="仿宋_GB2312" w:eastAsia="仿宋_GB2312" w:cs="仿宋_GB2312"/>
          <w:b w:val="0"/>
          <w:bCs w:val="0"/>
          <w:color w:val="auto"/>
          <w:sz w:val="32"/>
          <w:szCs w:val="40"/>
          <w:lang w:val="en-US" w:eastAsia="zh-CN"/>
        </w:rPr>
        <w:t>传承红色基因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val="en-US" w:eastAsia="zh-CN"/>
        </w:rPr>
        <w:t>四是完成了258名市管干部的待遇落实和队伍建设、改制企业临管办队伍人员稳定等工作。</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（三）部门整体支出绩效评价具体分析</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从运行成本方面分析</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2023年度，我委在财政安排有限的资金情况下，严格执行“过紧日子”的思路，严格按年初财政预算安排的资金支出。</w:t>
      </w:r>
      <w:r>
        <w:rPr>
          <w:rFonts w:hint="eastAsia" w:ascii="仿宋_GB2312" w:hAnsi="仿宋_GB2312" w:eastAsia="仿宋_GB2312" w:cs="仿宋_GB2312"/>
          <w:sz w:val="32"/>
          <w:szCs w:val="32"/>
        </w:rPr>
        <w:t>本单位</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支出符合国家财经法规和财务管理制度规定以及有关专项资金管理办法的规定，资金的拨付有完整的审批过程和手续，支出符合部门预算批复的用途，资金使用无截留、挤占、挪用、虚列支出等情况。</w:t>
      </w:r>
      <w:r>
        <w:rPr>
          <w:rFonts w:hint="eastAsia" w:ascii="仿宋_GB2312" w:hAnsi="仿宋_GB2312" w:eastAsia="仿宋_GB2312" w:cs="仿宋_GB2312"/>
          <w:sz w:val="32"/>
          <w:szCs w:val="32"/>
          <w:lang w:val="en-US" w:eastAsia="zh-CN"/>
        </w:rPr>
        <w:t>2023年全年预算收入2304.44万元，决算支出2304.44万元，预算执行率为100%，圆满地完成了全年预算收支工作。</w:t>
      </w:r>
    </w:p>
    <w:p>
      <w:pPr>
        <w:keepNext w:val="0"/>
        <w:keepLines w:val="0"/>
        <w:pageBreakBefore w:val="0"/>
        <w:numPr>
          <w:ilvl w:val="0"/>
          <w:numId w:val="9"/>
        </w:numPr>
        <w:kinsoku/>
        <w:wordWrap/>
        <w:overflowPunct/>
        <w:topLinePunct w:val="0"/>
        <w:bidi w:val="0"/>
        <w:snapToGrid/>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从管理效率方面分析</w:t>
      </w:r>
    </w:p>
    <w:p>
      <w:pPr>
        <w:keepNext w:val="0"/>
        <w:keepLines w:val="0"/>
        <w:pageBreakBefore w:val="0"/>
        <w:numPr>
          <w:ilvl w:val="0"/>
          <w:numId w:val="0"/>
        </w:numPr>
        <w:kinsoku/>
        <w:wordWrap/>
        <w:overflowPunct/>
        <w:topLinePunct w:val="0"/>
        <w:bidi w:val="0"/>
        <w:snapToGrid/>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为进一步提升工作效率，做好国资监管主责主业，我们通过建立健全资产管理制度、加强预算信息公开，做好政府采购预算，做好日常公务卡刷卡支出管理、建立健全监管企业财务监管制度和</w:t>
      </w:r>
      <w:r>
        <w:rPr>
          <w:rFonts w:hint="eastAsia" w:ascii="仿宋_GB2312" w:hAnsi="仿宋_GB2312" w:eastAsia="仿宋_GB2312" w:cs="仿宋_GB2312"/>
          <w:w w:val="99"/>
          <w:sz w:val="32"/>
          <w:szCs w:val="32"/>
        </w:rPr>
        <w:t>监管事项清单及负面清单、监管</w:t>
      </w:r>
      <w:r>
        <w:rPr>
          <w:rFonts w:hint="eastAsia" w:ascii="仿宋_GB2312" w:hAnsi="仿宋_GB2312" w:eastAsia="仿宋_GB2312" w:cs="仿宋_GB2312"/>
          <w:sz w:val="32"/>
          <w:szCs w:val="32"/>
        </w:rPr>
        <w:t>企业负责人综合绩效考核和薪酬管理、违规经营投资责任追究办法、内部审计监督意见等文件，进一步强化监管制度建设，提高监管效能，推动企业持续健康发展。</w:t>
      </w:r>
      <w:r>
        <w:rPr>
          <w:rFonts w:hint="eastAsia" w:ascii="仿宋_GB2312" w:hAnsi="仿宋_GB2312" w:eastAsia="仿宋_GB2312" w:cs="仿宋_GB2312"/>
          <w:sz w:val="32"/>
          <w:szCs w:val="32"/>
          <w:lang w:val="en-US" w:eastAsia="zh-CN"/>
        </w:rPr>
        <w:t>从各个方面进一步提升国资监管工作管理效率。</w:t>
      </w:r>
    </w:p>
    <w:p>
      <w:pPr>
        <w:pStyle w:val="5"/>
        <w:keepNext w:val="0"/>
        <w:keepLines w:val="0"/>
        <w:pageBreakBefore w:val="0"/>
        <w:numPr>
          <w:ilvl w:val="0"/>
          <w:numId w:val="9"/>
        </w:numPr>
        <w:kinsoku/>
        <w:wordWrap/>
        <w:overflowPunct/>
        <w:topLinePunct w:val="0"/>
        <w:bidi w:val="0"/>
        <w:snapToGrid/>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从履职效能方面分析</w:t>
      </w:r>
    </w:p>
    <w:p>
      <w:pPr>
        <w:pStyle w:val="5"/>
        <w:keepNext w:val="0"/>
        <w:keepLines w:val="0"/>
        <w:pageBreakBefore w:val="0"/>
        <w:numPr>
          <w:ilvl w:val="0"/>
          <w:numId w:val="0"/>
        </w:numPr>
        <w:kinsoku/>
        <w:wordWrap/>
        <w:overflowPunct/>
        <w:topLinePunct w:val="0"/>
        <w:bidi w:val="0"/>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根据市委、市政府的安排和部署，</w:t>
      </w:r>
      <w:r>
        <w:rPr>
          <w:rFonts w:hint="eastAsia" w:ascii="仿宋_GB2312" w:hAnsi="仿宋_GB2312" w:eastAsia="仿宋_GB2312" w:cs="仿宋_GB2312"/>
          <w:sz w:val="32"/>
          <w:szCs w:val="32"/>
          <w:lang w:val="en-US" w:eastAsia="zh-CN"/>
        </w:rPr>
        <w:t>我委全年</w:t>
      </w:r>
      <w:r>
        <w:rPr>
          <w:rFonts w:hint="eastAsia" w:ascii="仿宋_GB2312" w:hAnsi="仿宋_GB2312" w:eastAsia="仿宋_GB2312" w:cs="仿宋_GB2312"/>
          <w:sz w:val="32"/>
          <w:szCs w:val="32"/>
        </w:rPr>
        <w:t>完成了</w:t>
      </w:r>
      <w:r>
        <w:rPr>
          <w:rFonts w:hint="eastAsia" w:ascii="仿宋_GB2312" w:hAnsi="仿宋_GB2312" w:eastAsia="仿宋_GB2312" w:cs="仿宋_GB2312"/>
          <w:sz w:val="32"/>
          <w:szCs w:val="32"/>
          <w:lang w:val="en-US" w:eastAsia="zh-CN"/>
        </w:rPr>
        <w:t>对9家市属监管企业在</w:t>
      </w:r>
      <w:r>
        <w:rPr>
          <w:rFonts w:hint="eastAsia" w:ascii="仿宋_GB2312" w:hAnsi="仿宋_GB2312" w:eastAsia="仿宋_GB2312" w:cs="仿宋_GB2312"/>
          <w:sz w:val="32"/>
          <w:szCs w:val="32"/>
        </w:rPr>
        <w:t>国企改革</w:t>
      </w:r>
      <w:r>
        <w:rPr>
          <w:rFonts w:hint="eastAsia" w:ascii="仿宋_GB2312" w:hAnsi="仿宋_GB2312" w:eastAsia="仿宋_GB2312" w:cs="仿宋_GB2312"/>
          <w:sz w:val="32"/>
          <w:szCs w:val="32"/>
          <w:lang w:val="en-US" w:eastAsia="zh-CN"/>
        </w:rPr>
        <w:t>改制</w:t>
      </w:r>
      <w:r>
        <w:rPr>
          <w:rFonts w:hint="eastAsia" w:ascii="仿宋_GB2312" w:hAnsi="仿宋_GB2312" w:eastAsia="仿宋_GB2312" w:cs="仿宋_GB2312"/>
          <w:sz w:val="32"/>
          <w:szCs w:val="32"/>
        </w:rPr>
        <w:t>、信访维稳、国企</w:t>
      </w:r>
      <w:r>
        <w:rPr>
          <w:rFonts w:hint="eastAsia" w:ascii="仿宋_GB2312" w:hAnsi="仿宋_GB2312" w:eastAsia="仿宋_GB2312" w:cs="仿宋_GB2312"/>
          <w:sz w:val="32"/>
          <w:szCs w:val="32"/>
          <w:lang w:val="en-US" w:eastAsia="zh-CN"/>
        </w:rPr>
        <w:t>基层</w:t>
      </w:r>
      <w:r>
        <w:rPr>
          <w:rFonts w:hint="eastAsia" w:ascii="仿宋_GB2312" w:hAnsi="仿宋_GB2312" w:eastAsia="仿宋_GB2312" w:cs="仿宋_GB2312"/>
          <w:sz w:val="32"/>
          <w:szCs w:val="32"/>
        </w:rPr>
        <w:t>党建、扶贫共建等重点工作。202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年度在市委、市政府的领导下，积极做好国企改革</w:t>
      </w:r>
      <w:r>
        <w:rPr>
          <w:rFonts w:hint="eastAsia" w:ascii="仿宋_GB2312" w:hAnsi="仿宋_GB2312" w:eastAsia="仿宋_GB2312" w:cs="仿宋_GB2312"/>
          <w:sz w:val="32"/>
          <w:szCs w:val="32"/>
          <w:lang w:val="en-US" w:eastAsia="zh-CN"/>
        </w:rPr>
        <w:t>改制</w:t>
      </w:r>
      <w:r>
        <w:rPr>
          <w:rFonts w:hint="eastAsia" w:ascii="仿宋_GB2312" w:hAnsi="仿宋_GB2312" w:eastAsia="仿宋_GB2312" w:cs="仿宋_GB2312"/>
          <w:sz w:val="32"/>
          <w:szCs w:val="32"/>
        </w:rPr>
        <w:t>工作，进一步加强了对</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家监管企业的监督管理，严格按有关规章制度处理改革遗留问题，资产处置程序规范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确保国有资产保值、增值。</w:t>
      </w:r>
    </w:p>
    <w:p>
      <w:pPr>
        <w:keepNext w:val="0"/>
        <w:keepLines w:val="0"/>
        <w:pageBreakBefore w:val="0"/>
        <w:numPr>
          <w:ilvl w:val="0"/>
          <w:numId w:val="9"/>
        </w:numPr>
        <w:kinsoku/>
        <w:wordWrap/>
        <w:overflowPunct/>
        <w:topLinePunct w:val="0"/>
        <w:bidi w:val="0"/>
        <w:snapToGrid/>
        <w:spacing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w:t>
      </w:r>
      <w:r>
        <w:rPr>
          <w:rFonts w:hint="eastAsia" w:ascii="仿宋_GB2312" w:hAnsi="仿宋_GB2312" w:eastAsia="仿宋_GB2312" w:cs="仿宋_GB2312"/>
          <w:sz w:val="32"/>
          <w:szCs w:val="32"/>
        </w:rPr>
        <w:t>社会效</w:t>
      </w:r>
      <w:r>
        <w:rPr>
          <w:rFonts w:hint="eastAsia" w:ascii="仿宋_GB2312" w:hAnsi="仿宋_GB2312" w:eastAsia="仿宋_GB2312" w:cs="仿宋_GB2312"/>
          <w:sz w:val="32"/>
          <w:szCs w:val="32"/>
          <w:lang w:val="en-US" w:eastAsia="zh-CN"/>
        </w:rPr>
        <w:t>应方面分析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年，本单位认真贯彻落实市委、市政府决策部署，圆满完成工作计划，取得了良好的社会效益：</w:t>
      </w:r>
      <w:r>
        <w:rPr>
          <w:rFonts w:hint="eastAsia" w:ascii="Times New Roman" w:hAnsi="Times New Roman" w:eastAsia="仿宋_GB2312" w:cs="Times New Roman"/>
          <w:b/>
          <w:bCs/>
          <w:color w:val="auto"/>
          <w:sz w:val="32"/>
          <w:szCs w:val="32"/>
          <w:highlight w:val="none"/>
          <w:lang w:val="en-US" w:eastAsia="zh-CN" w:bidi="ar-SA"/>
        </w:rPr>
        <w:t>一是</w:t>
      </w:r>
      <w:r>
        <w:rPr>
          <w:rFonts w:hint="default" w:ascii="Times New Roman" w:hAnsi="Times New Roman" w:eastAsia="仿宋_GB2312" w:cs="Times New Roman"/>
          <w:b/>
          <w:bCs/>
          <w:color w:val="auto"/>
          <w:sz w:val="32"/>
          <w:szCs w:val="32"/>
          <w:highlight w:val="none"/>
          <w:lang w:val="en-US" w:eastAsia="zh-CN" w:bidi="ar-SA"/>
        </w:rPr>
        <w:t>持续抓好降本增效。</w:t>
      </w:r>
      <w:r>
        <w:rPr>
          <w:rFonts w:hint="eastAsia" w:ascii="Times New Roman" w:hAnsi="Times New Roman" w:eastAsia="仿宋_GB2312" w:cs="Times New Roman"/>
          <w:b w:val="0"/>
          <w:bCs w:val="0"/>
          <w:color w:val="auto"/>
          <w:sz w:val="32"/>
          <w:szCs w:val="32"/>
          <w:highlight w:val="none"/>
          <w:lang w:val="en-US" w:eastAsia="zh-CN" w:bidi="ar-SA"/>
        </w:rPr>
        <w:t>年初，对监管企业年度融资计划进行了审核备案并对资金的使用管理实施全过程监管，全年成功发行两</w:t>
      </w:r>
      <w:r>
        <w:rPr>
          <w:rFonts w:hint="default" w:ascii="Times New Roman" w:hAnsi="Times New Roman" w:eastAsia="仿宋_GB2312" w:cs="Times New Roman"/>
          <w:b w:val="0"/>
          <w:bCs w:val="0"/>
          <w:color w:val="auto"/>
          <w:sz w:val="32"/>
          <w:szCs w:val="32"/>
          <w:highlight w:val="none"/>
          <w:lang w:val="en-US" w:eastAsia="zh-CN" w:bidi="ar-SA"/>
        </w:rPr>
        <w:t>期</w:t>
      </w:r>
      <w:r>
        <w:rPr>
          <w:rFonts w:hint="eastAsia" w:ascii="Times New Roman" w:hAnsi="Times New Roman" w:eastAsia="仿宋_GB2312" w:cs="Times New Roman"/>
          <w:b w:val="0"/>
          <w:bCs w:val="0"/>
          <w:color w:val="auto"/>
          <w:sz w:val="32"/>
          <w:szCs w:val="32"/>
          <w:highlight w:val="none"/>
          <w:lang w:val="en-US" w:eastAsia="zh-CN" w:bidi="ar-SA"/>
        </w:rPr>
        <w:t>合计2</w:t>
      </w:r>
      <w:r>
        <w:rPr>
          <w:rFonts w:hint="default" w:ascii="Times New Roman" w:hAnsi="Times New Roman" w:eastAsia="仿宋_GB2312" w:cs="Times New Roman"/>
          <w:b w:val="0"/>
          <w:bCs w:val="0"/>
          <w:color w:val="auto"/>
          <w:sz w:val="32"/>
          <w:szCs w:val="32"/>
          <w:highlight w:val="none"/>
          <w:lang w:val="en-US" w:eastAsia="zh-CN" w:bidi="ar-SA"/>
        </w:rPr>
        <w:t>0亿元非公开公司债，严守6%融资成本底线</w:t>
      </w:r>
      <w:r>
        <w:rPr>
          <w:rFonts w:hint="eastAsia" w:ascii="Times New Roman" w:hAnsi="Times New Roman" w:eastAsia="仿宋_GB2312" w:cs="Times New Roman"/>
          <w:b w:val="0"/>
          <w:bCs w:val="0"/>
          <w:color w:val="auto"/>
          <w:sz w:val="32"/>
          <w:szCs w:val="32"/>
          <w:highlight w:val="none"/>
          <w:lang w:val="en-US" w:eastAsia="zh-CN" w:bidi="ar-SA"/>
        </w:rPr>
        <w:t>。加强企业信用等级提升，</w:t>
      </w:r>
      <w:r>
        <w:rPr>
          <w:rFonts w:hint="default" w:ascii="Times New Roman" w:hAnsi="Times New Roman" w:eastAsia="仿宋_GB2312" w:cs="Times New Roman"/>
          <w:b w:val="0"/>
          <w:bCs w:val="0"/>
          <w:color w:val="auto"/>
          <w:sz w:val="32"/>
          <w:szCs w:val="32"/>
          <w:highlight w:val="none"/>
          <w:lang w:val="en-US" w:eastAsia="zh-CN" w:bidi="ar-SA"/>
        </w:rPr>
        <w:t>市城发集团</w:t>
      </w:r>
      <w:r>
        <w:rPr>
          <w:rFonts w:hint="eastAsia" w:ascii="Times New Roman" w:hAnsi="Times New Roman" w:eastAsia="仿宋_GB2312" w:cs="Times New Roman"/>
          <w:b w:val="0"/>
          <w:bCs w:val="0"/>
          <w:color w:val="auto"/>
          <w:sz w:val="32"/>
          <w:szCs w:val="32"/>
          <w:highlight w:val="none"/>
          <w:lang w:val="en-US" w:eastAsia="zh-CN" w:bidi="ar-SA"/>
        </w:rPr>
        <w:t>、市经发集团先后</w:t>
      </w:r>
      <w:r>
        <w:rPr>
          <w:rFonts w:hint="default" w:ascii="Times New Roman" w:hAnsi="Times New Roman" w:eastAsia="仿宋_GB2312" w:cs="Times New Roman"/>
          <w:b w:val="0"/>
          <w:bCs w:val="0"/>
          <w:color w:val="auto"/>
          <w:sz w:val="32"/>
          <w:szCs w:val="32"/>
          <w:highlight w:val="none"/>
          <w:lang w:val="en-US" w:eastAsia="zh-CN" w:bidi="ar-SA"/>
        </w:rPr>
        <w:t>获评AA+主体信用等级，</w:t>
      </w:r>
      <w:r>
        <w:rPr>
          <w:rFonts w:hint="eastAsia" w:ascii="Times New Roman" w:hAnsi="Times New Roman" w:eastAsia="仿宋_GB2312" w:cs="Times New Roman"/>
          <w:b w:val="0"/>
          <w:bCs w:val="0"/>
          <w:color w:val="auto"/>
          <w:sz w:val="32"/>
          <w:szCs w:val="32"/>
          <w:highlight w:val="none"/>
          <w:lang w:val="en-US" w:eastAsia="zh-CN" w:bidi="ar-SA"/>
        </w:rPr>
        <w:t>有效降低了企业融资成本，拓宽了融资渠道。</w:t>
      </w:r>
      <w:r>
        <w:rPr>
          <w:rFonts w:hint="eastAsia" w:ascii="Times New Roman" w:hAnsi="Times New Roman" w:eastAsia="仿宋_GB2312" w:cs="Times New Roman"/>
          <w:b/>
          <w:bCs/>
          <w:color w:val="auto"/>
          <w:spacing w:val="0"/>
          <w:sz w:val="32"/>
          <w:szCs w:val="32"/>
          <w:highlight w:val="none"/>
          <w:shd w:val="clear" w:color="auto" w:fill="FFFFFF"/>
          <w:lang w:val="en-US" w:eastAsia="zh-CN" w:bidi="ar-SA"/>
        </w:rPr>
        <w:t>二是做好</w:t>
      </w:r>
      <w:r>
        <w:rPr>
          <w:rFonts w:hint="default" w:ascii="Times New Roman" w:hAnsi="Times New Roman" w:eastAsia="仿宋_GB2312" w:cs="Times New Roman"/>
          <w:b/>
          <w:bCs/>
          <w:color w:val="auto"/>
          <w:spacing w:val="0"/>
          <w:sz w:val="32"/>
          <w:szCs w:val="32"/>
          <w:highlight w:val="none"/>
          <w:shd w:val="clear" w:color="auto" w:fill="FFFFFF"/>
          <w:lang w:val="en-US" w:eastAsia="zh-CN" w:bidi="ar-SA"/>
        </w:rPr>
        <w:t>“三资”清</w:t>
      </w:r>
      <w:r>
        <w:rPr>
          <w:rFonts w:hint="eastAsia" w:ascii="Times New Roman" w:hAnsi="Times New Roman" w:eastAsia="仿宋_GB2312" w:cs="Times New Roman"/>
          <w:b/>
          <w:bCs/>
          <w:color w:val="auto"/>
          <w:spacing w:val="0"/>
          <w:sz w:val="32"/>
          <w:szCs w:val="32"/>
          <w:highlight w:val="none"/>
          <w:shd w:val="clear" w:color="auto" w:fill="FFFFFF"/>
          <w:lang w:val="en-US" w:eastAsia="zh-CN" w:bidi="ar-SA"/>
        </w:rPr>
        <w:t>理盘活。</w:t>
      </w:r>
      <w:r>
        <w:rPr>
          <w:rFonts w:hint="eastAsia" w:ascii="Times New Roman" w:hAnsi="Times New Roman" w:eastAsia="仿宋_GB2312" w:cs="Times New Roman"/>
          <w:bCs/>
          <w:color w:val="auto"/>
          <w:sz w:val="32"/>
          <w:szCs w:val="32"/>
          <w:highlight w:val="none"/>
          <w:lang w:eastAsia="zh-CN" w:bidi="ar-SA"/>
        </w:rPr>
        <w:t>出台了《关于进一步加强国有企业“三资”清查处置与管理改革工作有关事项的通知》，积极推进全市国有企业闲置资产清查工作。通过灵活运用市场化处置、公开出租、有效利用、资产证券化等方式完成处置</w:t>
      </w:r>
      <w:r>
        <w:rPr>
          <w:rFonts w:hint="eastAsia" w:ascii="Times New Roman" w:hAnsi="Times New Roman" w:eastAsia="仿宋_GB2312" w:cs="Times New Roman"/>
          <w:bCs/>
          <w:color w:val="auto"/>
          <w:sz w:val="32"/>
          <w:szCs w:val="32"/>
          <w:highlight w:val="none"/>
          <w:lang w:val="en-US" w:eastAsia="zh-CN" w:bidi="ar-SA"/>
        </w:rPr>
        <w:t>161</w:t>
      </w:r>
      <w:r>
        <w:rPr>
          <w:rFonts w:hint="eastAsia" w:ascii="Times New Roman" w:hAnsi="Times New Roman" w:eastAsia="仿宋_GB2312" w:cs="Times New Roman"/>
          <w:bCs/>
          <w:color w:val="auto"/>
          <w:sz w:val="32"/>
          <w:szCs w:val="32"/>
          <w:highlight w:val="none"/>
          <w:lang w:eastAsia="zh-CN" w:bidi="ar-SA"/>
        </w:rPr>
        <w:t>项，已回收值</w:t>
      </w:r>
      <w:r>
        <w:rPr>
          <w:rFonts w:hint="eastAsia" w:ascii="Times New Roman" w:hAnsi="Times New Roman" w:eastAsia="仿宋_GB2312" w:cs="Times New Roman"/>
          <w:bCs/>
          <w:color w:val="auto"/>
          <w:sz w:val="32"/>
          <w:szCs w:val="32"/>
          <w:highlight w:val="none"/>
          <w:lang w:val="en-US" w:eastAsia="zh-CN" w:bidi="ar-SA"/>
        </w:rPr>
        <w:t>86.66</w:t>
      </w:r>
      <w:r>
        <w:rPr>
          <w:rFonts w:hint="eastAsia" w:ascii="Times New Roman" w:hAnsi="Times New Roman" w:eastAsia="仿宋_GB2312" w:cs="Times New Roman"/>
          <w:bCs/>
          <w:color w:val="auto"/>
          <w:sz w:val="32"/>
          <w:szCs w:val="32"/>
          <w:highlight w:val="none"/>
          <w:lang w:eastAsia="zh-CN" w:bidi="ar-SA"/>
        </w:rPr>
        <w:t>亿元</w:t>
      </w:r>
      <w:r>
        <w:rPr>
          <w:rFonts w:hint="eastAsia" w:ascii="Times New Roman" w:hAnsi="Times New Roman" w:eastAsia="仿宋_GB2312" w:cs="Times New Roman"/>
          <w:bCs/>
          <w:color w:val="auto"/>
          <w:sz w:val="32"/>
          <w:szCs w:val="32"/>
          <w:highlight w:val="none"/>
          <w:lang w:val="en-US" w:eastAsia="zh-CN" w:bidi="ar-SA"/>
        </w:rPr>
        <w:t>，其中入库收益2.47亿元，通过以盘活“三资”为契机，以盘清底数、数字监管、化解难题为举措不断提升国有企业资产效益。</w:t>
      </w:r>
      <w:r>
        <w:rPr>
          <w:rFonts w:hint="eastAsia" w:ascii="Times New Roman" w:hAnsi="Times New Roman" w:eastAsia="仿宋_GB2312" w:cs="Times New Roman"/>
          <w:b/>
          <w:bCs w:val="0"/>
          <w:color w:val="auto"/>
          <w:sz w:val="32"/>
          <w:szCs w:val="32"/>
          <w:highlight w:val="none"/>
          <w:lang w:val="en-US" w:eastAsia="zh-CN" w:bidi="ar-SA"/>
        </w:rPr>
        <w:t>三是应急转贷基金成效显著。</w:t>
      </w:r>
      <w:r>
        <w:rPr>
          <w:rFonts w:hint="eastAsia" w:ascii="Times New Roman" w:hAnsi="Times New Roman" w:eastAsia="仿宋_GB2312" w:cs="Times New Roman"/>
          <w:bCs/>
          <w:color w:val="auto"/>
          <w:sz w:val="32"/>
          <w:szCs w:val="32"/>
          <w:highlight w:val="none"/>
          <w:lang w:val="en-US" w:eastAsia="zh-CN" w:bidi="ar-SA"/>
        </w:rPr>
        <w:t>目前，基金规模已扩大至3200万元，合作银行机构增加至17家，转贷业务基本实现市内全覆盖；2023年完成转贷业务135笔，同比增长22.2%；滚动投放总量达到8.42亿元，同比增长24.18%；实现转贷收入260万元，同比增长27.78%；为中小微企业节约融资成本2800余万元，切实发挥资本支持实体经济发展的作用。</w:t>
      </w:r>
    </w:p>
    <w:p>
      <w:pPr>
        <w:keepNext w:val="0"/>
        <w:keepLines w:val="0"/>
        <w:pageBreakBefore w:val="0"/>
        <w:numPr>
          <w:ilvl w:val="0"/>
          <w:numId w:val="9"/>
        </w:numPr>
        <w:kinsoku/>
        <w:wordWrap/>
        <w:overflowPunct/>
        <w:topLinePunct w:val="0"/>
        <w:bidi w:val="0"/>
        <w:snapToGrid/>
        <w:spacing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w:t>
      </w:r>
      <w:r>
        <w:rPr>
          <w:rFonts w:hint="eastAsia" w:ascii="仿宋_GB2312" w:hAnsi="仿宋_GB2312" w:eastAsia="仿宋_GB2312" w:cs="仿宋_GB2312"/>
          <w:sz w:val="32"/>
          <w:szCs w:val="32"/>
        </w:rPr>
        <w:t>服务对象满意度</w:t>
      </w:r>
      <w:r>
        <w:rPr>
          <w:rFonts w:hint="eastAsia" w:ascii="仿宋_GB2312" w:hAnsi="仿宋_GB2312" w:eastAsia="仿宋_GB2312" w:cs="仿宋_GB2312"/>
          <w:sz w:val="32"/>
          <w:szCs w:val="32"/>
          <w:lang w:val="en-US" w:eastAsia="zh-CN"/>
        </w:rPr>
        <w:t>方面分析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我们2023年度主要的服务对象是全市已改制的国有企业市管干部（包括在职和退休人员）和市属9家监管的国有企业。为进一步提升服务水平，让企业职工满意，主要做好以下几方面的工作：</w:t>
      </w:r>
      <w:r>
        <w:rPr>
          <w:rFonts w:hint="eastAsia" w:ascii="仿宋_GB2312" w:hAnsi="仿宋_GB2312" w:eastAsia="仿宋_GB2312" w:cs="仿宋_GB2312"/>
          <w:b/>
          <w:bCs w:val="0"/>
          <w:sz w:val="32"/>
          <w:szCs w:val="32"/>
        </w:rPr>
        <w:t>一是认真做好信访维稳工作。</w:t>
      </w:r>
      <w:r>
        <w:rPr>
          <w:rFonts w:hint="eastAsia" w:ascii="Times New Roman" w:hAnsi="Times New Roman" w:eastAsia="仿宋_GB2312" w:cs="Times New Roman"/>
          <w:bCs/>
          <w:color w:val="auto"/>
          <w:sz w:val="32"/>
          <w:szCs w:val="32"/>
          <w:highlight w:val="none"/>
          <w:lang w:val="en-US" w:eastAsia="zh-CN" w:bidi="ar-SA"/>
        </w:rPr>
        <w:t>严格落实安全生产“十五条”硬措施，完善安全风险分级管控和隐患排查治理双重预防机制</w:t>
      </w:r>
      <w:r>
        <w:rPr>
          <w:rFonts w:hint="default" w:ascii="Times New Roman" w:hAnsi="Times New Roman" w:eastAsia="仿宋_GB2312" w:cs="Times New Roman"/>
          <w:bCs/>
          <w:color w:val="auto"/>
          <w:sz w:val="32"/>
          <w:szCs w:val="32"/>
          <w:highlight w:val="none"/>
          <w:lang w:val="en-US" w:eastAsia="zh-CN" w:bidi="ar-SA"/>
        </w:rPr>
        <w:t>，</w:t>
      </w:r>
      <w:r>
        <w:rPr>
          <w:rFonts w:hint="eastAsia" w:ascii="Times New Roman" w:hAnsi="Times New Roman" w:eastAsia="仿宋_GB2312" w:cs="Times New Roman"/>
          <w:bCs/>
          <w:color w:val="auto"/>
          <w:sz w:val="32"/>
          <w:szCs w:val="32"/>
          <w:highlight w:val="none"/>
          <w:lang w:val="en-US" w:eastAsia="zh-CN" w:bidi="ar-SA"/>
        </w:rPr>
        <w:t>定期分析研判，做到隐患排查整治常态化、制度化，</w:t>
      </w:r>
      <w:r>
        <w:rPr>
          <w:rFonts w:hint="default" w:ascii="Times New Roman" w:hAnsi="Times New Roman" w:eastAsia="仿宋_GB2312" w:cs="Times New Roman"/>
          <w:bCs/>
          <w:color w:val="auto"/>
          <w:sz w:val="32"/>
          <w:szCs w:val="32"/>
          <w:highlight w:val="none"/>
          <w:lang w:val="en-US" w:eastAsia="zh-CN" w:bidi="ar-SA"/>
        </w:rPr>
        <w:t>确保</w:t>
      </w:r>
      <w:r>
        <w:rPr>
          <w:rFonts w:hint="eastAsia" w:ascii="Times New Roman" w:hAnsi="Times New Roman" w:eastAsia="仿宋_GB2312" w:cs="Times New Roman"/>
          <w:bCs/>
          <w:color w:val="auto"/>
          <w:sz w:val="32"/>
          <w:szCs w:val="32"/>
          <w:highlight w:val="none"/>
          <w:lang w:val="en-US" w:eastAsia="zh-CN" w:bidi="ar-SA"/>
        </w:rPr>
        <w:t>企业安全</w:t>
      </w:r>
      <w:r>
        <w:rPr>
          <w:rFonts w:hint="default" w:ascii="Times New Roman" w:hAnsi="Times New Roman" w:eastAsia="仿宋_GB2312" w:cs="Times New Roman"/>
          <w:bCs/>
          <w:color w:val="auto"/>
          <w:sz w:val="32"/>
          <w:szCs w:val="32"/>
          <w:highlight w:val="none"/>
          <w:lang w:val="en-US" w:eastAsia="zh-CN" w:bidi="ar-SA"/>
        </w:rPr>
        <w:t>稳定。</w:t>
      </w:r>
      <w:r>
        <w:rPr>
          <w:rFonts w:hint="eastAsia" w:ascii="Times New Roman" w:hAnsi="Times New Roman" w:eastAsia="仿宋_GB2312" w:cs="Times New Roman"/>
          <w:bCs/>
          <w:color w:val="auto"/>
          <w:sz w:val="32"/>
          <w:szCs w:val="32"/>
          <w:highlight w:val="none"/>
          <w:lang w:val="en-US" w:eastAsia="zh-CN" w:bidi="ar-SA"/>
        </w:rPr>
        <w:t>严格落实“三到位一处理”要求，有效化解信访矛盾隐患，</w:t>
      </w:r>
      <w:r>
        <w:rPr>
          <w:rFonts w:hint="eastAsia" w:ascii="仿宋_GB2312" w:hAnsi="仿宋_GB2312" w:eastAsia="仿宋_GB2312" w:cs="仿宋_GB2312"/>
          <w:color w:val="auto"/>
          <w:sz w:val="32"/>
          <w:szCs w:val="32"/>
        </w:rPr>
        <w:t>及时</w:t>
      </w:r>
      <w:r>
        <w:rPr>
          <w:rFonts w:hint="eastAsia" w:ascii="仿宋_GB2312" w:hAnsi="仿宋_GB2312" w:eastAsia="仿宋_GB2312" w:cs="仿宋_GB2312"/>
          <w:b w:val="0"/>
          <w:bCs/>
          <w:color w:val="auto"/>
          <w:sz w:val="32"/>
          <w:szCs w:val="32"/>
        </w:rPr>
        <w:t>掌握</w:t>
      </w:r>
      <w:r>
        <w:rPr>
          <w:rFonts w:hint="eastAsia" w:ascii="仿宋_GB2312" w:hAnsi="仿宋_GB2312" w:eastAsia="仿宋_GB2312" w:cs="仿宋_GB2312"/>
          <w:color w:val="auto"/>
          <w:sz w:val="32"/>
          <w:szCs w:val="32"/>
        </w:rPr>
        <w:t>化解</w:t>
      </w:r>
      <w:r>
        <w:rPr>
          <w:rFonts w:hint="eastAsia" w:ascii="仿宋_GB2312" w:hAnsi="仿宋_GB2312" w:eastAsia="仿宋_GB2312" w:cs="仿宋_GB2312"/>
          <w:b w:val="0"/>
          <w:bCs/>
          <w:color w:val="auto"/>
          <w:sz w:val="32"/>
          <w:szCs w:val="32"/>
          <w:lang w:eastAsia="zh-CN"/>
        </w:rPr>
        <w:t>监管</w:t>
      </w:r>
      <w:r>
        <w:rPr>
          <w:rFonts w:hint="eastAsia" w:ascii="仿宋_GB2312" w:hAnsi="仿宋_GB2312" w:eastAsia="仿宋_GB2312" w:cs="仿宋_GB2312"/>
          <w:b w:val="0"/>
          <w:bCs/>
          <w:color w:val="auto"/>
          <w:sz w:val="32"/>
          <w:szCs w:val="32"/>
        </w:rPr>
        <w:t>企</w:t>
      </w:r>
      <w:r>
        <w:rPr>
          <w:rFonts w:hint="eastAsia" w:ascii="仿宋_GB2312" w:hAnsi="仿宋_GB2312" w:eastAsia="仿宋_GB2312" w:cs="仿宋_GB2312"/>
          <w:color w:val="auto"/>
          <w:sz w:val="32"/>
          <w:szCs w:val="32"/>
        </w:rPr>
        <w:t>业矛盾隐患，</w:t>
      </w:r>
      <w:r>
        <w:rPr>
          <w:rFonts w:hint="eastAsia" w:ascii="仿宋_GB2312" w:hAnsi="仿宋_GB2312" w:eastAsia="仿宋_GB2312" w:cs="仿宋_GB2312"/>
          <w:color w:val="auto"/>
          <w:sz w:val="32"/>
          <w:szCs w:val="32"/>
          <w:lang w:val="en-US" w:eastAsia="zh-CN"/>
        </w:rPr>
        <w:t>2023</w:t>
      </w:r>
      <w:r>
        <w:rPr>
          <w:rFonts w:hint="eastAsia" w:ascii="Times New Roman" w:hAnsi="Times New Roman" w:eastAsia="仿宋_GB2312" w:cs="Times New Roman"/>
          <w:bCs/>
          <w:color w:val="auto"/>
          <w:sz w:val="32"/>
          <w:szCs w:val="32"/>
          <w:highlight w:val="none"/>
          <w:lang w:val="en-US" w:eastAsia="zh-CN" w:bidi="ar-SA"/>
        </w:rPr>
        <w:t>全年共接待处理群众来访110余人次、办理智慧永州平台18件、网上信访系统25件，受理率、办理率均为100%。</w:t>
      </w:r>
      <w:r>
        <w:rPr>
          <w:rFonts w:hint="eastAsia" w:ascii="仿宋_GB2312" w:hAnsi="仿宋_GB2312" w:eastAsia="仿宋_GB2312" w:cs="仿宋_GB2312"/>
          <w:sz w:val="32"/>
          <w:szCs w:val="32"/>
        </w:rPr>
        <w:t>切实做好全国两会、省两会及中秋、国庆特别防护期的信访维稳工作，实现国资系统赴省进京“零登记”，确保社会大局稳定。</w:t>
      </w:r>
      <w:r>
        <w:rPr>
          <w:rFonts w:hint="eastAsia" w:ascii="仿宋_GB2312" w:hAnsi="仿宋_GB2312" w:eastAsia="仿宋_GB2312" w:cs="仿宋_GB2312"/>
          <w:b/>
          <w:sz w:val="32"/>
          <w:szCs w:val="32"/>
        </w:rPr>
        <w:t>二是做好全市2</w:t>
      </w:r>
      <w:r>
        <w:rPr>
          <w:rFonts w:hint="eastAsia" w:ascii="仿宋_GB2312" w:hAnsi="仿宋_GB2312" w:eastAsia="仿宋_GB2312" w:cs="仿宋_GB2312"/>
          <w:b/>
          <w:sz w:val="32"/>
          <w:szCs w:val="32"/>
          <w:lang w:val="en-US" w:eastAsia="zh-CN"/>
        </w:rPr>
        <w:t>58</w:t>
      </w:r>
      <w:r>
        <w:rPr>
          <w:rFonts w:hint="eastAsia" w:ascii="仿宋_GB2312" w:hAnsi="仿宋_GB2312" w:eastAsia="仿宋_GB2312" w:cs="仿宋_GB2312"/>
          <w:b/>
          <w:sz w:val="32"/>
          <w:szCs w:val="32"/>
        </w:rPr>
        <w:t>名在职和退休市管干部的待遇落实、队伍建设等工作。</w:t>
      </w:r>
      <w:r>
        <w:rPr>
          <w:rFonts w:hint="eastAsia" w:ascii="仿宋_GB2312" w:hAnsi="仿宋_GB2312" w:eastAsia="仿宋_GB2312" w:cs="仿宋_GB2312"/>
          <w:b w:val="0"/>
          <w:bCs/>
          <w:sz w:val="32"/>
          <w:szCs w:val="32"/>
          <w:lang w:val="en-US" w:eastAsia="zh-CN"/>
        </w:rPr>
        <w:t>2023年度我们做好了市管干部人员工资、退休金、养老金补差等费用的申报、发放、汇总等工作，确保了市内管干部人员队伍稳定。</w:t>
      </w:r>
      <w:r>
        <w:rPr>
          <w:rFonts w:hint="eastAsia" w:ascii="仿宋_GB2312" w:hAnsi="仿宋_GB2312" w:eastAsia="仿宋_GB2312" w:cs="仿宋_GB2312"/>
          <w:b w:val="0"/>
          <w:bCs/>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年度社会公众或服务对象对本单位工作满意度</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p>
    <w:p>
      <w:pPr>
        <w:pStyle w:val="14"/>
        <w:keepNext w:val="0"/>
        <w:keepLines w:val="0"/>
        <w:pageBreakBefore w:val="0"/>
        <w:widowControl/>
        <w:shd w:val="clear" w:color="auto" w:fill="FFFFFF"/>
        <w:kinsoku/>
        <w:wordWrap/>
        <w:overflowPunct/>
        <w:topLinePunct w:val="0"/>
        <w:bidi w:val="0"/>
        <w:snapToGrid/>
        <w:spacing w:beforeAutospacing="0" w:afterAutospacing="0" w:line="580" w:lineRule="exact"/>
        <w:ind w:firstLine="643"/>
        <w:jc w:val="both"/>
        <w:rPr>
          <w:rFonts w:hint="eastAsia" w:ascii="仿宋_GB2312" w:hAnsi="仿宋_GB2312" w:eastAsia="仿宋_GB2312" w:cs="仿宋_GB2312"/>
          <w:b/>
          <w:bCs w:val="0"/>
          <w:color w:val="333333"/>
          <w:sz w:val="32"/>
          <w:szCs w:val="32"/>
        </w:rPr>
      </w:pPr>
      <w:r>
        <w:rPr>
          <w:rFonts w:hint="eastAsia" w:ascii="仿宋_GB2312" w:hAnsi="仿宋_GB2312" w:eastAsia="仿宋_GB2312" w:cs="仿宋_GB2312"/>
          <w:b/>
          <w:bCs w:val="0"/>
          <w:color w:val="333333"/>
          <w:sz w:val="32"/>
          <w:szCs w:val="32"/>
          <w:shd w:val="clear" w:color="auto" w:fill="FFFFFF"/>
          <w:lang w:val="en-US" w:eastAsia="zh-CN"/>
        </w:rPr>
        <w:t>七</w:t>
      </w:r>
      <w:r>
        <w:rPr>
          <w:rFonts w:hint="eastAsia" w:ascii="仿宋_GB2312" w:hAnsi="仿宋_GB2312" w:eastAsia="仿宋_GB2312" w:cs="仿宋_GB2312"/>
          <w:b/>
          <w:bCs w:val="0"/>
          <w:color w:val="333333"/>
          <w:sz w:val="32"/>
          <w:szCs w:val="32"/>
          <w:shd w:val="clear" w:color="auto" w:fill="FFFFFF"/>
        </w:rPr>
        <w:t>、存在的主要问题</w:t>
      </w:r>
    </w:p>
    <w:p>
      <w:pPr>
        <w:pStyle w:val="14"/>
        <w:keepNext w:val="0"/>
        <w:keepLines w:val="0"/>
        <w:pageBreakBefore w:val="0"/>
        <w:widowControl/>
        <w:shd w:val="clear" w:color="auto" w:fill="FFFFFF"/>
        <w:kinsoku/>
        <w:wordWrap/>
        <w:overflowPunct/>
        <w:topLinePunct w:val="0"/>
        <w:bidi w:val="0"/>
        <w:snapToGrid/>
        <w:spacing w:beforeAutospacing="0" w:afterAutospacing="0" w:line="58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通过对全年绩效评价发现，在预算收支执行过程中存在主要问题是预算编制</w:t>
      </w:r>
      <w:r>
        <w:rPr>
          <w:rFonts w:hint="eastAsia" w:ascii="仿宋_GB2312" w:hAnsi="仿宋_GB2312" w:eastAsia="仿宋_GB2312" w:cs="仿宋_GB2312"/>
          <w:kern w:val="2"/>
          <w:sz w:val="32"/>
          <w:szCs w:val="32"/>
          <w:lang w:val="en-US" w:eastAsia="zh-CN"/>
        </w:rPr>
        <w:t>还</w:t>
      </w:r>
      <w:r>
        <w:rPr>
          <w:rFonts w:hint="eastAsia" w:ascii="仿宋_GB2312" w:hAnsi="仿宋_GB2312" w:eastAsia="仿宋_GB2312" w:cs="仿宋_GB2312"/>
          <w:kern w:val="2"/>
          <w:sz w:val="32"/>
          <w:szCs w:val="32"/>
        </w:rPr>
        <w:t>不够科学。目前，我委支出的预算数据大都是为保证日常公用支出而发生的开支（未包括文明创建、</w:t>
      </w:r>
      <w:r>
        <w:rPr>
          <w:rFonts w:hint="eastAsia" w:ascii="仿宋_GB2312" w:hAnsi="仿宋_GB2312" w:eastAsia="仿宋_GB2312" w:cs="仿宋_GB2312"/>
          <w:kern w:val="2"/>
          <w:sz w:val="32"/>
          <w:szCs w:val="32"/>
          <w:lang w:val="en-US" w:eastAsia="zh-CN"/>
        </w:rPr>
        <w:t>乡村振兴建设</w:t>
      </w:r>
      <w:r>
        <w:rPr>
          <w:rFonts w:hint="eastAsia" w:ascii="仿宋_GB2312" w:hAnsi="仿宋_GB2312" w:eastAsia="仿宋_GB2312" w:cs="仿宋_GB2312"/>
          <w:kern w:val="2"/>
          <w:sz w:val="32"/>
          <w:szCs w:val="32"/>
        </w:rPr>
        <w:t>等专项支出），</w:t>
      </w:r>
      <w:r>
        <w:rPr>
          <w:rFonts w:hint="eastAsia" w:ascii="仿宋_GB2312" w:hAnsi="仿宋_GB2312" w:eastAsia="仿宋_GB2312" w:cs="仿宋_GB2312"/>
          <w:kern w:val="2"/>
          <w:sz w:val="32"/>
          <w:szCs w:val="32"/>
          <w:lang w:val="en-US" w:eastAsia="zh-CN"/>
        </w:rPr>
        <w:t>我委</w:t>
      </w:r>
      <w:r>
        <w:rPr>
          <w:rFonts w:hint="eastAsia" w:ascii="仿宋_GB2312" w:hAnsi="仿宋_GB2312" w:eastAsia="仿宋_GB2312" w:cs="仿宋_GB2312"/>
          <w:kern w:val="2"/>
          <w:sz w:val="32"/>
          <w:szCs w:val="32"/>
        </w:rPr>
        <w:t>经费来源单纯是财政预算经费拨入，没有收费项目，而文明创建、</w:t>
      </w:r>
      <w:r>
        <w:rPr>
          <w:rFonts w:hint="eastAsia" w:ascii="仿宋_GB2312" w:hAnsi="仿宋_GB2312" w:eastAsia="仿宋_GB2312" w:cs="仿宋_GB2312"/>
          <w:kern w:val="2"/>
          <w:sz w:val="32"/>
          <w:szCs w:val="32"/>
          <w:lang w:val="en-US" w:eastAsia="zh-CN"/>
        </w:rPr>
        <w:t>乡村振兴</w:t>
      </w:r>
      <w:r>
        <w:rPr>
          <w:rFonts w:hint="eastAsia" w:ascii="仿宋_GB2312" w:hAnsi="仿宋_GB2312" w:eastAsia="仿宋_GB2312" w:cs="仿宋_GB2312"/>
          <w:kern w:val="2"/>
          <w:sz w:val="32"/>
          <w:szCs w:val="32"/>
        </w:rPr>
        <w:t>支出又是专项开支较大的项目，在没有预算的前提下</w:t>
      </w:r>
      <w:r>
        <w:rPr>
          <w:rFonts w:hint="eastAsia" w:ascii="仿宋_GB2312" w:hAnsi="仿宋_GB2312" w:eastAsia="仿宋_GB2312" w:cs="仿宋_GB2312"/>
          <w:kern w:val="2"/>
          <w:sz w:val="32"/>
          <w:szCs w:val="32"/>
          <w:lang w:val="en-US" w:eastAsia="zh-CN"/>
        </w:rPr>
        <w:t>财政年初安排的</w:t>
      </w:r>
      <w:r>
        <w:rPr>
          <w:rFonts w:hint="eastAsia" w:ascii="仿宋_GB2312" w:hAnsi="仿宋_GB2312" w:eastAsia="仿宋_GB2312" w:cs="仿宋_GB2312"/>
          <w:kern w:val="2"/>
          <w:sz w:val="32"/>
          <w:szCs w:val="32"/>
        </w:rPr>
        <w:t>一般公用人头经费远远不能满足上述这些开支，需用其他经费来弥补，这就造成与年初预算支出不匹配。</w:t>
      </w:r>
    </w:p>
    <w:p>
      <w:pPr>
        <w:pStyle w:val="14"/>
        <w:keepNext w:val="0"/>
        <w:keepLines w:val="0"/>
        <w:pageBreakBefore w:val="0"/>
        <w:widowControl/>
        <w:shd w:val="clear" w:color="auto" w:fill="FFFFFF"/>
        <w:kinsoku/>
        <w:wordWrap/>
        <w:overflowPunct/>
        <w:topLinePunct w:val="0"/>
        <w:bidi w:val="0"/>
        <w:snapToGrid/>
        <w:spacing w:beforeAutospacing="0" w:afterAutospacing="0" w:line="580" w:lineRule="exact"/>
        <w:ind w:firstLine="643"/>
        <w:jc w:val="both"/>
        <w:rPr>
          <w:rFonts w:hint="eastAsia" w:ascii="仿宋_GB2312" w:hAnsi="仿宋_GB2312" w:eastAsia="仿宋_GB2312" w:cs="仿宋_GB2312"/>
          <w:b/>
          <w:bCs w:val="0"/>
          <w:color w:val="333333"/>
          <w:sz w:val="32"/>
          <w:szCs w:val="32"/>
        </w:rPr>
      </w:pPr>
      <w:r>
        <w:rPr>
          <w:rFonts w:hint="eastAsia" w:ascii="仿宋_GB2312" w:hAnsi="仿宋_GB2312" w:eastAsia="仿宋_GB2312" w:cs="仿宋_GB2312"/>
          <w:b/>
          <w:bCs w:val="0"/>
          <w:color w:val="333333"/>
          <w:sz w:val="32"/>
          <w:szCs w:val="32"/>
          <w:shd w:val="clear" w:color="auto" w:fill="FFFFFF"/>
          <w:lang w:val="en-US" w:eastAsia="zh-CN"/>
        </w:rPr>
        <w:t>八</w:t>
      </w:r>
      <w:r>
        <w:rPr>
          <w:rFonts w:hint="eastAsia" w:ascii="仿宋_GB2312" w:hAnsi="仿宋_GB2312" w:eastAsia="仿宋_GB2312" w:cs="仿宋_GB2312"/>
          <w:b/>
          <w:bCs w:val="0"/>
          <w:color w:val="333333"/>
          <w:sz w:val="32"/>
          <w:szCs w:val="32"/>
          <w:shd w:val="clear" w:color="auto" w:fill="FFFFFF"/>
        </w:rPr>
        <w:t>、改进措施和有关建议</w:t>
      </w:r>
    </w:p>
    <w:p>
      <w:pPr>
        <w:pStyle w:val="25"/>
        <w:keepNext w:val="0"/>
        <w:keepLines w:val="0"/>
        <w:pageBreakBefore w:val="0"/>
        <w:kinsoku/>
        <w:wordWrap/>
        <w:overflowPunct/>
        <w:topLinePunct w:val="0"/>
        <w:bidi w:val="0"/>
        <w:snapToGrid/>
        <w:spacing w:line="58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1.预算编制科学性、合理性。</w:t>
      </w:r>
      <w:r>
        <w:rPr>
          <w:rFonts w:hint="eastAsia" w:ascii="仿宋_GB2312" w:hAnsi="仿宋_GB2312" w:eastAsia="仿宋_GB2312" w:cs="仿宋_GB2312"/>
          <w:color w:val="000000"/>
          <w:sz w:val="32"/>
          <w:szCs w:val="32"/>
        </w:rPr>
        <w:t>针对预算编制不够科学的问题，建议财政局在下一年度预算编制时，将</w:t>
      </w:r>
      <w:r>
        <w:rPr>
          <w:rFonts w:hint="eastAsia" w:ascii="仿宋_GB2312" w:hAnsi="仿宋_GB2312" w:eastAsia="仿宋_GB2312" w:cs="仿宋_GB2312"/>
          <w:color w:val="000000"/>
          <w:sz w:val="32"/>
          <w:szCs w:val="32"/>
          <w:lang w:val="en-US" w:eastAsia="zh-CN"/>
        </w:rPr>
        <w:t>年初或年中市政府临时安排的一些重点支出（如</w:t>
      </w:r>
      <w:r>
        <w:rPr>
          <w:rFonts w:hint="eastAsia" w:ascii="仿宋_GB2312" w:hAnsi="仿宋_GB2312" w:eastAsia="仿宋_GB2312" w:cs="仿宋_GB2312"/>
          <w:kern w:val="2"/>
          <w:sz w:val="32"/>
          <w:szCs w:val="32"/>
        </w:rPr>
        <w:t>文明创建、</w:t>
      </w:r>
      <w:r>
        <w:rPr>
          <w:rFonts w:hint="eastAsia" w:ascii="仿宋_GB2312" w:hAnsi="仿宋_GB2312" w:eastAsia="仿宋_GB2312" w:cs="仿宋_GB2312"/>
          <w:kern w:val="2"/>
          <w:sz w:val="32"/>
          <w:szCs w:val="32"/>
          <w:lang w:val="en-US" w:eastAsia="zh-CN"/>
        </w:rPr>
        <w:t>乡村振兴建设</w:t>
      </w:r>
      <w:r>
        <w:rPr>
          <w:rFonts w:hint="eastAsia" w:ascii="仿宋_GB2312" w:hAnsi="仿宋_GB2312" w:eastAsia="仿宋_GB2312" w:cs="仿宋_GB2312"/>
          <w:kern w:val="2"/>
          <w:sz w:val="32"/>
          <w:szCs w:val="32"/>
        </w:rPr>
        <w:t>支出等专项开支大的</w:t>
      </w:r>
      <w:r>
        <w:rPr>
          <w:rFonts w:hint="eastAsia" w:ascii="仿宋_GB2312" w:hAnsi="仿宋_GB2312" w:eastAsia="仿宋_GB2312" w:cs="仿宋_GB2312"/>
          <w:kern w:val="2"/>
          <w:sz w:val="32"/>
          <w:szCs w:val="32"/>
          <w:lang w:val="en-US" w:eastAsia="zh-CN"/>
        </w:rPr>
        <w:t>刚性</w:t>
      </w:r>
      <w:r>
        <w:rPr>
          <w:rFonts w:hint="eastAsia" w:ascii="仿宋_GB2312" w:hAnsi="仿宋_GB2312" w:eastAsia="仿宋_GB2312" w:cs="仿宋_GB2312"/>
          <w:kern w:val="2"/>
          <w:sz w:val="32"/>
          <w:szCs w:val="32"/>
        </w:rPr>
        <w:t>项目</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直接纳入</w:t>
      </w:r>
      <w:r>
        <w:rPr>
          <w:rFonts w:hint="eastAsia" w:ascii="仿宋_GB2312" w:hAnsi="仿宋_GB2312" w:eastAsia="仿宋_GB2312" w:cs="仿宋_GB2312"/>
          <w:color w:val="000000"/>
          <w:sz w:val="32"/>
          <w:szCs w:val="32"/>
          <w:lang w:val="en-US" w:eastAsia="zh-CN"/>
        </w:rPr>
        <w:t>年初</w:t>
      </w:r>
      <w:r>
        <w:rPr>
          <w:rFonts w:hint="eastAsia" w:ascii="仿宋_GB2312" w:hAnsi="仿宋_GB2312" w:eastAsia="仿宋_GB2312" w:cs="仿宋_GB2312"/>
          <w:color w:val="000000"/>
          <w:sz w:val="32"/>
          <w:szCs w:val="32"/>
        </w:rPr>
        <w:t>预算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以确保工作的顺利开展</w:t>
      </w:r>
      <w:r>
        <w:rPr>
          <w:rFonts w:hint="eastAsia" w:ascii="仿宋_GB2312" w:hAnsi="仿宋_GB2312" w:eastAsia="仿宋_GB2312" w:cs="仿宋_GB2312"/>
          <w:color w:val="000000"/>
          <w:sz w:val="32"/>
          <w:szCs w:val="32"/>
        </w:rPr>
        <w:t>。</w:t>
      </w:r>
    </w:p>
    <w:p>
      <w:pPr>
        <w:pStyle w:val="25"/>
        <w:keepNext w:val="0"/>
        <w:keepLines w:val="0"/>
        <w:pageBreakBefore w:val="0"/>
        <w:kinsoku/>
        <w:wordWrap/>
        <w:overflowPunct/>
        <w:topLinePunct w:val="0"/>
        <w:bidi w:val="0"/>
        <w:snapToGrid/>
        <w:spacing w:line="580" w:lineRule="exact"/>
        <w:ind w:firstLine="643"/>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b/>
          <w:color w:val="000000"/>
          <w:sz w:val="32"/>
          <w:szCs w:val="32"/>
        </w:rPr>
        <w:t>2.财务</w:t>
      </w:r>
      <w:r>
        <w:rPr>
          <w:rFonts w:hint="eastAsia" w:ascii="仿宋_GB2312" w:hAnsi="仿宋_GB2312" w:eastAsia="仿宋_GB2312" w:cs="仿宋_GB2312"/>
          <w:b/>
          <w:color w:val="000000"/>
          <w:sz w:val="32"/>
          <w:szCs w:val="32"/>
          <w:lang w:val="en-US" w:eastAsia="zh-CN"/>
        </w:rPr>
        <w:t>管理</w:t>
      </w:r>
      <w:r>
        <w:rPr>
          <w:rFonts w:hint="eastAsia" w:ascii="仿宋_GB2312" w:hAnsi="仿宋_GB2312" w:eastAsia="仿宋_GB2312" w:cs="仿宋_GB2312"/>
          <w:b/>
          <w:color w:val="000000"/>
          <w:sz w:val="32"/>
          <w:szCs w:val="32"/>
        </w:rPr>
        <w:t>精细化。</w:t>
      </w:r>
      <w:r>
        <w:rPr>
          <w:rFonts w:hint="eastAsia" w:ascii="仿宋_GB2312" w:hAnsi="仿宋_GB2312" w:eastAsia="仿宋_GB2312" w:cs="仿宋_GB2312"/>
          <w:color w:val="000000"/>
          <w:sz w:val="32"/>
          <w:szCs w:val="32"/>
        </w:rPr>
        <w:t>在今后的</w:t>
      </w:r>
      <w:r>
        <w:rPr>
          <w:rFonts w:hint="eastAsia" w:ascii="仿宋_GB2312" w:hAnsi="仿宋_GB2312" w:eastAsia="仿宋_GB2312" w:cs="仿宋_GB2312"/>
          <w:color w:val="000000"/>
          <w:sz w:val="32"/>
          <w:szCs w:val="32"/>
          <w:lang w:val="en-US" w:eastAsia="zh-CN"/>
        </w:rPr>
        <w:t>财务管理</w:t>
      </w:r>
      <w:r>
        <w:rPr>
          <w:rFonts w:hint="eastAsia" w:ascii="仿宋_GB2312" w:hAnsi="仿宋_GB2312" w:eastAsia="仿宋_GB2312" w:cs="仿宋_GB2312"/>
          <w:color w:val="000000"/>
          <w:sz w:val="32"/>
          <w:szCs w:val="32"/>
        </w:rPr>
        <w:t>中，</w:t>
      </w:r>
      <w:r>
        <w:rPr>
          <w:rFonts w:hint="eastAsia" w:ascii="仿宋_GB2312" w:hAnsi="仿宋_GB2312" w:eastAsia="仿宋_GB2312" w:cs="仿宋_GB2312"/>
          <w:color w:val="000000"/>
          <w:sz w:val="32"/>
          <w:szCs w:val="32"/>
          <w:lang w:val="en-US" w:eastAsia="zh-CN"/>
        </w:rPr>
        <w:t>要</w:t>
      </w:r>
      <w:r>
        <w:rPr>
          <w:rFonts w:hint="eastAsia" w:ascii="仿宋_GB2312" w:hAnsi="仿宋_GB2312" w:eastAsia="仿宋_GB2312" w:cs="仿宋_GB2312"/>
          <w:color w:val="000000"/>
          <w:sz w:val="32"/>
          <w:szCs w:val="32"/>
        </w:rPr>
        <w:t>制定</w:t>
      </w:r>
      <w:r>
        <w:rPr>
          <w:rFonts w:hint="eastAsia" w:ascii="仿宋_GB2312" w:hAnsi="仿宋_GB2312" w:eastAsia="仿宋_GB2312" w:cs="仿宋_GB2312"/>
          <w:color w:val="000000"/>
          <w:sz w:val="32"/>
          <w:szCs w:val="32"/>
          <w:lang w:val="en-US" w:eastAsia="zh-CN"/>
        </w:rPr>
        <w:t>规范</w:t>
      </w:r>
      <w:r>
        <w:rPr>
          <w:rFonts w:hint="eastAsia" w:ascii="仿宋_GB2312" w:hAnsi="仿宋_GB2312" w:eastAsia="仿宋_GB2312" w:cs="仿宋_GB2312"/>
          <w:color w:val="000000"/>
          <w:sz w:val="32"/>
          <w:szCs w:val="32"/>
        </w:rPr>
        <w:t>而有效的资金使用明细计划，严格</w:t>
      </w:r>
      <w:r>
        <w:rPr>
          <w:rFonts w:hint="eastAsia" w:ascii="仿宋_GB2312" w:hAnsi="仿宋_GB2312" w:eastAsia="仿宋_GB2312" w:cs="仿宋_GB2312"/>
          <w:color w:val="000000"/>
          <w:sz w:val="32"/>
          <w:szCs w:val="32"/>
          <w:lang w:val="zh-CN"/>
        </w:rPr>
        <w:t>控制</w:t>
      </w:r>
      <w:r>
        <w:rPr>
          <w:rFonts w:hint="eastAsia" w:ascii="仿宋_GB2312" w:hAnsi="仿宋_GB2312" w:eastAsia="仿宋_GB2312" w:cs="仿宋_GB2312"/>
          <w:color w:val="000000"/>
          <w:sz w:val="32"/>
          <w:szCs w:val="32"/>
        </w:rPr>
        <w:t>支出费用。同时根据实际业务情况，</w:t>
      </w:r>
      <w:r>
        <w:rPr>
          <w:rFonts w:hint="eastAsia" w:ascii="仿宋_GB2312" w:hAnsi="仿宋_GB2312" w:eastAsia="仿宋_GB2312" w:cs="仿宋_GB2312"/>
          <w:color w:val="000000"/>
          <w:sz w:val="32"/>
          <w:szCs w:val="32"/>
          <w:lang w:val="en-US" w:eastAsia="zh-CN"/>
        </w:rPr>
        <w:t>进一步</w:t>
      </w:r>
      <w:r>
        <w:rPr>
          <w:rFonts w:hint="eastAsia" w:ascii="仿宋_GB2312" w:hAnsi="仿宋_GB2312" w:eastAsia="仿宋_GB2312" w:cs="仿宋_GB2312"/>
          <w:color w:val="000000"/>
          <w:sz w:val="32"/>
          <w:szCs w:val="32"/>
        </w:rPr>
        <w:t>加强</w:t>
      </w:r>
      <w:r>
        <w:rPr>
          <w:rFonts w:hint="eastAsia" w:ascii="仿宋_GB2312" w:hAnsi="仿宋_GB2312" w:eastAsia="仿宋_GB2312" w:cs="仿宋_GB2312"/>
          <w:color w:val="000000"/>
          <w:sz w:val="32"/>
          <w:szCs w:val="32"/>
          <w:lang w:val="en-US" w:eastAsia="zh-CN"/>
        </w:rPr>
        <w:t>财务人员</w:t>
      </w:r>
      <w:r>
        <w:rPr>
          <w:rFonts w:hint="eastAsia" w:ascii="仿宋_GB2312" w:hAnsi="仿宋_GB2312" w:eastAsia="仿宋_GB2312" w:cs="仿宋_GB2312"/>
          <w:color w:val="000000"/>
          <w:sz w:val="32"/>
          <w:szCs w:val="32"/>
        </w:rPr>
        <w:t>学习和培训，提高财务人员更精准的核算业务水平，使支出更合理化、</w:t>
      </w:r>
      <w:r>
        <w:rPr>
          <w:rFonts w:hint="eastAsia" w:ascii="仿宋_GB2312" w:hAnsi="仿宋_GB2312" w:eastAsia="仿宋_GB2312" w:cs="仿宋_GB2312"/>
          <w:color w:val="000000"/>
          <w:sz w:val="32"/>
          <w:szCs w:val="32"/>
          <w:lang w:val="zh-CN"/>
        </w:rPr>
        <w:t>确保财务核算真实、及时、准确、完整。</w:t>
      </w:r>
    </w:p>
    <w:p>
      <w:pPr>
        <w:pStyle w:val="25"/>
        <w:keepNext w:val="0"/>
        <w:keepLines w:val="0"/>
        <w:pageBreakBefore w:val="0"/>
        <w:kinsoku/>
        <w:wordWrap/>
        <w:overflowPunct/>
        <w:topLinePunct w:val="0"/>
        <w:bidi w:val="0"/>
        <w:snapToGrid/>
        <w:spacing w:line="580" w:lineRule="exact"/>
        <w:ind w:firstLine="643"/>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九、部门</w:t>
      </w:r>
      <w:r>
        <w:rPr>
          <w:rFonts w:hint="eastAsia" w:ascii="仿宋_GB2312" w:hAnsi="仿宋_GB2312" w:eastAsia="仿宋_GB2312" w:cs="仿宋_GB2312"/>
          <w:b/>
          <w:bCs/>
          <w:color w:val="000000"/>
          <w:sz w:val="32"/>
          <w:szCs w:val="32"/>
        </w:rPr>
        <w:t>整体支出绩效</w:t>
      </w:r>
      <w:r>
        <w:rPr>
          <w:rFonts w:hint="eastAsia" w:ascii="仿宋_GB2312" w:hAnsi="仿宋_GB2312" w:eastAsia="仿宋_GB2312" w:cs="仿宋_GB2312"/>
          <w:b/>
          <w:bCs/>
          <w:color w:val="000000"/>
          <w:sz w:val="32"/>
          <w:szCs w:val="32"/>
          <w:lang w:val="en-US" w:eastAsia="zh-CN"/>
        </w:rPr>
        <w:t>自</w:t>
      </w:r>
      <w:r>
        <w:rPr>
          <w:rFonts w:hint="eastAsia" w:ascii="仿宋_GB2312" w:hAnsi="仿宋_GB2312" w:eastAsia="仿宋_GB2312" w:cs="仿宋_GB2312"/>
          <w:b/>
          <w:bCs/>
          <w:color w:val="000000"/>
          <w:sz w:val="32"/>
          <w:szCs w:val="32"/>
        </w:rPr>
        <w:t>评</w:t>
      </w:r>
      <w:r>
        <w:rPr>
          <w:rFonts w:hint="eastAsia" w:ascii="仿宋_GB2312" w:hAnsi="仿宋_GB2312" w:eastAsia="仿宋_GB2312" w:cs="仿宋_GB2312"/>
          <w:b/>
          <w:bCs/>
          <w:color w:val="000000"/>
          <w:sz w:val="32"/>
          <w:szCs w:val="32"/>
          <w:lang w:val="en-US" w:eastAsia="zh-CN"/>
        </w:rPr>
        <w:t>结果拟应用和公开情况</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Cs/>
          <w:sz w:val="32"/>
          <w:szCs w:val="32"/>
        </w:rPr>
        <w:t>按照市委、市政府要求，我委较好</w:t>
      </w:r>
      <w:r>
        <w:rPr>
          <w:rFonts w:hint="eastAsia" w:ascii="仿宋_GB2312" w:hAnsi="仿宋_GB2312" w:eastAsia="仿宋_GB2312" w:cs="仿宋_GB2312"/>
          <w:bCs/>
          <w:sz w:val="32"/>
          <w:szCs w:val="32"/>
          <w:lang w:eastAsia="zh-CN"/>
        </w:rPr>
        <w:t>地</w:t>
      </w:r>
      <w:r>
        <w:rPr>
          <w:rFonts w:hint="eastAsia" w:ascii="仿宋_GB2312" w:hAnsi="仿宋_GB2312" w:eastAsia="仿宋_GB2312" w:cs="仿宋_GB2312"/>
          <w:bCs/>
          <w:sz w:val="32"/>
          <w:szCs w:val="32"/>
        </w:rPr>
        <w:t>完成了各项工作目标和任务，取得了较好的成效。各项指标完成率达100%</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000000"/>
          <w:sz w:val="32"/>
          <w:szCs w:val="32"/>
        </w:rPr>
        <w:t>根据评价指标体系测算，本单位部门整体支出绩效评价得分总绩效为９</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分。评价结果等次为“优”。以上数据来源于单位财务报表和决算数据</w:t>
      </w:r>
      <w:r>
        <w:rPr>
          <w:rFonts w:hint="eastAsia" w:ascii="仿宋_GB2312" w:hAnsi="仿宋_GB2312" w:eastAsia="仿宋_GB2312" w:cs="仿宋_GB2312"/>
          <w:bCs/>
          <w:sz w:val="32"/>
          <w:szCs w:val="32"/>
        </w:rPr>
        <w:t>。同时，已将各项支出情况在市财政局网站和国资委网站上进行了公布。</w:t>
      </w:r>
    </w:p>
    <w:p>
      <w:pPr>
        <w:pStyle w:val="5"/>
        <w:keepNext w:val="0"/>
        <w:keepLines w:val="0"/>
        <w:pageBreakBefore w:val="0"/>
        <w:numPr>
          <w:ilvl w:val="0"/>
          <w:numId w:val="10"/>
        </w:numPr>
        <w:kinsoku/>
        <w:wordWrap/>
        <w:overflowPunct/>
        <w:topLinePunct w:val="0"/>
        <w:bidi w:val="0"/>
        <w:snapToGrid/>
        <w:spacing w:line="580" w:lineRule="exact"/>
        <w:ind w:left="630" w:leftChars="0" w:firstLine="0" w:firstLineChars="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其他需要说明的情况</w:t>
      </w:r>
    </w:p>
    <w:p>
      <w:pPr>
        <w:pStyle w:val="5"/>
        <w:keepNext w:val="0"/>
        <w:keepLines w:val="0"/>
        <w:pageBreakBefore w:val="0"/>
        <w:numPr>
          <w:ilvl w:val="0"/>
          <w:numId w:val="0"/>
        </w:numPr>
        <w:kinsoku/>
        <w:wordWrap/>
        <w:overflowPunct/>
        <w:topLinePunct w:val="0"/>
        <w:bidi w:val="0"/>
        <w:snapToGrid/>
        <w:spacing w:line="58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报告需要以下附件：</w:t>
      </w:r>
    </w:p>
    <w:p>
      <w:pPr>
        <w:pStyle w:val="5"/>
        <w:keepNext w:val="0"/>
        <w:keepLines w:val="0"/>
        <w:pageBreakBefore w:val="0"/>
        <w:numPr>
          <w:ilvl w:val="0"/>
          <w:numId w:val="0"/>
        </w:numPr>
        <w:kinsoku/>
        <w:wordWrap/>
        <w:overflowPunct/>
        <w:topLinePunct w:val="0"/>
        <w:bidi w:val="0"/>
        <w:snapToGrid/>
        <w:spacing w:line="58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附件2、2023年度部门整体支出绩效评价基础数据表</w:t>
      </w:r>
    </w:p>
    <w:p>
      <w:pPr>
        <w:pStyle w:val="5"/>
        <w:keepNext w:val="0"/>
        <w:keepLines w:val="0"/>
        <w:pageBreakBefore w:val="0"/>
        <w:numPr>
          <w:ilvl w:val="0"/>
          <w:numId w:val="0"/>
        </w:numPr>
        <w:kinsoku/>
        <w:wordWrap/>
        <w:overflowPunct/>
        <w:topLinePunct w:val="0"/>
        <w:bidi w:val="0"/>
        <w:snapToGrid/>
        <w:spacing w:line="58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附件3、2023年部门整体支出绩效自评表</w:t>
      </w:r>
    </w:p>
    <w:p>
      <w:pPr>
        <w:pStyle w:val="5"/>
        <w:keepNext w:val="0"/>
        <w:keepLines w:val="0"/>
        <w:pageBreakBefore w:val="0"/>
        <w:numPr>
          <w:ilvl w:val="0"/>
          <w:numId w:val="0"/>
        </w:numPr>
        <w:kinsoku/>
        <w:wordWrap/>
        <w:overflowPunct/>
        <w:topLinePunct w:val="0"/>
        <w:bidi w:val="0"/>
        <w:snapToGrid/>
        <w:spacing w:line="58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附件4、项目支出自评表</w:t>
      </w:r>
    </w:p>
    <w:p>
      <w:pPr>
        <w:pStyle w:val="5"/>
        <w:numPr>
          <w:ilvl w:val="0"/>
          <w:numId w:val="0"/>
        </w:numPr>
        <w:rPr>
          <w:rFonts w:hint="eastAsia" w:ascii="仿宋_GB2312" w:hAnsi="仿宋_GB2312" w:eastAsia="仿宋_GB2312" w:cs="仿宋_GB2312"/>
          <w:color w:val="000000"/>
          <w:sz w:val="32"/>
          <w:szCs w:val="32"/>
          <w:lang w:val="en-US" w:eastAsia="zh-CN"/>
        </w:rPr>
      </w:pPr>
    </w:p>
    <w:p>
      <w:pPr>
        <w:pStyle w:val="5"/>
        <w:numPr>
          <w:ilvl w:val="0"/>
          <w:numId w:val="0"/>
        </w:numPr>
        <w:rPr>
          <w:rFonts w:hint="eastAsia" w:ascii="仿宋_GB2312" w:hAnsi="仿宋_GB2312" w:eastAsia="仿宋_GB2312" w:cs="仿宋_GB2312"/>
          <w:color w:val="000000"/>
          <w:sz w:val="32"/>
          <w:szCs w:val="32"/>
          <w:lang w:val="en-US" w:eastAsia="zh-CN"/>
        </w:rPr>
      </w:pPr>
    </w:p>
    <w:p>
      <w:pPr>
        <w:pStyle w:val="5"/>
        <w:numPr>
          <w:ilvl w:val="0"/>
          <w:numId w:val="0"/>
        </w:numPr>
        <w:rPr>
          <w:rFonts w:hint="eastAsia" w:ascii="仿宋_GB2312" w:hAnsi="仿宋_GB2312" w:eastAsia="仿宋_GB2312" w:cs="仿宋_GB2312"/>
          <w:color w:val="000000"/>
          <w:sz w:val="32"/>
          <w:szCs w:val="32"/>
          <w:lang w:val="en-US" w:eastAsia="zh-CN"/>
        </w:rPr>
      </w:pPr>
    </w:p>
    <w:p>
      <w:pPr>
        <w:pStyle w:val="5"/>
        <w:numPr>
          <w:ilvl w:val="0"/>
          <w:numId w:val="0"/>
        </w:numPr>
        <w:rPr>
          <w:rFonts w:hint="eastAsia" w:ascii="仿宋_GB2312" w:hAnsi="仿宋_GB2312" w:eastAsia="仿宋_GB2312" w:cs="仿宋_GB2312"/>
          <w:color w:val="000000"/>
          <w:sz w:val="32"/>
          <w:szCs w:val="32"/>
          <w:lang w:val="en-US" w:eastAsia="zh-CN"/>
        </w:rPr>
      </w:pPr>
    </w:p>
    <w:p>
      <w:pPr>
        <w:pStyle w:val="5"/>
        <w:numPr>
          <w:ilvl w:val="0"/>
          <w:numId w:val="0"/>
        </w:numPr>
        <w:rPr>
          <w:rFonts w:hint="eastAsia" w:ascii="仿宋_GB2312" w:hAnsi="仿宋_GB2312" w:eastAsia="仿宋_GB2312" w:cs="仿宋_GB2312"/>
          <w:color w:val="000000"/>
          <w:sz w:val="32"/>
          <w:szCs w:val="32"/>
          <w:lang w:val="en-US" w:eastAsia="zh-CN"/>
        </w:rPr>
      </w:pPr>
    </w:p>
    <w:p>
      <w:pPr>
        <w:pStyle w:val="5"/>
        <w:numPr>
          <w:ilvl w:val="0"/>
          <w:numId w:val="0"/>
        </w:numPr>
        <w:rPr>
          <w:rFonts w:hint="eastAsia" w:ascii="仿宋_GB2312" w:hAnsi="仿宋_GB2312" w:eastAsia="仿宋_GB2312" w:cs="仿宋_GB2312"/>
          <w:color w:val="000000"/>
          <w:sz w:val="32"/>
          <w:szCs w:val="32"/>
          <w:lang w:val="en-US" w:eastAsia="zh-CN"/>
        </w:rPr>
      </w:pPr>
    </w:p>
    <w:p>
      <w:pPr>
        <w:pStyle w:val="5"/>
        <w:numPr>
          <w:ilvl w:val="0"/>
          <w:numId w:val="0"/>
        </w:numPr>
        <w:rPr>
          <w:rFonts w:hint="eastAsia" w:ascii="仿宋_GB2312" w:hAnsi="仿宋_GB2312" w:eastAsia="仿宋_GB2312" w:cs="仿宋_GB2312"/>
          <w:color w:val="000000"/>
          <w:sz w:val="32"/>
          <w:szCs w:val="32"/>
          <w:lang w:val="en-US" w:eastAsia="zh-CN"/>
        </w:rPr>
      </w:pPr>
    </w:p>
    <w:p>
      <w:pPr>
        <w:rPr>
          <w:rFonts w:hint="eastAsia"/>
          <w:lang w:val="en-US" w:eastAsia="zh-CN"/>
        </w:rPr>
      </w:pPr>
      <w:r>
        <w:rPr>
          <w:rFonts w:hint="eastAsia"/>
          <w:lang w:val="en-US" w:eastAsia="zh-CN"/>
        </w:rPr>
        <w:t xml:space="preserve"> </w:t>
      </w:r>
    </w:p>
    <w:p>
      <w:pPr>
        <w:pStyle w:val="2"/>
        <w:rPr>
          <w:rFonts w:hint="default"/>
          <w:lang w:val="en-US" w:eastAsia="zh-CN"/>
        </w:rPr>
      </w:pPr>
    </w:p>
    <w:p>
      <w:pPr>
        <w:pStyle w:val="2"/>
        <w:rPr>
          <w:rFonts w:hint="eastAsia"/>
          <w:lang w:val="en-US" w:eastAsia="zh-CN"/>
        </w:rPr>
      </w:pPr>
    </w:p>
    <w:p>
      <w:pPr>
        <w:pStyle w:val="5"/>
        <w:numPr>
          <w:ilvl w:val="0"/>
          <w:numId w:val="0"/>
        </w:numP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附件2</w:t>
      </w:r>
    </w:p>
    <w:tbl>
      <w:tblPr>
        <w:tblStyle w:val="15"/>
        <w:tblpPr w:leftFromText="180" w:rightFromText="180" w:vertAnchor="text" w:horzAnchor="page" w:tblpX="1225" w:tblpY="547"/>
        <w:tblOverlap w:val="never"/>
        <w:tblW w:w="10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94"/>
        <w:gridCol w:w="1080"/>
        <w:gridCol w:w="816"/>
        <w:gridCol w:w="1080"/>
        <w:gridCol w:w="1035"/>
        <w:gridCol w:w="108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11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202</w:t>
            </w:r>
            <w:r>
              <w:rPr>
                <w:rFonts w:hint="eastAsia" w:ascii="宋体" w:hAnsi="宋体" w:cs="宋体"/>
                <w:i w:val="0"/>
                <w:iCs w:val="0"/>
                <w:color w:val="000000"/>
                <w:kern w:val="0"/>
                <w:sz w:val="36"/>
                <w:szCs w:val="36"/>
                <w:u w:val="none"/>
                <w:lang w:val="en-US" w:eastAsia="zh-CN" w:bidi="ar"/>
              </w:rPr>
              <w:t>3</w:t>
            </w:r>
            <w:r>
              <w:rPr>
                <w:rFonts w:hint="eastAsia" w:ascii="宋体" w:hAnsi="宋体" w:eastAsia="宋体" w:cs="宋体"/>
                <w:i w:val="0"/>
                <w:iCs w:val="0"/>
                <w:color w:val="000000"/>
                <w:kern w:val="0"/>
                <w:sz w:val="36"/>
                <w:szCs w:val="36"/>
                <w:u w:val="none"/>
                <w:lang w:val="en-US" w:eastAsia="zh-CN" w:bidi="ar"/>
              </w:rPr>
              <w:t>年度部门整体支出绩效评价基础数据表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财政供养人员情况（人）</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编制数</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w:t>
            </w:r>
            <w:r>
              <w:rPr>
                <w:rFonts w:hint="eastAsia" w:cs="Times New Roman"/>
                <w:b/>
                <w:bCs/>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年实际在职人数</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4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28</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88</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经费控制情况（万元）</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w:t>
            </w:r>
            <w:r>
              <w:rPr>
                <w:rFonts w:hint="eastAsia" w:cs="Times New Roman"/>
                <w:b/>
                <w:bCs/>
                <w:i w:val="0"/>
                <w:iCs w:val="0"/>
                <w:color w:val="000000"/>
                <w:kern w:val="0"/>
                <w:sz w:val="20"/>
                <w:szCs w:val="20"/>
                <w:u w:val="none"/>
                <w:lang w:val="en-US" w:eastAsia="zh-CN" w:bidi="ar"/>
              </w:rPr>
              <w:t>2</w:t>
            </w:r>
            <w:r>
              <w:rPr>
                <w:rFonts w:hint="eastAsia" w:ascii="宋体" w:hAnsi="宋体" w:eastAsia="宋体" w:cs="宋体"/>
                <w:b/>
                <w:bCs/>
                <w:i w:val="0"/>
                <w:iCs w:val="0"/>
                <w:color w:val="000000"/>
                <w:kern w:val="0"/>
                <w:sz w:val="20"/>
                <w:szCs w:val="20"/>
                <w:u w:val="none"/>
                <w:lang w:val="en-US" w:eastAsia="zh-CN" w:bidi="ar"/>
              </w:rPr>
              <w:t>年决算数</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w:t>
            </w:r>
            <w:r>
              <w:rPr>
                <w:rFonts w:hint="eastAsia" w:cs="Times New Roman"/>
                <w:b/>
                <w:bCs/>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年预算数</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w:t>
            </w:r>
            <w:r>
              <w:rPr>
                <w:rFonts w:hint="eastAsia" w:cs="Times New Roman"/>
                <w:b/>
                <w:bCs/>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一、部门基本支出</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2181.35</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2216.08</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2286.44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其中：公用经费</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55.91</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72.99</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其中：办公经费</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8.83</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8.39</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水费、电费、差旅费</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9.38</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会议费、培训费</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2.3</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0.49</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w:t>
            </w:r>
            <w:r>
              <w:rPr>
                <w:rFonts w:hint="eastAsia" w:ascii="宋体" w:hAnsi="宋体" w:cs="宋体"/>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、公务用车购置和维护经费</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其中：公交车购置</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公交车运行维护</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w:t>
            </w:r>
            <w:r>
              <w:rPr>
                <w:rFonts w:hint="eastAsia" w:ascii="宋体" w:hAnsi="宋体" w:eastAsia="宋体" w:cs="宋体"/>
                <w:i w:val="0"/>
                <w:iCs w:val="0"/>
                <w:color w:val="000000"/>
                <w:kern w:val="0"/>
                <w:sz w:val="20"/>
                <w:szCs w:val="20"/>
                <w:u w:val="none"/>
                <w:lang w:val="en-US" w:eastAsia="zh-CN" w:bidi="ar"/>
              </w:rPr>
              <w:t>、出国经费</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3</w:t>
            </w:r>
            <w:r>
              <w:rPr>
                <w:rFonts w:hint="eastAsia" w:ascii="宋体" w:hAnsi="宋体" w:eastAsia="宋体" w:cs="宋体"/>
                <w:i w:val="0"/>
                <w:iCs w:val="0"/>
                <w:color w:val="000000"/>
                <w:kern w:val="0"/>
                <w:sz w:val="20"/>
                <w:szCs w:val="20"/>
                <w:u w:val="none"/>
                <w:lang w:val="en-US" w:eastAsia="zh-CN" w:bidi="ar"/>
              </w:rPr>
              <w:t>、公务接待</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0.44</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1</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二、部门项目支出</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16</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18</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w:t>
            </w:r>
            <w:r>
              <w:rPr>
                <w:rFonts w:hint="eastAsia" w:ascii="宋体" w:hAnsi="宋体" w:eastAsia="宋体" w:cs="宋体"/>
                <w:i w:val="0"/>
                <w:iCs w:val="0"/>
                <w:color w:val="000000"/>
                <w:kern w:val="0"/>
                <w:sz w:val="20"/>
                <w:szCs w:val="20"/>
                <w:u w:val="none"/>
                <w:lang w:val="en-US" w:eastAsia="zh-CN" w:bidi="ar"/>
              </w:rPr>
              <w:t>、业务工作经费（一个项目一行）</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16</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18</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市属国有企业国资监管工作经费（包括：办公费、培训费、差旅费</w:t>
            </w:r>
            <w:r>
              <w:rPr>
                <w:rFonts w:hint="eastAsia" w:ascii="宋体" w:hAnsi="宋体" w:cs="宋体"/>
                <w:i w:val="0"/>
                <w:iCs w:val="0"/>
                <w:color w:val="000000"/>
                <w:kern w:val="0"/>
                <w:sz w:val="20"/>
                <w:szCs w:val="20"/>
                <w:u w:val="none"/>
                <w:lang w:val="en-US" w:eastAsia="zh-CN" w:bidi="ar"/>
              </w:rPr>
              <w:t>等</w:t>
            </w:r>
            <w:r>
              <w:rPr>
                <w:rFonts w:hint="eastAsia" w:ascii="宋体" w:hAnsi="宋体" w:eastAsia="宋体" w:cs="宋体"/>
                <w:i w:val="0"/>
                <w:iCs w:val="0"/>
                <w:color w:val="000000"/>
                <w:kern w:val="0"/>
                <w:sz w:val="20"/>
                <w:szCs w:val="20"/>
                <w:u w:val="none"/>
                <w:lang w:val="en-US" w:eastAsia="zh-CN" w:bidi="ar"/>
              </w:rPr>
              <w:t>）</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cs="Times New Roman"/>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市国企改革办工作经费</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3</w:t>
            </w:r>
            <w:r>
              <w:rPr>
                <w:rFonts w:hint="eastAsia" w:ascii="宋体" w:hAnsi="宋体" w:eastAsia="宋体" w:cs="宋体"/>
                <w:i w:val="0"/>
                <w:iCs w:val="0"/>
                <w:color w:val="000000"/>
                <w:kern w:val="0"/>
                <w:sz w:val="20"/>
                <w:szCs w:val="20"/>
                <w:u w:val="none"/>
                <w:lang w:val="en-US" w:eastAsia="zh-CN" w:bidi="ar"/>
              </w:rPr>
              <w:t xml:space="preserve">、市级专项资金（一个项目一行）  </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政府采购金额</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3.37</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部门基本支出预算调整</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70.36</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楼堂馆所控制情况</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（2021年完工项目）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批复规模</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实际规模（㎡）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规模控制率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预算投资（万元）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实际投资（万元）</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厉行节约保障措施</w:t>
            </w:r>
          </w:p>
        </w:tc>
        <w:tc>
          <w:tcPr>
            <w:tcW w:w="59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110" w:type="dxa"/>
            <w:gridSpan w:val="7"/>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ascii="方正书宋_GBK" w:hAnsi="方正书宋_GBK" w:eastAsia="方正书宋_GBK" w:cs="方正书宋_GBK"/>
                <w:i w:val="0"/>
                <w:iCs w:val="0"/>
                <w:color w:val="000000"/>
                <w:kern w:val="0"/>
                <w:sz w:val="22"/>
                <w:szCs w:val="22"/>
                <w:u w:val="none"/>
                <w:lang w:val="en-US" w:eastAsia="zh-CN" w:bidi="ar"/>
              </w:rPr>
            </w:pPr>
            <w:r>
              <w:rPr>
                <w:rFonts w:ascii="方正书宋_GBK" w:hAnsi="方正书宋_GBK" w:eastAsia="方正书宋_GBK" w:cs="方正书宋_GBK"/>
                <w:i w:val="0"/>
                <w:iCs w:val="0"/>
                <w:color w:val="000000"/>
                <w:kern w:val="0"/>
                <w:sz w:val="22"/>
                <w:szCs w:val="22"/>
                <w:u w:val="none"/>
                <w:lang w:val="en-US" w:eastAsia="zh-CN" w:bidi="ar"/>
              </w:rPr>
              <w:t>说明：</w:t>
            </w:r>
            <w:r>
              <w:rPr>
                <w:rFonts w:hint="default" w:ascii="Times New Roman" w:hAnsi="Times New Roman" w:eastAsia="宋体" w:cs="Times New Roman"/>
                <w:i w:val="0"/>
                <w:iCs w:val="0"/>
                <w:color w:val="000000"/>
                <w:kern w:val="0"/>
                <w:sz w:val="22"/>
                <w:szCs w:val="22"/>
                <w:u w:val="none"/>
                <w:lang w:val="en-US" w:eastAsia="zh-CN" w:bidi="ar"/>
              </w:rPr>
              <w:t>“</w:t>
            </w:r>
            <w:r>
              <w:rPr>
                <w:rFonts w:ascii="方正书宋_GBK" w:hAnsi="方正书宋_GBK" w:eastAsia="方正书宋_GBK" w:cs="方正书宋_GBK"/>
                <w:i w:val="0"/>
                <w:iCs w:val="0"/>
                <w:color w:val="000000"/>
                <w:kern w:val="0"/>
                <w:sz w:val="22"/>
                <w:szCs w:val="22"/>
                <w:u w:val="none"/>
                <w:lang w:val="en-US" w:eastAsia="zh-CN" w:bidi="ar"/>
              </w:rPr>
              <w:t>项目支出</w:t>
            </w:r>
            <w:r>
              <w:rPr>
                <w:rFonts w:hint="default" w:ascii="Times New Roman" w:hAnsi="Times New Roman" w:eastAsia="宋体" w:cs="Times New Roman"/>
                <w:i w:val="0"/>
                <w:iCs w:val="0"/>
                <w:color w:val="000000"/>
                <w:kern w:val="0"/>
                <w:sz w:val="22"/>
                <w:szCs w:val="22"/>
                <w:u w:val="none"/>
                <w:lang w:val="en-US" w:eastAsia="zh-CN" w:bidi="ar"/>
              </w:rPr>
              <w:t>”</w:t>
            </w:r>
            <w:r>
              <w:rPr>
                <w:rFonts w:ascii="方正书宋_GBK" w:hAnsi="方正书宋_GBK" w:eastAsia="方正书宋_GBK" w:cs="方正书宋_GBK"/>
                <w:i w:val="0"/>
                <w:iCs w:val="0"/>
                <w:color w:val="000000"/>
                <w:kern w:val="0"/>
                <w:sz w:val="22"/>
                <w:szCs w:val="22"/>
                <w:u w:val="none"/>
                <w:lang w:val="en-US" w:eastAsia="zh-CN" w:bidi="ar"/>
              </w:rPr>
              <w:t>需要填报基本支出以外的所有项目支出情况，</w:t>
            </w:r>
            <w:r>
              <w:rPr>
                <w:rFonts w:hint="default" w:ascii="Times New Roman" w:hAnsi="Times New Roman" w:eastAsia="宋体" w:cs="Times New Roman"/>
                <w:i w:val="0"/>
                <w:iCs w:val="0"/>
                <w:color w:val="000000"/>
                <w:kern w:val="0"/>
                <w:sz w:val="22"/>
                <w:szCs w:val="22"/>
                <w:u w:val="none"/>
                <w:lang w:val="en-US" w:eastAsia="zh-CN" w:bidi="ar"/>
              </w:rPr>
              <w:t>“</w:t>
            </w:r>
            <w:r>
              <w:rPr>
                <w:rFonts w:ascii="方正书宋_GBK" w:hAnsi="方正书宋_GBK" w:eastAsia="方正书宋_GBK" w:cs="方正书宋_GBK"/>
                <w:i w:val="0"/>
                <w:iCs w:val="0"/>
                <w:color w:val="000000"/>
                <w:kern w:val="0"/>
                <w:sz w:val="22"/>
                <w:szCs w:val="22"/>
                <w:u w:val="none"/>
                <w:lang w:val="en-US" w:eastAsia="zh-CN" w:bidi="ar"/>
              </w:rPr>
              <w:t>公用经费</w:t>
            </w:r>
            <w:r>
              <w:rPr>
                <w:rFonts w:hint="default" w:ascii="Times New Roman" w:hAnsi="Times New Roman" w:eastAsia="宋体" w:cs="Times New Roman"/>
                <w:i w:val="0"/>
                <w:iCs w:val="0"/>
                <w:color w:val="000000"/>
                <w:kern w:val="0"/>
                <w:sz w:val="22"/>
                <w:szCs w:val="22"/>
                <w:u w:val="none"/>
                <w:lang w:val="en-US" w:eastAsia="zh-CN" w:bidi="ar"/>
              </w:rPr>
              <w:t>”</w:t>
            </w:r>
            <w:r>
              <w:rPr>
                <w:rFonts w:ascii="方正书宋_GBK" w:hAnsi="方正书宋_GBK" w:eastAsia="方正书宋_GBK" w:cs="方正书宋_GBK"/>
                <w:i w:val="0"/>
                <w:iCs w:val="0"/>
                <w:color w:val="000000"/>
                <w:kern w:val="0"/>
                <w:sz w:val="22"/>
                <w:szCs w:val="22"/>
                <w:u w:val="none"/>
                <w:lang w:val="en-US" w:eastAsia="zh-CN" w:bidi="ar"/>
              </w:rPr>
              <w:t>填报基本支出中的一般商品和服务支出。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lang w:val="en-US"/>
              </w:rPr>
            </w:pPr>
            <w:r>
              <w:rPr>
                <w:rFonts w:ascii="方正书宋_GBK" w:hAnsi="方正书宋_GBK" w:eastAsia="方正书宋_GBK" w:cs="方正书宋_GBK"/>
                <w:i w:val="0"/>
                <w:iCs w:val="0"/>
                <w:color w:val="000000"/>
                <w:kern w:val="0"/>
                <w:sz w:val="22"/>
                <w:szCs w:val="22"/>
                <w:u w:val="none"/>
                <w:lang w:val="en-US" w:eastAsia="zh-CN" w:bidi="ar"/>
              </w:rPr>
              <w:t>填表人：</w:t>
            </w:r>
            <w:r>
              <w:rPr>
                <w:rFonts w:hint="eastAsia" w:ascii="宋体" w:hAnsi="宋体" w:eastAsia="宋体" w:cs="宋体"/>
                <w:i w:val="0"/>
                <w:iCs w:val="0"/>
                <w:color w:val="000000"/>
                <w:kern w:val="0"/>
                <w:sz w:val="22"/>
                <w:szCs w:val="22"/>
                <w:u w:val="none"/>
                <w:lang w:val="en-US" w:eastAsia="zh-CN" w:bidi="ar"/>
              </w:rPr>
              <w:t>肖景文</w:t>
            </w:r>
            <w:r>
              <w:rPr>
                <w:rFonts w:hint="eastAsia" w:ascii="宋体" w:hAnsi="宋体" w:cs="宋体"/>
                <w:i w:val="0"/>
                <w:iCs w:val="0"/>
                <w:color w:val="000000"/>
                <w:kern w:val="0"/>
                <w:sz w:val="22"/>
                <w:szCs w:val="22"/>
                <w:u w:val="none"/>
                <w:lang w:val="en-US" w:eastAsia="zh-CN" w:bidi="ar"/>
              </w:rPr>
              <w:t xml:space="preserve"> </w:t>
            </w:r>
            <w:r>
              <w:rPr>
                <w:rFonts w:ascii="方正书宋_GBK" w:hAnsi="方正书宋_GBK" w:eastAsia="方正书宋_GBK" w:cs="方正书宋_GBK"/>
                <w:i w:val="0"/>
                <w:iCs w:val="0"/>
                <w:color w:val="000000"/>
                <w:kern w:val="0"/>
                <w:sz w:val="22"/>
                <w:szCs w:val="22"/>
                <w:u w:val="none"/>
                <w:lang w:val="en-US" w:eastAsia="zh-CN" w:bidi="ar"/>
              </w:rPr>
              <w:t>填报日期：</w:t>
            </w:r>
            <w:r>
              <w:rPr>
                <w:rFonts w:hint="default" w:ascii="Times New Roman" w:hAnsi="Times New Roman" w:eastAsia="宋体" w:cs="Times New Roman"/>
                <w:i w:val="0"/>
                <w:iCs w:val="0"/>
                <w:color w:val="000000"/>
                <w:kern w:val="0"/>
                <w:sz w:val="22"/>
                <w:szCs w:val="22"/>
                <w:u w:val="none"/>
                <w:lang w:val="en-US" w:eastAsia="zh-CN" w:bidi="ar"/>
              </w:rPr>
              <w:t>202</w:t>
            </w:r>
            <w:r>
              <w:rPr>
                <w:rFonts w:hint="eastAsia"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年</w:t>
            </w:r>
            <w:r>
              <w:rPr>
                <w:rFonts w:hint="eastAsia"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月</w:t>
            </w:r>
            <w:r>
              <w:rPr>
                <w:rFonts w:hint="eastAsia" w:cs="Times New Roman"/>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日</w:t>
            </w:r>
            <w:r>
              <w:rPr>
                <w:rFonts w:hint="eastAsia" w:ascii="宋体" w:hAnsi="宋体" w:cs="宋体"/>
                <w:i w:val="0"/>
                <w:iCs w:val="0"/>
                <w:color w:val="000000"/>
                <w:kern w:val="0"/>
                <w:sz w:val="22"/>
                <w:szCs w:val="22"/>
                <w:u w:val="none"/>
                <w:lang w:val="en-US" w:eastAsia="zh-CN" w:bidi="ar"/>
              </w:rPr>
              <w:t xml:space="preserve"> </w:t>
            </w:r>
            <w:r>
              <w:rPr>
                <w:rFonts w:ascii="方正书宋_GBK" w:hAnsi="方正书宋_GBK" w:eastAsia="方正书宋_GBK" w:cs="方正书宋_GBK"/>
                <w:i w:val="0"/>
                <w:iCs w:val="0"/>
                <w:color w:val="000000"/>
                <w:kern w:val="0"/>
                <w:sz w:val="22"/>
                <w:szCs w:val="22"/>
                <w:u w:val="none"/>
                <w:lang w:val="en-US" w:eastAsia="zh-CN" w:bidi="ar"/>
              </w:rPr>
              <w:t>联系电话：</w:t>
            </w:r>
            <w:r>
              <w:rPr>
                <w:rFonts w:hint="default" w:ascii="Times New Roman" w:hAnsi="Times New Roman" w:eastAsia="宋体" w:cs="Times New Roman"/>
                <w:i w:val="0"/>
                <w:iCs w:val="0"/>
                <w:color w:val="000000"/>
                <w:kern w:val="0"/>
                <w:sz w:val="22"/>
                <w:szCs w:val="22"/>
                <w:u w:val="none"/>
                <w:lang w:val="en-US" w:eastAsia="zh-CN" w:bidi="ar"/>
              </w:rPr>
              <w:t xml:space="preserve">18074673632  </w:t>
            </w:r>
            <w:r>
              <w:rPr>
                <w:rFonts w:ascii="方正书宋_GBK" w:hAnsi="方正书宋_GBK" w:eastAsia="方正书宋_GBK" w:cs="方正书宋_GBK"/>
                <w:i w:val="0"/>
                <w:iCs w:val="0"/>
                <w:color w:val="000000"/>
                <w:kern w:val="0"/>
                <w:sz w:val="22"/>
                <w:szCs w:val="22"/>
                <w:u w:val="none"/>
                <w:lang w:val="en-US" w:eastAsia="zh-CN" w:bidi="ar"/>
              </w:rPr>
              <w:t>单位负责人签字：</w:t>
            </w:r>
            <w:r>
              <w:rPr>
                <w:rFonts w:hint="eastAsia" w:ascii="方正书宋_GBK" w:hAnsi="方正书宋_GBK" w:eastAsia="方正书宋_GBK" w:cs="方正书宋_GBK"/>
                <w:i w:val="0"/>
                <w:iCs w:val="0"/>
                <w:color w:val="000000"/>
                <w:kern w:val="0"/>
                <w:sz w:val="22"/>
                <w:szCs w:val="22"/>
                <w:u w:val="none"/>
                <w:lang w:val="en-US" w:eastAsia="zh-CN" w:bidi="ar"/>
              </w:rPr>
              <w:t>李社光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110" w:type="dxa"/>
            <w:gridSpan w:val="7"/>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10" w:type="dxa"/>
            <w:gridSpan w:val="7"/>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110" w:type="dxa"/>
            <w:gridSpan w:val="7"/>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10" w:type="dxa"/>
            <w:gridSpan w:val="7"/>
            <w:tcBorders>
              <w:top w:val="nil"/>
              <w:left w:val="nil"/>
              <w:bottom w:val="nil"/>
              <w:right w:val="nil"/>
            </w:tcBorders>
            <w:shd w:val="clear" w:color="auto" w:fill="auto"/>
            <w:vAlign w:val="center"/>
          </w:tcPr>
          <w:p>
            <w:pPr>
              <w:pStyle w:val="2"/>
              <w:rPr>
                <w:rFonts w:hint="default"/>
              </w:rPr>
            </w:pPr>
          </w:p>
          <w:p>
            <w:pPr>
              <w:pStyle w:val="2"/>
              <w:rPr>
                <w:rFonts w:hint="default"/>
              </w:rPr>
            </w:pPr>
          </w:p>
          <w:p>
            <w:pPr>
              <w:pStyle w:val="2"/>
              <w:rPr>
                <w:rFonts w:hint="default"/>
              </w:rPr>
            </w:pPr>
          </w:p>
          <w:p>
            <w:pPr>
              <w:pStyle w:val="5"/>
              <w:rPr>
                <w:rFonts w:hint="default" w:eastAsia="宋体"/>
                <w:lang w:val="en-US" w:eastAsia="zh-CN"/>
              </w:rPr>
            </w:pPr>
            <w:r>
              <w:rPr>
                <w:rFonts w:hint="eastAsia"/>
                <w:lang w:val="en-US" w:eastAsia="zh-CN"/>
              </w:rPr>
              <w:t>附件3</w:t>
            </w:r>
          </w:p>
        </w:tc>
      </w:tr>
    </w:tbl>
    <w:tbl>
      <w:tblPr>
        <w:tblStyle w:val="15"/>
        <w:tblpPr w:leftFromText="180" w:rightFromText="180" w:vertAnchor="text" w:horzAnchor="page" w:tblpX="850" w:tblpY="351"/>
        <w:tblOverlap w:val="never"/>
        <w:tblW w:w="105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616"/>
        <w:gridCol w:w="416"/>
        <w:gridCol w:w="5054"/>
        <w:gridCol w:w="873"/>
        <w:gridCol w:w="915"/>
        <w:gridCol w:w="570"/>
        <w:gridCol w:w="69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10590" w:type="dxa"/>
            <w:gridSpan w:val="9"/>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202</w:t>
            </w:r>
            <w:r>
              <w:rPr>
                <w:rFonts w:hint="eastAsia" w:ascii="宋体" w:hAnsi="宋体" w:cs="宋体"/>
                <w:i w:val="0"/>
                <w:iCs w:val="0"/>
                <w:color w:val="000000"/>
                <w:kern w:val="0"/>
                <w:sz w:val="44"/>
                <w:szCs w:val="44"/>
                <w:u w:val="none"/>
                <w:lang w:val="en-US" w:eastAsia="zh-CN" w:bidi="ar"/>
              </w:rPr>
              <w:t>3</w:t>
            </w:r>
            <w:r>
              <w:rPr>
                <w:rFonts w:hint="eastAsia" w:ascii="宋体" w:hAnsi="宋体" w:eastAsia="宋体" w:cs="宋体"/>
                <w:i w:val="0"/>
                <w:iCs w:val="0"/>
                <w:color w:val="000000"/>
                <w:kern w:val="0"/>
                <w:sz w:val="44"/>
                <w:szCs w:val="44"/>
                <w:u w:val="none"/>
                <w:lang w:val="en-US" w:eastAsia="zh-CN" w:bidi="ar"/>
              </w:rPr>
              <w:t>年度部门整体支出绩效自评表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059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4"/>
                <w:szCs w:val="4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市级预算部门名称</w:t>
            </w:r>
          </w:p>
        </w:tc>
        <w:tc>
          <w:tcPr>
            <w:tcW w:w="99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永州市人民政府国有资产监督管理委员会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算申请</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5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2234.08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2325.83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2325.83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按收入性质分：</w:t>
            </w:r>
            <w:r>
              <w:rPr>
                <w:rFonts w:hint="eastAsia" w:ascii="宋体" w:hAnsi="宋体" w:cs="宋体"/>
                <w:i w:val="0"/>
                <w:iCs w:val="0"/>
                <w:color w:val="000000"/>
                <w:kern w:val="0"/>
                <w:sz w:val="20"/>
                <w:szCs w:val="20"/>
                <w:u w:val="none"/>
                <w:lang w:val="en-US" w:eastAsia="zh-CN" w:bidi="ar"/>
              </w:rPr>
              <w:t>2325.83</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按支出性质分：</w:t>
            </w:r>
            <w:r>
              <w:rPr>
                <w:rFonts w:hint="eastAsia" w:cs="Times New Roman"/>
                <w:i w:val="0"/>
                <w:iCs w:val="0"/>
                <w:color w:val="000000"/>
                <w:kern w:val="0"/>
                <w:sz w:val="20"/>
                <w:szCs w:val="20"/>
                <w:u w:val="none"/>
                <w:lang w:val="en-US" w:eastAsia="zh-CN" w:bidi="ar"/>
              </w:rPr>
              <w:t>2325.83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其中：</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一般公共预算：</w:t>
            </w:r>
            <w:r>
              <w:rPr>
                <w:rFonts w:hint="eastAsia" w:cs="Times New Roman"/>
                <w:i w:val="0"/>
                <w:iCs w:val="0"/>
                <w:color w:val="000000"/>
                <w:kern w:val="0"/>
                <w:sz w:val="20"/>
                <w:szCs w:val="20"/>
                <w:u w:val="none"/>
                <w:lang w:val="en-US" w:eastAsia="zh-CN" w:bidi="ar"/>
              </w:rPr>
              <w:t>2304.44</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其中：基本支出：</w:t>
            </w:r>
            <w:r>
              <w:rPr>
                <w:rFonts w:hint="eastAsia" w:ascii="宋体" w:hAnsi="宋体" w:cs="宋体"/>
                <w:i w:val="0"/>
                <w:iCs w:val="0"/>
                <w:color w:val="000000"/>
                <w:kern w:val="0"/>
                <w:sz w:val="20"/>
                <w:szCs w:val="20"/>
                <w:u w:val="none"/>
                <w:lang w:val="en-US" w:eastAsia="zh-CN" w:bidi="ar"/>
              </w:rPr>
              <w:t>2286.44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4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政府性基金拨款：</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项目支出：</w:t>
            </w:r>
            <w:r>
              <w:rPr>
                <w:rFonts w:hint="eastAsia" w:ascii="宋体" w:hAnsi="宋体" w:cs="宋体"/>
                <w:i w:val="0"/>
                <w:iCs w:val="0"/>
                <w:color w:val="000000"/>
                <w:kern w:val="0"/>
                <w:sz w:val="20"/>
                <w:szCs w:val="20"/>
                <w:u w:val="none"/>
                <w:lang w:val="en-US" w:eastAsia="zh-CN" w:bidi="ar"/>
              </w:rPr>
              <w:t>39.39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纳入专户管理的非税收入拨款：</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70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其他资金：</w:t>
            </w:r>
            <w:r>
              <w:rPr>
                <w:rFonts w:hint="eastAsia" w:ascii="宋体" w:hAnsi="宋体" w:cs="宋体"/>
                <w:i w:val="0"/>
                <w:iCs w:val="0"/>
                <w:color w:val="000000"/>
                <w:kern w:val="0"/>
                <w:sz w:val="20"/>
                <w:szCs w:val="20"/>
                <w:u w:val="none"/>
                <w:lang w:val="en-US" w:eastAsia="zh-CN" w:bidi="ar"/>
              </w:rPr>
              <w:t>21.39</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6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做好我委下属管理的</w:t>
            </w:r>
            <w:r>
              <w:rPr>
                <w:rFonts w:hint="eastAsia" w:ascii="宋体" w:hAnsi="宋体" w:cs="宋体"/>
                <w:i w:val="0"/>
                <w:iCs w:val="0"/>
                <w:color w:val="000000"/>
                <w:kern w:val="0"/>
                <w:sz w:val="20"/>
                <w:szCs w:val="20"/>
                <w:u w:val="none"/>
                <w:lang w:val="en-US" w:eastAsia="zh-CN" w:bidi="ar"/>
              </w:rPr>
              <w:t>九</w:t>
            </w:r>
            <w:r>
              <w:rPr>
                <w:rFonts w:hint="eastAsia" w:ascii="宋体" w:hAnsi="宋体" w:eastAsia="宋体" w:cs="宋体"/>
                <w:i w:val="0"/>
                <w:iCs w:val="0"/>
                <w:color w:val="000000"/>
                <w:kern w:val="0"/>
                <w:sz w:val="20"/>
                <w:szCs w:val="20"/>
                <w:u w:val="none"/>
                <w:lang w:val="en-US" w:eastAsia="zh-CN" w:bidi="ar"/>
              </w:rPr>
              <w:t>家（市城投公司、市经投公司、</w:t>
            </w:r>
            <w:r>
              <w:rPr>
                <w:rFonts w:hint="eastAsia" w:ascii="宋体" w:hAnsi="宋体" w:cs="宋体"/>
                <w:i w:val="0"/>
                <w:iCs w:val="0"/>
                <w:color w:val="000000"/>
                <w:kern w:val="0"/>
                <w:sz w:val="20"/>
                <w:szCs w:val="20"/>
                <w:u w:val="none"/>
                <w:lang w:val="en-US" w:eastAsia="zh-CN" w:bidi="ar"/>
              </w:rPr>
              <w:t>港发集团、</w:t>
            </w:r>
            <w:r>
              <w:rPr>
                <w:rFonts w:hint="eastAsia" w:ascii="宋体" w:hAnsi="宋体" w:eastAsia="宋体" w:cs="宋体"/>
                <w:i w:val="0"/>
                <w:iCs w:val="0"/>
                <w:color w:val="000000"/>
                <w:kern w:val="0"/>
                <w:sz w:val="20"/>
                <w:szCs w:val="20"/>
                <w:u w:val="none"/>
                <w:lang w:val="en-US" w:eastAsia="zh-CN" w:bidi="ar"/>
              </w:rPr>
              <w:t>涔天河公司、永州汽运总公司、市公交公司、市国投公司、市农高科公司</w:t>
            </w:r>
            <w:r>
              <w:rPr>
                <w:rFonts w:hint="eastAsia" w:ascii="宋体" w:hAnsi="宋体" w:cs="宋体"/>
                <w:i w:val="0"/>
                <w:iCs w:val="0"/>
                <w:color w:val="000000"/>
                <w:kern w:val="0"/>
                <w:sz w:val="20"/>
                <w:szCs w:val="20"/>
                <w:u w:val="none"/>
                <w:lang w:val="en-US" w:eastAsia="zh-CN" w:bidi="ar"/>
              </w:rPr>
              <w:t>、华永湖南勘测规划设计有限公司</w:t>
            </w:r>
            <w:r>
              <w:rPr>
                <w:rFonts w:hint="eastAsia" w:ascii="宋体" w:hAnsi="宋体" w:eastAsia="宋体" w:cs="宋体"/>
                <w:i w:val="0"/>
                <w:iCs w:val="0"/>
                <w:color w:val="000000"/>
                <w:kern w:val="0"/>
                <w:sz w:val="20"/>
                <w:szCs w:val="20"/>
                <w:u w:val="none"/>
                <w:lang w:val="en-US" w:eastAsia="zh-CN" w:bidi="ar"/>
              </w:rPr>
              <w:t>）市属国有企业安全生产与经营管理和国有资产保值、增值的监管工作。做好市级平台公司转型发展相关工作；做好已改制企业历史遗留问题及市属监管企业的信访维稳工作、做好全市2</w:t>
            </w:r>
            <w:r>
              <w:rPr>
                <w:rFonts w:hint="eastAsia" w:ascii="宋体" w:hAnsi="宋体" w:cs="宋体"/>
                <w:i w:val="0"/>
                <w:iCs w:val="0"/>
                <w:color w:val="000000"/>
                <w:kern w:val="0"/>
                <w:sz w:val="20"/>
                <w:szCs w:val="20"/>
                <w:u w:val="none"/>
                <w:lang w:val="en-US" w:eastAsia="zh-CN" w:bidi="ar"/>
              </w:rPr>
              <w:t>58</w:t>
            </w:r>
            <w:r>
              <w:rPr>
                <w:rFonts w:hint="eastAsia" w:ascii="宋体" w:hAnsi="宋体" w:eastAsia="宋体" w:cs="宋体"/>
                <w:i w:val="0"/>
                <w:iCs w:val="0"/>
                <w:color w:val="000000"/>
                <w:kern w:val="0"/>
                <w:sz w:val="20"/>
                <w:szCs w:val="20"/>
                <w:u w:val="none"/>
                <w:lang w:val="en-US" w:eastAsia="zh-CN" w:bidi="ar"/>
              </w:rPr>
              <w:t>名市管干部的工资待遇和队伍稳定建设工作以及做好32家国有企业基层党建工作。</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已按市委、市政府要求全部落实各项工作任务、较好地完成了全年国资监管工作目标。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5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产出指标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重点工作任务完成</w:t>
            </w:r>
          </w:p>
        </w:tc>
        <w:tc>
          <w:tcPr>
            <w:tcW w:w="5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9家市属国企国资监管培训、安全生产集中整治</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促进市城投公司、市经投公司2家公司改革、转型</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半年、年终党建调研、指导十余家国企支部换届，考察党员发展对象、转正谈话等15次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落实258名市市管干部人员工资待遇及队伍稳定</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258名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258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履职目标实现</w:t>
            </w:r>
          </w:p>
        </w:tc>
        <w:tc>
          <w:tcPr>
            <w:tcW w:w="5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9家市属监管企业信访维稳</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赴省进京零上访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rPr>
              <w:t>国有企业国有资产保值增值率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 xml:space="preserve"> 安全生产事故率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履职工作任务完成时间2023年1-12月</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rPr>
              <w:t>全年信访处理案件数</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w:t>
            </w:r>
            <w:r>
              <w:rPr>
                <w:rFonts w:hint="eastAsia" w:ascii="宋体" w:hAnsi="宋体" w:cs="宋体"/>
                <w:i w:val="0"/>
                <w:iCs w:val="0"/>
                <w:color w:val="000000"/>
                <w:sz w:val="20"/>
                <w:szCs w:val="20"/>
                <w:u w:val="none"/>
                <w:lang w:val="en-US" w:eastAsia="zh-CN"/>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效益指标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0分）</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履职效益</w:t>
            </w:r>
          </w:p>
        </w:tc>
        <w:tc>
          <w:tcPr>
            <w:tcW w:w="5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rPr>
              <w:t>信访案件降低率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sz w:val="20"/>
                <w:szCs w:val="20"/>
                <w:u w:val="none"/>
                <w:lang w:val="en-US" w:eastAsia="zh-CN"/>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 安全生产事故死亡人数降低率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sz w:val="20"/>
                <w:szCs w:val="20"/>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t>标</w:t>
            </w:r>
          </w:p>
        </w:tc>
        <w:tc>
          <w:tcPr>
            <w:tcW w:w="5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 xml:space="preserve"> 社会公众满意度</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5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1080" w:firstLineChars="60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监管企业职工满意度</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1059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填表人：肖景文 填报日期：202</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日  联系电话：18074673632  单位负责人签字：</w:t>
            </w:r>
            <w:r>
              <w:rPr>
                <w:rFonts w:hint="eastAsia" w:ascii="宋体" w:hAnsi="宋体" w:cs="宋体"/>
                <w:i w:val="0"/>
                <w:iCs w:val="0"/>
                <w:color w:val="000000"/>
                <w:kern w:val="0"/>
                <w:sz w:val="22"/>
                <w:szCs w:val="22"/>
                <w:u w:val="none"/>
                <w:lang w:val="en-US" w:eastAsia="zh-CN" w:bidi="ar"/>
              </w:rPr>
              <w:t>李社光</w:t>
            </w:r>
          </w:p>
        </w:tc>
      </w:tr>
    </w:tbl>
    <w:tbl>
      <w:tblPr>
        <w:tblStyle w:val="15"/>
        <w:tblW w:w="8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0"/>
        <w:gridCol w:w="3135"/>
        <w:gridCol w:w="3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15"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28"/>
                <w:szCs w:val="28"/>
                <w:u w:val="none"/>
                <w:lang w:val="en-US" w:eastAsia="zh-CN" w:bidi="ar"/>
              </w:rPr>
            </w:pPr>
          </w:p>
          <w:p>
            <w:pPr>
              <w:keepNext w:val="0"/>
              <w:keepLines w:val="0"/>
              <w:widowControl/>
              <w:suppressLineNumbers w:val="0"/>
              <w:jc w:val="left"/>
              <w:textAlignment w:val="center"/>
              <w:rPr>
                <w:rFonts w:hint="eastAsia" w:ascii="宋体" w:hAnsi="宋体" w:cs="宋体"/>
                <w:i w:val="0"/>
                <w:iCs w:val="0"/>
                <w:color w:val="000000"/>
                <w:kern w:val="0"/>
                <w:sz w:val="28"/>
                <w:szCs w:val="28"/>
                <w:u w:val="none"/>
                <w:lang w:val="en-US" w:eastAsia="zh-CN" w:bidi="ar"/>
              </w:rPr>
            </w:pPr>
          </w:p>
          <w:p>
            <w:pPr>
              <w:pStyle w:val="2"/>
              <w:rPr>
                <w:rFonts w:hint="eastAsia" w:ascii="宋体" w:hAnsi="宋体" w:cs="宋体"/>
                <w:i w:val="0"/>
                <w:iCs w:val="0"/>
                <w:color w:val="000000"/>
                <w:kern w:val="0"/>
                <w:sz w:val="28"/>
                <w:szCs w:val="28"/>
                <w:u w:val="none"/>
                <w:lang w:val="en-US" w:eastAsia="zh-CN" w:bidi="ar"/>
              </w:rPr>
            </w:pPr>
          </w:p>
          <w:p>
            <w:pPr>
              <w:pStyle w:val="2"/>
              <w:rPr>
                <w:rFonts w:hint="eastAsia" w:ascii="宋体" w:hAnsi="宋体" w:cs="宋体"/>
                <w:i w:val="0"/>
                <w:iCs w:val="0"/>
                <w:color w:val="000000"/>
                <w:kern w:val="0"/>
                <w:sz w:val="28"/>
                <w:szCs w:val="28"/>
                <w:u w:val="none"/>
                <w:lang w:val="en-US" w:eastAsia="zh-CN" w:bidi="ar"/>
              </w:rPr>
            </w:pPr>
          </w:p>
          <w:p>
            <w:pPr>
              <w:pStyle w:val="2"/>
              <w:rPr>
                <w:rFonts w:hint="eastAsia" w:ascii="宋体" w:hAnsi="宋体" w:cs="宋体"/>
                <w:i w:val="0"/>
                <w:iCs w:val="0"/>
                <w:color w:val="000000"/>
                <w:kern w:val="0"/>
                <w:sz w:val="28"/>
                <w:szCs w:val="28"/>
                <w:u w:val="none"/>
                <w:lang w:val="en-US" w:eastAsia="zh-CN" w:bidi="ar"/>
              </w:rPr>
            </w:pPr>
          </w:p>
          <w:p>
            <w:pPr>
              <w:pStyle w:val="2"/>
              <w:rPr>
                <w:rFonts w:hint="eastAsia" w:ascii="宋体" w:hAnsi="宋体" w:cs="宋体"/>
                <w:i w:val="0"/>
                <w:iCs w:val="0"/>
                <w:color w:val="000000"/>
                <w:kern w:val="0"/>
                <w:sz w:val="28"/>
                <w:szCs w:val="28"/>
                <w:u w:val="none"/>
                <w:lang w:val="en-US" w:eastAsia="zh-CN" w:bidi="ar"/>
              </w:rPr>
            </w:pPr>
          </w:p>
          <w:p>
            <w:pPr>
              <w:pStyle w:val="2"/>
              <w:rPr>
                <w:rFonts w:hint="eastAsia" w:ascii="宋体" w:hAnsi="宋体" w:cs="宋体"/>
                <w:i w:val="0"/>
                <w:iCs w:val="0"/>
                <w:color w:val="000000"/>
                <w:kern w:val="0"/>
                <w:sz w:val="28"/>
                <w:szCs w:val="28"/>
                <w:u w:val="none"/>
                <w:lang w:val="en-US" w:eastAsia="zh-CN" w:bidi="ar"/>
              </w:rPr>
            </w:pPr>
          </w:p>
          <w:p>
            <w:pPr>
              <w:pStyle w:val="2"/>
              <w:rPr>
                <w:rFonts w:hint="eastAsia" w:ascii="宋体" w:hAnsi="宋体" w:cs="宋体"/>
                <w:i w:val="0"/>
                <w:iCs w:val="0"/>
                <w:color w:val="000000"/>
                <w:kern w:val="0"/>
                <w:sz w:val="28"/>
                <w:szCs w:val="28"/>
                <w:u w:val="none"/>
                <w:lang w:val="en-US" w:eastAsia="zh-CN" w:bidi="ar"/>
              </w:rPr>
            </w:pPr>
          </w:p>
          <w:p>
            <w:pPr>
              <w:pStyle w:val="2"/>
              <w:rPr>
                <w:rFonts w:hint="eastAsia" w:ascii="宋体" w:hAnsi="宋体" w:cs="宋体"/>
                <w:i w:val="0"/>
                <w:iCs w:val="0"/>
                <w:color w:val="000000"/>
                <w:kern w:val="0"/>
                <w:sz w:val="28"/>
                <w:szCs w:val="28"/>
                <w:u w:val="none"/>
                <w:lang w:val="en-US" w:eastAsia="zh-CN" w:bidi="ar"/>
              </w:rPr>
            </w:pPr>
          </w:p>
          <w:p>
            <w:pPr>
              <w:pStyle w:val="2"/>
              <w:rPr>
                <w:rFonts w:hint="eastAsia" w:ascii="宋体" w:hAnsi="宋体" w:cs="宋体"/>
                <w:i w:val="0"/>
                <w:iCs w:val="0"/>
                <w:color w:val="000000"/>
                <w:kern w:val="0"/>
                <w:sz w:val="28"/>
                <w:szCs w:val="28"/>
                <w:u w:val="none"/>
                <w:lang w:val="en-US" w:eastAsia="zh-CN" w:bidi="ar"/>
              </w:rPr>
            </w:pPr>
          </w:p>
          <w:p>
            <w:pPr>
              <w:pStyle w:val="2"/>
              <w:rPr>
                <w:rFonts w:hint="eastAsia" w:ascii="宋体" w:hAnsi="宋体" w:cs="宋体"/>
                <w:i w:val="0"/>
                <w:iCs w:val="0"/>
                <w:color w:val="000000"/>
                <w:kern w:val="0"/>
                <w:sz w:val="28"/>
                <w:szCs w:val="28"/>
                <w:u w:val="none"/>
                <w:lang w:val="en-US" w:eastAsia="zh-CN" w:bidi="ar"/>
              </w:rPr>
            </w:pPr>
          </w:p>
          <w:p>
            <w:pPr>
              <w:pStyle w:val="2"/>
              <w:rPr>
                <w:rFonts w:hint="eastAsia" w:ascii="宋体" w:hAnsi="宋体" w:cs="宋体"/>
                <w:i w:val="0"/>
                <w:iCs w:val="0"/>
                <w:color w:val="000000"/>
                <w:kern w:val="0"/>
                <w:sz w:val="28"/>
                <w:szCs w:val="2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附件4</w:t>
            </w:r>
          </w:p>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202</w:t>
            </w:r>
            <w:r>
              <w:rPr>
                <w:rFonts w:hint="eastAsia" w:ascii="宋体" w:hAnsi="宋体" w:cs="宋体"/>
                <w:i w:val="0"/>
                <w:iCs w:val="0"/>
                <w:color w:val="000000"/>
                <w:kern w:val="0"/>
                <w:sz w:val="44"/>
                <w:szCs w:val="44"/>
                <w:u w:val="none"/>
                <w:lang w:val="en-US" w:eastAsia="zh-CN" w:bidi="ar"/>
              </w:rPr>
              <w:t>3</w:t>
            </w:r>
            <w:r>
              <w:rPr>
                <w:rFonts w:hint="eastAsia" w:ascii="宋体" w:hAnsi="宋体" w:eastAsia="宋体" w:cs="宋体"/>
                <w:i w:val="0"/>
                <w:iCs w:val="0"/>
                <w:color w:val="000000"/>
                <w:kern w:val="0"/>
                <w:sz w:val="44"/>
                <w:szCs w:val="44"/>
                <w:u w:val="none"/>
                <w:lang w:val="en-US" w:eastAsia="zh-CN" w:bidi="ar"/>
              </w:rPr>
              <w:t>年度项目支出绩效自评报告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部门概况</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专项名称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市属国有企业国资监管工作经费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年度预算金额</w:t>
            </w:r>
            <w:r>
              <w:rPr>
                <w:rFonts w:hint="eastAsia" w:ascii="宋体" w:hAnsi="宋体" w:cs="宋体"/>
                <w:i w:val="0"/>
                <w:iCs w:val="0"/>
                <w:color w:val="000000"/>
                <w:kern w:val="0"/>
                <w:sz w:val="20"/>
                <w:szCs w:val="20"/>
                <w:u w:val="none"/>
                <w:lang w:val="en-US" w:eastAsia="zh-CN" w:bidi="ar"/>
              </w:rPr>
              <w:t>（万元）</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项目主管部门</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项目立项目的</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做好市属国有企业国资监管工作，确保</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家监管的市属国有企业国有资产保值增值。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5" w:hRule="atLeast"/>
        </w:trPr>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绩效情况</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项目支出管理和使用基本情况</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按年初预算安排，对市属国有企业在安全生产、信访维稳、国资党建等方面进行监管和业务指导，确保国有企</w:t>
            </w:r>
            <w:r>
              <w:rPr>
                <w:rFonts w:hint="eastAsia" w:ascii="宋体" w:hAnsi="宋体" w:cs="宋体"/>
                <w:i w:val="0"/>
                <w:iCs w:val="0"/>
                <w:color w:val="000000"/>
                <w:kern w:val="0"/>
                <w:sz w:val="20"/>
                <w:szCs w:val="20"/>
                <w:u w:val="none"/>
                <w:lang w:val="en-US" w:eastAsia="zh-CN" w:bidi="ar"/>
              </w:rPr>
              <w:t>业国有资产</w:t>
            </w:r>
            <w:r>
              <w:rPr>
                <w:rFonts w:hint="eastAsia" w:ascii="宋体" w:hAnsi="宋体" w:eastAsia="宋体" w:cs="宋体"/>
                <w:i w:val="0"/>
                <w:iCs w:val="0"/>
                <w:color w:val="000000"/>
                <w:kern w:val="0"/>
                <w:sz w:val="20"/>
                <w:szCs w:val="20"/>
                <w:u w:val="none"/>
                <w:lang w:val="en-US" w:eastAsia="zh-CN" w:bidi="ar"/>
              </w:rPr>
              <w:t>保值增值。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项目绩效目标完成情况</w:t>
            </w:r>
          </w:p>
        </w:tc>
        <w:tc>
          <w:tcPr>
            <w:tcW w:w="3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已完成对市属</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家国有企业的监管工作，所监管的企业全年安全生产“零事故”、信访维稳赴省进京“零上访”，国资党建引领企业管理上新台阶，确保</w:t>
            </w:r>
            <w:r>
              <w:rPr>
                <w:rFonts w:hint="eastAsia" w:ascii="宋体" w:hAnsi="宋体" w:cs="宋体"/>
                <w:i w:val="0"/>
                <w:iCs w:val="0"/>
                <w:color w:val="000000"/>
                <w:kern w:val="0"/>
                <w:sz w:val="20"/>
                <w:szCs w:val="20"/>
                <w:u w:val="none"/>
                <w:lang w:val="en-US" w:eastAsia="zh-CN" w:bidi="ar"/>
              </w:rPr>
              <w:t>了监管企业</w:t>
            </w:r>
            <w:r>
              <w:rPr>
                <w:rFonts w:hint="eastAsia" w:ascii="宋体" w:hAnsi="宋体" w:eastAsia="宋体" w:cs="宋体"/>
                <w:i w:val="0"/>
                <w:iCs w:val="0"/>
                <w:color w:val="000000"/>
                <w:kern w:val="0"/>
                <w:sz w:val="20"/>
                <w:szCs w:val="20"/>
                <w:u w:val="none"/>
                <w:lang w:val="en-US" w:eastAsia="zh-CN" w:bidi="ar"/>
              </w:rPr>
              <w:t>国有</w:t>
            </w:r>
            <w:r>
              <w:rPr>
                <w:rFonts w:hint="eastAsia" w:ascii="宋体" w:hAnsi="宋体" w:cs="宋体"/>
                <w:i w:val="0"/>
                <w:iCs w:val="0"/>
                <w:color w:val="000000"/>
                <w:kern w:val="0"/>
                <w:sz w:val="20"/>
                <w:szCs w:val="20"/>
                <w:u w:val="none"/>
                <w:lang w:val="en-US" w:eastAsia="zh-CN" w:bidi="ar"/>
              </w:rPr>
              <w:t>资产</w:t>
            </w:r>
            <w:r>
              <w:rPr>
                <w:rFonts w:hint="eastAsia" w:ascii="宋体" w:hAnsi="宋体" w:eastAsia="宋体" w:cs="宋体"/>
                <w:i w:val="0"/>
                <w:iCs w:val="0"/>
                <w:color w:val="000000"/>
                <w:kern w:val="0"/>
                <w:sz w:val="20"/>
                <w:szCs w:val="20"/>
                <w:u w:val="none"/>
                <w:lang w:val="en-US" w:eastAsia="zh-CN" w:bidi="ar"/>
              </w:rPr>
              <w:t>保值增值。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存在的问题分析及改进措施</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存在的问题</w:t>
            </w:r>
          </w:p>
        </w:tc>
        <w:tc>
          <w:tcPr>
            <w:tcW w:w="3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国资监管工作经费不足，工作任务重、面广，导致业务监管深度、力度不够.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改进措施</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建议增加监管工作经费额度，加大</w:t>
            </w:r>
            <w:r>
              <w:rPr>
                <w:rFonts w:hint="eastAsia" w:ascii="宋体" w:hAnsi="宋体" w:cs="宋体"/>
                <w:i w:val="0"/>
                <w:iCs w:val="0"/>
                <w:color w:val="000000"/>
                <w:kern w:val="0"/>
                <w:sz w:val="20"/>
                <w:szCs w:val="20"/>
                <w:u w:val="none"/>
                <w:lang w:val="en-US" w:eastAsia="zh-CN" w:bidi="ar"/>
              </w:rPr>
              <w:t>市属监管企业的</w:t>
            </w:r>
            <w:r>
              <w:rPr>
                <w:rFonts w:hint="eastAsia" w:ascii="宋体" w:hAnsi="宋体" w:eastAsia="宋体" w:cs="宋体"/>
                <w:i w:val="0"/>
                <w:iCs w:val="0"/>
                <w:color w:val="000000"/>
                <w:kern w:val="0"/>
                <w:sz w:val="20"/>
                <w:szCs w:val="20"/>
                <w:u w:val="none"/>
                <w:lang w:val="en-US" w:eastAsia="zh-CN" w:bidi="ar"/>
              </w:rPr>
              <w:t>监管力度，提升企业管理水平出效益。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其他需要说明问题</w:t>
            </w:r>
          </w:p>
        </w:tc>
        <w:tc>
          <w:tcPr>
            <w:tcW w:w="3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15" w:type="dxa"/>
            <w:gridSpan w:val="3"/>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备注：每个项目支出分别填报自评报告和自评表。</w:t>
            </w:r>
          </w:p>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填表人：肖景文填报日期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202</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cs="宋体"/>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日 联系电话</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18074673632单位负责人签字：</w:t>
            </w:r>
            <w:r>
              <w:rPr>
                <w:rFonts w:hint="eastAsia" w:ascii="宋体" w:hAnsi="宋体" w:cs="宋体"/>
                <w:i w:val="0"/>
                <w:iCs w:val="0"/>
                <w:color w:val="000000"/>
                <w:kern w:val="0"/>
                <w:sz w:val="20"/>
                <w:szCs w:val="20"/>
                <w:u w:val="none"/>
                <w:lang w:val="en-US" w:eastAsia="zh-CN" w:bidi="ar"/>
              </w:rPr>
              <w:t>李社光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15" w:type="dxa"/>
            <w:gridSpan w:val="3"/>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r>
    </w:tbl>
    <w:p>
      <w:pPr>
        <w:pStyle w:val="5"/>
      </w:pPr>
    </w:p>
    <w:p>
      <w:pPr>
        <w:pStyle w:val="5"/>
      </w:pPr>
    </w:p>
    <w:p>
      <w:pPr>
        <w:pStyle w:val="3"/>
        <w:ind w:left="0" w:leftChars="0" w:firstLine="0" w:firstLineChars="0"/>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5"/>
        <w:rPr>
          <w:rFonts w:hint="eastAsia"/>
          <w:lang w:val="en-US" w:eastAsia="zh-CN"/>
        </w:rPr>
      </w:pPr>
      <w:r>
        <w:rPr>
          <w:rFonts w:hint="eastAsia"/>
          <w:lang w:val="en-US" w:eastAsia="zh-CN"/>
        </w:rPr>
        <w:t>附件5</w:t>
      </w:r>
    </w:p>
    <w:tbl>
      <w:tblPr>
        <w:tblStyle w:val="15"/>
        <w:tblW w:w="92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575"/>
        <w:gridCol w:w="940"/>
        <w:gridCol w:w="1290"/>
        <w:gridCol w:w="720"/>
        <w:gridCol w:w="1665"/>
        <w:gridCol w:w="1110"/>
        <w:gridCol w:w="1005"/>
        <w:gridCol w:w="1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282"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202</w:t>
            </w:r>
            <w:r>
              <w:rPr>
                <w:rFonts w:hint="eastAsia" w:ascii="宋体" w:hAnsi="宋体" w:cs="宋体"/>
                <w:i w:val="0"/>
                <w:iCs w:val="0"/>
                <w:color w:val="000000"/>
                <w:kern w:val="0"/>
                <w:sz w:val="40"/>
                <w:szCs w:val="40"/>
                <w:u w:val="none"/>
                <w:lang w:val="en-US" w:eastAsia="zh-CN" w:bidi="ar"/>
              </w:rPr>
              <w:t>3</w:t>
            </w:r>
            <w:r>
              <w:rPr>
                <w:rFonts w:hint="eastAsia" w:ascii="宋体" w:hAnsi="宋体" w:eastAsia="宋体" w:cs="宋体"/>
                <w:i w:val="0"/>
                <w:iCs w:val="0"/>
                <w:color w:val="000000"/>
                <w:kern w:val="0"/>
                <w:sz w:val="40"/>
                <w:szCs w:val="40"/>
                <w:u w:val="none"/>
                <w:lang w:val="en-US" w:eastAsia="zh-CN" w:bidi="ar"/>
              </w:rPr>
              <w:t>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项目支出名称</w:t>
            </w:r>
          </w:p>
        </w:tc>
        <w:tc>
          <w:tcPr>
            <w:tcW w:w="861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市属监管国有企业国资监管工作经费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5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0"/>
                <w:szCs w:val="20"/>
                <w:u w:val="none"/>
                <w:lang w:val="en-US" w:eastAsia="zh-CN"/>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市国资委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年初</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7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上年结转资金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5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50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做好市属</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家国有企业国资监管工作，确保国有资产保值增值。</w:t>
            </w:r>
          </w:p>
        </w:tc>
        <w:tc>
          <w:tcPr>
            <w:tcW w:w="50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已如期按要求完成对</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家市属国有企业在安全生产、信访维稳、党建的业务指导和监管工作，确保企业在生产经营、业务转型、基层党建等方面取得了较好的效果。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31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偏差  原因</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分析及</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  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6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成本指标（20分）</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经济成本指标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用于市属监管企业监管支出8万元</w:t>
            </w:r>
          </w:p>
        </w:tc>
        <w:tc>
          <w:tcPr>
            <w:tcW w:w="7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31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社会成本指标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1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生态成本指标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1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产出指标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0分)</w:t>
            </w:r>
          </w:p>
        </w:tc>
        <w:tc>
          <w:tcPr>
            <w:tcW w:w="9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9家市属国企国资监管培训、安全生产集中整治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促进市城投公司、市经投公司、2家公司改革、转型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4"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半年、年终党建调研、指导十余家国企支部换届，考察党员发展对象、转正谈话等10多次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完成改制企业剩余资产清查、移交等工作2次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9家市属监管企业信访维稳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赴省进京零上访</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2023年1-12月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效益指标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0分）</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安全生产零事故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国有资产保值、增值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监管企业职工满意度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2"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备注：每个项目支出分别填报自评报告和自评表。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2"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填表人</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肖景文填报日期：202</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cs="宋体"/>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日联系电话：18074673632 单位负责人签字：</w:t>
            </w:r>
            <w:r>
              <w:rPr>
                <w:rFonts w:hint="eastAsia" w:ascii="宋体" w:hAnsi="宋体" w:cs="宋体"/>
                <w:i w:val="0"/>
                <w:iCs w:val="0"/>
                <w:color w:val="000000"/>
                <w:kern w:val="0"/>
                <w:sz w:val="20"/>
                <w:szCs w:val="20"/>
                <w:u w:val="none"/>
                <w:lang w:val="en-US" w:eastAsia="zh-CN" w:bidi="ar"/>
              </w:rPr>
              <w:t>李社光</w:t>
            </w:r>
          </w:p>
        </w:tc>
      </w:tr>
    </w:tbl>
    <w:p>
      <w:pPr>
        <w:pStyle w:val="5"/>
      </w:pPr>
    </w:p>
    <w:p>
      <w:pPr>
        <w:pStyle w:val="1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9"/>
        <w:jc w:val="center"/>
        <w:rPr>
          <w:sz w:val="72"/>
          <w:szCs w:val="72"/>
        </w:rPr>
      </w:pPr>
    </w:p>
    <w:p>
      <w:pPr>
        <w:jc w:val="left"/>
        <w:rPr>
          <w:rFonts w:hint="default" w:cs="黑体" w:asciiTheme="minorEastAsia" w:hAnsiTheme="minorEastAsia" w:eastAsiaTheme="minorEastAsia"/>
          <w:color w:val="000000"/>
          <w:kern w:val="0"/>
          <w:sz w:val="32"/>
          <w:szCs w:val="32"/>
          <w:lang w:val="en-US"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D56CE"/>
    <w:multiLevelType w:val="singleLevel"/>
    <w:tmpl w:val="CC8D56CE"/>
    <w:lvl w:ilvl="0" w:tentative="0">
      <w:start w:val="1"/>
      <w:numFmt w:val="decimal"/>
      <w:suff w:val="nothing"/>
      <w:lvlText w:val="%1、"/>
      <w:lvlJc w:val="left"/>
    </w:lvl>
  </w:abstractNum>
  <w:abstractNum w:abstractNumId="1">
    <w:nsid w:val="D9E3DA24"/>
    <w:multiLevelType w:val="singleLevel"/>
    <w:tmpl w:val="D9E3DA24"/>
    <w:lvl w:ilvl="0" w:tentative="0">
      <w:start w:val="1"/>
      <w:numFmt w:val="chineseCounting"/>
      <w:suff w:val="nothing"/>
      <w:lvlText w:val="%1、"/>
      <w:lvlJc w:val="left"/>
      <w:pPr>
        <w:tabs>
          <w:tab w:val="left" w:pos="0"/>
        </w:tabs>
        <w:ind w:left="0" w:firstLine="0"/>
      </w:pPr>
      <w:rPr>
        <w:rFonts w:hint="eastAsia"/>
      </w:rPr>
    </w:lvl>
  </w:abstractNum>
  <w:abstractNum w:abstractNumId="2">
    <w:nsid w:val="DA99C89C"/>
    <w:multiLevelType w:val="singleLevel"/>
    <w:tmpl w:val="DA99C89C"/>
    <w:lvl w:ilvl="0" w:tentative="0">
      <w:start w:val="2"/>
      <w:numFmt w:val="chineseCounting"/>
      <w:suff w:val="nothing"/>
      <w:lvlText w:val="（%1）"/>
      <w:lvlJc w:val="left"/>
      <w:rPr>
        <w:rFonts w:hint="eastAsia"/>
      </w:rPr>
    </w:lvl>
  </w:abstractNum>
  <w:abstractNum w:abstractNumId="3">
    <w:nsid w:val="E6453E27"/>
    <w:multiLevelType w:val="singleLevel"/>
    <w:tmpl w:val="E6453E27"/>
    <w:lvl w:ilvl="0" w:tentative="0">
      <w:start w:val="1"/>
      <w:numFmt w:val="decimal"/>
      <w:suff w:val="nothing"/>
      <w:lvlText w:val="%1、"/>
      <w:lvlJc w:val="left"/>
      <w:pPr>
        <w:ind w:left="840" w:leftChars="0" w:firstLine="0" w:firstLineChars="0"/>
      </w:pPr>
      <w:rPr>
        <w:rFonts w:hint="default" w:ascii="仿宋_GB2312" w:hAnsi="仿宋_GB2312" w:eastAsia="仿宋_GB2312" w:cs="仿宋_GB2312"/>
        <w:sz w:val="32"/>
        <w:szCs w:val="32"/>
      </w:rPr>
    </w:lvl>
  </w:abstractNum>
  <w:abstractNum w:abstractNumId="4">
    <w:nsid w:val="0E51710D"/>
    <w:multiLevelType w:val="singleLevel"/>
    <w:tmpl w:val="0E51710D"/>
    <w:lvl w:ilvl="0" w:tentative="0">
      <w:start w:val="2"/>
      <w:numFmt w:val="chineseCounting"/>
      <w:suff w:val="nothing"/>
      <w:lvlText w:val="（%1）"/>
      <w:lvlJc w:val="left"/>
      <w:rPr>
        <w:rFonts w:hint="eastAsia"/>
      </w:rPr>
    </w:lvl>
  </w:abstractNum>
  <w:abstractNum w:abstractNumId="5">
    <w:nsid w:val="2D74E5F6"/>
    <w:multiLevelType w:val="multilevel"/>
    <w:tmpl w:val="2D74E5F6"/>
    <w:lvl w:ilvl="0" w:tentative="0">
      <w:start w:val="2"/>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6">
    <w:nsid w:val="43F0269E"/>
    <w:multiLevelType w:val="singleLevel"/>
    <w:tmpl w:val="43F0269E"/>
    <w:lvl w:ilvl="0" w:tentative="0">
      <w:start w:val="2"/>
      <w:numFmt w:val="decimal"/>
      <w:suff w:val="nothing"/>
      <w:lvlText w:val="%1、"/>
      <w:lvlJc w:val="left"/>
    </w:lvl>
  </w:abstractNum>
  <w:abstractNum w:abstractNumId="7">
    <w:nsid w:val="66BC205A"/>
    <w:multiLevelType w:val="singleLevel"/>
    <w:tmpl w:val="66BC205A"/>
    <w:lvl w:ilvl="0" w:tentative="0">
      <w:start w:val="4"/>
      <w:numFmt w:val="decimal"/>
      <w:suff w:val="nothing"/>
      <w:lvlText w:val="%1、"/>
      <w:lvlJc w:val="left"/>
    </w:lvl>
  </w:abstractNum>
  <w:abstractNum w:abstractNumId="8">
    <w:nsid w:val="67D35AFE"/>
    <w:multiLevelType w:val="singleLevel"/>
    <w:tmpl w:val="67D35AFE"/>
    <w:lvl w:ilvl="0" w:tentative="0">
      <w:start w:val="10"/>
      <w:numFmt w:val="chineseCounting"/>
      <w:suff w:val="nothing"/>
      <w:lvlText w:val="%1、"/>
      <w:lvlJc w:val="left"/>
      <w:pPr>
        <w:ind w:left="630" w:leftChars="0" w:firstLine="0" w:firstLineChars="0"/>
      </w:pPr>
      <w:rPr>
        <w:rFonts w:hint="eastAsia"/>
      </w:rPr>
    </w:lvl>
  </w:abstractNum>
  <w:abstractNum w:abstractNumId="9">
    <w:nsid w:val="6CD2B65E"/>
    <w:multiLevelType w:val="singleLevel"/>
    <w:tmpl w:val="6CD2B65E"/>
    <w:lvl w:ilvl="0" w:tentative="0">
      <w:start w:val="7"/>
      <w:numFmt w:val="chineseCounting"/>
      <w:suff w:val="nothing"/>
      <w:lvlText w:val="%1、"/>
      <w:lvlJc w:val="left"/>
      <w:rPr>
        <w:rFonts w:hint="eastAsia"/>
      </w:rPr>
    </w:lvl>
  </w:abstractNum>
  <w:num w:numId="1">
    <w:abstractNumId w:val="4"/>
  </w:num>
  <w:num w:numId="2">
    <w:abstractNumId w:val="9"/>
  </w:num>
  <w:num w:numId="3">
    <w:abstractNumId w:val="0"/>
  </w:num>
  <w:num w:numId="4">
    <w:abstractNumId w:val="1"/>
  </w:num>
  <w:num w:numId="5">
    <w:abstractNumId w:val="5"/>
  </w:num>
  <w:num w:numId="6">
    <w:abstractNumId w:val="2"/>
  </w:num>
  <w:num w:numId="7">
    <w:abstractNumId w:val="3"/>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MGUyOGM0NWJiODA1NTlmNzA1NGFmYjA2ODk4MG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18C9"/>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A65C8A"/>
    <w:rsid w:val="03C17B39"/>
    <w:rsid w:val="03CE2756"/>
    <w:rsid w:val="04C837E3"/>
    <w:rsid w:val="074573FA"/>
    <w:rsid w:val="07BB6140"/>
    <w:rsid w:val="09AF6B75"/>
    <w:rsid w:val="0B217029"/>
    <w:rsid w:val="0DF70178"/>
    <w:rsid w:val="0F27086A"/>
    <w:rsid w:val="10B13A73"/>
    <w:rsid w:val="13366D21"/>
    <w:rsid w:val="156E0F20"/>
    <w:rsid w:val="15932D4E"/>
    <w:rsid w:val="161A39EA"/>
    <w:rsid w:val="161C7190"/>
    <w:rsid w:val="17A65C50"/>
    <w:rsid w:val="17E10BD4"/>
    <w:rsid w:val="1833509C"/>
    <w:rsid w:val="18B6584B"/>
    <w:rsid w:val="191E3943"/>
    <w:rsid w:val="19D10AE6"/>
    <w:rsid w:val="1A82313D"/>
    <w:rsid w:val="1AFA719E"/>
    <w:rsid w:val="1BDB2B53"/>
    <w:rsid w:val="1BE22336"/>
    <w:rsid w:val="1C401235"/>
    <w:rsid w:val="1CD4055C"/>
    <w:rsid w:val="1CD840FB"/>
    <w:rsid w:val="1D735ECC"/>
    <w:rsid w:val="1D97DEFF"/>
    <w:rsid w:val="1DFF72E5"/>
    <w:rsid w:val="1E403AD7"/>
    <w:rsid w:val="1E5C26CC"/>
    <w:rsid w:val="1EFC6F07"/>
    <w:rsid w:val="1F305611"/>
    <w:rsid w:val="1FB75D16"/>
    <w:rsid w:val="212A56BC"/>
    <w:rsid w:val="224C6FD4"/>
    <w:rsid w:val="22874540"/>
    <w:rsid w:val="22D35427"/>
    <w:rsid w:val="239C32D1"/>
    <w:rsid w:val="23D845AA"/>
    <w:rsid w:val="24245783"/>
    <w:rsid w:val="24C73E65"/>
    <w:rsid w:val="24D97F9D"/>
    <w:rsid w:val="25CE6F61"/>
    <w:rsid w:val="26A74843"/>
    <w:rsid w:val="26D1773D"/>
    <w:rsid w:val="28772982"/>
    <w:rsid w:val="287845F5"/>
    <w:rsid w:val="2AF140EC"/>
    <w:rsid w:val="2C9B5967"/>
    <w:rsid w:val="2CD35D68"/>
    <w:rsid w:val="2D5B3E67"/>
    <w:rsid w:val="2D613652"/>
    <w:rsid w:val="2D8C6086"/>
    <w:rsid w:val="2DDB748E"/>
    <w:rsid w:val="2F2E2B05"/>
    <w:rsid w:val="2F812CF4"/>
    <w:rsid w:val="2FDF85B8"/>
    <w:rsid w:val="2FFFEE04"/>
    <w:rsid w:val="321C56C6"/>
    <w:rsid w:val="330F7364"/>
    <w:rsid w:val="33174961"/>
    <w:rsid w:val="338A642D"/>
    <w:rsid w:val="33FB15E9"/>
    <w:rsid w:val="34DF85B0"/>
    <w:rsid w:val="365B0F3E"/>
    <w:rsid w:val="37235D40"/>
    <w:rsid w:val="37C76444"/>
    <w:rsid w:val="38A36879"/>
    <w:rsid w:val="3B8F36BC"/>
    <w:rsid w:val="3BAB3AF2"/>
    <w:rsid w:val="3D28631C"/>
    <w:rsid w:val="3E246E58"/>
    <w:rsid w:val="3EAF6B94"/>
    <w:rsid w:val="40093F05"/>
    <w:rsid w:val="40274201"/>
    <w:rsid w:val="405E29D2"/>
    <w:rsid w:val="408E7AEA"/>
    <w:rsid w:val="40915CFA"/>
    <w:rsid w:val="40986CA1"/>
    <w:rsid w:val="40B1035C"/>
    <w:rsid w:val="41624347"/>
    <w:rsid w:val="423231E6"/>
    <w:rsid w:val="424633F6"/>
    <w:rsid w:val="42A658E0"/>
    <w:rsid w:val="42BC0455"/>
    <w:rsid w:val="42D95EBD"/>
    <w:rsid w:val="43FB2335"/>
    <w:rsid w:val="453B7E1E"/>
    <w:rsid w:val="4726291B"/>
    <w:rsid w:val="489A6AD7"/>
    <w:rsid w:val="491FF225"/>
    <w:rsid w:val="492D5CF9"/>
    <w:rsid w:val="49974F5D"/>
    <w:rsid w:val="4C26121A"/>
    <w:rsid w:val="4C984F4A"/>
    <w:rsid w:val="4DF22B2F"/>
    <w:rsid w:val="4E920EE8"/>
    <w:rsid w:val="4EBD12F1"/>
    <w:rsid w:val="4F2F3A32"/>
    <w:rsid w:val="4F604F02"/>
    <w:rsid w:val="4FFD214C"/>
    <w:rsid w:val="500E3D66"/>
    <w:rsid w:val="50120DEA"/>
    <w:rsid w:val="503819EA"/>
    <w:rsid w:val="50514F57"/>
    <w:rsid w:val="51BD0E26"/>
    <w:rsid w:val="53A66B32"/>
    <w:rsid w:val="54841EAF"/>
    <w:rsid w:val="55813AAB"/>
    <w:rsid w:val="55E4608E"/>
    <w:rsid w:val="55FF5729"/>
    <w:rsid w:val="571A7AF9"/>
    <w:rsid w:val="572D3536"/>
    <w:rsid w:val="574669F4"/>
    <w:rsid w:val="5758495A"/>
    <w:rsid w:val="5777D4F5"/>
    <w:rsid w:val="58871F2C"/>
    <w:rsid w:val="58951DE3"/>
    <w:rsid w:val="58FA1B08"/>
    <w:rsid w:val="59DD8326"/>
    <w:rsid w:val="5BC30229"/>
    <w:rsid w:val="5DEF592A"/>
    <w:rsid w:val="5DF55733"/>
    <w:rsid w:val="5E33509A"/>
    <w:rsid w:val="5E4B7DFF"/>
    <w:rsid w:val="5F4A1A8C"/>
    <w:rsid w:val="5FC6BB1E"/>
    <w:rsid w:val="5FF720F1"/>
    <w:rsid w:val="62444AC8"/>
    <w:rsid w:val="62C52A98"/>
    <w:rsid w:val="62D1270C"/>
    <w:rsid w:val="632F46C6"/>
    <w:rsid w:val="641A61F1"/>
    <w:rsid w:val="64B47D45"/>
    <w:rsid w:val="653F572A"/>
    <w:rsid w:val="66A94283"/>
    <w:rsid w:val="67475AFF"/>
    <w:rsid w:val="6787360E"/>
    <w:rsid w:val="67FF5C0B"/>
    <w:rsid w:val="689841A8"/>
    <w:rsid w:val="68FC21E0"/>
    <w:rsid w:val="69E32466"/>
    <w:rsid w:val="6A553C04"/>
    <w:rsid w:val="6B0D4F31"/>
    <w:rsid w:val="6DA97D78"/>
    <w:rsid w:val="6DAC0CFD"/>
    <w:rsid w:val="6DBC1159"/>
    <w:rsid w:val="6EFC0924"/>
    <w:rsid w:val="6F6FF0EA"/>
    <w:rsid w:val="6FA952BF"/>
    <w:rsid w:val="6FB74722"/>
    <w:rsid w:val="6FEF8B7E"/>
    <w:rsid w:val="705047D3"/>
    <w:rsid w:val="70A20D5A"/>
    <w:rsid w:val="713E0BD9"/>
    <w:rsid w:val="71411257"/>
    <w:rsid w:val="71A6591B"/>
    <w:rsid w:val="72D56A5E"/>
    <w:rsid w:val="72F50A45"/>
    <w:rsid w:val="737D59BA"/>
    <w:rsid w:val="7588174D"/>
    <w:rsid w:val="779A5395"/>
    <w:rsid w:val="77C37683"/>
    <w:rsid w:val="79731E67"/>
    <w:rsid w:val="79FF515B"/>
    <w:rsid w:val="7A752449"/>
    <w:rsid w:val="7ACA3634"/>
    <w:rsid w:val="7BD541D6"/>
    <w:rsid w:val="7C134A0A"/>
    <w:rsid w:val="7DC07AE3"/>
    <w:rsid w:val="7E5D57C7"/>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EE72CE1"/>
    <w:rsid w:val="DFFE359E"/>
    <w:rsid w:val="DFFE4FFD"/>
    <w:rsid w:val="EEABED75"/>
    <w:rsid w:val="F56FDF51"/>
    <w:rsid w:val="F6B69F17"/>
    <w:rsid w:val="F77F1D61"/>
    <w:rsid w:val="F7FED3A9"/>
    <w:rsid w:val="F8C9DB26"/>
    <w:rsid w:val="F97E8EAE"/>
    <w:rsid w:val="FB36E1A6"/>
    <w:rsid w:val="FB3BE134"/>
    <w:rsid w:val="FCFF4275"/>
    <w:rsid w:val="FD7FEEEA"/>
    <w:rsid w:val="FDFDE5B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rPr>
      <w:b/>
      <w:color w:val="538135"/>
      <w:sz w:val="28"/>
    </w:rPr>
  </w:style>
  <w:style w:type="paragraph" w:styleId="3">
    <w:name w:val="Normal Indent"/>
    <w:basedOn w:val="1"/>
    <w:qFormat/>
    <w:uiPriority w:val="0"/>
    <w:pPr>
      <w:ind w:firstLine="200" w:firstLineChars="200"/>
    </w:pPr>
  </w:style>
  <w:style w:type="paragraph" w:styleId="4">
    <w:name w:val="index 5"/>
    <w:basedOn w:val="1"/>
    <w:next w:val="1"/>
    <w:qFormat/>
    <w:uiPriority w:val="0"/>
    <w:pPr>
      <w:ind w:left="1680"/>
    </w:pPr>
    <w:rPr>
      <w:rFonts w:eastAsia="宋体"/>
      <w:sz w:val="24"/>
      <w:szCs w:val="24"/>
      <w:lang w:val="en-US" w:eastAsia="en-US" w:bidi="ar-SA"/>
    </w:rPr>
  </w:style>
  <w:style w:type="paragraph" w:styleId="5">
    <w:name w:val="Body Text"/>
    <w:basedOn w:val="1"/>
    <w:next w:val="3"/>
    <w:unhideWhenUsed/>
    <w:qFormat/>
    <w:uiPriority w:val="0"/>
    <w:pPr>
      <w:spacing w:after="120"/>
    </w:pPr>
    <w:rPr>
      <w:szCs w:val="24"/>
    </w:rPr>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Indent 2"/>
    <w:basedOn w:val="1"/>
    <w:next w:val="8"/>
    <w:qFormat/>
    <w:uiPriority w:val="0"/>
    <w:pPr>
      <w:spacing w:line="360" w:lineRule="auto"/>
      <w:ind w:firstLine="224"/>
    </w:pPr>
  </w:style>
  <w:style w:type="paragraph" w:customStyle="1" w:styleId="8">
    <w:name w:val="目录 71"/>
    <w:basedOn w:val="1"/>
    <w:next w:val="1"/>
    <w:qFormat/>
    <w:uiPriority w:val="0"/>
    <w:pPr>
      <w:ind w:left="2520"/>
    </w:pPr>
    <w:rPr>
      <w:rFonts w:hAnsi="宋体" w:cs="宋体"/>
      <w:kern w:val="0"/>
      <w:szCs w:val="20"/>
    </w:rPr>
  </w:style>
  <w:style w:type="paragraph" w:styleId="9">
    <w:name w:val="Balloon Text"/>
    <w:basedOn w:val="1"/>
    <w:link w:val="21"/>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next w:val="13"/>
    <w:semiHidden/>
    <w:qFormat/>
    <w:uiPriority w:val="0"/>
    <w:pPr>
      <w:snapToGrid w:val="0"/>
      <w:jc w:val="left"/>
    </w:pPr>
    <w:rPr>
      <w:sz w:val="18"/>
      <w:szCs w:val="18"/>
    </w:rPr>
  </w:style>
  <w:style w:type="paragraph" w:styleId="13">
    <w:name w:val="Body Text First Indent 2"/>
    <w:basedOn w:val="6"/>
    <w:next w:val="1"/>
    <w:unhideWhenUsed/>
    <w:qFormat/>
    <w:uiPriority w:val="99"/>
    <w:pPr>
      <w:ind w:firstLine="420" w:firstLine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7">
    <w:name w:val="页眉 Char"/>
    <w:basedOn w:val="16"/>
    <w:link w:val="11"/>
    <w:qFormat/>
    <w:uiPriority w:val="99"/>
    <w:rPr>
      <w:sz w:val="18"/>
      <w:szCs w:val="18"/>
    </w:rPr>
  </w:style>
  <w:style w:type="character" w:customStyle="1" w:styleId="18">
    <w:name w:val="页脚 Char"/>
    <w:basedOn w:val="16"/>
    <w:link w:val="10"/>
    <w:qFormat/>
    <w:uiPriority w:val="99"/>
    <w:rPr>
      <w:sz w:val="18"/>
      <w:szCs w:val="18"/>
    </w:rPr>
  </w:style>
  <w:style w:type="paragraph" w:customStyle="1" w:styleId="1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批注框文本 Char"/>
    <w:basedOn w:val="16"/>
    <w:link w:val="9"/>
    <w:semiHidden/>
    <w:qFormat/>
    <w:uiPriority w:val="99"/>
    <w:rPr>
      <w:sz w:val="18"/>
      <w:szCs w:val="18"/>
    </w:rPr>
  </w:style>
  <w:style w:type="character" w:customStyle="1" w:styleId="22">
    <w:name w:val="font01"/>
    <w:basedOn w:val="16"/>
    <w:qFormat/>
    <w:uiPriority w:val="0"/>
    <w:rPr>
      <w:rFonts w:hint="eastAsia" w:ascii="宋体" w:hAnsi="宋体" w:eastAsia="宋体" w:cs="宋体"/>
      <w:color w:val="000000"/>
      <w:sz w:val="22"/>
      <w:szCs w:val="22"/>
      <w:u w:val="none"/>
    </w:rPr>
  </w:style>
  <w:style w:type="character" w:customStyle="1" w:styleId="23">
    <w:name w:val="font21"/>
    <w:basedOn w:val="16"/>
    <w:qFormat/>
    <w:uiPriority w:val="0"/>
    <w:rPr>
      <w:rFonts w:hint="eastAsia" w:ascii="宋体" w:hAnsi="宋体" w:eastAsia="宋体" w:cs="宋体"/>
      <w:color w:val="000000"/>
      <w:sz w:val="24"/>
      <w:szCs w:val="24"/>
      <w:u w:val="none"/>
    </w:rPr>
  </w:style>
  <w:style w:type="character" w:customStyle="1" w:styleId="24">
    <w:name w:val="font11"/>
    <w:basedOn w:val="16"/>
    <w:qFormat/>
    <w:uiPriority w:val="0"/>
    <w:rPr>
      <w:rFonts w:hint="eastAsia" w:ascii="宋体" w:hAnsi="宋体" w:eastAsia="宋体" w:cs="宋体"/>
      <w:color w:val="000000"/>
      <w:sz w:val="24"/>
      <w:szCs w:val="24"/>
      <w:u w:val="none"/>
    </w:r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6">
    <w:name w:val="样式2"/>
    <w:basedOn w:val="1"/>
    <w:qFormat/>
    <w:uiPriority w:val="0"/>
    <w:pPr>
      <w:widowControl/>
      <w:shd w:val="clear" w:color="auto" w:fill="FFFFFF"/>
      <w:spacing w:before="100" w:beforeAutospacing="1" w:after="100" w:afterAutospacing="1"/>
      <w:ind w:left="562"/>
      <w:jc w:val="center"/>
    </w:pPr>
    <w:rPr>
      <w:rFonts w:ascii="宋体" w:hAnsi="宋体"/>
      <w:b/>
      <w:bCs/>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20232</Words>
  <Characters>21795</Characters>
  <Lines>63</Lines>
  <Paragraphs>18</Paragraphs>
  <TotalTime>2</TotalTime>
  <ScaleCrop>false</ScaleCrop>
  <LinksUpToDate>false</LinksUpToDate>
  <CharactersWithSpaces>21943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2020-07-09T02:32:00Z</dcterms:created>
  <dc:creator>李航 null</dc:creator>
  <cp:lastModifiedBy>Administrator</cp:lastModifiedBy>
  <cp:lastPrinted>2024-09-25T08:14:00Z</cp:lastPrinted>
  <dcterms:modified xsi:type="dcterms:W3CDTF">2024-12-23T03:27:21Z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677FDF1A69794213BFA1EACF938AEC04</vt:lpwstr>
  </property>
</Properties>
</file>