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Style w:val="52"/>
          <w:rFonts w:ascii="仿宋_GB2312" w:eastAsia="仿宋_GB2312" w:cs="Times New Roman"/>
          <w:b/>
          <w:sz w:val="32"/>
          <w:szCs w:val="32"/>
        </w:rPr>
      </w:pPr>
      <w:bookmarkStart w:id="0" w:name="_Hlk37793625"/>
      <w:bookmarkEnd w:id="0"/>
      <w:bookmarkStart w:id="1" w:name="_Toc5629821"/>
      <w:bookmarkStart w:id="2" w:name="_Toc5629822"/>
    </w:p>
    <w:p>
      <w:pPr>
        <w:ind w:firstLine="0" w:firstLineChars="0"/>
        <w:jc w:val="center"/>
        <w:rPr>
          <w:rFonts w:ascii="方正仿宋_GBK" w:eastAsia="方正仿宋_GBK" w:cs="Times New Roman"/>
          <w:b/>
          <w:sz w:val="44"/>
          <w:szCs w:val="44"/>
        </w:rPr>
      </w:pPr>
      <w:r>
        <w:rPr>
          <w:rStyle w:val="52"/>
          <w:rFonts w:hint="eastAsia" w:ascii="方正仿宋_GBK" w:eastAsia="方正仿宋_GBK" w:cs="Times New Roman"/>
          <w:b/>
          <w:sz w:val="44"/>
          <w:szCs w:val="44"/>
        </w:rPr>
        <w:t>永州市环境空气质量限期达标规划</w:t>
      </w:r>
    </w:p>
    <w:p>
      <w:pPr>
        <w:ind w:firstLine="0" w:firstLineChars="0"/>
        <w:jc w:val="center"/>
        <w:rPr>
          <w:rFonts w:ascii="仿宋_GB2312" w:eastAsia="仿宋_GB2312" w:cs="Times New Roman"/>
          <w:b/>
          <w:bCs/>
          <w:caps/>
          <w:sz w:val="32"/>
          <w:szCs w:val="32"/>
        </w:rPr>
      </w:pPr>
    </w:p>
    <w:bookmarkEnd w:id="1"/>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近年来，永州市深入贯彻党的十九大精神，把握中国特色社会主义事业“五位一体”总体布局，践行绿水青山就是金山银山的理念，全面实施污染防治攻坚，强化专项攻坚治理，推动环境空气质量不断改善。根据《中华人民共和国环境保护法》、《中华人民共和国大气污染防治法》和《湖南省污染防治攻坚战三年行动计划（2018—2020年）》（湘政发〔2018〕17号）等要求，我市作为空气质量未达标城市，需编制环境空气质量限期达标规划，</w:t>
      </w:r>
      <w:r>
        <w:rPr>
          <w:rFonts w:hint="eastAsia" w:ascii="仿宋_GB2312" w:eastAsia="仿宋_GB2312" w:cs="Times New Roman"/>
          <w:sz w:val="32"/>
          <w:szCs w:val="32"/>
          <w:lang w:eastAsia="zh-CN"/>
        </w:rPr>
        <w:t>确保</w:t>
      </w:r>
      <w:r>
        <w:rPr>
          <w:rFonts w:hint="eastAsia" w:ascii="仿宋_GB2312" w:eastAsia="仿宋_GB2312" w:cs="Times New Roman"/>
          <w:sz w:val="32"/>
          <w:szCs w:val="32"/>
        </w:rPr>
        <w:t>2021年底全市各区县六项空气质量指标全部达标。</w:t>
      </w:r>
    </w:p>
    <w:p>
      <w:pPr>
        <w:pStyle w:val="2"/>
        <w:spacing w:line="560" w:lineRule="exact"/>
        <w:ind w:left="480" w:firstLine="0" w:firstLineChars="0"/>
        <w:rPr>
          <w:rFonts w:ascii="黑体" w:hAnsi="黑体"/>
          <w:szCs w:val="32"/>
        </w:rPr>
      </w:pPr>
      <w:bookmarkStart w:id="3" w:name="_Toc45035978"/>
      <w:r>
        <w:rPr>
          <w:rFonts w:hint="eastAsia" w:ascii="黑体" w:hAnsi="黑体"/>
          <w:szCs w:val="32"/>
        </w:rPr>
        <w:t>一、编制总则</w:t>
      </w:r>
      <w:bookmarkEnd w:id="3"/>
    </w:p>
    <w:bookmarkEnd w:id="2"/>
    <w:p>
      <w:pPr>
        <w:pStyle w:val="3"/>
        <w:spacing w:line="560" w:lineRule="exact"/>
        <w:ind w:left="482"/>
        <w:rPr>
          <w:rFonts w:ascii="楷体_GB2312" w:eastAsia="楷体_GB2312"/>
          <w:sz w:val="32"/>
        </w:rPr>
      </w:pPr>
      <w:bookmarkStart w:id="4" w:name="_Toc45035979"/>
      <w:r>
        <w:rPr>
          <w:rFonts w:hint="eastAsia" w:ascii="楷体_GB2312" w:eastAsia="楷体_GB2312"/>
          <w:sz w:val="32"/>
        </w:rPr>
        <w:t>（一）指导思想</w:t>
      </w:r>
      <w:bookmarkEnd w:id="4"/>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以习近平新时代中国特色社会主义思想为指导，全面落实全国生态环境保护大会精神，牢固树立新发展理念，以实现永州市空气质量达标、保护人体健康为目标，着力解决以细颗粒物为重点的大气污染问题，推动城市环境空气质量逐步改善，达到国家环境空气质量标准，促进永州市经济、社会和环境的协调发展。</w:t>
      </w:r>
    </w:p>
    <w:p>
      <w:pPr>
        <w:pStyle w:val="3"/>
        <w:spacing w:line="560" w:lineRule="exact"/>
        <w:ind w:left="482"/>
        <w:rPr>
          <w:rFonts w:ascii="楷体_GB2312" w:eastAsia="楷体_GB2312"/>
          <w:sz w:val="32"/>
        </w:rPr>
      </w:pPr>
      <w:bookmarkStart w:id="5" w:name="_Toc45035980"/>
      <w:r>
        <w:rPr>
          <w:rFonts w:hint="eastAsia" w:ascii="楷体_GB2312" w:eastAsia="楷体_GB2312"/>
          <w:sz w:val="32"/>
        </w:rPr>
        <w:t>（二）编制原则</w:t>
      </w:r>
      <w:bookmarkEnd w:id="5"/>
    </w:p>
    <w:p>
      <w:pPr>
        <w:spacing w:line="560" w:lineRule="exact"/>
        <w:ind w:firstLine="643"/>
        <w:rPr>
          <w:rFonts w:ascii="仿宋_GB2312" w:eastAsia="仿宋_GB2312" w:cs="Times New Roman"/>
          <w:b/>
          <w:sz w:val="32"/>
          <w:szCs w:val="32"/>
        </w:rPr>
      </w:pPr>
      <w:r>
        <w:rPr>
          <w:rFonts w:hint="eastAsia" w:ascii="仿宋_GB2312" w:eastAsia="仿宋_GB2312" w:cs="Times New Roman"/>
          <w:b/>
          <w:sz w:val="32"/>
          <w:szCs w:val="32"/>
        </w:rPr>
        <w:t>统筹协调，相互衔接。</w:t>
      </w:r>
      <w:r>
        <w:rPr>
          <w:rFonts w:hint="eastAsia" w:ascii="仿宋_GB2312" w:eastAsia="仿宋_GB2312" w:cs="Times New Roman"/>
          <w:bCs/>
          <w:sz w:val="32"/>
          <w:szCs w:val="32"/>
        </w:rPr>
        <w:t>城市大气环境质量限期达标规划与城市总体规划相协调，任务措施作为城市经济社会发展规划的重要内容。中心城区与县区的空气质量目标及控制对策需明确且有过渡性，根据大气污染问题的轻重程度和污染源的排放情况制定可衔接且差异化的控制措施。</w:t>
      </w:r>
    </w:p>
    <w:p>
      <w:pPr>
        <w:spacing w:line="560" w:lineRule="exact"/>
        <w:ind w:firstLine="643"/>
        <w:rPr>
          <w:rFonts w:ascii="仿宋_GB2312" w:eastAsia="仿宋_GB2312" w:cs="Times New Roman"/>
          <w:b/>
          <w:sz w:val="32"/>
          <w:szCs w:val="32"/>
        </w:rPr>
      </w:pPr>
      <w:r>
        <w:rPr>
          <w:rFonts w:hint="eastAsia" w:ascii="仿宋_GB2312" w:eastAsia="仿宋_GB2312" w:cs="Times New Roman"/>
          <w:b/>
          <w:sz w:val="32"/>
          <w:szCs w:val="32"/>
        </w:rPr>
        <w:t>综合评估、科学施策。</w:t>
      </w:r>
      <w:r>
        <w:rPr>
          <w:rFonts w:hint="eastAsia" w:ascii="仿宋_GB2312" w:eastAsia="仿宋_GB2312" w:cs="Times New Roman"/>
          <w:bCs/>
          <w:sz w:val="32"/>
          <w:szCs w:val="32"/>
        </w:rPr>
        <w:t>甄别出影响永州市达标的主要污染物，分析其时空变化趋势，针对超标时段运用污染源排放清单、浓度权重轨迹分析、空气质量模型来源解析等技术手段，分析污染来源区域及行业，有方向性地制定达标措施；通过实地调研重点排放行业，结合各行业的生产工艺、排放特点和政策要求，研究当前重点行业的控制措施落实情况及防治的技术潜力，进一步提出控制要求，做到精准施策，科学优化达标方案。</w:t>
      </w:r>
    </w:p>
    <w:p>
      <w:pPr>
        <w:spacing w:line="560" w:lineRule="exact"/>
        <w:ind w:firstLine="643"/>
        <w:rPr>
          <w:rFonts w:ascii="仿宋_GB2312" w:eastAsia="仿宋_GB2312" w:cs="Times New Roman"/>
          <w:sz w:val="32"/>
          <w:szCs w:val="32"/>
        </w:rPr>
      </w:pPr>
      <w:r>
        <w:rPr>
          <w:rFonts w:hint="eastAsia" w:ascii="仿宋_GB2312" w:eastAsia="仿宋_GB2312" w:cs="Times New Roman"/>
          <w:b/>
          <w:sz w:val="32"/>
          <w:szCs w:val="32"/>
        </w:rPr>
        <w:t>项目落地、责任落实。</w:t>
      </w:r>
      <w:r>
        <w:rPr>
          <w:rFonts w:hint="eastAsia" w:ascii="仿宋_GB2312" w:eastAsia="仿宋_GB2312" w:cs="Times New Roman"/>
          <w:bCs/>
          <w:sz w:val="32"/>
          <w:szCs w:val="32"/>
        </w:rPr>
        <w:t>在充分掌握前期大气污染防治工作的基础上，明确细化下阶段的各项污染物的防控要求和工作任务，编制详细的污染防治项目清单，将工程项目落实到污染源，分解落实到相关地区、部门和单位。</w:t>
      </w:r>
    </w:p>
    <w:p>
      <w:pPr>
        <w:pStyle w:val="3"/>
        <w:spacing w:line="560" w:lineRule="exact"/>
        <w:ind w:left="482"/>
        <w:rPr>
          <w:rFonts w:ascii="楷体_GB2312" w:eastAsia="楷体_GB2312"/>
          <w:sz w:val="32"/>
        </w:rPr>
      </w:pPr>
      <w:bookmarkStart w:id="6" w:name="_Toc45035981"/>
      <w:r>
        <w:rPr>
          <w:rFonts w:hint="eastAsia" w:ascii="楷体_GB2312" w:eastAsia="楷体_GB2312"/>
          <w:sz w:val="32"/>
        </w:rPr>
        <w:t>（三）规划范围</w:t>
      </w:r>
      <w:bookmarkEnd w:id="6"/>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规划范围为永州市行政区域，辖区总面积22441平方公里，包括</w:t>
      </w:r>
      <w:r>
        <w:rPr>
          <w:rFonts w:hint="eastAsia" w:ascii="仿宋_GB2312" w:eastAsia="仿宋_GB2312" w:cs="Times New Roman"/>
          <w:sz w:val="32"/>
          <w:szCs w:val="32"/>
          <w:lang w:eastAsia="zh-CN"/>
        </w:rPr>
        <w:t>中心城区三区</w:t>
      </w:r>
      <w:r>
        <w:rPr>
          <w:rFonts w:hint="eastAsia" w:ascii="仿宋_GB2312" w:eastAsia="仿宋_GB2312" w:cs="Times New Roman"/>
          <w:sz w:val="32"/>
          <w:szCs w:val="32"/>
        </w:rPr>
        <w:t>零陵区、冷水滩区</w:t>
      </w:r>
      <w:r>
        <w:rPr>
          <w:rFonts w:hint="eastAsia" w:ascii="仿宋_GB2312" w:eastAsia="仿宋_GB2312" w:cs="Times New Roman"/>
          <w:sz w:val="32"/>
          <w:szCs w:val="32"/>
          <w:lang w:eastAsia="zh-CN"/>
        </w:rPr>
        <w:t>、永州经济技术开发区，</w:t>
      </w:r>
      <w:r>
        <w:rPr>
          <w:rFonts w:hint="eastAsia" w:ascii="仿宋_GB2312" w:eastAsia="仿宋_GB2312" w:cs="Times New Roman"/>
          <w:sz w:val="32"/>
          <w:szCs w:val="32"/>
        </w:rPr>
        <w:t>和双牌县、祁阳县、东安县、道县、宁远县、新田县、蓝山县、江永县、江华瑶族自治县九个县，以及回龙圩、金洞两个管理区。</w:t>
      </w:r>
    </w:p>
    <w:p>
      <w:pPr>
        <w:pStyle w:val="3"/>
        <w:spacing w:line="560" w:lineRule="exact"/>
        <w:ind w:left="482"/>
        <w:rPr>
          <w:rFonts w:ascii="楷体_GB2312" w:eastAsia="楷体_GB2312"/>
          <w:sz w:val="32"/>
        </w:rPr>
      </w:pPr>
      <w:bookmarkStart w:id="7" w:name="_Toc45035982"/>
      <w:r>
        <w:rPr>
          <w:rFonts w:hint="eastAsia" w:ascii="楷体_GB2312" w:eastAsia="楷体_GB2312"/>
          <w:sz w:val="32"/>
        </w:rPr>
        <w:t>（四）规划期限与目标</w:t>
      </w:r>
      <w:bookmarkEnd w:id="7"/>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本规划规划目标年为2021年。到2020年底，中心城区、祁阳县、东安县二氧化硫和二氧化氮年均浓度稳定达标，PM</w:t>
      </w:r>
      <w:r>
        <w:rPr>
          <w:rFonts w:hint="eastAsia" w:ascii="仿宋_GB2312" w:eastAsia="仿宋_GB2312" w:cs="Times New Roman"/>
          <w:sz w:val="32"/>
          <w:szCs w:val="32"/>
          <w:vertAlign w:val="subscript"/>
        </w:rPr>
        <w:t>2.5</w:t>
      </w:r>
      <w:r>
        <w:rPr>
          <w:rFonts w:hint="eastAsia" w:ascii="仿宋_GB2312" w:eastAsia="仿宋_GB2312" w:cs="Times New Roman"/>
          <w:sz w:val="32"/>
          <w:szCs w:val="32"/>
        </w:rPr>
        <w:t>年均浓度争取达到国家二级标准，PM</w:t>
      </w:r>
      <w:r>
        <w:rPr>
          <w:rFonts w:hint="eastAsia" w:ascii="仿宋_GB2312" w:eastAsia="仿宋_GB2312" w:cs="Times New Roman"/>
          <w:sz w:val="32"/>
          <w:szCs w:val="32"/>
          <w:vertAlign w:val="subscript"/>
        </w:rPr>
        <w:t>10</w:t>
      </w:r>
      <w:r>
        <w:rPr>
          <w:rFonts w:hint="eastAsia" w:ascii="仿宋_GB2312" w:eastAsia="仿宋_GB2312" w:cs="Times New Roman"/>
          <w:sz w:val="32"/>
          <w:szCs w:val="32"/>
        </w:rPr>
        <w:t>年均浓度持续改善，臭氧日最大8小时平均值的第90百分位数和CO日平均值的第95百分位数稳定达标；其他县区颗粒物年均浓度达到国家二级标准且持续改善，其余四项指标稳定达标。2021年底，全市各区县六项空气质量指标全部达标。</w:t>
      </w:r>
    </w:p>
    <w:p>
      <w:pPr>
        <w:pStyle w:val="61"/>
        <w:spacing w:line="560" w:lineRule="exact"/>
        <w:ind w:firstLine="480"/>
        <w:rPr>
          <w:rFonts w:ascii="仿宋_GB2312" w:eastAsia="仿宋_GB2312"/>
          <w:sz w:val="28"/>
          <w:szCs w:val="28"/>
        </w:rPr>
      </w:pPr>
      <w:r>
        <w:rPr>
          <w:rFonts w:hint="eastAsia" w:ascii="仿宋_GB2312" w:eastAsia="仿宋_GB2312"/>
          <w:sz w:val="28"/>
          <w:szCs w:val="28"/>
        </w:rPr>
        <w:t>表1 永州市空气质量达标规划指标</w:t>
      </w:r>
    </w:p>
    <w:p>
      <w:pPr>
        <w:pStyle w:val="62"/>
        <w:spacing w:line="560" w:lineRule="exact"/>
        <w:ind w:firstLine="482"/>
        <w:rPr>
          <w:rFonts w:ascii="仿宋_GB2312" w:eastAsia="仿宋_GB2312"/>
          <w:b/>
          <w:sz w:val="24"/>
          <w:szCs w:val="32"/>
        </w:rPr>
      </w:pPr>
      <w:r>
        <w:rPr>
          <w:rFonts w:hint="eastAsia" w:ascii="仿宋_GB2312" w:eastAsia="仿宋_GB2312"/>
          <w:b/>
          <w:sz w:val="24"/>
          <w:szCs w:val="32"/>
        </w:rPr>
        <w:t>（单位：微克/立方米，CO：毫克/立方米）</w:t>
      </w:r>
    </w:p>
    <w:tbl>
      <w:tblPr>
        <w:tblStyle w:val="31"/>
        <w:tblW w:w="92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32"/>
        <w:gridCol w:w="649"/>
        <w:gridCol w:w="936"/>
        <w:gridCol w:w="642"/>
        <w:gridCol w:w="937"/>
        <w:gridCol w:w="809"/>
        <w:gridCol w:w="937"/>
        <w:gridCol w:w="767"/>
        <w:gridCol w:w="938"/>
        <w:gridCol w:w="820"/>
        <w:gridCol w:w="4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32" w:type="dxa"/>
            <w:vMerge w:val="restart"/>
            <w:tcBorders>
              <w:top w:val="single" w:color="auto" w:sz="12" w:space="0"/>
            </w:tcBorders>
            <w:vAlign w:val="center"/>
          </w:tcPr>
          <w:p>
            <w:pPr>
              <w:pStyle w:val="62"/>
              <w:rPr>
                <w:rFonts w:ascii="仿宋_GB2312" w:eastAsia="仿宋_GB2312"/>
                <w:b/>
                <w:sz w:val="24"/>
              </w:rPr>
            </w:pPr>
            <w:r>
              <w:rPr>
                <w:rFonts w:hint="eastAsia" w:ascii="仿宋_GB2312" w:eastAsia="仿宋_GB2312"/>
                <w:b/>
                <w:sz w:val="24"/>
              </w:rPr>
              <w:t>环境质量指标</w:t>
            </w:r>
          </w:p>
        </w:tc>
        <w:tc>
          <w:tcPr>
            <w:tcW w:w="1585" w:type="dxa"/>
            <w:gridSpan w:val="2"/>
            <w:tcBorders>
              <w:top w:val="single" w:color="auto" w:sz="12" w:space="0"/>
              <w:bottom w:val="single" w:color="auto" w:sz="6" w:space="0"/>
            </w:tcBorders>
            <w:vAlign w:val="center"/>
          </w:tcPr>
          <w:p>
            <w:pPr>
              <w:pStyle w:val="62"/>
              <w:rPr>
                <w:rFonts w:ascii="仿宋_GB2312" w:eastAsia="仿宋_GB2312"/>
                <w:b/>
                <w:sz w:val="24"/>
              </w:rPr>
            </w:pPr>
            <w:r>
              <w:rPr>
                <w:rFonts w:hint="eastAsia" w:ascii="仿宋_GB2312" w:eastAsia="仿宋_GB2312"/>
                <w:b/>
                <w:sz w:val="24"/>
              </w:rPr>
              <w:t>中心城区</w:t>
            </w:r>
          </w:p>
        </w:tc>
        <w:tc>
          <w:tcPr>
            <w:tcW w:w="1579" w:type="dxa"/>
            <w:gridSpan w:val="2"/>
            <w:tcBorders>
              <w:top w:val="single" w:color="auto" w:sz="12" w:space="0"/>
              <w:bottom w:val="single" w:color="auto" w:sz="6" w:space="0"/>
            </w:tcBorders>
            <w:vAlign w:val="center"/>
          </w:tcPr>
          <w:p>
            <w:pPr>
              <w:pStyle w:val="62"/>
              <w:rPr>
                <w:rFonts w:ascii="仿宋_GB2312" w:eastAsia="仿宋_GB2312"/>
                <w:b/>
                <w:sz w:val="24"/>
              </w:rPr>
            </w:pPr>
            <w:r>
              <w:rPr>
                <w:rFonts w:hint="eastAsia" w:ascii="仿宋_GB2312" w:eastAsia="仿宋_GB2312"/>
                <w:b/>
                <w:sz w:val="24"/>
              </w:rPr>
              <w:t>祁阳县</w:t>
            </w:r>
          </w:p>
        </w:tc>
        <w:tc>
          <w:tcPr>
            <w:tcW w:w="1746" w:type="dxa"/>
            <w:gridSpan w:val="2"/>
            <w:tcBorders>
              <w:top w:val="single" w:color="auto" w:sz="12" w:space="0"/>
              <w:bottom w:val="single" w:color="auto" w:sz="6" w:space="0"/>
            </w:tcBorders>
            <w:vAlign w:val="center"/>
          </w:tcPr>
          <w:p>
            <w:pPr>
              <w:pStyle w:val="62"/>
              <w:rPr>
                <w:rFonts w:ascii="仿宋_GB2312" w:eastAsia="仿宋_GB2312"/>
                <w:b/>
                <w:sz w:val="24"/>
              </w:rPr>
            </w:pPr>
            <w:r>
              <w:rPr>
                <w:rFonts w:hint="eastAsia" w:ascii="仿宋_GB2312" w:eastAsia="仿宋_GB2312"/>
                <w:b/>
                <w:sz w:val="24"/>
              </w:rPr>
              <w:t>东安县</w:t>
            </w:r>
          </w:p>
        </w:tc>
        <w:tc>
          <w:tcPr>
            <w:tcW w:w="1705" w:type="dxa"/>
            <w:gridSpan w:val="2"/>
            <w:tcBorders>
              <w:top w:val="single" w:color="auto" w:sz="12" w:space="0"/>
              <w:bottom w:val="single" w:color="auto" w:sz="6" w:space="0"/>
            </w:tcBorders>
            <w:vAlign w:val="center"/>
          </w:tcPr>
          <w:p>
            <w:pPr>
              <w:pStyle w:val="62"/>
              <w:rPr>
                <w:rFonts w:ascii="仿宋_GB2312" w:eastAsia="仿宋_GB2312"/>
                <w:b/>
                <w:sz w:val="24"/>
              </w:rPr>
            </w:pPr>
            <w:r>
              <w:rPr>
                <w:rFonts w:hint="eastAsia" w:ascii="仿宋_GB2312" w:eastAsia="仿宋_GB2312"/>
                <w:b/>
                <w:sz w:val="24"/>
              </w:rPr>
              <w:t>双牌县</w:t>
            </w:r>
          </w:p>
        </w:tc>
        <w:tc>
          <w:tcPr>
            <w:tcW w:w="820" w:type="dxa"/>
            <w:tcBorders>
              <w:top w:val="single" w:color="auto" w:sz="12" w:space="0"/>
              <w:bottom w:val="single" w:color="auto" w:sz="6" w:space="0"/>
            </w:tcBorders>
          </w:tcPr>
          <w:p>
            <w:pPr>
              <w:pStyle w:val="62"/>
              <w:rPr>
                <w:rFonts w:ascii="仿宋_GB2312" w:eastAsia="仿宋_GB2312"/>
                <w:b/>
                <w:sz w:val="24"/>
              </w:rPr>
            </w:pPr>
            <w:r>
              <w:rPr>
                <w:rFonts w:hint="eastAsia" w:ascii="仿宋_GB2312" w:eastAsia="仿宋_GB2312"/>
                <w:b/>
                <w:sz w:val="24"/>
              </w:rPr>
              <w:t>其他</w:t>
            </w:r>
          </w:p>
          <w:p>
            <w:pPr>
              <w:pStyle w:val="62"/>
              <w:rPr>
                <w:rFonts w:ascii="仿宋_GB2312" w:eastAsia="仿宋_GB2312"/>
                <w:b/>
                <w:sz w:val="24"/>
              </w:rPr>
            </w:pPr>
            <w:r>
              <w:rPr>
                <w:rFonts w:hint="eastAsia" w:ascii="仿宋_GB2312" w:eastAsia="仿宋_GB2312"/>
                <w:b/>
                <w:sz w:val="24"/>
              </w:rPr>
              <w:t>区县</w:t>
            </w:r>
          </w:p>
        </w:tc>
        <w:tc>
          <w:tcPr>
            <w:tcW w:w="457" w:type="dxa"/>
            <w:tcBorders>
              <w:top w:val="single" w:color="auto" w:sz="12" w:space="0"/>
              <w:bottom w:val="single" w:color="auto" w:sz="4" w:space="0"/>
            </w:tcBorders>
            <w:vAlign w:val="center"/>
          </w:tcPr>
          <w:p>
            <w:pPr>
              <w:pStyle w:val="62"/>
              <w:rPr>
                <w:rFonts w:ascii="仿宋_GB2312" w:eastAsia="仿宋_GB2312"/>
                <w:b/>
                <w:sz w:val="24"/>
              </w:rPr>
            </w:pPr>
            <w:r>
              <w:rPr>
                <w:rFonts w:hint="eastAsia" w:ascii="仿宋_GB2312" w:eastAsia="仿宋_GB2312"/>
                <w:b/>
                <w:sz w:val="24"/>
              </w:rPr>
              <w:t>属性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jc w:val="center"/>
        </w:trPr>
        <w:tc>
          <w:tcPr>
            <w:tcW w:w="1332" w:type="dxa"/>
            <w:vMerge w:val="continue"/>
            <w:tcBorders>
              <w:bottom w:val="single" w:color="auto" w:sz="6" w:space="0"/>
            </w:tcBorders>
            <w:vAlign w:val="center"/>
          </w:tcPr>
          <w:p>
            <w:pPr>
              <w:pStyle w:val="62"/>
              <w:rPr>
                <w:rFonts w:ascii="仿宋_GB2312" w:eastAsia="仿宋_GB2312"/>
                <w:sz w:val="24"/>
              </w:rPr>
            </w:pPr>
          </w:p>
        </w:tc>
        <w:tc>
          <w:tcPr>
            <w:tcW w:w="649" w:type="dxa"/>
            <w:tcBorders>
              <w:top w:val="single" w:color="auto" w:sz="6" w:space="0"/>
              <w:bottom w:val="single" w:color="auto" w:sz="6" w:space="0"/>
            </w:tcBorders>
            <w:vAlign w:val="center"/>
          </w:tcPr>
          <w:p>
            <w:pPr>
              <w:pStyle w:val="62"/>
              <w:keepNext w:val="0"/>
              <w:keepLines w:val="0"/>
              <w:pageBreakBefore w:val="0"/>
              <w:widowControl w:val="0"/>
              <w:kinsoku/>
              <w:wordWrap/>
              <w:overflowPunct/>
              <w:topLinePunct w:val="0"/>
              <w:autoSpaceDE/>
              <w:autoSpaceDN/>
              <w:bidi w:val="0"/>
              <w:adjustRightInd/>
              <w:snapToGrid/>
              <w:ind w:left="-120" w:leftChars="-50" w:right="-120" w:rightChars="-50"/>
              <w:textAlignment w:val="auto"/>
              <w:rPr>
                <w:rFonts w:ascii="仿宋_GB2312" w:eastAsia="仿宋_GB2312"/>
                <w:b/>
                <w:sz w:val="24"/>
              </w:rPr>
            </w:pPr>
            <w:r>
              <w:rPr>
                <w:rFonts w:hint="eastAsia" w:ascii="仿宋_GB2312" w:eastAsia="仿宋_GB2312"/>
                <w:b/>
                <w:sz w:val="24"/>
              </w:rPr>
              <w:t>2019年现状值</w:t>
            </w:r>
          </w:p>
        </w:tc>
        <w:tc>
          <w:tcPr>
            <w:tcW w:w="936" w:type="dxa"/>
            <w:tcBorders>
              <w:top w:val="single" w:color="auto" w:sz="6" w:space="0"/>
              <w:bottom w:val="single" w:color="auto" w:sz="6" w:space="0"/>
            </w:tcBorders>
            <w:vAlign w:val="center"/>
          </w:tcPr>
          <w:p>
            <w:pPr>
              <w:pStyle w:val="62"/>
              <w:rPr>
                <w:rFonts w:ascii="仿宋_GB2312" w:eastAsia="仿宋_GB2312"/>
                <w:b/>
                <w:sz w:val="24"/>
              </w:rPr>
            </w:pPr>
            <w:r>
              <w:rPr>
                <w:rFonts w:hint="eastAsia" w:ascii="仿宋_GB2312" w:eastAsia="仿宋_GB2312"/>
                <w:b/>
                <w:sz w:val="24"/>
              </w:rPr>
              <w:t>2020年目标值</w:t>
            </w:r>
          </w:p>
        </w:tc>
        <w:tc>
          <w:tcPr>
            <w:tcW w:w="642" w:type="dxa"/>
            <w:tcBorders>
              <w:top w:val="single" w:color="auto" w:sz="6" w:space="0"/>
              <w:bottom w:val="single" w:color="auto" w:sz="6" w:space="0"/>
            </w:tcBorders>
            <w:vAlign w:val="center"/>
          </w:tcPr>
          <w:p>
            <w:pPr>
              <w:pStyle w:val="62"/>
              <w:keepNext w:val="0"/>
              <w:keepLines w:val="0"/>
              <w:pageBreakBefore w:val="0"/>
              <w:widowControl w:val="0"/>
              <w:kinsoku/>
              <w:wordWrap/>
              <w:overflowPunct/>
              <w:topLinePunct w:val="0"/>
              <w:autoSpaceDE/>
              <w:autoSpaceDN/>
              <w:bidi w:val="0"/>
              <w:adjustRightInd/>
              <w:snapToGrid/>
              <w:ind w:left="-120" w:leftChars="-50" w:right="-120" w:rightChars="-50"/>
              <w:textAlignment w:val="auto"/>
              <w:rPr>
                <w:rFonts w:ascii="仿宋_GB2312" w:eastAsia="仿宋_GB2312"/>
                <w:b/>
                <w:sz w:val="24"/>
              </w:rPr>
            </w:pPr>
            <w:r>
              <w:rPr>
                <w:rFonts w:hint="eastAsia" w:ascii="仿宋_GB2312" w:eastAsia="仿宋_GB2312"/>
                <w:b/>
                <w:sz w:val="24"/>
              </w:rPr>
              <w:t>2019年现状值</w:t>
            </w:r>
          </w:p>
        </w:tc>
        <w:tc>
          <w:tcPr>
            <w:tcW w:w="937" w:type="dxa"/>
            <w:tcBorders>
              <w:top w:val="single" w:color="auto" w:sz="6" w:space="0"/>
              <w:bottom w:val="single" w:color="auto" w:sz="6" w:space="0"/>
            </w:tcBorders>
            <w:vAlign w:val="center"/>
          </w:tcPr>
          <w:p>
            <w:pPr>
              <w:pStyle w:val="62"/>
              <w:rPr>
                <w:rFonts w:ascii="仿宋_GB2312" w:eastAsia="仿宋_GB2312"/>
                <w:b/>
                <w:sz w:val="24"/>
              </w:rPr>
            </w:pPr>
            <w:r>
              <w:rPr>
                <w:rFonts w:hint="eastAsia" w:ascii="仿宋_GB2312" w:eastAsia="仿宋_GB2312"/>
                <w:b/>
                <w:sz w:val="24"/>
              </w:rPr>
              <w:t>2020年目标值</w:t>
            </w:r>
          </w:p>
        </w:tc>
        <w:tc>
          <w:tcPr>
            <w:tcW w:w="809" w:type="dxa"/>
            <w:tcBorders>
              <w:top w:val="single" w:color="auto" w:sz="6" w:space="0"/>
              <w:bottom w:val="single" w:color="auto" w:sz="6" w:space="0"/>
            </w:tcBorders>
            <w:vAlign w:val="center"/>
          </w:tcPr>
          <w:p>
            <w:pPr>
              <w:pStyle w:val="62"/>
              <w:rPr>
                <w:rFonts w:ascii="仿宋_GB2312" w:eastAsia="仿宋_GB2312"/>
                <w:b/>
                <w:sz w:val="24"/>
              </w:rPr>
            </w:pPr>
            <w:r>
              <w:rPr>
                <w:rFonts w:hint="eastAsia" w:ascii="仿宋_GB2312" w:eastAsia="仿宋_GB2312"/>
                <w:b/>
                <w:sz w:val="24"/>
              </w:rPr>
              <w:t>2019年现状值</w:t>
            </w:r>
          </w:p>
        </w:tc>
        <w:tc>
          <w:tcPr>
            <w:tcW w:w="937" w:type="dxa"/>
            <w:tcBorders>
              <w:top w:val="single" w:color="auto" w:sz="6" w:space="0"/>
              <w:bottom w:val="single" w:color="auto" w:sz="6" w:space="0"/>
            </w:tcBorders>
            <w:vAlign w:val="center"/>
          </w:tcPr>
          <w:p>
            <w:pPr>
              <w:pStyle w:val="62"/>
              <w:rPr>
                <w:rFonts w:ascii="仿宋_GB2312" w:eastAsia="仿宋_GB2312"/>
                <w:b/>
                <w:sz w:val="24"/>
              </w:rPr>
            </w:pPr>
            <w:r>
              <w:rPr>
                <w:rFonts w:hint="eastAsia" w:ascii="仿宋_GB2312" w:eastAsia="仿宋_GB2312"/>
                <w:b/>
                <w:sz w:val="24"/>
              </w:rPr>
              <w:t>2020年目标值</w:t>
            </w:r>
          </w:p>
        </w:tc>
        <w:tc>
          <w:tcPr>
            <w:tcW w:w="767" w:type="dxa"/>
            <w:tcBorders>
              <w:top w:val="single" w:color="auto" w:sz="6" w:space="0"/>
              <w:bottom w:val="single" w:color="auto" w:sz="6" w:space="0"/>
            </w:tcBorders>
            <w:vAlign w:val="center"/>
          </w:tcPr>
          <w:p>
            <w:pPr>
              <w:pStyle w:val="62"/>
              <w:rPr>
                <w:rFonts w:ascii="仿宋_GB2312" w:eastAsia="仿宋_GB2312"/>
                <w:b/>
                <w:sz w:val="24"/>
              </w:rPr>
            </w:pPr>
            <w:r>
              <w:rPr>
                <w:rFonts w:hint="eastAsia" w:ascii="仿宋_GB2312" w:eastAsia="仿宋_GB2312"/>
                <w:b/>
                <w:sz w:val="24"/>
              </w:rPr>
              <w:t>2019年现状值</w:t>
            </w:r>
          </w:p>
        </w:tc>
        <w:tc>
          <w:tcPr>
            <w:tcW w:w="938" w:type="dxa"/>
            <w:tcBorders>
              <w:top w:val="single" w:color="auto" w:sz="6" w:space="0"/>
              <w:bottom w:val="single" w:color="auto" w:sz="6" w:space="0"/>
            </w:tcBorders>
            <w:vAlign w:val="center"/>
          </w:tcPr>
          <w:p>
            <w:pPr>
              <w:pStyle w:val="62"/>
              <w:rPr>
                <w:rFonts w:ascii="仿宋_GB2312" w:eastAsia="仿宋_GB2312"/>
                <w:b/>
                <w:sz w:val="24"/>
              </w:rPr>
            </w:pPr>
            <w:r>
              <w:rPr>
                <w:rFonts w:hint="eastAsia" w:ascii="仿宋_GB2312" w:eastAsia="仿宋_GB2312"/>
                <w:b/>
                <w:sz w:val="24"/>
              </w:rPr>
              <w:t>2020年目标值</w:t>
            </w:r>
          </w:p>
        </w:tc>
        <w:tc>
          <w:tcPr>
            <w:tcW w:w="820" w:type="dxa"/>
            <w:tcBorders>
              <w:top w:val="single" w:color="auto" w:sz="6" w:space="0"/>
              <w:bottom w:val="single" w:color="auto" w:sz="6" w:space="0"/>
            </w:tcBorders>
          </w:tcPr>
          <w:p>
            <w:pPr>
              <w:pStyle w:val="62"/>
              <w:ind w:right="50" w:rightChars="21"/>
              <w:rPr>
                <w:rFonts w:ascii="仿宋_GB2312" w:eastAsia="仿宋_GB2312"/>
                <w:b/>
                <w:sz w:val="24"/>
              </w:rPr>
            </w:pPr>
            <w:r>
              <w:rPr>
                <w:rFonts w:hint="eastAsia" w:ascii="仿宋_GB2312" w:eastAsia="仿宋_GB2312"/>
                <w:b/>
                <w:sz w:val="24"/>
              </w:rPr>
              <w:t>2020年目</w:t>
            </w:r>
          </w:p>
          <w:p>
            <w:pPr>
              <w:pStyle w:val="62"/>
              <w:rPr>
                <w:rFonts w:ascii="仿宋_GB2312" w:eastAsia="仿宋_GB2312"/>
                <w:sz w:val="24"/>
              </w:rPr>
            </w:pPr>
            <w:r>
              <w:rPr>
                <w:rFonts w:hint="eastAsia" w:ascii="仿宋_GB2312" w:eastAsia="仿宋_GB2312"/>
                <w:b/>
                <w:sz w:val="24"/>
              </w:rPr>
              <w:t>标值</w:t>
            </w:r>
          </w:p>
        </w:tc>
        <w:tc>
          <w:tcPr>
            <w:tcW w:w="457" w:type="dxa"/>
            <w:tcBorders>
              <w:top w:val="single" w:color="auto" w:sz="4" w:space="0"/>
            </w:tcBorders>
          </w:tcPr>
          <w:p>
            <w:pPr>
              <w:pStyle w:val="62"/>
              <w:rPr>
                <w:rFonts w:ascii="仿宋_GB2312" w:eastAsia="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jc w:val="center"/>
        </w:trPr>
        <w:tc>
          <w:tcPr>
            <w:tcW w:w="1332" w:type="dxa"/>
            <w:tcBorders>
              <w:top w:val="single" w:color="auto" w:sz="6" w:space="0"/>
            </w:tcBorders>
            <w:vAlign w:val="center"/>
          </w:tcPr>
          <w:p>
            <w:pPr>
              <w:pStyle w:val="62"/>
              <w:rPr>
                <w:rFonts w:ascii="仿宋_GB2312" w:eastAsia="仿宋_GB2312"/>
                <w:b/>
                <w:sz w:val="24"/>
              </w:rPr>
            </w:pPr>
            <w:r>
              <w:rPr>
                <w:rFonts w:hint="eastAsia" w:ascii="仿宋_GB2312" w:eastAsia="仿宋_GB2312"/>
                <w:b/>
                <w:sz w:val="24"/>
              </w:rPr>
              <w:t>SO</w:t>
            </w:r>
            <w:r>
              <w:rPr>
                <w:rFonts w:hint="eastAsia" w:ascii="仿宋_GB2312" w:eastAsia="仿宋_GB2312"/>
                <w:b/>
                <w:sz w:val="24"/>
                <w:vertAlign w:val="subscript"/>
              </w:rPr>
              <w:t>2</w:t>
            </w:r>
            <w:r>
              <w:rPr>
                <w:rFonts w:hint="eastAsia" w:ascii="仿宋_GB2312" w:eastAsia="仿宋_GB2312"/>
                <w:b/>
                <w:sz w:val="24"/>
              </w:rPr>
              <w:t>年均</w:t>
            </w:r>
          </w:p>
          <w:p>
            <w:pPr>
              <w:pStyle w:val="62"/>
              <w:rPr>
                <w:rFonts w:ascii="仿宋_GB2312" w:eastAsia="仿宋_GB2312"/>
                <w:b/>
                <w:sz w:val="24"/>
              </w:rPr>
            </w:pPr>
            <w:r>
              <w:rPr>
                <w:rFonts w:hint="eastAsia" w:ascii="仿宋_GB2312" w:eastAsia="仿宋_GB2312"/>
                <w:b/>
                <w:sz w:val="24"/>
              </w:rPr>
              <w:t>浓度</w:t>
            </w:r>
          </w:p>
        </w:tc>
        <w:tc>
          <w:tcPr>
            <w:tcW w:w="649" w:type="dxa"/>
            <w:tcBorders>
              <w:top w:val="single" w:color="auto" w:sz="6" w:space="0"/>
            </w:tcBorders>
            <w:vAlign w:val="center"/>
          </w:tcPr>
          <w:p>
            <w:pPr>
              <w:pStyle w:val="62"/>
              <w:rPr>
                <w:rFonts w:ascii="仿宋_GB2312" w:eastAsia="仿宋_GB2312"/>
                <w:sz w:val="24"/>
              </w:rPr>
            </w:pPr>
            <w:r>
              <w:rPr>
                <w:rFonts w:hint="eastAsia" w:ascii="仿宋_GB2312" w:eastAsia="仿宋_GB2312"/>
                <w:sz w:val="24"/>
              </w:rPr>
              <w:t>9</w:t>
            </w:r>
          </w:p>
        </w:tc>
        <w:tc>
          <w:tcPr>
            <w:tcW w:w="936" w:type="dxa"/>
            <w:tcBorders>
              <w:top w:val="single" w:color="auto" w:sz="6" w:space="0"/>
            </w:tcBorders>
            <w:vAlign w:val="center"/>
          </w:tcPr>
          <w:p>
            <w:pPr>
              <w:pStyle w:val="62"/>
              <w:rPr>
                <w:rFonts w:ascii="仿宋_GB2312" w:eastAsia="仿宋_GB2312"/>
                <w:sz w:val="24"/>
              </w:rPr>
            </w:pPr>
            <w:r>
              <w:rPr>
                <w:rFonts w:hint="eastAsia" w:ascii="仿宋_GB2312" w:eastAsia="仿宋_GB2312"/>
                <w:sz w:val="24"/>
              </w:rPr>
              <w:t>稳定</w:t>
            </w:r>
          </w:p>
          <w:p>
            <w:pPr>
              <w:pStyle w:val="62"/>
              <w:rPr>
                <w:rFonts w:ascii="仿宋_GB2312" w:eastAsia="仿宋_GB2312"/>
                <w:sz w:val="24"/>
              </w:rPr>
            </w:pPr>
            <w:r>
              <w:rPr>
                <w:rFonts w:hint="eastAsia" w:ascii="仿宋_GB2312" w:eastAsia="仿宋_GB2312"/>
                <w:sz w:val="24"/>
              </w:rPr>
              <w:t>达标</w:t>
            </w:r>
          </w:p>
        </w:tc>
        <w:tc>
          <w:tcPr>
            <w:tcW w:w="642" w:type="dxa"/>
            <w:tcBorders>
              <w:top w:val="single" w:color="auto" w:sz="6" w:space="0"/>
            </w:tcBorders>
            <w:vAlign w:val="center"/>
          </w:tcPr>
          <w:p>
            <w:pPr>
              <w:pStyle w:val="62"/>
              <w:rPr>
                <w:rFonts w:ascii="仿宋_GB2312" w:eastAsia="仿宋_GB2312"/>
                <w:sz w:val="24"/>
              </w:rPr>
            </w:pPr>
            <w:r>
              <w:rPr>
                <w:rFonts w:hint="eastAsia" w:ascii="仿宋_GB2312" w:eastAsia="仿宋_GB2312"/>
                <w:sz w:val="24"/>
              </w:rPr>
              <w:t>13</w:t>
            </w:r>
          </w:p>
        </w:tc>
        <w:tc>
          <w:tcPr>
            <w:tcW w:w="937" w:type="dxa"/>
            <w:tcBorders>
              <w:top w:val="single" w:color="auto" w:sz="6" w:space="0"/>
            </w:tcBorders>
            <w:vAlign w:val="center"/>
          </w:tcPr>
          <w:p>
            <w:pPr>
              <w:pStyle w:val="62"/>
              <w:rPr>
                <w:rFonts w:ascii="仿宋_GB2312" w:eastAsia="仿宋_GB2312"/>
                <w:sz w:val="24"/>
              </w:rPr>
            </w:pPr>
            <w:r>
              <w:rPr>
                <w:rFonts w:hint="eastAsia" w:ascii="仿宋_GB2312" w:eastAsia="仿宋_GB2312"/>
                <w:sz w:val="24"/>
              </w:rPr>
              <w:t>稳定</w:t>
            </w:r>
          </w:p>
          <w:p>
            <w:pPr>
              <w:pStyle w:val="62"/>
              <w:rPr>
                <w:rFonts w:ascii="仿宋_GB2312" w:eastAsia="仿宋_GB2312"/>
                <w:sz w:val="24"/>
              </w:rPr>
            </w:pPr>
            <w:r>
              <w:rPr>
                <w:rFonts w:hint="eastAsia" w:ascii="仿宋_GB2312" w:eastAsia="仿宋_GB2312"/>
                <w:sz w:val="24"/>
              </w:rPr>
              <w:t>达标</w:t>
            </w:r>
          </w:p>
        </w:tc>
        <w:tc>
          <w:tcPr>
            <w:tcW w:w="809" w:type="dxa"/>
            <w:tcBorders>
              <w:top w:val="single" w:color="auto" w:sz="6" w:space="0"/>
            </w:tcBorders>
            <w:vAlign w:val="center"/>
          </w:tcPr>
          <w:p>
            <w:pPr>
              <w:pStyle w:val="62"/>
              <w:rPr>
                <w:rFonts w:ascii="仿宋_GB2312" w:eastAsia="仿宋_GB2312"/>
                <w:sz w:val="24"/>
              </w:rPr>
            </w:pPr>
            <w:r>
              <w:rPr>
                <w:rFonts w:hint="eastAsia" w:ascii="仿宋_GB2312" w:eastAsia="仿宋_GB2312"/>
                <w:sz w:val="24"/>
              </w:rPr>
              <w:t>10</w:t>
            </w:r>
          </w:p>
        </w:tc>
        <w:tc>
          <w:tcPr>
            <w:tcW w:w="937" w:type="dxa"/>
            <w:tcBorders>
              <w:top w:val="single" w:color="auto" w:sz="6" w:space="0"/>
            </w:tcBorders>
            <w:vAlign w:val="center"/>
          </w:tcPr>
          <w:p>
            <w:pPr>
              <w:pStyle w:val="62"/>
              <w:rPr>
                <w:rFonts w:ascii="仿宋_GB2312" w:eastAsia="仿宋_GB2312"/>
                <w:sz w:val="24"/>
              </w:rPr>
            </w:pPr>
            <w:r>
              <w:rPr>
                <w:rFonts w:hint="eastAsia" w:ascii="仿宋_GB2312" w:eastAsia="仿宋_GB2312"/>
                <w:sz w:val="24"/>
              </w:rPr>
              <w:t>稳定</w:t>
            </w:r>
          </w:p>
          <w:p>
            <w:pPr>
              <w:pStyle w:val="62"/>
              <w:rPr>
                <w:rFonts w:ascii="仿宋_GB2312" w:eastAsia="仿宋_GB2312"/>
                <w:sz w:val="24"/>
              </w:rPr>
            </w:pPr>
            <w:r>
              <w:rPr>
                <w:rFonts w:hint="eastAsia" w:ascii="仿宋_GB2312" w:eastAsia="仿宋_GB2312"/>
                <w:sz w:val="24"/>
              </w:rPr>
              <w:t>达标</w:t>
            </w:r>
          </w:p>
        </w:tc>
        <w:tc>
          <w:tcPr>
            <w:tcW w:w="767" w:type="dxa"/>
            <w:tcBorders>
              <w:top w:val="single" w:color="auto" w:sz="6" w:space="0"/>
            </w:tcBorders>
            <w:vAlign w:val="center"/>
          </w:tcPr>
          <w:p>
            <w:pPr>
              <w:pStyle w:val="62"/>
              <w:rPr>
                <w:rFonts w:ascii="仿宋_GB2312" w:eastAsia="仿宋_GB2312"/>
                <w:sz w:val="24"/>
              </w:rPr>
            </w:pPr>
            <w:r>
              <w:rPr>
                <w:rFonts w:hint="eastAsia" w:ascii="仿宋_GB2312" w:eastAsia="仿宋_GB2312"/>
                <w:sz w:val="24"/>
              </w:rPr>
              <w:t>9</w:t>
            </w:r>
          </w:p>
        </w:tc>
        <w:tc>
          <w:tcPr>
            <w:tcW w:w="938" w:type="dxa"/>
            <w:tcBorders>
              <w:top w:val="single" w:color="auto" w:sz="6" w:space="0"/>
            </w:tcBorders>
            <w:vAlign w:val="center"/>
          </w:tcPr>
          <w:p>
            <w:pPr>
              <w:pStyle w:val="62"/>
              <w:rPr>
                <w:rFonts w:ascii="仿宋_GB2312" w:eastAsia="仿宋_GB2312"/>
                <w:sz w:val="24"/>
              </w:rPr>
            </w:pPr>
            <w:r>
              <w:rPr>
                <w:rFonts w:hint="eastAsia" w:ascii="仿宋_GB2312" w:eastAsia="仿宋_GB2312"/>
                <w:sz w:val="24"/>
              </w:rPr>
              <w:t>稳定</w:t>
            </w:r>
          </w:p>
          <w:p>
            <w:pPr>
              <w:pStyle w:val="62"/>
              <w:rPr>
                <w:rFonts w:ascii="仿宋_GB2312" w:eastAsia="仿宋_GB2312"/>
                <w:sz w:val="24"/>
              </w:rPr>
            </w:pPr>
            <w:r>
              <w:rPr>
                <w:rFonts w:hint="eastAsia" w:ascii="仿宋_GB2312" w:eastAsia="仿宋_GB2312"/>
                <w:sz w:val="24"/>
              </w:rPr>
              <w:t>达标</w:t>
            </w:r>
          </w:p>
        </w:tc>
        <w:tc>
          <w:tcPr>
            <w:tcW w:w="820" w:type="dxa"/>
            <w:tcBorders>
              <w:top w:val="single" w:color="auto" w:sz="6" w:space="0"/>
            </w:tcBorders>
            <w:vAlign w:val="center"/>
          </w:tcPr>
          <w:p>
            <w:pPr>
              <w:pStyle w:val="62"/>
              <w:rPr>
                <w:rFonts w:ascii="仿宋_GB2312" w:eastAsia="仿宋_GB2312"/>
                <w:sz w:val="24"/>
              </w:rPr>
            </w:pPr>
            <w:r>
              <w:rPr>
                <w:rFonts w:hint="eastAsia" w:ascii="仿宋_GB2312" w:eastAsia="仿宋_GB2312"/>
                <w:sz w:val="24"/>
              </w:rPr>
              <w:t>稳定</w:t>
            </w:r>
          </w:p>
          <w:p>
            <w:pPr>
              <w:pStyle w:val="62"/>
              <w:rPr>
                <w:rFonts w:ascii="仿宋_GB2312" w:eastAsia="仿宋_GB2312"/>
                <w:sz w:val="24"/>
              </w:rPr>
            </w:pPr>
            <w:r>
              <w:rPr>
                <w:rFonts w:hint="eastAsia" w:ascii="仿宋_GB2312" w:eastAsia="仿宋_GB2312"/>
                <w:sz w:val="24"/>
              </w:rPr>
              <w:t>达标</w:t>
            </w:r>
          </w:p>
        </w:tc>
        <w:tc>
          <w:tcPr>
            <w:tcW w:w="457" w:type="dxa"/>
            <w:tcBorders>
              <w:top w:val="single" w:color="auto" w:sz="6" w:space="0"/>
            </w:tcBorders>
            <w:vAlign w:val="center"/>
          </w:tcPr>
          <w:p>
            <w:pPr>
              <w:pStyle w:val="62"/>
              <w:rPr>
                <w:rFonts w:ascii="仿宋_GB2312" w:eastAsia="仿宋_GB2312"/>
                <w:sz w:val="24"/>
              </w:rPr>
            </w:pPr>
            <w:r>
              <w:rPr>
                <w:rFonts w:hint="eastAsia" w:ascii="仿宋_GB2312" w:eastAsia="仿宋_GB2312"/>
                <w:sz w:val="24"/>
              </w:rPr>
              <w:t>约束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jc w:val="center"/>
        </w:trPr>
        <w:tc>
          <w:tcPr>
            <w:tcW w:w="1332" w:type="dxa"/>
            <w:vAlign w:val="center"/>
          </w:tcPr>
          <w:p>
            <w:pPr>
              <w:pStyle w:val="62"/>
              <w:rPr>
                <w:rFonts w:ascii="仿宋_GB2312" w:eastAsia="仿宋_GB2312"/>
                <w:b/>
                <w:sz w:val="24"/>
              </w:rPr>
            </w:pPr>
            <w:r>
              <w:rPr>
                <w:rFonts w:hint="eastAsia" w:ascii="仿宋_GB2312" w:eastAsia="仿宋_GB2312"/>
                <w:b/>
                <w:sz w:val="24"/>
              </w:rPr>
              <w:t>NO</w:t>
            </w:r>
            <w:r>
              <w:rPr>
                <w:rFonts w:hint="eastAsia" w:ascii="仿宋_GB2312" w:eastAsia="仿宋_GB2312"/>
                <w:b/>
                <w:sz w:val="24"/>
                <w:vertAlign w:val="subscript"/>
              </w:rPr>
              <w:t>2</w:t>
            </w:r>
            <w:r>
              <w:rPr>
                <w:rFonts w:hint="eastAsia" w:ascii="仿宋_GB2312" w:eastAsia="仿宋_GB2312"/>
                <w:b/>
                <w:sz w:val="24"/>
              </w:rPr>
              <w:t>年均</w:t>
            </w:r>
          </w:p>
          <w:p>
            <w:pPr>
              <w:pStyle w:val="62"/>
              <w:rPr>
                <w:rFonts w:ascii="仿宋_GB2312" w:eastAsia="仿宋_GB2312"/>
                <w:b/>
                <w:sz w:val="24"/>
              </w:rPr>
            </w:pPr>
            <w:r>
              <w:rPr>
                <w:rFonts w:hint="eastAsia" w:ascii="仿宋_GB2312" w:eastAsia="仿宋_GB2312"/>
                <w:b/>
                <w:sz w:val="24"/>
              </w:rPr>
              <w:t>浓度</w:t>
            </w:r>
          </w:p>
        </w:tc>
        <w:tc>
          <w:tcPr>
            <w:tcW w:w="649" w:type="dxa"/>
            <w:vAlign w:val="center"/>
          </w:tcPr>
          <w:p>
            <w:pPr>
              <w:pStyle w:val="62"/>
              <w:rPr>
                <w:rFonts w:ascii="仿宋_GB2312" w:eastAsia="仿宋_GB2312"/>
                <w:sz w:val="24"/>
              </w:rPr>
            </w:pPr>
            <w:r>
              <w:rPr>
                <w:rFonts w:hint="eastAsia" w:ascii="仿宋_GB2312" w:eastAsia="仿宋_GB2312"/>
                <w:sz w:val="24"/>
              </w:rPr>
              <w:t>27</w:t>
            </w:r>
          </w:p>
        </w:tc>
        <w:tc>
          <w:tcPr>
            <w:tcW w:w="936" w:type="dxa"/>
            <w:vAlign w:val="center"/>
          </w:tcPr>
          <w:p>
            <w:pPr>
              <w:pStyle w:val="62"/>
              <w:rPr>
                <w:rFonts w:ascii="仿宋_GB2312" w:eastAsia="仿宋_GB2312"/>
                <w:sz w:val="24"/>
              </w:rPr>
            </w:pPr>
            <w:r>
              <w:rPr>
                <w:rFonts w:hint="eastAsia" w:ascii="仿宋_GB2312" w:eastAsia="仿宋_GB2312"/>
                <w:sz w:val="24"/>
              </w:rPr>
              <w:t>稳定</w:t>
            </w:r>
          </w:p>
          <w:p>
            <w:pPr>
              <w:pStyle w:val="62"/>
              <w:rPr>
                <w:rFonts w:ascii="仿宋_GB2312" w:eastAsia="仿宋_GB2312"/>
                <w:sz w:val="24"/>
              </w:rPr>
            </w:pPr>
            <w:r>
              <w:rPr>
                <w:rFonts w:hint="eastAsia" w:ascii="仿宋_GB2312" w:eastAsia="仿宋_GB2312"/>
                <w:sz w:val="24"/>
              </w:rPr>
              <w:t>达标</w:t>
            </w:r>
          </w:p>
        </w:tc>
        <w:tc>
          <w:tcPr>
            <w:tcW w:w="642" w:type="dxa"/>
            <w:vAlign w:val="center"/>
          </w:tcPr>
          <w:p>
            <w:pPr>
              <w:pStyle w:val="62"/>
              <w:rPr>
                <w:rFonts w:ascii="仿宋_GB2312" w:eastAsia="仿宋_GB2312"/>
                <w:sz w:val="24"/>
              </w:rPr>
            </w:pPr>
            <w:r>
              <w:rPr>
                <w:rFonts w:hint="eastAsia" w:ascii="仿宋_GB2312" w:eastAsia="仿宋_GB2312"/>
                <w:sz w:val="24"/>
              </w:rPr>
              <w:t>13</w:t>
            </w:r>
          </w:p>
        </w:tc>
        <w:tc>
          <w:tcPr>
            <w:tcW w:w="937" w:type="dxa"/>
            <w:vAlign w:val="center"/>
          </w:tcPr>
          <w:p>
            <w:pPr>
              <w:pStyle w:val="62"/>
              <w:rPr>
                <w:rFonts w:ascii="仿宋_GB2312" w:eastAsia="仿宋_GB2312"/>
                <w:sz w:val="24"/>
              </w:rPr>
            </w:pPr>
            <w:r>
              <w:rPr>
                <w:rFonts w:hint="eastAsia" w:ascii="仿宋_GB2312" w:eastAsia="仿宋_GB2312"/>
                <w:sz w:val="24"/>
              </w:rPr>
              <w:t>稳定</w:t>
            </w:r>
          </w:p>
          <w:p>
            <w:pPr>
              <w:pStyle w:val="62"/>
              <w:rPr>
                <w:rFonts w:ascii="仿宋_GB2312" w:eastAsia="仿宋_GB2312"/>
                <w:sz w:val="24"/>
              </w:rPr>
            </w:pPr>
            <w:r>
              <w:rPr>
                <w:rFonts w:hint="eastAsia" w:ascii="仿宋_GB2312" w:eastAsia="仿宋_GB2312"/>
                <w:sz w:val="24"/>
              </w:rPr>
              <w:t>达标</w:t>
            </w:r>
          </w:p>
        </w:tc>
        <w:tc>
          <w:tcPr>
            <w:tcW w:w="809" w:type="dxa"/>
            <w:vAlign w:val="center"/>
          </w:tcPr>
          <w:p>
            <w:pPr>
              <w:pStyle w:val="62"/>
              <w:rPr>
                <w:rFonts w:ascii="仿宋_GB2312" w:eastAsia="仿宋_GB2312"/>
                <w:sz w:val="24"/>
              </w:rPr>
            </w:pPr>
            <w:r>
              <w:rPr>
                <w:rFonts w:hint="eastAsia" w:ascii="仿宋_GB2312" w:eastAsia="仿宋_GB2312"/>
                <w:sz w:val="24"/>
              </w:rPr>
              <w:t>11</w:t>
            </w:r>
          </w:p>
        </w:tc>
        <w:tc>
          <w:tcPr>
            <w:tcW w:w="937" w:type="dxa"/>
            <w:vAlign w:val="center"/>
          </w:tcPr>
          <w:p>
            <w:pPr>
              <w:pStyle w:val="62"/>
              <w:rPr>
                <w:rFonts w:ascii="仿宋_GB2312" w:eastAsia="仿宋_GB2312"/>
                <w:sz w:val="24"/>
              </w:rPr>
            </w:pPr>
            <w:r>
              <w:rPr>
                <w:rFonts w:hint="eastAsia" w:ascii="仿宋_GB2312" w:eastAsia="仿宋_GB2312"/>
                <w:sz w:val="24"/>
              </w:rPr>
              <w:t>稳定</w:t>
            </w:r>
          </w:p>
          <w:p>
            <w:pPr>
              <w:pStyle w:val="62"/>
              <w:rPr>
                <w:rFonts w:ascii="仿宋_GB2312" w:eastAsia="仿宋_GB2312"/>
                <w:sz w:val="24"/>
              </w:rPr>
            </w:pPr>
            <w:r>
              <w:rPr>
                <w:rFonts w:hint="eastAsia" w:ascii="仿宋_GB2312" w:eastAsia="仿宋_GB2312"/>
                <w:sz w:val="24"/>
              </w:rPr>
              <w:t>达标</w:t>
            </w:r>
          </w:p>
        </w:tc>
        <w:tc>
          <w:tcPr>
            <w:tcW w:w="767" w:type="dxa"/>
            <w:vAlign w:val="center"/>
          </w:tcPr>
          <w:p>
            <w:pPr>
              <w:pStyle w:val="62"/>
              <w:rPr>
                <w:rFonts w:ascii="仿宋_GB2312" w:eastAsia="仿宋_GB2312"/>
                <w:sz w:val="24"/>
              </w:rPr>
            </w:pPr>
            <w:r>
              <w:rPr>
                <w:rFonts w:hint="eastAsia" w:ascii="仿宋_GB2312" w:eastAsia="仿宋_GB2312"/>
                <w:sz w:val="24"/>
              </w:rPr>
              <w:t>13</w:t>
            </w:r>
          </w:p>
        </w:tc>
        <w:tc>
          <w:tcPr>
            <w:tcW w:w="938" w:type="dxa"/>
            <w:vAlign w:val="center"/>
          </w:tcPr>
          <w:p>
            <w:pPr>
              <w:pStyle w:val="62"/>
              <w:rPr>
                <w:rFonts w:ascii="仿宋_GB2312" w:eastAsia="仿宋_GB2312"/>
                <w:sz w:val="24"/>
              </w:rPr>
            </w:pPr>
            <w:r>
              <w:rPr>
                <w:rFonts w:hint="eastAsia" w:ascii="仿宋_GB2312" w:eastAsia="仿宋_GB2312"/>
                <w:sz w:val="24"/>
              </w:rPr>
              <w:t>稳定</w:t>
            </w:r>
          </w:p>
          <w:p>
            <w:pPr>
              <w:pStyle w:val="62"/>
              <w:rPr>
                <w:rFonts w:ascii="仿宋_GB2312" w:eastAsia="仿宋_GB2312"/>
                <w:sz w:val="24"/>
              </w:rPr>
            </w:pPr>
            <w:r>
              <w:rPr>
                <w:rFonts w:hint="eastAsia" w:ascii="仿宋_GB2312" w:eastAsia="仿宋_GB2312"/>
                <w:sz w:val="24"/>
              </w:rPr>
              <w:t>达标</w:t>
            </w:r>
          </w:p>
        </w:tc>
        <w:tc>
          <w:tcPr>
            <w:tcW w:w="820" w:type="dxa"/>
            <w:vAlign w:val="center"/>
          </w:tcPr>
          <w:p>
            <w:pPr>
              <w:pStyle w:val="62"/>
              <w:rPr>
                <w:rFonts w:ascii="仿宋_GB2312" w:eastAsia="仿宋_GB2312"/>
                <w:sz w:val="24"/>
              </w:rPr>
            </w:pPr>
            <w:r>
              <w:rPr>
                <w:rFonts w:hint="eastAsia" w:ascii="仿宋_GB2312" w:eastAsia="仿宋_GB2312"/>
                <w:sz w:val="24"/>
              </w:rPr>
              <w:t>稳定</w:t>
            </w:r>
          </w:p>
          <w:p>
            <w:pPr>
              <w:pStyle w:val="62"/>
              <w:rPr>
                <w:rFonts w:ascii="仿宋_GB2312" w:eastAsia="仿宋_GB2312"/>
                <w:sz w:val="24"/>
              </w:rPr>
            </w:pPr>
            <w:r>
              <w:rPr>
                <w:rFonts w:hint="eastAsia" w:ascii="仿宋_GB2312" w:eastAsia="仿宋_GB2312"/>
                <w:sz w:val="24"/>
              </w:rPr>
              <w:t>达标</w:t>
            </w:r>
          </w:p>
        </w:tc>
        <w:tc>
          <w:tcPr>
            <w:tcW w:w="457" w:type="dxa"/>
            <w:vAlign w:val="center"/>
          </w:tcPr>
          <w:p>
            <w:pPr>
              <w:pStyle w:val="62"/>
              <w:rPr>
                <w:rFonts w:ascii="仿宋_GB2312" w:eastAsia="仿宋_GB2312"/>
                <w:sz w:val="24"/>
              </w:rPr>
            </w:pPr>
            <w:r>
              <w:rPr>
                <w:rFonts w:hint="eastAsia" w:ascii="仿宋_GB2312" w:eastAsia="仿宋_GB2312"/>
                <w:sz w:val="24"/>
              </w:rPr>
              <w:t>约束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jc w:val="center"/>
        </w:trPr>
        <w:tc>
          <w:tcPr>
            <w:tcW w:w="1332" w:type="dxa"/>
            <w:vAlign w:val="center"/>
          </w:tcPr>
          <w:p>
            <w:pPr>
              <w:pStyle w:val="62"/>
              <w:rPr>
                <w:rFonts w:ascii="仿宋_GB2312" w:eastAsia="仿宋_GB2312"/>
                <w:b/>
                <w:sz w:val="24"/>
              </w:rPr>
            </w:pPr>
            <w:r>
              <w:rPr>
                <w:rFonts w:hint="eastAsia" w:ascii="仿宋_GB2312" w:eastAsia="仿宋_GB2312"/>
                <w:b/>
                <w:sz w:val="24"/>
              </w:rPr>
              <w:t>PM</w:t>
            </w:r>
            <w:r>
              <w:rPr>
                <w:rFonts w:hint="eastAsia" w:ascii="仿宋_GB2312" w:eastAsia="仿宋_GB2312"/>
                <w:b/>
                <w:sz w:val="24"/>
                <w:vertAlign w:val="subscript"/>
              </w:rPr>
              <w:t>10</w:t>
            </w:r>
            <w:r>
              <w:rPr>
                <w:rFonts w:hint="eastAsia" w:ascii="仿宋_GB2312" w:eastAsia="仿宋_GB2312"/>
                <w:b/>
                <w:sz w:val="24"/>
              </w:rPr>
              <w:t>年均浓度</w:t>
            </w:r>
          </w:p>
        </w:tc>
        <w:tc>
          <w:tcPr>
            <w:tcW w:w="649" w:type="dxa"/>
            <w:vAlign w:val="center"/>
          </w:tcPr>
          <w:p>
            <w:pPr>
              <w:pStyle w:val="62"/>
              <w:rPr>
                <w:rFonts w:ascii="仿宋_GB2312" w:eastAsia="仿宋_GB2312"/>
                <w:sz w:val="24"/>
              </w:rPr>
            </w:pPr>
            <w:r>
              <w:rPr>
                <w:rFonts w:hint="eastAsia" w:ascii="仿宋_GB2312" w:eastAsia="仿宋_GB2312"/>
                <w:sz w:val="24"/>
              </w:rPr>
              <w:t>56</w:t>
            </w:r>
          </w:p>
        </w:tc>
        <w:tc>
          <w:tcPr>
            <w:tcW w:w="936" w:type="dxa"/>
            <w:vAlign w:val="center"/>
          </w:tcPr>
          <w:p>
            <w:pPr>
              <w:pStyle w:val="62"/>
              <w:rPr>
                <w:rFonts w:ascii="仿宋_GB2312" w:eastAsia="仿宋_GB2312"/>
                <w:sz w:val="24"/>
              </w:rPr>
            </w:pPr>
            <w:r>
              <w:rPr>
                <w:rFonts w:hint="eastAsia" w:ascii="仿宋_GB2312" w:eastAsia="仿宋_GB2312"/>
                <w:sz w:val="24"/>
              </w:rPr>
              <w:t>持续</w:t>
            </w:r>
          </w:p>
          <w:p>
            <w:pPr>
              <w:pStyle w:val="62"/>
              <w:rPr>
                <w:rFonts w:ascii="仿宋_GB2312" w:eastAsia="仿宋_GB2312"/>
                <w:sz w:val="24"/>
              </w:rPr>
            </w:pPr>
            <w:r>
              <w:rPr>
                <w:rFonts w:hint="eastAsia" w:ascii="仿宋_GB2312" w:eastAsia="仿宋_GB2312"/>
                <w:sz w:val="24"/>
              </w:rPr>
              <w:t>改善</w:t>
            </w:r>
          </w:p>
        </w:tc>
        <w:tc>
          <w:tcPr>
            <w:tcW w:w="642" w:type="dxa"/>
            <w:vAlign w:val="center"/>
          </w:tcPr>
          <w:p>
            <w:pPr>
              <w:pStyle w:val="62"/>
              <w:rPr>
                <w:rFonts w:ascii="仿宋_GB2312" w:eastAsia="仿宋_GB2312"/>
                <w:sz w:val="24"/>
              </w:rPr>
            </w:pPr>
            <w:r>
              <w:rPr>
                <w:rFonts w:hint="eastAsia" w:ascii="仿宋_GB2312" w:eastAsia="仿宋_GB2312"/>
                <w:sz w:val="24"/>
              </w:rPr>
              <w:t>53</w:t>
            </w:r>
          </w:p>
        </w:tc>
        <w:tc>
          <w:tcPr>
            <w:tcW w:w="937" w:type="dxa"/>
            <w:vAlign w:val="center"/>
          </w:tcPr>
          <w:p>
            <w:pPr>
              <w:pStyle w:val="62"/>
              <w:rPr>
                <w:rFonts w:ascii="仿宋_GB2312" w:eastAsia="仿宋_GB2312"/>
                <w:sz w:val="24"/>
              </w:rPr>
            </w:pPr>
            <w:r>
              <w:rPr>
                <w:rFonts w:hint="eastAsia" w:ascii="仿宋_GB2312" w:eastAsia="仿宋_GB2312"/>
                <w:sz w:val="24"/>
              </w:rPr>
              <w:t>持续</w:t>
            </w:r>
          </w:p>
          <w:p>
            <w:pPr>
              <w:pStyle w:val="62"/>
              <w:rPr>
                <w:rFonts w:ascii="仿宋_GB2312" w:eastAsia="仿宋_GB2312"/>
                <w:sz w:val="24"/>
              </w:rPr>
            </w:pPr>
            <w:r>
              <w:rPr>
                <w:rFonts w:hint="eastAsia" w:ascii="仿宋_GB2312" w:eastAsia="仿宋_GB2312"/>
                <w:sz w:val="24"/>
              </w:rPr>
              <w:t>改善</w:t>
            </w:r>
          </w:p>
        </w:tc>
        <w:tc>
          <w:tcPr>
            <w:tcW w:w="809" w:type="dxa"/>
            <w:vAlign w:val="center"/>
          </w:tcPr>
          <w:p>
            <w:pPr>
              <w:pStyle w:val="62"/>
              <w:rPr>
                <w:rFonts w:ascii="仿宋_GB2312" w:eastAsia="仿宋_GB2312"/>
                <w:sz w:val="24"/>
              </w:rPr>
            </w:pPr>
            <w:r>
              <w:rPr>
                <w:rFonts w:hint="eastAsia" w:ascii="仿宋_GB2312" w:eastAsia="仿宋_GB2312"/>
                <w:sz w:val="24"/>
              </w:rPr>
              <w:t>53</w:t>
            </w:r>
          </w:p>
        </w:tc>
        <w:tc>
          <w:tcPr>
            <w:tcW w:w="937" w:type="dxa"/>
            <w:vAlign w:val="center"/>
          </w:tcPr>
          <w:p>
            <w:pPr>
              <w:pStyle w:val="62"/>
              <w:rPr>
                <w:rFonts w:ascii="仿宋_GB2312" w:eastAsia="仿宋_GB2312"/>
                <w:sz w:val="24"/>
              </w:rPr>
            </w:pPr>
            <w:r>
              <w:rPr>
                <w:rFonts w:hint="eastAsia" w:ascii="仿宋_GB2312" w:eastAsia="仿宋_GB2312"/>
                <w:sz w:val="24"/>
              </w:rPr>
              <w:t>持续</w:t>
            </w:r>
          </w:p>
          <w:p>
            <w:pPr>
              <w:pStyle w:val="62"/>
              <w:rPr>
                <w:rFonts w:ascii="仿宋_GB2312" w:eastAsia="仿宋_GB2312"/>
                <w:sz w:val="24"/>
              </w:rPr>
            </w:pPr>
            <w:r>
              <w:rPr>
                <w:rFonts w:hint="eastAsia" w:ascii="仿宋_GB2312" w:eastAsia="仿宋_GB2312"/>
                <w:sz w:val="24"/>
              </w:rPr>
              <w:t>改善</w:t>
            </w:r>
          </w:p>
        </w:tc>
        <w:tc>
          <w:tcPr>
            <w:tcW w:w="767" w:type="dxa"/>
            <w:vAlign w:val="center"/>
          </w:tcPr>
          <w:p>
            <w:pPr>
              <w:pStyle w:val="62"/>
              <w:rPr>
                <w:rFonts w:ascii="仿宋_GB2312" w:eastAsia="仿宋_GB2312"/>
                <w:sz w:val="24"/>
              </w:rPr>
            </w:pPr>
            <w:r>
              <w:rPr>
                <w:rFonts w:hint="eastAsia" w:ascii="仿宋_GB2312" w:eastAsia="仿宋_GB2312"/>
                <w:sz w:val="24"/>
              </w:rPr>
              <w:t>41</w:t>
            </w:r>
          </w:p>
        </w:tc>
        <w:tc>
          <w:tcPr>
            <w:tcW w:w="938" w:type="dxa"/>
            <w:vAlign w:val="center"/>
          </w:tcPr>
          <w:p>
            <w:pPr>
              <w:pStyle w:val="62"/>
              <w:rPr>
                <w:rFonts w:ascii="仿宋_GB2312" w:eastAsia="仿宋_GB2312"/>
                <w:sz w:val="24"/>
              </w:rPr>
            </w:pPr>
            <w:r>
              <w:rPr>
                <w:rFonts w:hint="eastAsia" w:ascii="仿宋_GB2312" w:eastAsia="仿宋_GB2312"/>
                <w:sz w:val="24"/>
              </w:rPr>
              <w:t>持续</w:t>
            </w:r>
          </w:p>
          <w:p>
            <w:pPr>
              <w:pStyle w:val="62"/>
              <w:rPr>
                <w:rFonts w:ascii="仿宋_GB2312" w:eastAsia="仿宋_GB2312"/>
                <w:sz w:val="24"/>
              </w:rPr>
            </w:pPr>
            <w:r>
              <w:rPr>
                <w:rFonts w:hint="eastAsia" w:ascii="仿宋_GB2312" w:eastAsia="仿宋_GB2312"/>
                <w:sz w:val="24"/>
              </w:rPr>
              <w:t>改善</w:t>
            </w:r>
          </w:p>
        </w:tc>
        <w:tc>
          <w:tcPr>
            <w:tcW w:w="820" w:type="dxa"/>
            <w:vAlign w:val="center"/>
          </w:tcPr>
          <w:p>
            <w:pPr>
              <w:pStyle w:val="62"/>
              <w:rPr>
                <w:rFonts w:ascii="仿宋_GB2312" w:eastAsia="仿宋_GB2312"/>
                <w:sz w:val="24"/>
              </w:rPr>
            </w:pPr>
            <w:r>
              <w:rPr>
                <w:rFonts w:hint="eastAsia" w:ascii="仿宋_GB2312" w:eastAsia="仿宋_GB2312"/>
                <w:sz w:val="24"/>
              </w:rPr>
              <w:t>持续</w:t>
            </w:r>
          </w:p>
          <w:p>
            <w:pPr>
              <w:pStyle w:val="62"/>
              <w:rPr>
                <w:rFonts w:ascii="仿宋_GB2312" w:eastAsia="仿宋_GB2312"/>
                <w:sz w:val="24"/>
              </w:rPr>
            </w:pPr>
            <w:r>
              <w:rPr>
                <w:rFonts w:hint="eastAsia" w:ascii="仿宋_GB2312" w:eastAsia="仿宋_GB2312"/>
                <w:sz w:val="24"/>
              </w:rPr>
              <w:t>改善</w:t>
            </w:r>
          </w:p>
        </w:tc>
        <w:tc>
          <w:tcPr>
            <w:tcW w:w="457" w:type="dxa"/>
            <w:vAlign w:val="center"/>
          </w:tcPr>
          <w:p>
            <w:pPr>
              <w:pStyle w:val="62"/>
              <w:rPr>
                <w:rFonts w:ascii="仿宋_GB2312" w:eastAsia="仿宋_GB2312"/>
                <w:sz w:val="24"/>
              </w:rPr>
            </w:pPr>
            <w:r>
              <w:rPr>
                <w:rFonts w:hint="eastAsia" w:ascii="仿宋_GB2312" w:eastAsia="仿宋_GB2312"/>
                <w:sz w:val="24"/>
              </w:rPr>
              <w:t>约束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jc w:val="center"/>
        </w:trPr>
        <w:tc>
          <w:tcPr>
            <w:tcW w:w="1332" w:type="dxa"/>
            <w:vAlign w:val="center"/>
          </w:tcPr>
          <w:p>
            <w:pPr>
              <w:pStyle w:val="62"/>
              <w:rPr>
                <w:rFonts w:ascii="仿宋_GB2312" w:eastAsia="仿宋_GB2312"/>
                <w:b/>
                <w:sz w:val="24"/>
              </w:rPr>
            </w:pPr>
            <w:r>
              <w:rPr>
                <w:rFonts w:hint="eastAsia" w:ascii="仿宋_GB2312" w:eastAsia="仿宋_GB2312"/>
                <w:b/>
                <w:sz w:val="24"/>
              </w:rPr>
              <w:t>PM</w:t>
            </w:r>
            <w:r>
              <w:rPr>
                <w:rFonts w:hint="eastAsia" w:ascii="仿宋_GB2312" w:eastAsia="仿宋_GB2312"/>
                <w:b/>
                <w:sz w:val="24"/>
                <w:vertAlign w:val="subscript"/>
              </w:rPr>
              <w:t>2.5</w:t>
            </w:r>
            <w:r>
              <w:rPr>
                <w:rFonts w:hint="eastAsia" w:ascii="仿宋_GB2312" w:eastAsia="仿宋_GB2312"/>
                <w:b/>
                <w:sz w:val="24"/>
              </w:rPr>
              <w:t>年均浓度</w:t>
            </w:r>
          </w:p>
        </w:tc>
        <w:tc>
          <w:tcPr>
            <w:tcW w:w="649" w:type="dxa"/>
            <w:vAlign w:val="center"/>
          </w:tcPr>
          <w:p>
            <w:pPr>
              <w:pStyle w:val="62"/>
              <w:rPr>
                <w:rFonts w:ascii="仿宋_GB2312" w:eastAsia="仿宋_GB2312"/>
                <w:sz w:val="24"/>
              </w:rPr>
            </w:pPr>
            <w:r>
              <w:rPr>
                <w:rFonts w:hint="eastAsia" w:ascii="仿宋_GB2312" w:eastAsia="仿宋_GB2312"/>
                <w:sz w:val="24"/>
              </w:rPr>
              <w:t>39</w:t>
            </w:r>
          </w:p>
        </w:tc>
        <w:tc>
          <w:tcPr>
            <w:tcW w:w="936" w:type="dxa"/>
            <w:vAlign w:val="center"/>
          </w:tcPr>
          <w:p>
            <w:pPr>
              <w:pStyle w:val="62"/>
              <w:rPr>
                <w:rFonts w:ascii="仿宋_GB2312" w:eastAsia="仿宋_GB2312"/>
                <w:sz w:val="24"/>
              </w:rPr>
            </w:pPr>
            <w:r>
              <w:rPr>
                <w:rFonts w:hint="eastAsia" w:ascii="仿宋_GB2312" w:eastAsia="仿宋_GB2312"/>
                <w:sz w:val="24"/>
              </w:rPr>
              <w:t>≤35</w:t>
            </w:r>
          </w:p>
        </w:tc>
        <w:tc>
          <w:tcPr>
            <w:tcW w:w="642" w:type="dxa"/>
            <w:vAlign w:val="center"/>
          </w:tcPr>
          <w:p>
            <w:pPr>
              <w:pStyle w:val="62"/>
              <w:rPr>
                <w:rFonts w:ascii="仿宋_GB2312" w:eastAsia="仿宋_GB2312"/>
                <w:sz w:val="24"/>
              </w:rPr>
            </w:pPr>
            <w:r>
              <w:rPr>
                <w:rFonts w:hint="eastAsia" w:ascii="仿宋_GB2312" w:eastAsia="仿宋_GB2312"/>
                <w:sz w:val="24"/>
              </w:rPr>
              <w:t>41</w:t>
            </w:r>
          </w:p>
        </w:tc>
        <w:tc>
          <w:tcPr>
            <w:tcW w:w="937" w:type="dxa"/>
            <w:vAlign w:val="center"/>
          </w:tcPr>
          <w:p>
            <w:pPr>
              <w:pStyle w:val="62"/>
              <w:rPr>
                <w:rFonts w:ascii="仿宋_GB2312" w:eastAsia="仿宋_GB2312"/>
                <w:sz w:val="24"/>
              </w:rPr>
            </w:pPr>
            <w:r>
              <w:rPr>
                <w:rFonts w:hint="eastAsia" w:ascii="仿宋_GB2312" w:eastAsia="仿宋_GB2312"/>
                <w:sz w:val="24"/>
              </w:rPr>
              <w:t>≤35</w:t>
            </w:r>
          </w:p>
        </w:tc>
        <w:tc>
          <w:tcPr>
            <w:tcW w:w="809" w:type="dxa"/>
            <w:vAlign w:val="center"/>
          </w:tcPr>
          <w:p>
            <w:pPr>
              <w:pStyle w:val="62"/>
              <w:rPr>
                <w:rFonts w:ascii="仿宋_GB2312" w:eastAsia="仿宋_GB2312"/>
                <w:sz w:val="24"/>
              </w:rPr>
            </w:pPr>
            <w:r>
              <w:rPr>
                <w:rFonts w:hint="eastAsia" w:ascii="仿宋_GB2312" w:eastAsia="仿宋_GB2312"/>
                <w:sz w:val="24"/>
              </w:rPr>
              <w:t>36</w:t>
            </w:r>
          </w:p>
        </w:tc>
        <w:tc>
          <w:tcPr>
            <w:tcW w:w="937" w:type="dxa"/>
            <w:vAlign w:val="center"/>
          </w:tcPr>
          <w:p>
            <w:pPr>
              <w:pStyle w:val="62"/>
              <w:rPr>
                <w:rFonts w:ascii="仿宋_GB2312" w:eastAsia="仿宋_GB2312"/>
                <w:sz w:val="24"/>
              </w:rPr>
            </w:pPr>
            <w:r>
              <w:rPr>
                <w:rFonts w:hint="eastAsia" w:ascii="仿宋_GB2312" w:eastAsia="仿宋_GB2312"/>
                <w:sz w:val="24"/>
              </w:rPr>
              <w:t>≤35</w:t>
            </w:r>
          </w:p>
        </w:tc>
        <w:tc>
          <w:tcPr>
            <w:tcW w:w="767" w:type="dxa"/>
            <w:vAlign w:val="center"/>
          </w:tcPr>
          <w:p>
            <w:pPr>
              <w:pStyle w:val="62"/>
              <w:rPr>
                <w:rFonts w:ascii="仿宋_GB2312" w:eastAsia="仿宋_GB2312"/>
                <w:sz w:val="24"/>
              </w:rPr>
            </w:pPr>
            <w:r>
              <w:rPr>
                <w:rFonts w:hint="eastAsia" w:ascii="仿宋_GB2312" w:eastAsia="仿宋_GB2312"/>
                <w:sz w:val="24"/>
              </w:rPr>
              <w:t>30</w:t>
            </w:r>
          </w:p>
        </w:tc>
        <w:tc>
          <w:tcPr>
            <w:tcW w:w="938" w:type="dxa"/>
            <w:vAlign w:val="center"/>
          </w:tcPr>
          <w:p>
            <w:pPr>
              <w:pStyle w:val="62"/>
              <w:rPr>
                <w:rFonts w:ascii="仿宋_GB2312" w:eastAsia="仿宋_GB2312"/>
                <w:sz w:val="24"/>
              </w:rPr>
            </w:pPr>
            <w:r>
              <w:rPr>
                <w:rFonts w:hint="eastAsia" w:ascii="仿宋_GB2312" w:eastAsia="仿宋_GB2312"/>
                <w:sz w:val="24"/>
              </w:rPr>
              <w:t>持续</w:t>
            </w:r>
          </w:p>
          <w:p>
            <w:pPr>
              <w:pStyle w:val="62"/>
              <w:rPr>
                <w:rFonts w:ascii="仿宋_GB2312" w:eastAsia="仿宋_GB2312"/>
                <w:sz w:val="24"/>
              </w:rPr>
            </w:pPr>
            <w:r>
              <w:rPr>
                <w:rFonts w:hint="eastAsia" w:ascii="仿宋_GB2312" w:eastAsia="仿宋_GB2312"/>
                <w:sz w:val="24"/>
              </w:rPr>
              <w:t>改善</w:t>
            </w:r>
          </w:p>
        </w:tc>
        <w:tc>
          <w:tcPr>
            <w:tcW w:w="820" w:type="dxa"/>
            <w:vAlign w:val="center"/>
          </w:tcPr>
          <w:p>
            <w:pPr>
              <w:pStyle w:val="62"/>
              <w:rPr>
                <w:rFonts w:ascii="仿宋_GB2312" w:eastAsia="仿宋_GB2312"/>
                <w:sz w:val="24"/>
              </w:rPr>
            </w:pPr>
            <w:r>
              <w:rPr>
                <w:rFonts w:hint="eastAsia" w:ascii="仿宋_GB2312" w:eastAsia="仿宋_GB2312"/>
                <w:sz w:val="24"/>
              </w:rPr>
              <w:t>持续</w:t>
            </w:r>
          </w:p>
          <w:p>
            <w:pPr>
              <w:pStyle w:val="62"/>
              <w:rPr>
                <w:rFonts w:ascii="仿宋_GB2312" w:eastAsia="仿宋_GB2312"/>
                <w:sz w:val="24"/>
              </w:rPr>
            </w:pPr>
            <w:r>
              <w:rPr>
                <w:rFonts w:hint="eastAsia" w:ascii="仿宋_GB2312" w:eastAsia="仿宋_GB2312"/>
                <w:sz w:val="24"/>
              </w:rPr>
              <w:t>改善</w:t>
            </w:r>
          </w:p>
        </w:tc>
        <w:tc>
          <w:tcPr>
            <w:tcW w:w="457" w:type="dxa"/>
            <w:vAlign w:val="center"/>
          </w:tcPr>
          <w:p>
            <w:pPr>
              <w:pStyle w:val="62"/>
              <w:rPr>
                <w:rFonts w:ascii="仿宋_GB2312" w:eastAsia="仿宋_GB2312"/>
                <w:sz w:val="24"/>
              </w:rPr>
            </w:pPr>
            <w:r>
              <w:rPr>
                <w:rFonts w:hint="eastAsia" w:ascii="仿宋_GB2312" w:eastAsia="仿宋_GB2312"/>
                <w:sz w:val="24"/>
              </w:rPr>
              <w:t>约束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jc w:val="center"/>
        </w:trPr>
        <w:tc>
          <w:tcPr>
            <w:tcW w:w="1332" w:type="dxa"/>
            <w:vAlign w:val="center"/>
          </w:tcPr>
          <w:p>
            <w:pPr>
              <w:pStyle w:val="62"/>
              <w:rPr>
                <w:rFonts w:ascii="仿宋_GB2312" w:eastAsia="仿宋_GB2312"/>
                <w:b/>
                <w:sz w:val="24"/>
              </w:rPr>
            </w:pPr>
            <w:r>
              <w:rPr>
                <w:rFonts w:hint="eastAsia" w:ascii="仿宋_GB2312" w:eastAsia="仿宋_GB2312"/>
                <w:b/>
                <w:sz w:val="24"/>
              </w:rPr>
              <w:t>CO日平均值的第95百分位数</w:t>
            </w:r>
          </w:p>
        </w:tc>
        <w:tc>
          <w:tcPr>
            <w:tcW w:w="649" w:type="dxa"/>
            <w:vAlign w:val="center"/>
          </w:tcPr>
          <w:p>
            <w:pPr>
              <w:pStyle w:val="62"/>
              <w:rPr>
                <w:rFonts w:ascii="仿宋_GB2312" w:eastAsia="仿宋_GB2312"/>
                <w:sz w:val="24"/>
              </w:rPr>
            </w:pPr>
            <w:r>
              <w:rPr>
                <w:rFonts w:hint="eastAsia" w:ascii="仿宋_GB2312" w:eastAsia="仿宋_GB2312"/>
                <w:sz w:val="24"/>
              </w:rPr>
              <w:t>1.2</w:t>
            </w:r>
          </w:p>
        </w:tc>
        <w:tc>
          <w:tcPr>
            <w:tcW w:w="936" w:type="dxa"/>
            <w:vAlign w:val="center"/>
          </w:tcPr>
          <w:p>
            <w:pPr>
              <w:pStyle w:val="62"/>
              <w:rPr>
                <w:rFonts w:ascii="仿宋_GB2312" w:eastAsia="仿宋_GB2312"/>
                <w:sz w:val="24"/>
              </w:rPr>
            </w:pPr>
            <w:r>
              <w:rPr>
                <w:rFonts w:hint="eastAsia" w:ascii="仿宋_GB2312" w:eastAsia="仿宋_GB2312"/>
                <w:sz w:val="24"/>
              </w:rPr>
              <w:t>稳定</w:t>
            </w:r>
          </w:p>
          <w:p>
            <w:pPr>
              <w:pStyle w:val="62"/>
              <w:rPr>
                <w:rFonts w:ascii="仿宋_GB2312" w:eastAsia="仿宋_GB2312"/>
                <w:sz w:val="24"/>
              </w:rPr>
            </w:pPr>
            <w:r>
              <w:rPr>
                <w:rFonts w:hint="eastAsia" w:ascii="仿宋_GB2312" w:eastAsia="仿宋_GB2312"/>
                <w:sz w:val="24"/>
              </w:rPr>
              <w:t>达标</w:t>
            </w:r>
          </w:p>
        </w:tc>
        <w:tc>
          <w:tcPr>
            <w:tcW w:w="642" w:type="dxa"/>
            <w:vAlign w:val="center"/>
          </w:tcPr>
          <w:p>
            <w:pPr>
              <w:pStyle w:val="62"/>
              <w:rPr>
                <w:rFonts w:ascii="仿宋_GB2312" w:eastAsia="仿宋_GB2312"/>
                <w:sz w:val="24"/>
              </w:rPr>
            </w:pPr>
            <w:r>
              <w:rPr>
                <w:rFonts w:hint="eastAsia" w:ascii="仿宋_GB2312" w:eastAsia="仿宋_GB2312"/>
                <w:sz w:val="24"/>
              </w:rPr>
              <w:t>1.4</w:t>
            </w:r>
          </w:p>
        </w:tc>
        <w:tc>
          <w:tcPr>
            <w:tcW w:w="937" w:type="dxa"/>
            <w:vAlign w:val="center"/>
          </w:tcPr>
          <w:p>
            <w:pPr>
              <w:pStyle w:val="62"/>
              <w:rPr>
                <w:rFonts w:ascii="仿宋_GB2312" w:eastAsia="仿宋_GB2312"/>
                <w:sz w:val="24"/>
              </w:rPr>
            </w:pPr>
            <w:r>
              <w:rPr>
                <w:rFonts w:hint="eastAsia" w:ascii="仿宋_GB2312" w:eastAsia="仿宋_GB2312"/>
                <w:sz w:val="24"/>
              </w:rPr>
              <w:t>稳定</w:t>
            </w:r>
          </w:p>
          <w:p>
            <w:pPr>
              <w:pStyle w:val="62"/>
              <w:rPr>
                <w:rFonts w:ascii="仿宋_GB2312" w:eastAsia="仿宋_GB2312"/>
                <w:sz w:val="24"/>
              </w:rPr>
            </w:pPr>
            <w:r>
              <w:rPr>
                <w:rFonts w:hint="eastAsia" w:ascii="仿宋_GB2312" w:eastAsia="仿宋_GB2312"/>
                <w:sz w:val="24"/>
              </w:rPr>
              <w:t>达标</w:t>
            </w:r>
          </w:p>
        </w:tc>
        <w:tc>
          <w:tcPr>
            <w:tcW w:w="809" w:type="dxa"/>
            <w:vAlign w:val="center"/>
          </w:tcPr>
          <w:p>
            <w:pPr>
              <w:pStyle w:val="62"/>
              <w:rPr>
                <w:rFonts w:ascii="仿宋_GB2312" w:eastAsia="仿宋_GB2312"/>
                <w:sz w:val="24"/>
              </w:rPr>
            </w:pPr>
            <w:r>
              <w:rPr>
                <w:rFonts w:hint="eastAsia" w:ascii="仿宋_GB2312" w:eastAsia="仿宋_GB2312"/>
                <w:sz w:val="24"/>
              </w:rPr>
              <w:t>1.3</w:t>
            </w:r>
          </w:p>
        </w:tc>
        <w:tc>
          <w:tcPr>
            <w:tcW w:w="937" w:type="dxa"/>
            <w:vAlign w:val="center"/>
          </w:tcPr>
          <w:p>
            <w:pPr>
              <w:pStyle w:val="62"/>
              <w:rPr>
                <w:rFonts w:ascii="仿宋_GB2312" w:eastAsia="仿宋_GB2312"/>
                <w:sz w:val="24"/>
              </w:rPr>
            </w:pPr>
            <w:r>
              <w:rPr>
                <w:rFonts w:hint="eastAsia" w:ascii="仿宋_GB2312" w:eastAsia="仿宋_GB2312"/>
                <w:sz w:val="24"/>
              </w:rPr>
              <w:t>稳定</w:t>
            </w:r>
          </w:p>
          <w:p>
            <w:pPr>
              <w:pStyle w:val="62"/>
              <w:rPr>
                <w:rFonts w:ascii="仿宋_GB2312" w:eastAsia="仿宋_GB2312"/>
                <w:sz w:val="24"/>
              </w:rPr>
            </w:pPr>
            <w:r>
              <w:rPr>
                <w:rFonts w:hint="eastAsia" w:ascii="仿宋_GB2312" w:eastAsia="仿宋_GB2312"/>
                <w:sz w:val="24"/>
              </w:rPr>
              <w:t>达标</w:t>
            </w:r>
          </w:p>
        </w:tc>
        <w:tc>
          <w:tcPr>
            <w:tcW w:w="767" w:type="dxa"/>
            <w:vAlign w:val="center"/>
          </w:tcPr>
          <w:p>
            <w:pPr>
              <w:pStyle w:val="62"/>
              <w:rPr>
                <w:rFonts w:ascii="仿宋_GB2312" w:eastAsia="仿宋_GB2312"/>
                <w:sz w:val="24"/>
              </w:rPr>
            </w:pPr>
            <w:r>
              <w:rPr>
                <w:rFonts w:hint="eastAsia" w:ascii="仿宋_GB2312" w:eastAsia="仿宋_GB2312"/>
                <w:sz w:val="24"/>
              </w:rPr>
              <w:t>1.1</w:t>
            </w:r>
          </w:p>
        </w:tc>
        <w:tc>
          <w:tcPr>
            <w:tcW w:w="938" w:type="dxa"/>
            <w:vAlign w:val="center"/>
          </w:tcPr>
          <w:p>
            <w:pPr>
              <w:pStyle w:val="62"/>
              <w:rPr>
                <w:rFonts w:ascii="仿宋_GB2312" w:eastAsia="仿宋_GB2312"/>
                <w:sz w:val="24"/>
              </w:rPr>
            </w:pPr>
            <w:r>
              <w:rPr>
                <w:rFonts w:hint="eastAsia" w:ascii="仿宋_GB2312" w:eastAsia="仿宋_GB2312"/>
                <w:sz w:val="24"/>
              </w:rPr>
              <w:t>稳定</w:t>
            </w:r>
          </w:p>
          <w:p>
            <w:pPr>
              <w:pStyle w:val="62"/>
              <w:rPr>
                <w:rFonts w:ascii="仿宋_GB2312" w:eastAsia="仿宋_GB2312"/>
                <w:sz w:val="24"/>
              </w:rPr>
            </w:pPr>
            <w:r>
              <w:rPr>
                <w:rFonts w:hint="eastAsia" w:ascii="仿宋_GB2312" w:eastAsia="仿宋_GB2312"/>
                <w:sz w:val="24"/>
              </w:rPr>
              <w:t>达标</w:t>
            </w:r>
          </w:p>
        </w:tc>
        <w:tc>
          <w:tcPr>
            <w:tcW w:w="820" w:type="dxa"/>
            <w:vAlign w:val="center"/>
          </w:tcPr>
          <w:p>
            <w:pPr>
              <w:pStyle w:val="62"/>
              <w:rPr>
                <w:rFonts w:ascii="仿宋_GB2312" w:eastAsia="仿宋_GB2312"/>
                <w:sz w:val="24"/>
              </w:rPr>
            </w:pPr>
            <w:r>
              <w:rPr>
                <w:rFonts w:hint="eastAsia" w:ascii="仿宋_GB2312" w:eastAsia="仿宋_GB2312"/>
                <w:sz w:val="24"/>
              </w:rPr>
              <w:t>稳定</w:t>
            </w:r>
          </w:p>
          <w:p>
            <w:pPr>
              <w:pStyle w:val="62"/>
              <w:rPr>
                <w:rFonts w:ascii="仿宋_GB2312" w:eastAsia="仿宋_GB2312"/>
                <w:sz w:val="24"/>
              </w:rPr>
            </w:pPr>
            <w:r>
              <w:rPr>
                <w:rFonts w:hint="eastAsia" w:ascii="仿宋_GB2312" w:eastAsia="仿宋_GB2312"/>
                <w:sz w:val="24"/>
              </w:rPr>
              <w:t>达标</w:t>
            </w:r>
          </w:p>
        </w:tc>
        <w:tc>
          <w:tcPr>
            <w:tcW w:w="457" w:type="dxa"/>
            <w:vAlign w:val="center"/>
          </w:tcPr>
          <w:p>
            <w:pPr>
              <w:pStyle w:val="62"/>
              <w:rPr>
                <w:rFonts w:ascii="仿宋_GB2312" w:eastAsia="仿宋_GB2312"/>
                <w:sz w:val="24"/>
              </w:rPr>
            </w:pPr>
            <w:r>
              <w:rPr>
                <w:rFonts w:hint="eastAsia" w:ascii="仿宋_GB2312" w:eastAsia="仿宋_GB2312"/>
                <w:sz w:val="24"/>
              </w:rPr>
              <w:t>约束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jc w:val="center"/>
        </w:trPr>
        <w:tc>
          <w:tcPr>
            <w:tcW w:w="1332" w:type="dxa"/>
            <w:vAlign w:val="center"/>
          </w:tcPr>
          <w:p>
            <w:pPr>
              <w:pStyle w:val="62"/>
              <w:rPr>
                <w:rFonts w:ascii="仿宋_GB2312" w:eastAsia="仿宋_GB2312"/>
                <w:b/>
                <w:sz w:val="24"/>
              </w:rPr>
            </w:pPr>
            <w:r>
              <w:rPr>
                <w:rFonts w:hint="eastAsia" w:ascii="仿宋_GB2312" w:eastAsia="仿宋_GB2312"/>
                <w:b/>
                <w:sz w:val="24"/>
              </w:rPr>
              <w:t>O</w:t>
            </w:r>
            <w:r>
              <w:rPr>
                <w:rFonts w:hint="eastAsia" w:ascii="仿宋_GB2312" w:eastAsia="仿宋_GB2312"/>
                <w:b/>
                <w:sz w:val="24"/>
                <w:vertAlign w:val="subscript"/>
              </w:rPr>
              <w:t>3</w:t>
            </w:r>
            <w:r>
              <w:rPr>
                <w:rFonts w:hint="eastAsia" w:ascii="仿宋_GB2312" w:eastAsia="仿宋_GB2312"/>
                <w:b/>
                <w:sz w:val="24"/>
              </w:rPr>
              <w:t>日最大8小时平均值的第90百分位数</w:t>
            </w:r>
          </w:p>
        </w:tc>
        <w:tc>
          <w:tcPr>
            <w:tcW w:w="649" w:type="dxa"/>
            <w:vAlign w:val="center"/>
          </w:tcPr>
          <w:p>
            <w:pPr>
              <w:pStyle w:val="62"/>
              <w:rPr>
                <w:rFonts w:ascii="仿宋_GB2312" w:eastAsia="仿宋_GB2312"/>
                <w:sz w:val="24"/>
              </w:rPr>
            </w:pPr>
            <w:r>
              <w:rPr>
                <w:rFonts w:hint="eastAsia" w:ascii="仿宋_GB2312" w:eastAsia="仿宋_GB2312"/>
                <w:sz w:val="24"/>
              </w:rPr>
              <w:t>143</w:t>
            </w:r>
          </w:p>
        </w:tc>
        <w:tc>
          <w:tcPr>
            <w:tcW w:w="936" w:type="dxa"/>
            <w:vAlign w:val="center"/>
          </w:tcPr>
          <w:p>
            <w:pPr>
              <w:pStyle w:val="62"/>
              <w:rPr>
                <w:rFonts w:ascii="仿宋_GB2312" w:eastAsia="仿宋_GB2312"/>
                <w:sz w:val="24"/>
              </w:rPr>
            </w:pPr>
            <w:r>
              <w:rPr>
                <w:rFonts w:hint="eastAsia" w:ascii="仿宋_GB2312" w:eastAsia="仿宋_GB2312"/>
                <w:sz w:val="24"/>
              </w:rPr>
              <w:t>稳定</w:t>
            </w:r>
          </w:p>
          <w:p>
            <w:pPr>
              <w:pStyle w:val="62"/>
              <w:rPr>
                <w:rFonts w:ascii="仿宋_GB2312" w:eastAsia="仿宋_GB2312"/>
                <w:sz w:val="24"/>
              </w:rPr>
            </w:pPr>
            <w:r>
              <w:rPr>
                <w:rFonts w:hint="eastAsia" w:ascii="仿宋_GB2312" w:eastAsia="仿宋_GB2312"/>
                <w:sz w:val="24"/>
              </w:rPr>
              <w:t>达标</w:t>
            </w:r>
          </w:p>
        </w:tc>
        <w:tc>
          <w:tcPr>
            <w:tcW w:w="642" w:type="dxa"/>
            <w:vAlign w:val="center"/>
          </w:tcPr>
          <w:p>
            <w:pPr>
              <w:pStyle w:val="62"/>
              <w:rPr>
                <w:rFonts w:ascii="仿宋_GB2312" w:eastAsia="仿宋_GB2312"/>
                <w:sz w:val="24"/>
              </w:rPr>
            </w:pPr>
            <w:r>
              <w:rPr>
                <w:rFonts w:hint="eastAsia" w:ascii="仿宋_GB2312" w:eastAsia="仿宋_GB2312"/>
                <w:sz w:val="24"/>
              </w:rPr>
              <w:t>134</w:t>
            </w:r>
          </w:p>
        </w:tc>
        <w:tc>
          <w:tcPr>
            <w:tcW w:w="937" w:type="dxa"/>
            <w:vAlign w:val="center"/>
          </w:tcPr>
          <w:p>
            <w:pPr>
              <w:pStyle w:val="62"/>
              <w:rPr>
                <w:rFonts w:ascii="仿宋_GB2312" w:eastAsia="仿宋_GB2312"/>
                <w:sz w:val="24"/>
              </w:rPr>
            </w:pPr>
            <w:r>
              <w:rPr>
                <w:rFonts w:hint="eastAsia" w:ascii="仿宋_GB2312" w:eastAsia="仿宋_GB2312"/>
                <w:sz w:val="24"/>
              </w:rPr>
              <w:t>稳定</w:t>
            </w:r>
          </w:p>
          <w:p>
            <w:pPr>
              <w:pStyle w:val="62"/>
              <w:rPr>
                <w:rFonts w:ascii="仿宋_GB2312" w:eastAsia="仿宋_GB2312"/>
                <w:sz w:val="24"/>
              </w:rPr>
            </w:pPr>
            <w:r>
              <w:rPr>
                <w:rFonts w:hint="eastAsia" w:ascii="仿宋_GB2312" w:eastAsia="仿宋_GB2312"/>
                <w:sz w:val="24"/>
              </w:rPr>
              <w:t>达标</w:t>
            </w:r>
          </w:p>
        </w:tc>
        <w:tc>
          <w:tcPr>
            <w:tcW w:w="809" w:type="dxa"/>
            <w:vAlign w:val="center"/>
          </w:tcPr>
          <w:p>
            <w:pPr>
              <w:pStyle w:val="62"/>
              <w:rPr>
                <w:rFonts w:ascii="仿宋_GB2312" w:eastAsia="仿宋_GB2312"/>
                <w:sz w:val="24"/>
              </w:rPr>
            </w:pPr>
            <w:r>
              <w:rPr>
                <w:rFonts w:hint="eastAsia" w:ascii="仿宋_GB2312" w:eastAsia="仿宋_GB2312"/>
                <w:sz w:val="24"/>
              </w:rPr>
              <w:t>144</w:t>
            </w:r>
          </w:p>
        </w:tc>
        <w:tc>
          <w:tcPr>
            <w:tcW w:w="937" w:type="dxa"/>
            <w:vAlign w:val="center"/>
          </w:tcPr>
          <w:p>
            <w:pPr>
              <w:pStyle w:val="62"/>
              <w:rPr>
                <w:rFonts w:ascii="仿宋_GB2312" w:eastAsia="仿宋_GB2312"/>
                <w:sz w:val="24"/>
              </w:rPr>
            </w:pPr>
            <w:r>
              <w:rPr>
                <w:rFonts w:hint="eastAsia" w:ascii="仿宋_GB2312" w:eastAsia="仿宋_GB2312"/>
                <w:sz w:val="24"/>
              </w:rPr>
              <w:t>稳定</w:t>
            </w:r>
          </w:p>
          <w:p>
            <w:pPr>
              <w:pStyle w:val="62"/>
              <w:rPr>
                <w:rFonts w:ascii="仿宋_GB2312" w:eastAsia="仿宋_GB2312"/>
                <w:sz w:val="24"/>
              </w:rPr>
            </w:pPr>
            <w:r>
              <w:rPr>
                <w:rFonts w:hint="eastAsia" w:ascii="仿宋_GB2312" w:eastAsia="仿宋_GB2312"/>
                <w:sz w:val="24"/>
              </w:rPr>
              <w:t>达标</w:t>
            </w:r>
          </w:p>
        </w:tc>
        <w:tc>
          <w:tcPr>
            <w:tcW w:w="767" w:type="dxa"/>
            <w:vAlign w:val="center"/>
          </w:tcPr>
          <w:p>
            <w:pPr>
              <w:pStyle w:val="62"/>
              <w:rPr>
                <w:rFonts w:ascii="仿宋_GB2312" w:eastAsia="仿宋_GB2312"/>
                <w:sz w:val="24"/>
              </w:rPr>
            </w:pPr>
            <w:r>
              <w:rPr>
                <w:rFonts w:hint="eastAsia" w:ascii="仿宋_GB2312" w:eastAsia="仿宋_GB2312"/>
                <w:sz w:val="24"/>
              </w:rPr>
              <w:t>143</w:t>
            </w:r>
          </w:p>
        </w:tc>
        <w:tc>
          <w:tcPr>
            <w:tcW w:w="938" w:type="dxa"/>
            <w:vAlign w:val="center"/>
          </w:tcPr>
          <w:p>
            <w:pPr>
              <w:pStyle w:val="62"/>
              <w:rPr>
                <w:rFonts w:ascii="仿宋_GB2312" w:eastAsia="仿宋_GB2312"/>
                <w:sz w:val="24"/>
              </w:rPr>
            </w:pPr>
            <w:r>
              <w:rPr>
                <w:rFonts w:hint="eastAsia" w:ascii="仿宋_GB2312" w:eastAsia="仿宋_GB2312"/>
                <w:sz w:val="24"/>
              </w:rPr>
              <w:t>稳定</w:t>
            </w:r>
          </w:p>
          <w:p>
            <w:pPr>
              <w:pStyle w:val="62"/>
              <w:rPr>
                <w:rFonts w:ascii="仿宋_GB2312" w:eastAsia="仿宋_GB2312"/>
                <w:sz w:val="24"/>
              </w:rPr>
            </w:pPr>
            <w:r>
              <w:rPr>
                <w:rFonts w:hint="eastAsia" w:ascii="仿宋_GB2312" w:eastAsia="仿宋_GB2312"/>
                <w:sz w:val="24"/>
              </w:rPr>
              <w:t>达标</w:t>
            </w:r>
          </w:p>
        </w:tc>
        <w:tc>
          <w:tcPr>
            <w:tcW w:w="820" w:type="dxa"/>
            <w:vAlign w:val="center"/>
          </w:tcPr>
          <w:p>
            <w:pPr>
              <w:pStyle w:val="62"/>
              <w:rPr>
                <w:rFonts w:ascii="仿宋_GB2312" w:eastAsia="仿宋_GB2312"/>
                <w:sz w:val="24"/>
              </w:rPr>
            </w:pPr>
            <w:r>
              <w:rPr>
                <w:rFonts w:hint="eastAsia" w:ascii="仿宋_GB2312" w:eastAsia="仿宋_GB2312"/>
                <w:sz w:val="24"/>
              </w:rPr>
              <w:t>稳定</w:t>
            </w:r>
          </w:p>
          <w:p>
            <w:pPr>
              <w:pStyle w:val="62"/>
              <w:rPr>
                <w:rFonts w:ascii="仿宋_GB2312" w:eastAsia="仿宋_GB2312"/>
                <w:sz w:val="24"/>
              </w:rPr>
            </w:pPr>
            <w:r>
              <w:rPr>
                <w:rFonts w:hint="eastAsia" w:ascii="仿宋_GB2312" w:eastAsia="仿宋_GB2312"/>
                <w:sz w:val="24"/>
              </w:rPr>
              <w:t>达标</w:t>
            </w:r>
          </w:p>
        </w:tc>
        <w:tc>
          <w:tcPr>
            <w:tcW w:w="457" w:type="dxa"/>
            <w:vAlign w:val="center"/>
          </w:tcPr>
          <w:p>
            <w:pPr>
              <w:pStyle w:val="62"/>
              <w:rPr>
                <w:rFonts w:ascii="仿宋_GB2312" w:eastAsia="仿宋_GB2312"/>
                <w:sz w:val="24"/>
              </w:rPr>
            </w:pPr>
            <w:r>
              <w:rPr>
                <w:rFonts w:hint="eastAsia" w:ascii="仿宋_GB2312" w:eastAsia="仿宋_GB2312"/>
                <w:sz w:val="24"/>
              </w:rPr>
              <w:t>约束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jc w:val="center"/>
        </w:trPr>
        <w:tc>
          <w:tcPr>
            <w:tcW w:w="1332" w:type="dxa"/>
            <w:tcBorders>
              <w:bottom w:val="single" w:color="auto" w:sz="12" w:space="0"/>
            </w:tcBorders>
            <w:vAlign w:val="center"/>
          </w:tcPr>
          <w:p>
            <w:pPr>
              <w:pStyle w:val="62"/>
              <w:rPr>
                <w:rFonts w:ascii="仿宋_GB2312" w:eastAsia="仿宋_GB2312"/>
                <w:b/>
                <w:sz w:val="24"/>
              </w:rPr>
            </w:pPr>
            <w:r>
              <w:rPr>
                <w:rFonts w:hint="eastAsia" w:ascii="仿宋_GB2312" w:eastAsia="仿宋_GB2312"/>
                <w:b/>
                <w:sz w:val="24"/>
              </w:rPr>
              <w:t>空气质量达标天比例（%）</w:t>
            </w:r>
          </w:p>
        </w:tc>
        <w:tc>
          <w:tcPr>
            <w:tcW w:w="649" w:type="dxa"/>
            <w:tcBorders>
              <w:bottom w:val="single" w:color="auto" w:sz="12" w:space="0"/>
            </w:tcBorders>
            <w:vAlign w:val="center"/>
          </w:tcPr>
          <w:p>
            <w:pPr>
              <w:pStyle w:val="62"/>
              <w:keepNext w:val="0"/>
              <w:keepLines w:val="0"/>
              <w:pageBreakBefore w:val="0"/>
              <w:widowControl w:val="0"/>
              <w:kinsoku/>
              <w:wordWrap/>
              <w:overflowPunct/>
              <w:topLinePunct w:val="0"/>
              <w:autoSpaceDE/>
              <w:autoSpaceDN/>
              <w:bidi w:val="0"/>
              <w:adjustRightInd/>
              <w:snapToGrid/>
              <w:ind w:left="-120" w:leftChars="-50" w:right="-120" w:rightChars="-50"/>
              <w:textAlignment w:val="auto"/>
              <w:rPr>
                <w:rFonts w:ascii="仿宋_GB2312" w:eastAsia="仿宋_GB2312"/>
                <w:sz w:val="24"/>
              </w:rPr>
            </w:pPr>
            <w:r>
              <w:rPr>
                <w:rFonts w:hint="eastAsia" w:ascii="仿宋_GB2312" w:eastAsia="仿宋_GB2312"/>
                <w:sz w:val="24"/>
              </w:rPr>
              <w:t>88.5</w:t>
            </w:r>
          </w:p>
        </w:tc>
        <w:tc>
          <w:tcPr>
            <w:tcW w:w="936" w:type="dxa"/>
            <w:tcBorders>
              <w:bottom w:val="single" w:color="auto" w:sz="12" w:space="0"/>
            </w:tcBorders>
            <w:vAlign w:val="center"/>
          </w:tcPr>
          <w:p>
            <w:pPr>
              <w:pStyle w:val="62"/>
              <w:rPr>
                <w:rFonts w:ascii="仿宋_GB2312" w:eastAsia="仿宋_GB2312"/>
                <w:sz w:val="24"/>
              </w:rPr>
            </w:pPr>
            <w:r>
              <w:rPr>
                <w:rFonts w:hint="eastAsia" w:ascii="仿宋_GB2312" w:eastAsia="仿宋_GB2312"/>
                <w:sz w:val="24"/>
              </w:rPr>
              <w:t>≥90.0</w:t>
            </w:r>
          </w:p>
        </w:tc>
        <w:tc>
          <w:tcPr>
            <w:tcW w:w="642" w:type="dxa"/>
            <w:tcBorders>
              <w:bottom w:val="single" w:color="auto" w:sz="12" w:space="0"/>
            </w:tcBorders>
            <w:vAlign w:val="center"/>
          </w:tcPr>
          <w:p>
            <w:pPr>
              <w:pStyle w:val="62"/>
              <w:keepNext w:val="0"/>
              <w:keepLines w:val="0"/>
              <w:pageBreakBefore w:val="0"/>
              <w:widowControl w:val="0"/>
              <w:kinsoku/>
              <w:wordWrap/>
              <w:overflowPunct/>
              <w:topLinePunct w:val="0"/>
              <w:autoSpaceDE/>
              <w:autoSpaceDN/>
              <w:bidi w:val="0"/>
              <w:adjustRightInd/>
              <w:snapToGrid/>
              <w:ind w:left="-120" w:leftChars="-50" w:right="-120" w:rightChars="-50"/>
              <w:textAlignment w:val="auto"/>
              <w:rPr>
                <w:rFonts w:ascii="仿宋_GB2312" w:eastAsia="仿宋_GB2312"/>
                <w:sz w:val="24"/>
              </w:rPr>
            </w:pPr>
            <w:r>
              <w:rPr>
                <w:rFonts w:hint="eastAsia" w:ascii="仿宋_GB2312" w:eastAsia="仿宋_GB2312"/>
                <w:sz w:val="24"/>
              </w:rPr>
              <w:t>87.7</w:t>
            </w:r>
          </w:p>
        </w:tc>
        <w:tc>
          <w:tcPr>
            <w:tcW w:w="937" w:type="dxa"/>
            <w:tcBorders>
              <w:bottom w:val="single" w:color="auto" w:sz="12" w:space="0"/>
            </w:tcBorders>
            <w:vAlign w:val="center"/>
          </w:tcPr>
          <w:p>
            <w:pPr>
              <w:pStyle w:val="62"/>
              <w:rPr>
                <w:rFonts w:ascii="仿宋_GB2312" w:eastAsia="仿宋_GB2312"/>
                <w:sz w:val="24"/>
              </w:rPr>
            </w:pPr>
            <w:r>
              <w:rPr>
                <w:rFonts w:hint="eastAsia" w:ascii="仿宋_GB2312" w:eastAsia="仿宋_GB2312"/>
                <w:sz w:val="24"/>
              </w:rPr>
              <w:t>≥89.0</w:t>
            </w:r>
          </w:p>
        </w:tc>
        <w:tc>
          <w:tcPr>
            <w:tcW w:w="809" w:type="dxa"/>
            <w:tcBorders>
              <w:bottom w:val="single" w:color="auto" w:sz="12" w:space="0"/>
            </w:tcBorders>
            <w:vAlign w:val="center"/>
          </w:tcPr>
          <w:p>
            <w:pPr>
              <w:pStyle w:val="62"/>
              <w:rPr>
                <w:rFonts w:ascii="仿宋_GB2312" w:eastAsia="仿宋_GB2312"/>
                <w:sz w:val="24"/>
              </w:rPr>
            </w:pPr>
            <w:r>
              <w:rPr>
                <w:rFonts w:hint="eastAsia" w:ascii="仿宋_GB2312" w:eastAsia="仿宋_GB2312"/>
                <w:sz w:val="24"/>
              </w:rPr>
              <w:t>90.1</w:t>
            </w:r>
          </w:p>
        </w:tc>
        <w:tc>
          <w:tcPr>
            <w:tcW w:w="937" w:type="dxa"/>
            <w:tcBorders>
              <w:bottom w:val="single" w:color="auto" w:sz="12" w:space="0"/>
            </w:tcBorders>
            <w:vAlign w:val="center"/>
          </w:tcPr>
          <w:p>
            <w:pPr>
              <w:pStyle w:val="62"/>
              <w:rPr>
                <w:rFonts w:ascii="仿宋_GB2312" w:eastAsia="仿宋_GB2312"/>
                <w:sz w:val="24"/>
              </w:rPr>
            </w:pPr>
            <w:r>
              <w:rPr>
                <w:rFonts w:hint="eastAsia" w:ascii="仿宋_GB2312" w:eastAsia="仿宋_GB2312"/>
                <w:sz w:val="24"/>
              </w:rPr>
              <w:t>≥91.3</w:t>
            </w:r>
          </w:p>
        </w:tc>
        <w:tc>
          <w:tcPr>
            <w:tcW w:w="767" w:type="dxa"/>
            <w:tcBorders>
              <w:bottom w:val="single" w:color="auto" w:sz="12" w:space="0"/>
            </w:tcBorders>
            <w:vAlign w:val="center"/>
          </w:tcPr>
          <w:p>
            <w:pPr>
              <w:pStyle w:val="62"/>
              <w:rPr>
                <w:rFonts w:ascii="仿宋_GB2312" w:eastAsia="仿宋_GB2312"/>
                <w:sz w:val="24"/>
              </w:rPr>
            </w:pPr>
            <w:r>
              <w:rPr>
                <w:rFonts w:hint="eastAsia" w:ascii="仿宋_GB2312" w:eastAsia="仿宋_GB2312"/>
                <w:sz w:val="24"/>
              </w:rPr>
              <w:t>92.9</w:t>
            </w:r>
          </w:p>
        </w:tc>
        <w:tc>
          <w:tcPr>
            <w:tcW w:w="938" w:type="dxa"/>
            <w:tcBorders>
              <w:bottom w:val="single" w:color="auto" w:sz="12" w:space="0"/>
            </w:tcBorders>
            <w:vAlign w:val="center"/>
          </w:tcPr>
          <w:p>
            <w:pPr>
              <w:pStyle w:val="62"/>
              <w:rPr>
                <w:rFonts w:ascii="仿宋_GB2312" w:eastAsia="仿宋_GB2312"/>
                <w:sz w:val="24"/>
              </w:rPr>
            </w:pPr>
            <w:r>
              <w:rPr>
                <w:rFonts w:hint="eastAsia" w:ascii="仿宋_GB2312" w:eastAsia="仿宋_GB2312"/>
                <w:sz w:val="24"/>
              </w:rPr>
              <w:t>≥93.9</w:t>
            </w:r>
          </w:p>
        </w:tc>
        <w:tc>
          <w:tcPr>
            <w:tcW w:w="820" w:type="dxa"/>
            <w:tcBorders>
              <w:bottom w:val="single" w:color="auto" w:sz="12" w:space="0"/>
            </w:tcBorders>
            <w:vAlign w:val="center"/>
          </w:tcPr>
          <w:p>
            <w:pPr>
              <w:pStyle w:val="62"/>
              <w:rPr>
                <w:rFonts w:ascii="仿宋_GB2312" w:eastAsia="仿宋_GB2312"/>
                <w:sz w:val="24"/>
              </w:rPr>
            </w:pPr>
            <w:r>
              <w:rPr>
                <w:rFonts w:hint="eastAsia" w:ascii="仿宋_GB2312" w:eastAsia="仿宋_GB2312"/>
                <w:sz w:val="24"/>
              </w:rPr>
              <w:t>≥96.0</w:t>
            </w:r>
          </w:p>
        </w:tc>
        <w:tc>
          <w:tcPr>
            <w:tcW w:w="457" w:type="dxa"/>
            <w:tcBorders>
              <w:bottom w:val="single" w:color="auto" w:sz="12" w:space="0"/>
            </w:tcBorders>
            <w:vAlign w:val="center"/>
          </w:tcPr>
          <w:p>
            <w:pPr>
              <w:pStyle w:val="62"/>
              <w:rPr>
                <w:rFonts w:ascii="仿宋_GB2312" w:eastAsia="仿宋_GB2312"/>
                <w:sz w:val="24"/>
              </w:rPr>
            </w:pPr>
            <w:r>
              <w:rPr>
                <w:rFonts w:hint="eastAsia" w:ascii="仿宋_GB2312" w:eastAsia="仿宋_GB2312"/>
                <w:sz w:val="24"/>
              </w:rPr>
              <w:t>预期</w:t>
            </w:r>
          </w:p>
        </w:tc>
      </w:tr>
    </w:tbl>
    <w:p>
      <w:pPr>
        <w:spacing w:line="560" w:lineRule="exact"/>
        <w:ind w:firstLine="640"/>
        <w:rPr>
          <w:rFonts w:ascii="仿宋_GB2312" w:eastAsia="仿宋_GB2312"/>
          <w:sz w:val="32"/>
          <w:szCs w:val="32"/>
        </w:rPr>
      </w:pPr>
      <w:r>
        <w:rPr>
          <w:rFonts w:hint="eastAsia" w:ascii="仿宋_GB2312" w:eastAsia="仿宋_GB2312"/>
          <w:sz w:val="32"/>
          <w:szCs w:val="32"/>
        </w:rPr>
        <w:t>根据《永州市特护期大气污染防治三年实施方案（2018-2020）》要求，冷水滩区、零陵区和祁阳县特护期2020年具体目标是，PM</w:t>
      </w:r>
      <w:r>
        <w:rPr>
          <w:rFonts w:hint="eastAsia" w:ascii="仿宋_GB2312" w:eastAsia="仿宋_GB2312"/>
          <w:sz w:val="32"/>
          <w:szCs w:val="32"/>
          <w:vertAlign w:val="subscript"/>
        </w:rPr>
        <w:t>2.5</w:t>
      </w:r>
      <w:r>
        <w:rPr>
          <w:rFonts w:hint="eastAsia" w:ascii="仿宋_GB2312" w:eastAsia="仿宋_GB2312"/>
          <w:sz w:val="32"/>
          <w:szCs w:val="32"/>
        </w:rPr>
        <w:t>不超过60微克/立方米，比2017年下降21%，PM</w:t>
      </w:r>
      <w:r>
        <w:rPr>
          <w:rFonts w:hint="eastAsia" w:ascii="仿宋_GB2312" w:eastAsia="仿宋_GB2312"/>
          <w:sz w:val="32"/>
          <w:szCs w:val="32"/>
          <w:vertAlign w:val="subscript"/>
        </w:rPr>
        <w:t>10</w:t>
      </w:r>
      <w:r>
        <w:rPr>
          <w:rFonts w:hint="eastAsia" w:ascii="仿宋_GB2312" w:eastAsia="仿宋_GB2312"/>
          <w:sz w:val="32"/>
          <w:szCs w:val="32"/>
        </w:rPr>
        <w:t>不超过98微克/立方米，比2017年下降6%，环境空气质量优良率62%，比2017年提高4.4个百分点。其他县区特护期空气质量总体保持稳定，力争有所改善。</w:t>
      </w:r>
    </w:p>
    <w:p>
      <w:pPr>
        <w:pStyle w:val="61"/>
        <w:spacing w:line="560" w:lineRule="exact"/>
        <w:ind w:firstLine="480"/>
        <w:rPr>
          <w:rFonts w:ascii="仿宋_GB2312" w:eastAsia="仿宋_GB2312"/>
          <w:sz w:val="24"/>
          <w:szCs w:val="24"/>
        </w:rPr>
      </w:pPr>
      <w:r>
        <w:rPr>
          <w:rFonts w:hint="eastAsia" w:ascii="仿宋_GB2312" w:eastAsia="仿宋_GB2312"/>
          <w:sz w:val="28"/>
          <w:szCs w:val="28"/>
        </w:rPr>
        <w:t>表2 永州市2020年特护期各县区大气环境质量改善目标</w:t>
      </w:r>
    </w:p>
    <w:tbl>
      <w:tblPr>
        <w:tblStyle w:val="31"/>
        <w:tblW w:w="87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13"/>
        <w:gridCol w:w="1157"/>
        <w:gridCol w:w="1158"/>
        <w:gridCol w:w="1158"/>
        <w:gridCol w:w="1157"/>
        <w:gridCol w:w="1158"/>
        <w:gridCol w:w="15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13" w:type="dxa"/>
            <w:vMerge w:val="restart"/>
            <w:tcBorders>
              <w:top w:val="single" w:color="auto" w:sz="12" w:space="0"/>
            </w:tcBorders>
            <w:vAlign w:val="center"/>
          </w:tcPr>
          <w:p>
            <w:pPr>
              <w:pStyle w:val="62"/>
              <w:rPr>
                <w:rFonts w:ascii="仿宋_GB2312" w:eastAsia="仿宋_GB2312"/>
                <w:b/>
                <w:sz w:val="24"/>
              </w:rPr>
            </w:pPr>
            <w:r>
              <w:rPr>
                <w:rFonts w:hint="eastAsia" w:ascii="仿宋_GB2312" w:eastAsia="仿宋_GB2312"/>
                <w:b/>
                <w:sz w:val="24"/>
              </w:rPr>
              <w:t>县区</w:t>
            </w:r>
          </w:p>
        </w:tc>
        <w:tc>
          <w:tcPr>
            <w:tcW w:w="2315" w:type="dxa"/>
            <w:gridSpan w:val="2"/>
            <w:tcBorders>
              <w:top w:val="single" w:color="auto" w:sz="12" w:space="0"/>
              <w:bottom w:val="single" w:color="auto" w:sz="6" w:space="0"/>
            </w:tcBorders>
            <w:vAlign w:val="center"/>
          </w:tcPr>
          <w:p>
            <w:pPr>
              <w:pStyle w:val="62"/>
              <w:rPr>
                <w:rFonts w:ascii="仿宋_GB2312" w:eastAsia="仿宋_GB2312"/>
                <w:b/>
                <w:sz w:val="24"/>
              </w:rPr>
            </w:pPr>
            <w:r>
              <w:rPr>
                <w:rFonts w:hint="eastAsia" w:ascii="仿宋_GB2312" w:eastAsia="仿宋_GB2312"/>
                <w:b/>
                <w:sz w:val="24"/>
              </w:rPr>
              <w:t>PM</w:t>
            </w:r>
            <w:r>
              <w:rPr>
                <w:rFonts w:hint="eastAsia" w:ascii="仿宋_GB2312" w:eastAsia="仿宋_GB2312"/>
                <w:b/>
                <w:sz w:val="24"/>
                <w:vertAlign w:val="subscript"/>
              </w:rPr>
              <w:t>2.5</w:t>
            </w:r>
            <w:r>
              <w:rPr>
                <w:rFonts w:hint="eastAsia" w:ascii="仿宋_GB2312" w:eastAsia="仿宋_GB2312"/>
                <w:b/>
                <w:sz w:val="24"/>
              </w:rPr>
              <w:t>平均浓度</w:t>
            </w:r>
          </w:p>
          <w:p>
            <w:pPr>
              <w:pStyle w:val="62"/>
              <w:rPr>
                <w:rFonts w:ascii="仿宋_GB2312" w:eastAsia="仿宋_GB2312"/>
                <w:b/>
                <w:sz w:val="24"/>
              </w:rPr>
            </w:pPr>
            <w:r>
              <w:rPr>
                <w:rFonts w:hint="eastAsia" w:ascii="仿宋_GB2312" w:eastAsia="仿宋_GB2312"/>
                <w:b/>
                <w:sz w:val="24"/>
              </w:rPr>
              <w:t>（μg/m</w:t>
            </w:r>
            <w:r>
              <w:rPr>
                <w:rFonts w:hint="eastAsia" w:ascii="仿宋_GB2312" w:eastAsia="仿宋_GB2312"/>
                <w:b/>
                <w:sz w:val="24"/>
                <w:vertAlign w:val="superscript"/>
              </w:rPr>
              <w:t>3</w:t>
            </w:r>
            <w:r>
              <w:rPr>
                <w:rFonts w:hint="eastAsia" w:ascii="仿宋_GB2312" w:eastAsia="仿宋_GB2312"/>
                <w:b/>
                <w:sz w:val="24"/>
              </w:rPr>
              <w:t>）</w:t>
            </w:r>
          </w:p>
        </w:tc>
        <w:tc>
          <w:tcPr>
            <w:tcW w:w="2315" w:type="dxa"/>
            <w:gridSpan w:val="2"/>
            <w:tcBorders>
              <w:top w:val="single" w:color="auto" w:sz="12" w:space="0"/>
              <w:bottom w:val="single" w:color="auto" w:sz="6" w:space="0"/>
            </w:tcBorders>
            <w:vAlign w:val="center"/>
          </w:tcPr>
          <w:p>
            <w:pPr>
              <w:pStyle w:val="62"/>
              <w:rPr>
                <w:rFonts w:ascii="仿宋_GB2312" w:eastAsia="仿宋_GB2312"/>
                <w:b/>
                <w:sz w:val="24"/>
              </w:rPr>
            </w:pPr>
            <w:r>
              <w:rPr>
                <w:rFonts w:hint="eastAsia" w:ascii="仿宋_GB2312" w:eastAsia="仿宋_GB2312"/>
                <w:b/>
                <w:sz w:val="24"/>
              </w:rPr>
              <w:t>PM</w:t>
            </w:r>
            <w:r>
              <w:rPr>
                <w:rFonts w:hint="eastAsia" w:ascii="仿宋_GB2312" w:eastAsia="仿宋_GB2312"/>
                <w:b/>
                <w:sz w:val="24"/>
                <w:vertAlign w:val="subscript"/>
              </w:rPr>
              <w:t>10</w:t>
            </w:r>
            <w:r>
              <w:rPr>
                <w:rFonts w:hint="eastAsia" w:ascii="仿宋_GB2312" w:eastAsia="仿宋_GB2312"/>
                <w:b/>
                <w:sz w:val="24"/>
              </w:rPr>
              <w:t>平均浓度</w:t>
            </w:r>
          </w:p>
          <w:p>
            <w:pPr>
              <w:pStyle w:val="62"/>
              <w:rPr>
                <w:rFonts w:ascii="仿宋_GB2312" w:eastAsia="仿宋_GB2312"/>
                <w:b/>
                <w:sz w:val="24"/>
              </w:rPr>
            </w:pPr>
            <w:r>
              <w:rPr>
                <w:rFonts w:hint="eastAsia" w:ascii="仿宋_GB2312" w:eastAsia="仿宋_GB2312"/>
                <w:b/>
                <w:sz w:val="24"/>
              </w:rPr>
              <w:t>（μg/m3）</w:t>
            </w:r>
          </w:p>
        </w:tc>
        <w:tc>
          <w:tcPr>
            <w:tcW w:w="2746" w:type="dxa"/>
            <w:gridSpan w:val="2"/>
            <w:tcBorders>
              <w:top w:val="single" w:color="auto" w:sz="12" w:space="0"/>
              <w:bottom w:val="single" w:color="auto" w:sz="6" w:space="0"/>
            </w:tcBorders>
            <w:vAlign w:val="center"/>
          </w:tcPr>
          <w:p>
            <w:pPr>
              <w:pStyle w:val="62"/>
              <w:rPr>
                <w:rFonts w:ascii="仿宋_GB2312" w:eastAsia="仿宋_GB2312"/>
                <w:b/>
                <w:sz w:val="24"/>
              </w:rPr>
            </w:pPr>
            <w:r>
              <w:rPr>
                <w:rFonts w:hint="eastAsia" w:ascii="仿宋_GB2312" w:eastAsia="仿宋_GB2312"/>
                <w:b/>
                <w:sz w:val="24"/>
              </w:rPr>
              <w:t>空气质量优良率（%）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13" w:type="dxa"/>
            <w:vMerge w:val="continue"/>
            <w:tcBorders>
              <w:bottom w:val="single" w:color="auto" w:sz="6" w:space="0"/>
            </w:tcBorders>
            <w:vAlign w:val="center"/>
          </w:tcPr>
          <w:p>
            <w:pPr>
              <w:pStyle w:val="62"/>
              <w:rPr>
                <w:rFonts w:ascii="仿宋_GB2312" w:eastAsia="仿宋_GB2312"/>
                <w:b/>
                <w:sz w:val="24"/>
              </w:rPr>
            </w:pPr>
          </w:p>
        </w:tc>
        <w:tc>
          <w:tcPr>
            <w:tcW w:w="1157" w:type="dxa"/>
            <w:tcBorders>
              <w:top w:val="single" w:color="auto" w:sz="6" w:space="0"/>
              <w:bottom w:val="single" w:color="auto" w:sz="6" w:space="0"/>
            </w:tcBorders>
            <w:vAlign w:val="center"/>
          </w:tcPr>
          <w:p>
            <w:pPr>
              <w:pStyle w:val="62"/>
              <w:rPr>
                <w:rFonts w:ascii="仿宋_GB2312" w:eastAsia="仿宋_GB2312"/>
                <w:b/>
                <w:sz w:val="24"/>
              </w:rPr>
            </w:pPr>
            <w:r>
              <w:rPr>
                <w:rFonts w:hint="eastAsia" w:ascii="仿宋_GB2312" w:eastAsia="仿宋_GB2312"/>
                <w:b/>
                <w:sz w:val="24"/>
              </w:rPr>
              <w:t>2017年</w:t>
            </w:r>
          </w:p>
          <w:p>
            <w:pPr>
              <w:pStyle w:val="62"/>
              <w:rPr>
                <w:rFonts w:ascii="仿宋_GB2312" w:eastAsia="仿宋_GB2312"/>
                <w:b/>
                <w:sz w:val="24"/>
              </w:rPr>
            </w:pPr>
            <w:r>
              <w:rPr>
                <w:rFonts w:hint="eastAsia" w:ascii="仿宋_GB2312" w:eastAsia="仿宋_GB2312"/>
                <w:b/>
                <w:sz w:val="24"/>
              </w:rPr>
              <w:t>平均值</w:t>
            </w:r>
          </w:p>
        </w:tc>
        <w:tc>
          <w:tcPr>
            <w:tcW w:w="1158" w:type="dxa"/>
            <w:tcBorders>
              <w:top w:val="single" w:color="auto" w:sz="6" w:space="0"/>
              <w:bottom w:val="single" w:color="auto" w:sz="6" w:space="0"/>
            </w:tcBorders>
            <w:vAlign w:val="center"/>
          </w:tcPr>
          <w:p>
            <w:pPr>
              <w:pStyle w:val="62"/>
              <w:rPr>
                <w:rFonts w:ascii="仿宋_GB2312" w:eastAsia="仿宋_GB2312"/>
                <w:b/>
                <w:sz w:val="24"/>
              </w:rPr>
            </w:pPr>
            <w:r>
              <w:rPr>
                <w:rFonts w:hint="eastAsia" w:ascii="仿宋_GB2312" w:eastAsia="仿宋_GB2312"/>
                <w:b/>
                <w:sz w:val="24"/>
              </w:rPr>
              <w:t>2020年</w:t>
            </w:r>
          </w:p>
          <w:p>
            <w:pPr>
              <w:pStyle w:val="62"/>
              <w:rPr>
                <w:rFonts w:ascii="仿宋_GB2312" w:eastAsia="仿宋_GB2312"/>
                <w:b/>
                <w:sz w:val="24"/>
              </w:rPr>
            </w:pPr>
            <w:r>
              <w:rPr>
                <w:rFonts w:hint="eastAsia" w:ascii="仿宋_GB2312" w:eastAsia="仿宋_GB2312"/>
                <w:b/>
                <w:sz w:val="24"/>
              </w:rPr>
              <w:t>目标值</w:t>
            </w:r>
          </w:p>
        </w:tc>
        <w:tc>
          <w:tcPr>
            <w:tcW w:w="1158" w:type="dxa"/>
            <w:tcBorders>
              <w:top w:val="single" w:color="auto" w:sz="6" w:space="0"/>
              <w:bottom w:val="single" w:color="auto" w:sz="6" w:space="0"/>
            </w:tcBorders>
            <w:vAlign w:val="center"/>
          </w:tcPr>
          <w:p>
            <w:pPr>
              <w:pStyle w:val="62"/>
              <w:rPr>
                <w:rFonts w:ascii="仿宋_GB2312" w:eastAsia="仿宋_GB2312"/>
                <w:b/>
                <w:sz w:val="24"/>
              </w:rPr>
            </w:pPr>
            <w:r>
              <w:rPr>
                <w:rFonts w:hint="eastAsia" w:ascii="仿宋_GB2312" w:eastAsia="仿宋_GB2312"/>
                <w:b/>
                <w:sz w:val="24"/>
              </w:rPr>
              <w:t>2017年</w:t>
            </w:r>
          </w:p>
          <w:p>
            <w:pPr>
              <w:pStyle w:val="62"/>
              <w:rPr>
                <w:rFonts w:ascii="仿宋_GB2312" w:eastAsia="仿宋_GB2312"/>
                <w:b/>
                <w:sz w:val="24"/>
              </w:rPr>
            </w:pPr>
            <w:r>
              <w:rPr>
                <w:rFonts w:hint="eastAsia" w:ascii="仿宋_GB2312" w:eastAsia="仿宋_GB2312"/>
                <w:b/>
                <w:sz w:val="24"/>
              </w:rPr>
              <w:t>平均值</w:t>
            </w:r>
          </w:p>
        </w:tc>
        <w:tc>
          <w:tcPr>
            <w:tcW w:w="1157" w:type="dxa"/>
            <w:tcBorders>
              <w:top w:val="single" w:color="auto" w:sz="6" w:space="0"/>
              <w:bottom w:val="single" w:color="auto" w:sz="6" w:space="0"/>
            </w:tcBorders>
            <w:vAlign w:val="center"/>
          </w:tcPr>
          <w:p>
            <w:pPr>
              <w:pStyle w:val="62"/>
              <w:rPr>
                <w:rFonts w:ascii="仿宋_GB2312" w:eastAsia="仿宋_GB2312"/>
                <w:b/>
                <w:sz w:val="24"/>
              </w:rPr>
            </w:pPr>
            <w:r>
              <w:rPr>
                <w:rFonts w:hint="eastAsia" w:ascii="仿宋_GB2312" w:eastAsia="仿宋_GB2312"/>
                <w:b/>
                <w:sz w:val="24"/>
              </w:rPr>
              <w:t>2020年</w:t>
            </w:r>
          </w:p>
          <w:p>
            <w:pPr>
              <w:pStyle w:val="62"/>
              <w:rPr>
                <w:rFonts w:ascii="仿宋_GB2312" w:eastAsia="仿宋_GB2312"/>
                <w:b/>
                <w:sz w:val="24"/>
              </w:rPr>
            </w:pPr>
            <w:r>
              <w:rPr>
                <w:rFonts w:hint="eastAsia" w:ascii="仿宋_GB2312" w:eastAsia="仿宋_GB2312"/>
                <w:b/>
                <w:sz w:val="24"/>
              </w:rPr>
              <w:t>目标值</w:t>
            </w:r>
          </w:p>
        </w:tc>
        <w:tc>
          <w:tcPr>
            <w:tcW w:w="1158" w:type="dxa"/>
            <w:tcBorders>
              <w:top w:val="single" w:color="auto" w:sz="6" w:space="0"/>
              <w:bottom w:val="single" w:color="auto" w:sz="6" w:space="0"/>
            </w:tcBorders>
            <w:vAlign w:val="center"/>
          </w:tcPr>
          <w:p>
            <w:pPr>
              <w:pStyle w:val="62"/>
              <w:rPr>
                <w:rFonts w:ascii="仿宋_GB2312" w:eastAsia="仿宋_GB2312"/>
                <w:b/>
                <w:sz w:val="24"/>
              </w:rPr>
            </w:pPr>
            <w:r>
              <w:rPr>
                <w:rFonts w:hint="eastAsia" w:ascii="仿宋_GB2312" w:eastAsia="仿宋_GB2312"/>
                <w:b/>
                <w:sz w:val="24"/>
              </w:rPr>
              <w:t>2017年</w:t>
            </w:r>
          </w:p>
          <w:p>
            <w:pPr>
              <w:pStyle w:val="62"/>
              <w:rPr>
                <w:rFonts w:ascii="仿宋_GB2312" w:eastAsia="仿宋_GB2312"/>
                <w:b/>
                <w:sz w:val="24"/>
              </w:rPr>
            </w:pPr>
            <w:r>
              <w:rPr>
                <w:rFonts w:hint="eastAsia" w:ascii="仿宋_GB2312" w:eastAsia="仿宋_GB2312"/>
                <w:b/>
                <w:sz w:val="24"/>
              </w:rPr>
              <w:t>统计值</w:t>
            </w:r>
          </w:p>
        </w:tc>
        <w:tc>
          <w:tcPr>
            <w:tcW w:w="1588" w:type="dxa"/>
            <w:tcBorders>
              <w:top w:val="single" w:color="auto" w:sz="6" w:space="0"/>
              <w:bottom w:val="single" w:color="auto" w:sz="6" w:space="0"/>
            </w:tcBorders>
            <w:vAlign w:val="center"/>
          </w:tcPr>
          <w:p>
            <w:pPr>
              <w:pStyle w:val="62"/>
              <w:rPr>
                <w:rFonts w:ascii="仿宋_GB2312" w:eastAsia="仿宋_GB2312"/>
                <w:b/>
                <w:sz w:val="24"/>
              </w:rPr>
            </w:pPr>
            <w:r>
              <w:rPr>
                <w:rFonts w:hint="eastAsia" w:ascii="仿宋_GB2312" w:eastAsia="仿宋_GB2312"/>
                <w:b/>
                <w:sz w:val="24"/>
              </w:rPr>
              <w:t>2020年</w:t>
            </w:r>
          </w:p>
          <w:p>
            <w:pPr>
              <w:pStyle w:val="62"/>
              <w:rPr>
                <w:rFonts w:ascii="仿宋_GB2312" w:eastAsia="仿宋_GB2312"/>
                <w:b/>
                <w:sz w:val="24"/>
              </w:rPr>
            </w:pPr>
            <w:r>
              <w:rPr>
                <w:rFonts w:hint="eastAsia" w:ascii="仿宋_GB2312" w:eastAsia="仿宋_GB2312"/>
                <w:b/>
                <w:sz w:val="24"/>
              </w:rPr>
              <w:t>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13" w:type="dxa"/>
            <w:tcBorders>
              <w:top w:val="single" w:color="auto" w:sz="6" w:space="0"/>
            </w:tcBorders>
            <w:vAlign w:val="center"/>
          </w:tcPr>
          <w:p>
            <w:pPr>
              <w:pStyle w:val="62"/>
              <w:rPr>
                <w:rFonts w:ascii="仿宋_GB2312" w:eastAsia="仿宋_GB2312"/>
                <w:b/>
                <w:sz w:val="24"/>
              </w:rPr>
            </w:pPr>
            <w:r>
              <w:rPr>
                <w:rFonts w:hint="eastAsia" w:ascii="仿宋_GB2312" w:eastAsia="仿宋_GB2312"/>
                <w:b/>
                <w:sz w:val="24"/>
              </w:rPr>
              <w:t>零陵区</w:t>
            </w:r>
          </w:p>
        </w:tc>
        <w:tc>
          <w:tcPr>
            <w:tcW w:w="1157" w:type="dxa"/>
            <w:tcBorders>
              <w:top w:val="single" w:color="auto" w:sz="6" w:space="0"/>
            </w:tcBorders>
            <w:vAlign w:val="center"/>
          </w:tcPr>
          <w:p>
            <w:pPr>
              <w:pStyle w:val="62"/>
              <w:rPr>
                <w:rFonts w:ascii="仿宋_GB2312" w:eastAsia="仿宋_GB2312"/>
                <w:b/>
                <w:sz w:val="24"/>
              </w:rPr>
            </w:pPr>
            <w:r>
              <w:rPr>
                <w:rFonts w:hint="eastAsia" w:ascii="仿宋_GB2312" w:eastAsia="仿宋_GB2312"/>
                <w:b/>
                <w:sz w:val="24"/>
              </w:rPr>
              <w:t>73</w:t>
            </w:r>
          </w:p>
        </w:tc>
        <w:tc>
          <w:tcPr>
            <w:tcW w:w="1158" w:type="dxa"/>
            <w:tcBorders>
              <w:top w:val="single" w:color="auto" w:sz="6" w:space="0"/>
            </w:tcBorders>
            <w:vAlign w:val="center"/>
          </w:tcPr>
          <w:p>
            <w:pPr>
              <w:pStyle w:val="62"/>
              <w:rPr>
                <w:rFonts w:ascii="仿宋_GB2312" w:eastAsia="仿宋_GB2312"/>
                <w:b/>
                <w:sz w:val="24"/>
              </w:rPr>
            </w:pPr>
            <w:r>
              <w:rPr>
                <w:rFonts w:hint="eastAsia" w:ascii="仿宋_GB2312" w:eastAsia="仿宋_GB2312"/>
                <w:b/>
                <w:sz w:val="24"/>
              </w:rPr>
              <w:t>60</w:t>
            </w:r>
          </w:p>
        </w:tc>
        <w:tc>
          <w:tcPr>
            <w:tcW w:w="1158" w:type="dxa"/>
            <w:tcBorders>
              <w:top w:val="single" w:color="auto" w:sz="6" w:space="0"/>
            </w:tcBorders>
            <w:vAlign w:val="center"/>
          </w:tcPr>
          <w:p>
            <w:pPr>
              <w:pStyle w:val="62"/>
              <w:rPr>
                <w:rFonts w:ascii="仿宋_GB2312" w:eastAsia="仿宋_GB2312"/>
                <w:b/>
                <w:sz w:val="24"/>
              </w:rPr>
            </w:pPr>
            <w:r>
              <w:rPr>
                <w:rFonts w:hint="eastAsia" w:ascii="仿宋_GB2312" w:eastAsia="仿宋_GB2312"/>
                <w:b/>
                <w:sz w:val="24"/>
              </w:rPr>
              <w:t>101</w:t>
            </w:r>
          </w:p>
        </w:tc>
        <w:tc>
          <w:tcPr>
            <w:tcW w:w="1157" w:type="dxa"/>
            <w:tcBorders>
              <w:top w:val="single" w:color="auto" w:sz="6" w:space="0"/>
            </w:tcBorders>
            <w:vAlign w:val="center"/>
          </w:tcPr>
          <w:p>
            <w:pPr>
              <w:pStyle w:val="62"/>
              <w:rPr>
                <w:rFonts w:ascii="仿宋_GB2312" w:eastAsia="仿宋_GB2312"/>
                <w:b/>
                <w:sz w:val="24"/>
              </w:rPr>
            </w:pPr>
            <w:r>
              <w:rPr>
                <w:rFonts w:hint="eastAsia" w:ascii="仿宋_GB2312" w:eastAsia="仿宋_GB2312"/>
                <w:b/>
                <w:sz w:val="24"/>
              </w:rPr>
              <w:t>98</w:t>
            </w:r>
          </w:p>
        </w:tc>
        <w:tc>
          <w:tcPr>
            <w:tcW w:w="1158" w:type="dxa"/>
            <w:tcBorders>
              <w:top w:val="single" w:color="auto" w:sz="6" w:space="0"/>
            </w:tcBorders>
            <w:vAlign w:val="center"/>
          </w:tcPr>
          <w:p>
            <w:pPr>
              <w:pStyle w:val="62"/>
              <w:rPr>
                <w:rFonts w:ascii="仿宋_GB2312" w:eastAsia="仿宋_GB2312"/>
                <w:b/>
                <w:sz w:val="24"/>
              </w:rPr>
            </w:pPr>
            <w:r>
              <w:rPr>
                <w:rFonts w:hint="eastAsia" w:ascii="仿宋_GB2312" w:eastAsia="仿宋_GB2312"/>
                <w:b/>
                <w:sz w:val="24"/>
              </w:rPr>
              <w:t>55.8</w:t>
            </w:r>
          </w:p>
        </w:tc>
        <w:tc>
          <w:tcPr>
            <w:tcW w:w="1588" w:type="dxa"/>
            <w:tcBorders>
              <w:top w:val="single" w:color="auto" w:sz="6" w:space="0"/>
            </w:tcBorders>
            <w:vAlign w:val="center"/>
          </w:tcPr>
          <w:p>
            <w:pPr>
              <w:pStyle w:val="62"/>
              <w:rPr>
                <w:rFonts w:ascii="仿宋_GB2312" w:eastAsia="仿宋_GB2312"/>
                <w:b/>
                <w:sz w:val="24"/>
              </w:rPr>
            </w:pPr>
            <w:r>
              <w:rPr>
                <w:rFonts w:hint="eastAsia" w:ascii="仿宋_GB2312" w:eastAsia="仿宋_GB2312"/>
                <w:b/>
                <w:sz w:val="24"/>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13" w:type="dxa"/>
            <w:vAlign w:val="center"/>
          </w:tcPr>
          <w:p>
            <w:pPr>
              <w:pStyle w:val="62"/>
              <w:rPr>
                <w:rFonts w:ascii="仿宋_GB2312" w:eastAsia="仿宋_GB2312"/>
                <w:b/>
                <w:sz w:val="24"/>
              </w:rPr>
            </w:pPr>
            <w:r>
              <w:rPr>
                <w:rFonts w:hint="eastAsia" w:ascii="仿宋_GB2312" w:eastAsia="仿宋_GB2312"/>
                <w:b/>
                <w:sz w:val="24"/>
              </w:rPr>
              <w:t>冷水滩区</w:t>
            </w:r>
          </w:p>
        </w:tc>
        <w:tc>
          <w:tcPr>
            <w:tcW w:w="1157" w:type="dxa"/>
            <w:vAlign w:val="center"/>
          </w:tcPr>
          <w:p>
            <w:pPr>
              <w:pStyle w:val="62"/>
              <w:rPr>
                <w:rFonts w:ascii="仿宋_GB2312" w:eastAsia="仿宋_GB2312"/>
                <w:b/>
                <w:sz w:val="24"/>
              </w:rPr>
            </w:pPr>
            <w:r>
              <w:rPr>
                <w:rFonts w:hint="eastAsia" w:ascii="仿宋_GB2312" w:eastAsia="仿宋_GB2312"/>
                <w:b/>
                <w:sz w:val="24"/>
              </w:rPr>
              <w:t>73</w:t>
            </w:r>
          </w:p>
        </w:tc>
        <w:tc>
          <w:tcPr>
            <w:tcW w:w="1158" w:type="dxa"/>
            <w:vAlign w:val="center"/>
          </w:tcPr>
          <w:p>
            <w:pPr>
              <w:pStyle w:val="62"/>
              <w:rPr>
                <w:rFonts w:ascii="仿宋_GB2312" w:eastAsia="仿宋_GB2312"/>
                <w:b/>
                <w:sz w:val="24"/>
              </w:rPr>
            </w:pPr>
            <w:r>
              <w:rPr>
                <w:rFonts w:hint="eastAsia" w:ascii="仿宋_GB2312" w:eastAsia="仿宋_GB2312"/>
                <w:b/>
                <w:sz w:val="24"/>
              </w:rPr>
              <w:t>60</w:t>
            </w:r>
          </w:p>
        </w:tc>
        <w:tc>
          <w:tcPr>
            <w:tcW w:w="1158" w:type="dxa"/>
            <w:vAlign w:val="center"/>
          </w:tcPr>
          <w:p>
            <w:pPr>
              <w:pStyle w:val="62"/>
              <w:rPr>
                <w:rFonts w:ascii="仿宋_GB2312" w:eastAsia="仿宋_GB2312"/>
                <w:b/>
                <w:sz w:val="24"/>
              </w:rPr>
            </w:pPr>
            <w:r>
              <w:rPr>
                <w:rFonts w:hint="eastAsia" w:ascii="仿宋_GB2312" w:eastAsia="仿宋_GB2312"/>
                <w:b/>
                <w:sz w:val="24"/>
              </w:rPr>
              <w:t>103</w:t>
            </w:r>
          </w:p>
        </w:tc>
        <w:tc>
          <w:tcPr>
            <w:tcW w:w="1157" w:type="dxa"/>
            <w:vAlign w:val="center"/>
          </w:tcPr>
          <w:p>
            <w:pPr>
              <w:pStyle w:val="62"/>
              <w:rPr>
                <w:rFonts w:ascii="仿宋_GB2312" w:eastAsia="仿宋_GB2312"/>
                <w:b/>
                <w:sz w:val="24"/>
              </w:rPr>
            </w:pPr>
            <w:r>
              <w:rPr>
                <w:rFonts w:hint="eastAsia" w:ascii="仿宋_GB2312" w:eastAsia="仿宋_GB2312"/>
                <w:b/>
                <w:sz w:val="24"/>
              </w:rPr>
              <w:t>98</w:t>
            </w:r>
          </w:p>
        </w:tc>
        <w:tc>
          <w:tcPr>
            <w:tcW w:w="1158" w:type="dxa"/>
            <w:vAlign w:val="center"/>
          </w:tcPr>
          <w:p>
            <w:pPr>
              <w:pStyle w:val="62"/>
              <w:rPr>
                <w:rFonts w:ascii="仿宋_GB2312" w:eastAsia="仿宋_GB2312"/>
                <w:b/>
                <w:sz w:val="24"/>
              </w:rPr>
            </w:pPr>
            <w:r>
              <w:rPr>
                <w:rFonts w:hint="eastAsia" w:ascii="仿宋_GB2312" w:eastAsia="仿宋_GB2312"/>
                <w:b/>
                <w:sz w:val="24"/>
              </w:rPr>
              <w:t>54.2</w:t>
            </w:r>
          </w:p>
        </w:tc>
        <w:tc>
          <w:tcPr>
            <w:tcW w:w="1588" w:type="dxa"/>
            <w:vAlign w:val="center"/>
          </w:tcPr>
          <w:p>
            <w:pPr>
              <w:pStyle w:val="62"/>
              <w:rPr>
                <w:rFonts w:ascii="仿宋_GB2312" w:eastAsia="仿宋_GB2312"/>
                <w:b/>
                <w:sz w:val="24"/>
              </w:rPr>
            </w:pPr>
            <w:r>
              <w:rPr>
                <w:rFonts w:hint="eastAsia" w:ascii="仿宋_GB2312" w:eastAsia="仿宋_GB2312"/>
                <w:b/>
                <w:sz w:val="24"/>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13" w:type="dxa"/>
            <w:vAlign w:val="center"/>
          </w:tcPr>
          <w:p>
            <w:pPr>
              <w:pStyle w:val="62"/>
              <w:rPr>
                <w:rFonts w:ascii="仿宋_GB2312" w:eastAsia="仿宋_GB2312"/>
                <w:b/>
                <w:sz w:val="24"/>
              </w:rPr>
            </w:pPr>
            <w:r>
              <w:rPr>
                <w:rFonts w:hint="eastAsia" w:ascii="仿宋_GB2312" w:eastAsia="仿宋_GB2312"/>
                <w:b/>
                <w:sz w:val="24"/>
              </w:rPr>
              <w:t>祁阳县</w:t>
            </w:r>
          </w:p>
        </w:tc>
        <w:tc>
          <w:tcPr>
            <w:tcW w:w="1157" w:type="dxa"/>
          </w:tcPr>
          <w:p>
            <w:pPr>
              <w:pStyle w:val="62"/>
              <w:rPr>
                <w:rFonts w:ascii="仿宋_GB2312" w:eastAsia="仿宋_GB2312"/>
                <w:b/>
                <w:sz w:val="24"/>
              </w:rPr>
            </w:pPr>
            <w:r>
              <w:rPr>
                <w:rFonts w:hint="eastAsia" w:ascii="仿宋_GB2312" w:eastAsia="仿宋_GB2312"/>
                <w:b/>
                <w:sz w:val="24"/>
              </w:rPr>
              <w:t>76</w:t>
            </w:r>
          </w:p>
        </w:tc>
        <w:tc>
          <w:tcPr>
            <w:tcW w:w="1158" w:type="dxa"/>
            <w:vAlign w:val="center"/>
          </w:tcPr>
          <w:p>
            <w:pPr>
              <w:pStyle w:val="62"/>
              <w:rPr>
                <w:rFonts w:ascii="仿宋_GB2312" w:eastAsia="仿宋_GB2312"/>
                <w:b/>
                <w:sz w:val="24"/>
              </w:rPr>
            </w:pPr>
            <w:r>
              <w:rPr>
                <w:rFonts w:hint="eastAsia" w:ascii="仿宋_GB2312" w:eastAsia="仿宋_GB2312"/>
                <w:b/>
                <w:sz w:val="24"/>
              </w:rPr>
              <w:t>60</w:t>
            </w:r>
          </w:p>
        </w:tc>
        <w:tc>
          <w:tcPr>
            <w:tcW w:w="1158" w:type="dxa"/>
          </w:tcPr>
          <w:p>
            <w:pPr>
              <w:pStyle w:val="62"/>
              <w:rPr>
                <w:rFonts w:ascii="仿宋_GB2312" w:eastAsia="仿宋_GB2312"/>
                <w:b/>
                <w:sz w:val="24"/>
              </w:rPr>
            </w:pPr>
            <w:r>
              <w:rPr>
                <w:rFonts w:hint="eastAsia" w:ascii="仿宋_GB2312" w:eastAsia="仿宋_GB2312"/>
                <w:b/>
                <w:sz w:val="24"/>
              </w:rPr>
              <w:t>110</w:t>
            </w:r>
          </w:p>
        </w:tc>
        <w:tc>
          <w:tcPr>
            <w:tcW w:w="1157" w:type="dxa"/>
            <w:vAlign w:val="center"/>
          </w:tcPr>
          <w:p>
            <w:pPr>
              <w:pStyle w:val="62"/>
              <w:rPr>
                <w:rFonts w:ascii="仿宋_GB2312" w:eastAsia="仿宋_GB2312"/>
                <w:b/>
                <w:sz w:val="24"/>
              </w:rPr>
            </w:pPr>
            <w:r>
              <w:rPr>
                <w:rFonts w:hint="eastAsia" w:ascii="仿宋_GB2312" w:eastAsia="仿宋_GB2312"/>
                <w:b/>
                <w:sz w:val="24"/>
              </w:rPr>
              <w:t>98</w:t>
            </w:r>
          </w:p>
        </w:tc>
        <w:tc>
          <w:tcPr>
            <w:tcW w:w="1158" w:type="dxa"/>
          </w:tcPr>
          <w:p>
            <w:pPr>
              <w:pStyle w:val="62"/>
              <w:rPr>
                <w:rFonts w:ascii="仿宋_GB2312" w:eastAsia="仿宋_GB2312"/>
                <w:b/>
                <w:sz w:val="24"/>
              </w:rPr>
            </w:pPr>
            <w:r>
              <w:rPr>
                <w:rFonts w:hint="eastAsia" w:ascii="仿宋_GB2312" w:eastAsia="仿宋_GB2312"/>
                <w:b/>
                <w:sz w:val="24"/>
              </w:rPr>
              <w:t>52.5</w:t>
            </w:r>
          </w:p>
        </w:tc>
        <w:tc>
          <w:tcPr>
            <w:tcW w:w="1588" w:type="dxa"/>
            <w:vAlign w:val="center"/>
          </w:tcPr>
          <w:p>
            <w:pPr>
              <w:pStyle w:val="62"/>
              <w:rPr>
                <w:rFonts w:ascii="仿宋_GB2312" w:eastAsia="仿宋_GB2312"/>
                <w:b/>
                <w:sz w:val="24"/>
              </w:rPr>
            </w:pPr>
            <w:r>
              <w:rPr>
                <w:rFonts w:hint="eastAsia" w:ascii="仿宋_GB2312" w:eastAsia="仿宋_GB2312"/>
                <w:b/>
                <w:sz w:val="24"/>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13" w:type="dxa"/>
            <w:vAlign w:val="center"/>
          </w:tcPr>
          <w:p>
            <w:pPr>
              <w:pStyle w:val="62"/>
              <w:rPr>
                <w:rFonts w:ascii="仿宋_GB2312" w:eastAsia="仿宋_GB2312"/>
                <w:b/>
                <w:sz w:val="24"/>
              </w:rPr>
            </w:pPr>
            <w:r>
              <w:rPr>
                <w:rFonts w:hint="eastAsia" w:ascii="仿宋_GB2312" w:eastAsia="仿宋_GB2312"/>
                <w:b/>
                <w:sz w:val="24"/>
              </w:rPr>
              <w:t>东安县</w:t>
            </w:r>
          </w:p>
        </w:tc>
        <w:tc>
          <w:tcPr>
            <w:tcW w:w="1157" w:type="dxa"/>
          </w:tcPr>
          <w:p>
            <w:pPr>
              <w:pStyle w:val="62"/>
              <w:rPr>
                <w:rFonts w:ascii="仿宋_GB2312" w:eastAsia="仿宋_GB2312"/>
                <w:b/>
                <w:sz w:val="24"/>
              </w:rPr>
            </w:pPr>
            <w:r>
              <w:rPr>
                <w:rFonts w:hint="eastAsia" w:ascii="仿宋_GB2312" w:eastAsia="仿宋_GB2312"/>
                <w:b/>
                <w:sz w:val="24"/>
              </w:rPr>
              <w:t>39</w:t>
            </w:r>
          </w:p>
        </w:tc>
        <w:tc>
          <w:tcPr>
            <w:tcW w:w="1158" w:type="dxa"/>
            <w:vAlign w:val="center"/>
          </w:tcPr>
          <w:p>
            <w:pPr>
              <w:pStyle w:val="62"/>
              <w:rPr>
                <w:rFonts w:ascii="仿宋_GB2312" w:eastAsia="仿宋_GB2312"/>
                <w:b/>
                <w:sz w:val="24"/>
              </w:rPr>
            </w:pPr>
            <w:r>
              <w:rPr>
                <w:rFonts w:hint="eastAsia" w:ascii="仿宋_GB2312" w:eastAsia="仿宋_GB2312"/>
                <w:b/>
                <w:sz w:val="24"/>
              </w:rPr>
              <w:t>40</w:t>
            </w:r>
          </w:p>
        </w:tc>
        <w:tc>
          <w:tcPr>
            <w:tcW w:w="1158" w:type="dxa"/>
          </w:tcPr>
          <w:p>
            <w:pPr>
              <w:pStyle w:val="62"/>
              <w:rPr>
                <w:rFonts w:ascii="仿宋_GB2312" w:eastAsia="仿宋_GB2312"/>
                <w:b/>
                <w:sz w:val="24"/>
              </w:rPr>
            </w:pPr>
            <w:r>
              <w:rPr>
                <w:rFonts w:hint="eastAsia" w:ascii="仿宋_GB2312" w:eastAsia="仿宋_GB2312"/>
                <w:b/>
                <w:sz w:val="24"/>
              </w:rPr>
              <w:t>92</w:t>
            </w:r>
          </w:p>
        </w:tc>
        <w:tc>
          <w:tcPr>
            <w:tcW w:w="1157" w:type="dxa"/>
            <w:vAlign w:val="center"/>
          </w:tcPr>
          <w:p>
            <w:pPr>
              <w:pStyle w:val="62"/>
              <w:rPr>
                <w:rFonts w:ascii="仿宋_GB2312" w:eastAsia="仿宋_GB2312"/>
                <w:b/>
                <w:sz w:val="24"/>
              </w:rPr>
            </w:pPr>
            <w:r>
              <w:rPr>
                <w:rFonts w:hint="eastAsia" w:ascii="仿宋_GB2312" w:eastAsia="仿宋_GB2312"/>
                <w:b/>
                <w:sz w:val="24"/>
              </w:rPr>
              <w:t>88</w:t>
            </w:r>
          </w:p>
        </w:tc>
        <w:tc>
          <w:tcPr>
            <w:tcW w:w="1158" w:type="dxa"/>
          </w:tcPr>
          <w:p>
            <w:pPr>
              <w:pStyle w:val="62"/>
              <w:rPr>
                <w:rFonts w:ascii="仿宋_GB2312" w:eastAsia="仿宋_GB2312"/>
                <w:b/>
                <w:sz w:val="24"/>
              </w:rPr>
            </w:pPr>
            <w:r>
              <w:rPr>
                <w:rFonts w:hint="eastAsia" w:ascii="仿宋_GB2312" w:eastAsia="仿宋_GB2312"/>
                <w:b/>
                <w:sz w:val="24"/>
              </w:rPr>
              <w:t>87.5</w:t>
            </w:r>
          </w:p>
        </w:tc>
        <w:tc>
          <w:tcPr>
            <w:tcW w:w="1588" w:type="dxa"/>
            <w:vAlign w:val="center"/>
          </w:tcPr>
          <w:p>
            <w:pPr>
              <w:pStyle w:val="62"/>
              <w:rPr>
                <w:rFonts w:ascii="仿宋_GB2312" w:eastAsia="仿宋_GB2312"/>
                <w:b/>
                <w:sz w:val="24"/>
              </w:rPr>
            </w:pPr>
            <w:r>
              <w:rPr>
                <w:rFonts w:hint="eastAsia" w:ascii="仿宋_GB2312" w:eastAsia="仿宋_GB2312"/>
                <w:b/>
                <w:sz w:val="24"/>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13" w:type="dxa"/>
            <w:vAlign w:val="center"/>
          </w:tcPr>
          <w:p>
            <w:pPr>
              <w:pStyle w:val="62"/>
              <w:rPr>
                <w:rFonts w:ascii="仿宋_GB2312" w:eastAsia="仿宋_GB2312"/>
                <w:b/>
                <w:sz w:val="24"/>
              </w:rPr>
            </w:pPr>
            <w:r>
              <w:rPr>
                <w:rFonts w:hint="eastAsia" w:ascii="仿宋_GB2312" w:eastAsia="仿宋_GB2312"/>
                <w:b/>
                <w:sz w:val="24"/>
              </w:rPr>
              <w:t>双牌县</w:t>
            </w:r>
          </w:p>
        </w:tc>
        <w:tc>
          <w:tcPr>
            <w:tcW w:w="1157" w:type="dxa"/>
          </w:tcPr>
          <w:p>
            <w:pPr>
              <w:pStyle w:val="62"/>
              <w:rPr>
                <w:rFonts w:ascii="仿宋_GB2312" w:eastAsia="仿宋_GB2312"/>
                <w:b/>
                <w:sz w:val="24"/>
              </w:rPr>
            </w:pPr>
            <w:r>
              <w:rPr>
                <w:rFonts w:hint="eastAsia" w:ascii="仿宋_GB2312" w:eastAsia="仿宋_GB2312"/>
                <w:b/>
                <w:sz w:val="24"/>
              </w:rPr>
              <w:t>51</w:t>
            </w:r>
          </w:p>
        </w:tc>
        <w:tc>
          <w:tcPr>
            <w:tcW w:w="1158" w:type="dxa"/>
            <w:vAlign w:val="center"/>
          </w:tcPr>
          <w:p>
            <w:pPr>
              <w:pStyle w:val="62"/>
              <w:rPr>
                <w:rFonts w:ascii="仿宋_GB2312" w:eastAsia="仿宋_GB2312"/>
                <w:b/>
                <w:sz w:val="24"/>
              </w:rPr>
            </w:pPr>
            <w:r>
              <w:rPr>
                <w:rFonts w:hint="eastAsia" w:ascii="仿宋_GB2312" w:eastAsia="仿宋_GB2312"/>
                <w:b/>
                <w:sz w:val="24"/>
              </w:rPr>
              <w:t>50</w:t>
            </w:r>
          </w:p>
        </w:tc>
        <w:tc>
          <w:tcPr>
            <w:tcW w:w="1158" w:type="dxa"/>
          </w:tcPr>
          <w:p>
            <w:pPr>
              <w:pStyle w:val="62"/>
              <w:rPr>
                <w:rFonts w:ascii="仿宋_GB2312" w:eastAsia="仿宋_GB2312"/>
                <w:b/>
                <w:sz w:val="24"/>
              </w:rPr>
            </w:pPr>
            <w:r>
              <w:rPr>
                <w:rFonts w:hint="eastAsia" w:ascii="仿宋_GB2312" w:eastAsia="仿宋_GB2312"/>
                <w:b/>
                <w:sz w:val="24"/>
              </w:rPr>
              <w:t>67</w:t>
            </w:r>
          </w:p>
        </w:tc>
        <w:tc>
          <w:tcPr>
            <w:tcW w:w="1157" w:type="dxa"/>
            <w:vAlign w:val="center"/>
          </w:tcPr>
          <w:p>
            <w:pPr>
              <w:pStyle w:val="62"/>
              <w:rPr>
                <w:rFonts w:ascii="仿宋_GB2312" w:eastAsia="仿宋_GB2312"/>
                <w:b/>
                <w:sz w:val="24"/>
              </w:rPr>
            </w:pPr>
            <w:r>
              <w:rPr>
                <w:rFonts w:hint="eastAsia" w:ascii="仿宋_GB2312" w:eastAsia="仿宋_GB2312"/>
                <w:b/>
                <w:sz w:val="24"/>
              </w:rPr>
              <w:t>66</w:t>
            </w:r>
          </w:p>
        </w:tc>
        <w:tc>
          <w:tcPr>
            <w:tcW w:w="1158" w:type="dxa"/>
          </w:tcPr>
          <w:p>
            <w:pPr>
              <w:pStyle w:val="62"/>
              <w:rPr>
                <w:rFonts w:ascii="仿宋_GB2312" w:eastAsia="仿宋_GB2312"/>
                <w:b/>
                <w:sz w:val="24"/>
              </w:rPr>
            </w:pPr>
            <w:r>
              <w:rPr>
                <w:rFonts w:hint="eastAsia" w:ascii="仿宋_GB2312" w:eastAsia="仿宋_GB2312"/>
                <w:b/>
                <w:sz w:val="24"/>
              </w:rPr>
              <w:t>74.2</w:t>
            </w:r>
          </w:p>
        </w:tc>
        <w:tc>
          <w:tcPr>
            <w:tcW w:w="1588" w:type="dxa"/>
            <w:vAlign w:val="center"/>
          </w:tcPr>
          <w:p>
            <w:pPr>
              <w:pStyle w:val="62"/>
              <w:rPr>
                <w:rFonts w:ascii="仿宋_GB2312" w:eastAsia="仿宋_GB2312"/>
                <w:b/>
                <w:sz w:val="24"/>
              </w:rPr>
            </w:pPr>
            <w:r>
              <w:rPr>
                <w:rFonts w:hint="eastAsia" w:ascii="仿宋_GB2312" w:eastAsia="仿宋_GB2312"/>
                <w:b/>
                <w:sz w:val="24"/>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13" w:type="dxa"/>
            <w:vAlign w:val="center"/>
          </w:tcPr>
          <w:p>
            <w:pPr>
              <w:pStyle w:val="62"/>
              <w:rPr>
                <w:rFonts w:ascii="仿宋_GB2312" w:eastAsia="仿宋_GB2312"/>
                <w:b/>
                <w:sz w:val="24"/>
              </w:rPr>
            </w:pPr>
            <w:r>
              <w:rPr>
                <w:rFonts w:hint="eastAsia" w:ascii="仿宋_GB2312" w:eastAsia="仿宋_GB2312"/>
                <w:b/>
                <w:sz w:val="24"/>
              </w:rPr>
              <w:t>道县</w:t>
            </w:r>
          </w:p>
        </w:tc>
        <w:tc>
          <w:tcPr>
            <w:tcW w:w="1157" w:type="dxa"/>
          </w:tcPr>
          <w:p>
            <w:pPr>
              <w:pStyle w:val="62"/>
              <w:rPr>
                <w:rFonts w:ascii="仿宋_GB2312" w:eastAsia="仿宋_GB2312"/>
                <w:b/>
                <w:sz w:val="24"/>
              </w:rPr>
            </w:pPr>
            <w:r>
              <w:rPr>
                <w:rFonts w:hint="eastAsia" w:ascii="仿宋_GB2312" w:eastAsia="仿宋_GB2312"/>
                <w:b/>
                <w:sz w:val="24"/>
              </w:rPr>
              <w:t>34</w:t>
            </w:r>
          </w:p>
        </w:tc>
        <w:tc>
          <w:tcPr>
            <w:tcW w:w="1158" w:type="dxa"/>
            <w:vAlign w:val="center"/>
          </w:tcPr>
          <w:p>
            <w:pPr>
              <w:pStyle w:val="62"/>
              <w:rPr>
                <w:rFonts w:ascii="仿宋_GB2312" w:eastAsia="仿宋_GB2312"/>
                <w:b/>
                <w:sz w:val="24"/>
              </w:rPr>
            </w:pPr>
            <w:r>
              <w:rPr>
                <w:rFonts w:hint="eastAsia" w:ascii="仿宋_GB2312" w:eastAsia="仿宋_GB2312"/>
                <w:b/>
                <w:sz w:val="24"/>
              </w:rPr>
              <w:t>38</w:t>
            </w:r>
          </w:p>
        </w:tc>
        <w:tc>
          <w:tcPr>
            <w:tcW w:w="1158" w:type="dxa"/>
          </w:tcPr>
          <w:p>
            <w:pPr>
              <w:pStyle w:val="62"/>
              <w:rPr>
                <w:rFonts w:ascii="仿宋_GB2312" w:eastAsia="仿宋_GB2312"/>
                <w:b/>
                <w:sz w:val="24"/>
              </w:rPr>
            </w:pPr>
            <w:r>
              <w:rPr>
                <w:rFonts w:hint="eastAsia" w:ascii="仿宋_GB2312" w:eastAsia="仿宋_GB2312"/>
                <w:b/>
                <w:sz w:val="24"/>
              </w:rPr>
              <w:t>94</w:t>
            </w:r>
          </w:p>
        </w:tc>
        <w:tc>
          <w:tcPr>
            <w:tcW w:w="1157" w:type="dxa"/>
            <w:vAlign w:val="center"/>
          </w:tcPr>
          <w:p>
            <w:pPr>
              <w:pStyle w:val="62"/>
              <w:rPr>
                <w:rFonts w:ascii="仿宋_GB2312" w:eastAsia="仿宋_GB2312"/>
                <w:b/>
                <w:sz w:val="24"/>
              </w:rPr>
            </w:pPr>
            <w:r>
              <w:rPr>
                <w:rFonts w:hint="eastAsia" w:ascii="仿宋_GB2312" w:eastAsia="仿宋_GB2312"/>
                <w:b/>
                <w:sz w:val="24"/>
              </w:rPr>
              <w:t>90</w:t>
            </w:r>
          </w:p>
        </w:tc>
        <w:tc>
          <w:tcPr>
            <w:tcW w:w="1158" w:type="dxa"/>
          </w:tcPr>
          <w:p>
            <w:pPr>
              <w:pStyle w:val="62"/>
              <w:rPr>
                <w:rFonts w:ascii="仿宋_GB2312" w:eastAsia="仿宋_GB2312"/>
                <w:b/>
                <w:sz w:val="24"/>
              </w:rPr>
            </w:pPr>
            <w:r>
              <w:rPr>
                <w:rFonts w:hint="eastAsia" w:ascii="仿宋_GB2312" w:eastAsia="仿宋_GB2312"/>
                <w:b/>
                <w:sz w:val="24"/>
              </w:rPr>
              <w:t>84.2</w:t>
            </w:r>
          </w:p>
        </w:tc>
        <w:tc>
          <w:tcPr>
            <w:tcW w:w="1588" w:type="dxa"/>
            <w:vAlign w:val="center"/>
          </w:tcPr>
          <w:p>
            <w:pPr>
              <w:pStyle w:val="62"/>
              <w:rPr>
                <w:rFonts w:ascii="仿宋_GB2312" w:eastAsia="仿宋_GB2312"/>
                <w:b/>
                <w:sz w:val="24"/>
              </w:rPr>
            </w:pPr>
            <w:r>
              <w:rPr>
                <w:rFonts w:hint="eastAsia" w:ascii="仿宋_GB2312" w:eastAsia="仿宋_GB2312"/>
                <w:b/>
                <w:sz w:val="24"/>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13" w:type="dxa"/>
            <w:vAlign w:val="center"/>
          </w:tcPr>
          <w:p>
            <w:pPr>
              <w:pStyle w:val="62"/>
              <w:rPr>
                <w:rFonts w:ascii="仿宋_GB2312" w:eastAsia="仿宋_GB2312"/>
                <w:b/>
                <w:sz w:val="24"/>
              </w:rPr>
            </w:pPr>
            <w:r>
              <w:rPr>
                <w:rFonts w:hint="eastAsia" w:ascii="仿宋_GB2312" w:eastAsia="仿宋_GB2312"/>
                <w:b/>
                <w:sz w:val="24"/>
              </w:rPr>
              <w:t>江永县</w:t>
            </w:r>
          </w:p>
        </w:tc>
        <w:tc>
          <w:tcPr>
            <w:tcW w:w="1157" w:type="dxa"/>
          </w:tcPr>
          <w:p>
            <w:pPr>
              <w:pStyle w:val="62"/>
              <w:rPr>
                <w:rFonts w:ascii="仿宋_GB2312" w:eastAsia="仿宋_GB2312"/>
                <w:b/>
                <w:sz w:val="24"/>
              </w:rPr>
            </w:pPr>
            <w:r>
              <w:rPr>
                <w:rFonts w:hint="eastAsia" w:ascii="仿宋_GB2312" w:eastAsia="仿宋_GB2312"/>
                <w:b/>
                <w:sz w:val="24"/>
              </w:rPr>
              <w:t>57</w:t>
            </w:r>
          </w:p>
        </w:tc>
        <w:tc>
          <w:tcPr>
            <w:tcW w:w="1158" w:type="dxa"/>
            <w:vAlign w:val="center"/>
          </w:tcPr>
          <w:p>
            <w:pPr>
              <w:pStyle w:val="62"/>
              <w:rPr>
                <w:rFonts w:ascii="仿宋_GB2312" w:eastAsia="仿宋_GB2312"/>
                <w:b/>
                <w:sz w:val="24"/>
              </w:rPr>
            </w:pPr>
            <w:r>
              <w:rPr>
                <w:rFonts w:hint="eastAsia" w:ascii="仿宋_GB2312" w:eastAsia="仿宋_GB2312"/>
                <w:b/>
                <w:sz w:val="24"/>
              </w:rPr>
              <w:t>55</w:t>
            </w:r>
          </w:p>
        </w:tc>
        <w:tc>
          <w:tcPr>
            <w:tcW w:w="1158" w:type="dxa"/>
          </w:tcPr>
          <w:p>
            <w:pPr>
              <w:pStyle w:val="62"/>
              <w:rPr>
                <w:rFonts w:ascii="仿宋_GB2312" w:eastAsia="仿宋_GB2312"/>
                <w:b/>
                <w:sz w:val="24"/>
              </w:rPr>
            </w:pPr>
            <w:r>
              <w:rPr>
                <w:rFonts w:hint="eastAsia" w:ascii="仿宋_GB2312" w:eastAsia="仿宋_GB2312"/>
                <w:b/>
                <w:sz w:val="24"/>
              </w:rPr>
              <w:t>70</w:t>
            </w:r>
          </w:p>
        </w:tc>
        <w:tc>
          <w:tcPr>
            <w:tcW w:w="1157" w:type="dxa"/>
            <w:vAlign w:val="center"/>
          </w:tcPr>
          <w:p>
            <w:pPr>
              <w:pStyle w:val="62"/>
              <w:rPr>
                <w:rFonts w:ascii="仿宋_GB2312" w:eastAsia="仿宋_GB2312"/>
                <w:b/>
                <w:sz w:val="24"/>
              </w:rPr>
            </w:pPr>
            <w:r>
              <w:rPr>
                <w:rFonts w:hint="eastAsia" w:ascii="仿宋_GB2312" w:eastAsia="仿宋_GB2312"/>
                <w:b/>
                <w:sz w:val="24"/>
              </w:rPr>
              <w:t>69</w:t>
            </w:r>
          </w:p>
        </w:tc>
        <w:tc>
          <w:tcPr>
            <w:tcW w:w="1158" w:type="dxa"/>
          </w:tcPr>
          <w:p>
            <w:pPr>
              <w:pStyle w:val="62"/>
              <w:rPr>
                <w:rFonts w:ascii="仿宋_GB2312" w:eastAsia="仿宋_GB2312"/>
                <w:b/>
                <w:sz w:val="24"/>
              </w:rPr>
            </w:pPr>
            <w:r>
              <w:rPr>
                <w:rFonts w:hint="eastAsia" w:ascii="仿宋_GB2312" w:eastAsia="仿宋_GB2312"/>
                <w:b/>
                <w:sz w:val="24"/>
              </w:rPr>
              <w:t>71.7</w:t>
            </w:r>
          </w:p>
        </w:tc>
        <w:tc>
          <w:tcPr>
            <w:tcW w:w="1588" w:type="dxa"/>
            <w:vAlign w:val="center"/>
          </w:tcPr>
          <w:p>
            <w:pPr>
              <w:pStyle w:val="62"/>
              <w:rPr>
                <w:rFonts w:ascii="仿宋_GB2312" w:eastAsia="仿宋_GB2312"/>
                <w:b/>
                <w:sz w:val="24"/>
              </w:rPr>
            </w:pPr>
            <w:r>
              <w:rPr>
                <w:rFonts w:hint="eastAsia" w:ascii="仿宋_GB2312" w:eastAsia="仿宋_GB2312"/>
                <w:b/>
                <w:sz w:val="24"/>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13" w:type="dxa"/>
            <w:vAlign w:val="center"/>
          </w:tcPr>
          <w:p>
            <w:pPr>
              <w:pStyle w:val="62"/>
              <w:rPr>
                <w:rFonts w:ascii="仿宋_GB2312" w:eastAsia="仿宋_GB2312"/>
                <w:b/>
                <w:sz w:val="24"/>
              </w:rPr>
            </w:pPr>
            <w:r>
              <w:rPr>
                <w:rFonts w:hint="eastAsia" w:ascii="仿宋_GB2312" w:eastAsia="仿宋_GB2312"/>
                <w:b/>
                <w:sz w:val="24"/>
              </w:rPr>
              <w:t>宁远县</w:t>
            </w:r>
          </w:p>
        </w:tc>
        <w:tc>
          <w:tcPr>
            <w:tcW w:w="1157" w:type="dxa"/>
          </w:tcPr>
          <w:p>
            <w:pPr>
              <w:pStyle w:val="62"/>
              <w:rPr>
                <w:rFonts w:ascii="仿宋_GB2312" w:eastAsia="仿宋_GB2312"/>
                <w:b/>
                <w:sz w:val="24"/>
              </w:rPr>
            </w:pPr>
            <w:r>
              <w:rPr>
                <w:rFonts w:hint="eastAsia" w:ascii="仿宋_GB2312" w:eastAsia="仿宋_GB2312"/>
                <w:b/>
                <w:sz w:val="24"/>
              </w:rPr>
              <w:t>59</w:t>
            </w:r>
          </w:p>
        </w:tc>
        <w:tc>
          <w:tcPr>
            <w:tcW w:w="1158" w:type="dxa"/>
            <w:vAlign w:val="center"/>
          </w:tcPr>
          <w:p>
            <w:pPr>
              <w:pStyle w:val="62"/>
              <w:rPr>
                <w:rFonts w:ascii="仿宋_GB2312" w:eastAsia="仿宋_GB2312"/>
                <w:b/>
                <w:sz w:val="24"/>
              </w:rPr>
            </w:pPr>
            <w:r>
              <w:rPr>
                <w:rFonts w:hint="eastAsia" w:ascii="仿宋_GB2312" w:eastAsia="仿宋_GB2312"/>
                <w:b/>
                <w:sz w:val="24"/>
              </w:rPr>
              <w:t>57</w:t>
            </w:r>
          </w:p>
        </w:tc>
        <w:tc>
          <w:tcPr>
            <w:tcW w:w="1158" w:type="dxa"/>
          </w:tcPr>
          <w:p>
            <w:pPr>
              <w:pStyle w:val="62"/>
              <w:rPr>
                <w:rFonts w:ascii="仿宋_GB2312" w:eastAsia="仿宋_GB2312"/>
                <w:b/>
                <w:sz w:val="24"/>
              </w:rPr>
            </w:pPr>
            <w:r>
              <w:rPr>
                <w:rFonts w:hint="eastAsia" w:ascii="仿宋_GB2312" w:eastAsia="仿宋_GB2312"/>
                <w:b/>
                <w:sz w:val="24"/>
              </w:rPr>
              <w:t>76</w:t>
            </w:r>
          </w:p>
        </w:tc>
        <w:tc>
          <w:tcPr>
            <w:tcW w:w="1157" w:type="dxa"/>
            <w:vAlign w:val="center"/>
          </w:tcPr>
          <w:p>
            <w:pPr>
              <w:pStyle w:val="62"/>
              <w:rPr>
                <w:rFonts w:ascii="仿宋_GB2312" w:eastAsia="仿宋_GB2312"/>
                <w:b/>
                <w:sz w:val="24"/>
              </w:rPr>
            </w:pPr>
            <w:r>
              <w:rPr>
                <w:rFonts w:hint="eastAsia" w:ascii="仿宋_GB2312" w:eastAsia="仿宋_GB2312"/>
                <w:b/>
                <w:sz w:val="24"/>
              </w:rPr>
              <w:t>72</w:t>
            </w:r>
          </w:p>
        </w:tc>
        <w:tc>
          <w:tcPr>
            <w:tcW w:w="1158" w:type="dxa"/>
          </w:tcPr>
          <w:p>
            <w:pPr>
              <w:pStyle w:val="62"/>
              <w:rPr>
                <w:rFonts w:ascii="仿宋_GB2312" w:eastAsia="仿宋_GB2312"/>
                <w:b/>
                <w:sz w:val="24"/>
              </w:rPr>
            </w:pPr>
            <w:r>
              <w:rPr>
                <w:rFonts w:hint="eastAsia" w:ascii="仿宋_GB2312" w:eastAsia="仿宋_GB2312"/>
                <w:b/>
                <w:sz w:val="24"/>
              </w:rPr>
              <w:t>70.8</w:t>
            </w:r>
          </w:p>
        </w:tc>
        <w:tc>
          <w:tcPr>
            <w:tcW w:w="1588" w:type="dxa"/>
            <w:vAlign w:val="center"/>
          </w:tcPr>
          <w:p>
            <w:pPr>
              <w:pStyle w:val="62"/>
              <w:rPr>
                <w:rFonts w:ascii="仿宋_GB2312" w:eastAsia="仿宋_GB2312"/>
                <w:b/>
                <w:sz w:val="24"/>
              </w:rPr>
            </w:pPr>
            <w:r>
              <w:rPr>
                <w:rFonts w:hint="eastAsia" w:ascii="仿宋_GB2312" w:eastAsia="仿宋_GB2312"/>
                <w:b/>
                <w:sz w:val="24"/>
              </w:rPr>
              <w:t>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13" w:type="dxa"/>
            <w:vAlign w:val="center"/>
          </w:tcPr>
          <w:p>
            <w:pPr>
              <w:pStyle w:val="62"/>
              <w:rPr>
                <w:rFonts w:ascii="仿宋_GB2312" w:eastAsia="仿宋_GB2312"/>
                <w:b/>
                <w:sz w:val="24"/>
              </w:rPr>
            </w:pPr>
            <w:r>
              <w:rPr>
                <w:rFonts w:hint="eastAsia" w:ascii="仿宋_GB2312" w:eastAsia="仿宋_GB2312"/>
                <w:b/>
                <w:sz w:val="24"/>
              </w:rPr>
              <w:t>新田县</w:t>
            </w:r>
          </w:p>
        </w:tc>
        <w:tc>
          <w:tcPr>
            <w:tcW w:w="1157" w:type="dxa"/>
          </w:tcPr>
          <w:p>
            <w:pPr>
              <w:pStyle w:val="62"/>
              <w:rPr>
                <w:rFonts w:ascii="仿宋_GB2312" w:eastAsia="仿宋_GB2312"/>
                <w:b/>
                <w:sz w:val="24"/>
              </w:rPr>
            </w:pPr>
            <w:r>
              <w:rPr>
                <w:rFonts w:hint="eastAsia" w:ascii="仿宋_GB2312" w:eastAsia="仿宋_GB2312"/>
                <w:b/>
                <w:sz w:val="24"/>
              </w:rPr>
              <w:t>49</w:t>
            </w:r>
          </w:p>
        </w:tc>
        <w:tc>
          <w:tcPr>
            <w:tcW w:w="1158" w:type="dxa"/>
            <w:vAlign w:val="center"/>
          </w:tcPr>
          <w:p>
            <w:pPr>
              <w:pStyle w:val="62"/>
              <w:rPr>
                <w:rFonts w:ascii="仿宋_GB2312" w:eastAsia="仿宋_GB2312"/>
                <w:b/>
                <w:sz w:val="24"/>
              </w:rPr>
            </w:pPr>
            <w:r>
              <w:rPr>
                <w:rFonts w:hint="eastAsia" w:ascii="仿宋_GB2312" w:eastAsia="仿宋_GB2312"/>
                <w:b/>
                <w:sz w:val="24"/>
              </w:rPr>
              <w:t>48</w:t>
            </w:r>
          </w:p>
        </w:tc>
        <w:tc>
          <w:tcPr>
            <w:tcW w:w="1158" w:type="dxa"/>
          </w:tcPr>
          <w:p>
            <w:pPr>
              <w:pStyle w:val="62"/>
              <w:rPr>
                <w:rFonts w:ascii="仿宋_GB2312" w:eastAsia="仿宋_GB2312"/>
                <w:b/>
                <w:sz w:val="24"/>
              </w:rPr>
            </w:pPr>
            <w:r>
              <w:rPr>
                <w:rFonts w:hint="eastAsia" w:ascii="仿宋_GB2312" w:eastAsia="仿宋_GB2312"/>
                <w:b/>
                <w:sz w:val="24"/>
              </w:rPr>
              <w:t>68</w:t>
            </w:r>
          </w:p>
        </w:tc>
        <w:tc>
          <w:tcPr>
            <w:tcW w:w="1157" w:type="dxa"/>
            <w:vAlign w:val="center"/>
          </w:tcPr>
          <w:p>
            <w:pPr>
              <w:pStyle w:val="62"/>
              <w:rPr>
                <w:rFonts w:ascii="仿宋_GB2312" w:eastAsia="仿宋_GB2312"/>
                <w:b/>
                <w:sz w:val="24"/>
              </w:rPr>
            </w:pPr>
            <w:r>
              <w:rPr>
                <w:rFonts w:hint="eastAsia" w:ascii="仿宋_GB2312" w:eastAsia="仿宋_GB2312"/>
                <w:b/>
                <w:sz w:val="24"/>
              </w:rPr>
              <w:t>67</w:t>
            </w:r>
          </w:p>
        </w:tc>
        <w:tc>
          <w:tcPr>
            <w:tcW w:w="1158" w:type="dxa"/>
          </w:tcPr>
          <w:p>
            <w:pPr>
              <w:pStyle w:val="62"/>
              <w:rPr>
                <w:rFonts w:ascii="仿宋_GB2312" w:eastAsia="仿宋_GB2312"/>
                <w:b/>
                <w:sz w:val="24"/>
              </w:rPr>
            </w:pPr>
            <w:r>
              <w:rPr>
                <w:rFonts w:hint="eastAsia" w:ascii="仿宋_GB2312" w:eastAsia="仿宋_GB2312"/>
                <w:b/>
                <w:sz w:val="24"/>
              </w:rPr>
              <w:t>81.7</w:t>
            </w:r>
          </w:p>
        </w:tc>
        <w:tc>
          <w:tcPr>
            <w:tcW w:w="1588" w:type="dxa"/>
            <w:vAlign w:val="center"/>
          </w:tcPr>
          <w:p>
            <w:pPr>
              <w:pStyle w:val="62"/>
              <w:rPr>
                <w:rFonts w:ascii="仿宋_GB2312" w:eastAsia="仿宋_GB2312"/>
                <w:b/>
                <w:sz w:val="24"/>
              </w:rPr>
            </w:pPr>
            <w:r>
              <w:rPr>
                <w:rFonts w:hint="eastAsia" w:ascii="仿宋_GB2312" w:eastAsia="仿宋_GB2312"/>
                <w:b/>
                <w:sz w:val="24"/>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13" w:type="dxa"/>
            <w:vAlign w:val="center"/>
          </w:tcPr>
          <w:p>
            <w:pPr>
              <w:pStyle w:val="62"/>
              <w:rPr>
                <w:rFonts w:ascii="仿宋_GB2312" w:eastAsia="仿宋_GB2312"/>
                <w:b/>
                <w:sz w:val="24"/>
              </w:rPr>
            </w:pPr>
            <w:r>
              <w:rPr>
                <w:rFonts w:hint="eastAsia" w:ascii="仿宋_GB2312" w:eastAsia="仿宋_GB2312"/>
                <w:b/>
                <w:sz w:val="24"/>
              </w:rPr>
              <w:t>蓝山县</w:t>
            </w:r>
          </w:p>
        </w:tc>
        <w:tc>
          <w:tcPr>
            <w:tcW w:w="1157" w:type="dxa"/>
          </w:tcPr>
          <w:p>
            <w:pPr>
              <w:pStyle w:val="62"/>
              <w:rPr>
                <w:rFonts w:ascii="仿宋_GB2312" w:eastAsia="仿宋_GB2312"/>
                <w:b/>
                <w:sz w:val="24"/>
              </w:rPr>
            </w:pPr>
            <w:r>
              <w:rPr>
                <w:rFonts w:hint="eastAsia" w:ascii="仿宋_GB2312" w:eastAsia="仿宋_GB2312"/>
                <w:b/>
                <w:sz w:val="24"/>
              </w:rPr>
              <w:t>59</w:t>
            </w:r>
          </w:p>
        </w:tc>
        <w:tc>
          <w:tcPr>
            <w:tcW w:w="1158" w:type="dxa"/>
            <w:vAlign w:val="center"/>
          </w:tcPr>
          <w:p>
            <w:pPr>
              <w:pStyle w:val="62"/>
              <w:rPr>
                <w:rFonts w:ascii="仿宋_GB2312" w:eastAsia="仿宋_GB2312"/>
                <w:b/>
                <w:sz w:val="24"/>
              </w:rPr>
            </w:pPr>
            <w:r>
              <w:rPr>
                <w:rFonts w:hint="eastAsia" w:ascii="仿宋_GB2312" w:eastAsia="仿宋_GB2312"/>
                <w:b/>
                <w:sz w:val="24"/>
              </w:rPr>
              <w:t>57</w:t>
            </w:r>
          </w:p>
        </w:tc>
        <w:tc>
          <w:tcPr>
            <w:tcW w:w="1158" w:type="dxa"/>
          </w:tcPr>
          <w:p>
            <w:pPr>
              <w:pStyle w:val="62"/>
              <w:rPr>
                <w:rFonts w:ascii="仿宋_GB2312" w:eastAsia="仿宋_GB2312"/>
                <w:b/>
                <w:sz w:val="24"/>
              </w:rPr>
            </w:pPr>
            <w:r>
              <w:rPr>
                <w:rFonts w:hint="eastAsia" w:ascii="仿宋_GB2312" w:eastAsia="仿宋_GB2312"/>
                <w:b/>
                <w:sz w:val="24"/>
              </w:rPr>
              <w:t>70</w:t>
            </w:r>
          </w:p>
        </w:tc>
        <w:tc>
          <w:tcPr>
            <w:tcW w:w="1157" w:type="dxa"/>
            <w:vAlign w:val="center"/>
          </w:tcPr>
          <w:p>
            <w:pPr>
              <w:pStyle w:val="62"/>
              <w:rPr>
                <w:rFonts w:ascii="仿宋_GB2312" w:eastAsia="仿宋_GB2312"/>
                <w:b/>
                <w:sz w:val="24"/>
              </w:rPr>
            </w:pPr>
            <w:r>
              <w:rPr>
                <w:rFonts w:hint="eastAsia" w:ascii="仿宋_GB2312" w:eastAsia="仿宋_GB2312"/>
                <w:b/>
                <w:sz w:val="24"/>
              </w:rPr>
              <w:t>69</w:t>
            </w:r>
          </w:p>
        </w:tc>
        <w:tc>
          <w:tcPr>
            <w:tcW w:w="1158" w:type="dxa"/>
          </w:tcPr>
          <w:p>
            <w:pPr>
              <w:pStyle w:val="62"/>
              <w:rPr>
                <w:rFonts w:ascii="仿宋_GB2312" w:eastAsia="仿宋_GB2312"/>
                <w:b/>
                <w:sz w:val="24"/>
              </w:rPr>
            </w:pPr>
            <w:r>
              <w:rPr>
                <w:rFonts w:hint="eastAsia" w:ascii="仿宋_GB2312" w:eastAsia="仿宋_GB2312"/>
                <w:b/>
                <w:sz w:val="24"/>
              </w:rPr>
              <w:t>70.8</w:t>
            </w:r>
          </w:p>
        </w:tc>
        <w:tc>
          <w:tcPr>
            <w:tcW w:w="1588" w:type="dxa"/>
            <w:vAlign w:val="center"/>
          </w:tcPr>
          <w:p>
            <w:pPr>
              <w:pStyle w:val="62"/>
              <w:rPr>
                <w:rFonts w:ascii="仿宋_GB2312" w:eastAsia="仿宋_GB2312"/>
                <w:b/>
                <w:sz w:val="24"/>
              </w:rPr>
            </w:pPr>
            <w:r>
              <w:rPr>
                <w:rFonts w:hint="eastAsia" w:ascii="仿宋_GB2312" w:eastAsia="仿宋_GB2312"/>
                <w:b/>
                <w:sz w:val="24"/>
              </w:rPr>
              <w:t>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13" w:type="dxa"/>
            <w:tcBorders>
              <w:bottom w:val="single" w:color="auto" w:sz="6" w:space="0"/>
            </w:tcBorders>
            <w:vAlign w:val="center"/>
          </w:tcPr>
          <w:p>
            <w:pPr>
              <w:pStyle w:val="62"/>
              <w:rPr>
                <w:rFonts w:ascii="仿宋_GB2312" w:eastAsia="仿宋_GB2312"/>
                <w:b/>
                <w:sz w:val="24"/>
              </w:rPr>
            </w:pPr>
            <w:r>
              <w:rPr>
                <w:rFonts w:hint="eastAsia" w:ascii="仿宋_GB2312" w:eastAsia="仿宋_GB2312"/>
                <w:b/>
                <w:sz w:val="24"/>
              </w:rPr>
              <w:t>江华县</w:t>
            </w:r>
          </w:p>
        </w:tc>
        <w:tc>
          <w:tcPr>
            <w:tcW w:w="1157" w:type="dxa"/>
            <w:tcBorders>
              <w:bottom w:val="single" w:color="auto" w:sz="6" w:space="0"/>
            </w:tcBorders>
          </w:tcPr>
          <w:p>
            <w:pPr>
              <w:pStyle w:val="62"/>
              <w:rPr>
                <w:rFonts w:ascii="仿宋_GB2312" w:eastAsia="仿宋_GB2312"/>
                <w:b/>
                <w:sz w:val="24"/>
              </w:rPr>
            </w:pPr>
            <w:r>
              <w:rPr>
                <w:rFonts w:hint="eastAsia" w:ascii="仿宋_GB2312" w:eastAsia="仿宋_GB2312"/>
                <w:b/>
                <w:sz w:val="24"/>
              </w:rPr>
              <w:t>47</w:t>
            </w:r>
          </w:p>
        </w:tc>
        <w:tc>
          <w:tcPr>
            <w:tcW w:w="1158" w:type="dxa"/>
            <w:tcBorders>
              <w:bottom w:val="single" w:color="auto" w:sz="6" w:space="0"/>
            </w:tcBorders>
            <w:vAlign w:val="center"/>
          </w:tcPr>
          <w:p>
            <w:pPr>
              <w:pStyle w:val="62"/>
              <w:rPr>
                <w:rFonts w:ascii="仿宋_GB2312" w:eastAsia="仿宋_GB2312"/>
                <w:b/>
                <w:sz w:val="24"/>
              </w:rPr>
            </w:pPr>
            <w:r>
              <w:rPr>
                <w:rFonts w:hint="eastAsia" w:ascii="仿宋_GB2312" w:eastAsia="仿宋_GB2312"/>
                <w:b/>
                <w:sz w:val="24"/>
              </w:rPr>
              <w:t>46</w:t>
            </w:r>
          </w:p>
        </w:tc>
        <w:tc>
          <w:tcPr>
            <w:tcW w:w="1158" w:type="dxa"/>
            <w:tcBorders>
              <w:bottom w:val="single" w:color="auto" w:sz="6" w:space="0"/>
            </w:tcBorders>
          </w:tcPr>
          <w:p>
            <w:pPr>
              <w:pStyle w:val="62"/>
              <w:rPr>
                <w:rFonts w:ascii="仿宋_GB2312" w:eastAsia="仿宋_GB2312"/>
                <w:b/>
                <w:sz w:val="24"/>
              </w:rPr>
            </w:pPr>
            <w:r>
              <w:rPr>
                <w:rFonts w:hint="eastAsia" w:ascii="仿宋_GB2312" w:eastAsia="仿宋_GB2312"/>
                <w:b/>
                <w:sz w:val="24"/>
              </w:rPr>
              <w:t>70</w:t>
            </w:r>
          </w:p>
        </w:tc>
        <w:tc>
          <w:tcPr>
            <w:tcW w:w="1157" w:type="dxa"/>
            <w:tcBorders>
              <w:bottom w:val="single" w:color="auto" w:sz="6" w:space="0"/>
            </w:tcBorders>
            <w:vAlign w:val="center"/>
          </w:tcPr>
          <w:p>
            <w:pPr>
              <w:pStyle w:val="62"/>
              <w:rPr>
                <w:rFonts w:ascii="仿宋_GB2312" w:eastAsia="仿宋_GB2312"/>
                <w:b/>
                <w:sz w:val="24"/>
              </w:rPr>
            </w:pPr>
            <w:r>
              <w:rPr>
                <w:rFonts w:hint="eastAsia" w:ascii="仿宋_GB2312" w:eastAsia="仿宋_GB2312"/>
                <w:b/>
                <w:sz w:val="24"/>
              </w:rPr>
              <w:t>69</w:t>
            </w:r>
          </w:p>
        </w:tc>
        <w:tc>
          <w:tcPr>
            <w:tcW w:w="1158" w:type="dxa"/>
            <w:tcBorders>
              <w:bottom w:val="single" w:color="auto" w:sz="6" w:space="0"/>
            </w:tcBorders>
          </w:tcPr>
          <w:p>
            <w:pPr>
              <w:pStyle w:val="62"/>
              <w:rPr>
                <w:rFonts w:ascii="仿宋_GB2312" w:eastAsia="仿宋_GB2312"/>
                <w:b/>
                <w:sz w:val="24"/>
              </w:rPr>
            </w:pPr>
            <w:r>
              <w:rPr>
                <w:rFonts w:hint="eastAsia" w:ascii="仿宋_GB2312" w:eastAsia="仿宋_GB2312"/>
                <w:b/>
                <w:sz w:val="24"/>
              </w:rPr>
              <w:t>85</w:t>
            </w:r>
          </w:p>
        </w:tc>
        <w:tc>
          <w:tcPr>
            <w:tcW w:w="1588" w:type="dxa"/>
            <w:tcBorders>
              <w:bottom w:val="single" w:color="auto" w:sz="6" w:space="0"/>
            </w:tcBorders>
            <w:vAlign w:val="center"/>
          </w:tcPr>
          <w:p>
            <w:pPr>
              <w:pStyle w:val="62"/>
              <w:rPr>
                <w:rFonts w:ascii="仿宋_GB2312" w:eastAsia="仿宋_GB2312"/>
                <w:b/>
                <w:sz w:val="24"/>
              </w:rPr>
            </w:pPr>
            <w:r>
              <w:rPr>
                <w:rFonts w:hint="eastAsia" w:ascii="仿宋_GB2312" w:eastAsia="仿宋_GB2312"/>
                <w:b/>
                <w:sz w:val="24"/>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13" w:type="dxa"/>
            <w:tcBorders>
              <w:top w:val="single" w:color="auto" w:sz="6" w:space="0"/>
              <w:bottom w:val="single" w:color="auto" w:sz="12" w:space="0"/>
            </w:tcBorders>
            <w:vAlign w:val="center"/>
          </w:tcPr>
          <w:p>
            <w:pPr>
              <w:pStyle w:val="62"/>
              <w:rPr>
                <w:rFonts w:ascii="仿宋_GB2312" w:eastAsia="仿宋_GB2312"/>
                <w:b/>
                <w:sz w:val="24"/>
              </w:rPr>
            </w:pPr>
            <w:r>
              <w:rPr>
                <w:rFonts w:hint="eastAsia" w:ascii="仿宋_GB2312" w:eastAsia="仿宋_GB2312"/>
                <w:b/>
                <w:sz w:val="24"/>
              </w:rPr>
              <w:t>备注</w:t>
            </w:r>
          </w:p>
        </w:tc>
        <w:tc>
          <w:tcPr>
            <w:tcW w:w="7376" w:type="dxa"/>
            <w:gridSpan w:val="6"/>
            <w:tcBorders>
              <w:top w:val="single" w:color="auto" w:sz="6" w:space="0"/>
              <w:bottom w:val="single" w:color="auto" w:sz="12" w:space="0"/>
            </w:tcBorders>
            <w:vAlign w:val="center"/>
          </w:tcPr>
          <w:p>
            <w:pPr>
              <w:pStyle w:val="62"/>
              <w:rPr>
                <w:rFonts w:ascii="仿宋_GB2312" w:eastAsia="仿宋_GB2312"/>
                <w:b/>
                <w:sz w:val="24"/>
              </w:rPr>
            </w:pPr>
            <w:r>
              <w:rPr>
                <w:rFonts w:hint="eastAsia" w:ascii="仿宋_GB2312" w:eastAsia="仿宋_GB2312"/>
                <w:b/>
                <w:sz w:val="24"/>
              </w:rPr>
              <w:t>平均值统计时间为2017年11月、12月</w:t>
            </w:r>
          </w:p>
        </w:tc>
      </w:tr>
    </w:tbl>
    <w:p>
      <w:pPr>
        <w:pStyle w:val="62"/>
        <w:ind w:firstLine="480"/>
        <w:rPr>
          <w:rFonts w:ascii="仿宋_GB2312" w:eastAsia="仿宋_GB2312"/>
        </w:rPr>
      </w:pPr>
    </w:p>
    <w:p>
      <w:pPr>
        <w:pStyle w:val="2"/>
        <w:spacing w:line="560" w:lineRule="exact"/>
        <w:ind w:firstLine="643"/>
        <w:rPr>
          <w:rFonts w:ascii="黑体" w:hAnsi="黑体"/>
          <w:szCs w:val="32"/>
        </w:rPr>
      </w:pPr>
      <w:bookmarkStart w:id="8" w:name="_Toc45035983"/>
      <w:r>
        <w:rPr>
          <w:rFonts w:hint="eastAsia" w:ascii="黑体" w:hAnsi="黑体"/>
          <w:szCs w:val="32"/>
        </w:rPr>
        <w:t>二、大气环境质量现状</w:t>
      </w:r>
      <w:bookmarkEnd w:id="8"/>
    </w:p>
    <w:p>
      <w:pPr>
        <w:pStyle w:val="3"/>
        <w:spacing w:line="560" w:lineRule="exact"/>
        <w:ind w:left="482"/>
        <w:rPr>
          <w:rFonts w:ascii="楷体_GB2312" w:eastAsia="楷体_GB2312"/>
          <w:sz w:val="32"/>
        </w:rPr>
      </w:pPr>
      <w:bookmarkStart w:id="9" w:name="_Toc45035984"/>
      <w:r>
        <w:rPr>
          <w:rFonts w:hint="eastAsia" w:ascii="楷体_GB2312" w:eastAsia="楷体_GB2312"/>
          <w:sz w:val="32"/>
        </w:rPr>
        <w:t>（一）空气质量总体概况</w:t>
      </w:r>
      <w:bookmarkEnd w:id="9"/>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永州市2016至2019年各年的空气质量优良率依次为85.5%、82.2%、83.8%和88.5%。目前中心城区除PM</w:t>
      </w:r>
      <w:r>
        <w:rPr>
          <w:rFonts w:hint="eastAsia" w:ascii="仿宋_GB2312" w:eastAsia="仿宋_GB2312" w:cs="Times New Roman"/>
          <w:sz w:val="32"/>
          <w:szCs w:val="32"/>
          <w:vertAlign w:val="subscript"/>
        </w:rPr>
        <w:t>2.5</w:t>
      </w:r>
      <w:r>
        <w:rPr>
          <w:rFonts w:hint="eastAsia" w:ascii="仿宋_GB2312" w:eastAsia="仿宋_GB2312" w:cs="Times New Roman"/>
          <w:sz w:val="32"/>
          <w:szCs w:val="32"/>
        </w:rPr>
        <w:t>超标外，其他五项指标均达到《环境空气质量标准》（GB 3095-2012）的国家二级标准。PM</w:t>
      </w:r>
      <w:r>
        <w:rPr>
          <w:rFonts w:hint="eastAsia" w:ascii="仿宋_GB2312" w:eastAsia="仿宋_GB2312" w:cs="Times New Roman"/>
          <w:sz w:val="32"/>
          <w:szCs w:val="32"/>
          <w:vertAlign w:val="subscript"/>
        </w:rPr>
        <w:t>10</w:t>
      </w:r>
      <w:r>
        <w:rPr>
          <w:rFonts w:hint="eastAsia" w:ascii="仿宋_GB2312" w:eastAsia="仿宋_GB2312" w:cs="Times New Roman"/>
          <w:sz w:val="32"/>
          <w:szCs w:val="32"/>
        </w:rPr>
        <w:t>年均浓度整体为下降趋势，可达到国家二级标准；2019年PM</w:t>
      </w:r>
      <w:r>
        <w:rPr>
          <w:rFonts w:hint="eastAsia" w:ascii="仿宋_GB2312" w:eastAsia="仿宋_GB2312" w:cs="Times New Roman"/>
          <w:sz w:val="32"/>
          <w:szCs w:val="32"/>
          <w:vertAlign w:val="subscript"/>
        </w:rPr>
        <w:t>2.5</w:t>
      </w:r>
      <w:r>
        <w:rPr>
          <w:rFonts w:hint="eastAsia" w:ascii="仿宋_GB2312" w:eastAsia="仿宋_GB2312" w:cs="Times New Roman"/>
          <w:sz w:val="32"/>
          <w:szCs w:val="32"/>
        </w:rPr>
        <w:t>浓度为39微克每立方米，同比下降13.3%；2016至2019年臭氧年统计浓度均可达到国家二级标准，但呈现逐年上升趋势；二氧化氮年均浓度连续达标，2018年、2019年均浓度出现反弹现象；二氧化硫年均浓度逐年连续下降，稳定达标；一氧化碳年统计浓度持平，稳定达标。</w:t>
      </w:r>
    </w:p>
    <w:p>
      <w:pPr>
        <w:pStyle w:val="12"/>
        <w:ind w:firstLine="0" w:firstLineChars="0"/>
        <w:jc w:val="center"/>
        <w:rPr>
          <w:rFonts w:ascii="仿宋_GB2312" w:hAnsi="Times New Roman" w:eastAsia="仿宋_GB2312" w:cs="Times New Roman"/>
          <w:b/>
          <w:bCs/>
          <w:sz w:val="28"/>
          <w:szCs w:val="28"/>
        </w:rPr>
      </w:pPr>
      <w:r>
        <w:rPr>
          <w:rFonts w:hint="eastAsia" w:ascii="仿宋_GB2312" w:hAnsi="Times New Roman" w:eastAsia="仿宋_GB2312" w:cs="Times New Roman"/>
          <w:b/>
          <w:bCs/>
          <w:sz w:val="28"/>
          <w:szCs w:val="28"/>
        </w:rPr>
        <w:t>表3</w:t>
      </w:r>
      <w:r>
        <w:rPr>
          <w:rFonts w:ascii="仿宋_GB2312" w:hAnsi="Times New Roman" w:eastAsia="仿宋_GB2312" w:cs="Times New Roman"/>
          <w:b/>
          <w:bCs/>
          <w:sz w:val="28"/>
          <w:szCs w:val="28"/>
        </w:rPr>
        <w:t xml:space="preserve"> </w:t>
      </w:r>
      <w:r>
        <w:rPr>
          <w:rFonts w:hint="eastAsia" w:ascii="仿宋_GB2312" w:hAnsi="Times New Roman" w:eastAsia="仿宋_GB2312" w:cs="Times New Roman"/>
          <w:b/>
          <w:bCs/>
          <w:sz w:val="28"/>
          <w:szCs w:val="28"/>
        </w:rPr>
        <w:t>2016-2019年永州市主要大气污染物浓度</w:t>
      </w:r>
    </w:p>
    <w:tbl>
      <w:tblPr>
        <w:tblStyle w:val="31"/>
        <w:tblW w:w="80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35"/>
        <w:gridCol w:w="1276"/>
        <w:gridCol w:w="1418"/>
        <w:gridCol w:w="1275"/>
        <w:gridCol w:w="12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835" w:type="dxa"/>
            <w:vMerge w:val="restart"/>
            <w:tcBorders>
              <w:top w:val="single" w:color="auto" w:sz="12" w:space="0"/>
            </w:tcBorders>
            <w:vAlign w:val="center"/>
          </w:tcPr>
          <w:p>
            <w:pPr>
              <w:pStyle w:val="57"/>
              <w:rPr>
                <w:rFonts w:ascii="仿宋_GB2312" w:eastAsia="仿宋_GB2312" w:cs="Times New Roman"/>
                <w:b/>
                <w:sz w:val="24"/>
                <w:szCs w:val="24"/>
              </w:rPr>
            </w:pPr>
            <w:r>
              <w:rPr>
                <w:rFonts w:hint="eastAsia" w:ascii="仿宋_GB2312" w:eastAsia="仿宋_GB2312" w:cs="Times New Roman"/>
                <w:b/>
                <w:sz w:val="24"/>
                <w:szCs w:val="24"/>
              </w:rPr>
              <w:t>指标</w:t>
            </w:r>
          </w:p>
        </w:tc>
        <w:tc>
          <w:tcPr>
            <w:tcW w:w="5245" w:type="dxa"/>
            <w:gridSpan w:val="4"/>
            <w:tcBorders>
              <w:top w:val="single" w:color="auto" w:sz="12" w:space="0"/>
            </w:tcBorders>
            <w:vAlign w:val="center"/>
          </w:tcPr>
          <w:p>
            <w:pPr>
              <w:pStyle w:val="57"/>
              <w:rPr>
                <w:rFonts w:ascii="仿宋_GB2312" w:eastAsia="仿宋_GB2312" w:cs="Times New Roman"/>
                <w:b/>
                <w:sz w:val="24"/>
                <w:szCs w:val="24"/>
              </w:rPr>
            </w:pPr>
            <w:r>
              <w:rPr>
                <w:rFonts w:hint="eastAsia" w:ascii="仿宋_GB2312" w:eastAsia="仿宋_GB2312" w:cs="Times New Roman"/>
                <w:b/>
                <w:sz w:val="24"/>
                <w:szCs w:val="24"/>
              </w:rPr>
              <w:t>浓度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835" w:type="dxa"/>
            <w:vMerge w:val="continue"/>
            <w:tcBorders>
              <w:bottom w:val="single" w:color="auto" w:sz="4" w:space="0"/>
            </w:tcBorders>
            <w:vAlign w:val="center"/>
          </w:tcPr>
          <w:p>
            <w:pPr>
              <w:pStyle w:val="57"/>
              <w:rPr>
                <w:rFonts w:ascii="仿宋_GB2312" w:eastAsia="仿宋_GB2312" w:cs="Times New Roman"/>
                <w:b/>
                <w:sz w:val="24"/>
                <w:szCs w:val="24"/>
              </w:rPr>
            </w:pPr>
          </w:p>
        </w:tc>
        <w:tc>
          <w:tcPr>
            <w:tcW w:w="1276" w:type="dxa"/>
            <w:tcBorders>
              <w:bottom w:val="single" w:color="auto" w:sz="4" w:space="0"/>
            </w:tcBorders>
            <w:vAlign w:val="center"/>
          </w:tcPr>
          <w:p>
            <w:pPr>
              <w:pStyle w:val="57"/>
              <w:rPr>
                <w:rFonts w:ascii="仿宋_GB2312" w:eastAsia="仿宋_GB2312" w:cs="Times New Roman"/>
                <w:b/>
                <w:sz w:val="24"/>
                <w:szCs w:val="24"/>
              </w:rPr>
            </w:pPr>
            <w:r>
              <w:rPr>
                <w:rFonts w:hint="eastAsia" w:ascii="仿宋_GB2312" w:eastAsia="仿宋_GB2312" w:cs="Times New Roman"/>
                <w:b/>
                <w:sz w:val="24"/>
                <w:szCs w:val="24"/>
              </w:rPr>
              <w:t>2016年</w:t>
            </w:r>
          </w:p>
        </w:tc>
        <w:tc>
          <w:tcPr>
            <w:tcW w:w="1418" w:type="dxa"/>
            <w:tcBorders>
              <w:bottom w:val="single" w:color="auto" w:sz="4" w:space="0"/>
            </w:tcBorders>
            <w:vAlign w:val="center"/>
          </w:tcPr>
          <w:p>
            <w:pPr>
              <w:pStyle w:val="57"/>
              <w:rPr>
                <w:rFonts w:ascii="仿宋_GB2312" w:eastAsia="仿宋_GB2312" w:cs="Times New Roman"/>
                <w:b/>
                <w:sz w:val="24"/>
                <w:szCs w:val="24"/>
              </w:rPr>
            </w:pPr>
            <w:r>
              <w:rPr>
                <w:rFonts w:hint="eastAsia" w:ascii="仿宋_GB2312" w:eastAsia="仿宋_GB2312" w:cs="Times New Roman"/>
                <w:b/>
                <w:sz w:val="24"/>
                <w:szCs w:val="24"/>
              </w:rPr>
              <w:t>2017年</w:t>
            </w:r>
          </w:p>
        </w:tc>
        <w:tc>
          <w:tcPr>
            <w:tcW w:w="1275" w:type="dxa"/>
            <w:tcBorders>
              <w:bottom w:val="single" w:color="auto" w:sz="4" w:space="0"/>
            </w:tcBorders>
            <w:vAlign w:val="center"/>
          </w:tcPr>
          <w:p>
            <w:pPr>
              <w:pStyle w:val="57"/>
              <w:rPr>
                <w:rFonts w:ascii="仿宋_GB2312" w:eastAsia="仿宋_GB2312" w:cs="Times New Roman"/>
                <w:b/>
                <w:sz w:val="24"/>
                <w:szCs w:val="24"/>
              </w:rPr>
            </w:pPr>
            <w:r>
              <w:rPr>
                <w:rFonts w:hint="eastAsia" w:ascii="仿宋_GB2312" w:eastAsia="仿宋_GB2312" w:cs="Times New Roman"/>
                <w:b/>
                <w:sz w:val="24"/>
                <w:szCs w:val="24"/>
              </w:rPr>
              <w:t>2018年</w:t>
            </w:r>
          </w:p>
        </w:tc>
        <w:tc>
          <w:tcPr>
            <w:tcW w:w="1276" w:type="dxa"/>
            <w:tcBorders>
              <w:bottom w:val="single" w:color="auto" w:sz="4" w:space="0"/>
            </w:tcBorders>
            <w:vAlign w:val="center"/>
          </w:tcPr>
          <w:p>
            <w:pPr>
              <w:pStyle w:val="57"/>
              <w:rPr>
                <w:rFonts w:ascii="仿宋_GB2312" w:eastAsia="仿宋_GB2312" w:cs="Times New Roman"/>
                <w:b/>
                <w:sz w:val="24"/>
                <w:szCs w:val="24"/>
              </w:rPr>
            </w:pPr>
            <w:r>
              <w:rPr>
                <w:rFonts w:hint="eastAsia" w:ascii="仿宋_GB2312" w:eastAsia="仿宋_GB2312" w:cs="Times New Roman"/>
                <w:b/>
                <w:sz w:val="24"/>
                <w:szCs w:val="24"/>
              </w:rPr>
              <w:t>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835" w:type="dxa"/>
            <w:tcBorders>
              <w:top w:val="single" w:color="auto" w:sz="4" w:space="0"/>
            </w:tcBorders>
            <w:vAlign w:val="center"/>
          </w:tcPr>
          <w:p>
            <w:pPr>
              <w:pStyle w:val="57"/>
              <w:rPr>
                <w:rFonts w:ascii="仿宋_GB2312" w:eastAsia="仿宋_GB2312" w:cs="Times New Roman"/>
                <w:sz w:val="24"/>
                <w:szCs w:val="24"/>
              </w:rPr>
            </w:pPr>
            <w:r>
              <w:rPr>
                <w:rFonts w:hint="eastAsia" w:ascii="仿宋_GB2312" w:eastAsia="仿宋_GB2312" w:cs="Times New Roman"/>
                <w:sz w:val="24"/>
                <w:szCs w:val="24"/>
              </w:rPr>
              <w:t>二氧化硫年均浓度</w:t>
            </w:r>
          </w:p>
        </w:tc>
        <w:tc>
          <w:tcPr>
            <w:tcW w:w="1276" w:type="dxa"/>
            <w:tcBorders>
              <w:top w:val="single" w:color="auto" w:sz="4" w:space="0"/>
            </w:tcBorders>
            <w:vAlign w:val="center"/>
          </w:tcPr>
          <w:p>
            <w:pPr>
              <w:pStyle w:val="57"/>
              <w:rPr>
                <w:rFonts w:ascii="仿宋_GB2312" w:eastAsia="仿宋_GB2312" w:cs="Times New Roman"/>
                <w:bCs/>
                <w:sz w:val="24"/>
                <w:szCs w:val="24"/>
              </w:rPr>
            </w:pPr>
            <w:r>
              <w:t>19</w:t>
            </w:r>
          </w:p>
        </w:tc>
        <w:tc>
          <w:tcPr>
            <w:tcW w:w="1418" w:type="dxa"/>
            <w:tcBorders>
              <w:top w:val="single" w:color="auto" w:sz="4" w:space="0"/>
            </w:tcBorders>
            <w:vAlign w:val="center"/>
          </w:tcPr>
          <w:p>
            <w:pPr>
              <w:pStyle w:val="57"/>
              <w:rPr>
                <w:rFonts w:ascii="仿宋_GB2312" w:eastAsia="仿宋_GB2312" w:cs="Times New Roman"/>
                <w:bCs/>
                <w:sz w:val="24"/>
                <w:szCs w:val="24"/>
              </w:rPr>
            </w:pPr>
            <w:r>
              <w:t>12</w:t>
            </w:r>
          </w:p>
        </w:tc>
        <w:tc>
          <w:tcPr>
            <w:tcW w:w="1275" w:type="dxa"/>
            <w:tcBorders>
              <w:top w:val="single" w:color="auto" w:sz="4" w:space="0"/>
            </w:tcBorders>
            <w:vAlign w:val="center"/>
          </w:tcPr>
          <w:p>
            <w:pPr>
              <w:pStyle w:val="57"/>
              <w:rPr>
                <w:rFonts w:ascii="仿宋_GB2312" w:eastAsia="仿宋_GB2312" w:cs="Times New Roman"/>
                <w:bCs/>
                <w:sz w:val="24"/>
                <w:szCs w:val="24"/>
              </w:rPr>
            </w:pPr>
            <w:r>
              <w:t>11</w:t>
            </w:r>
          </w:p>
        </w:tc>
        <w:tc>
          <w:tcPr>
            <w:tcW w:w="1276" w:type="dxa"/>
            <w:tcBorders>
              <w:top w:val="single" w:color="auto" w:sz="4" w:space="0"/>
            </w:tcBorders>
            <w:vAlign w:val="center"/>
          </w:tcPr>
          <w:p>
            <w:pPr>
              <w:pStyle w:val="57"/>
              <w:rPr>
                <w:rFonts w:ascii="仿宋_GB2312" w:eastAsia="仿宋_GB2312" w:cs="Times New Roman"/>
                <w:bCs/>
                <w:sz w:val="24"/>
                <w:szCs w:val="24"/>
              </w:rPr>
            </w:pPr>
            <w:r>
              <w:rPr>
                <w:rFonts w:hint="eastAsia" w:ascii="仿宋_GB2312" w:eastAsia="仿宋_GB2312" w:cs="Times New Roman"/>
                <w:bCs/>
                <w:sz w:val="24"/>
                <w:szCs w:val="24"/>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835" w:type="dxa"/>
            <w:vAlign w:val="center"/>
          </w:tcPr>
          <w:p>
            <w:pPr>
              <w:pStyle w:val="57"/>
              <w:rPr>
                <w:rFonts w:ascii="仿宋_GB2312" w:eastAsia="仿宋_GB2312" w:cs="Times New Roman"/>
                <w:sz w:val="24"/>
                <w:szCs w:val="24"/>
              </w:rPr>
            </w:pPr>
            <w:r>
              <w:rPr>
                <w:rFonts w:hint="eastAsia" w:ascii="仿宋_GB2312" w:eastAsia="仿宋_GB2312" w:cs="Times New Roman"/>
                <w:sz w:val="24"/>
                <w:szCs w:val="24"/>
              </w:rPr>
              <w:t>二氧化氮年均浓度</w:t>
            </w:r>
          </w:p>
        </w:tc>
        <w:tc>
          <w:tcPr>
            <w:tcW w:w="1276" w:type="dxa"/>
            <w:vAlign w:val="center"/>
          </w:tcPr>
          <w:p>
            <w:pPr>
              <w:pStyle w:val="57"/>
              <w:rPr>
                <w:rFonts w:ascii="仿宋_GB2312" w:eastAsia="仿宋_GB2312" w:cs="Times New Roman"/>
                <w:bCs/>
                <w:sz w:val="24"/>
                <w:szCs w:val="24"/>
              </w:rPr>
            </w:pPr>
            <w:r>
              <w:t>24</w:t>
            </w:r>
          </w:p>
        </w:tc>
        <w:tc>
          <w:tcPr>
            <w:tcW w:w="1418" w:type="dxa"/>
            <w:vAlign w:val="center"/>
          </w:tcPr>
          <w:p>
            <w:pPr>
              <w:pStyle w:val="57"/>
              <w:rPr>
                <w:rFonts w:ascii="仿宋_GB2312" w:eastAsia="仿宋_GB2312" w:cs="Times New Roman"/>
                <w:bCs/>
                <w:sz w:val="24"/>
                <w:szCs w:val="24"/>
              </w:rPr>
            </w:pPr>
            <w:r>
              <w:t>22</w:t>
            </w:r>
          </w:p>
        </w:tc>
        <w:tc>
          <w:tcPr>
            <w:tcW w:w="1275" w:type="dxa"/>
            <w:vAlign w:val="center"/>
          </w:tcPr>
          <w:p>
            <w:pPr>
              <w:pStyle w:val="57"/>
              <w:rPr>
                <w:rFonts w:ascii="仿宋_GB2312" w:eastAsia="仿宋_GB2312" w:cs="Times New Roman"/>
                <w:bCs/>
                <w:sz w:val="24"/>
                <w:szCs w:val="24"/>
              </w:rPr>
            </w:pPr>
            <w:r>
              <w:t>25</w:t>
            </w:r>
          </w:p>
        </w:tc>
        <w:tc>
          <w:tcPr>
            <w:tcW w:w="1276" w:type="dxa"/>
            <w:vAlign w:val="center"/>
          </w:tcPr>
          <w:p>
            <w:pPr>
              <w:pStyle w:val="57"/>
              <w:rPr>
                <w:rFonts w:ascii="仿宋_GB2312" w:eastAsia="仿宋_GB2312" w:cs="Times New Roman"/>
                <w:bCs/>
                <w:sz w:val="24"/>
                <w:szCs w:val="24"/>
              </w:rPr>
            </w:pPr>
            <w:r>
              <w:rPr>
                <w:rFonts w:hint="eastAsia" w:ascii="仿宋_GB2312" w:eastAsia="仿宋_GB2312" w:cs="Times New Roman"/>
                <w:bCs/>
                <w:sz w:val="24"/>
                <w:szCs w:val="24"/>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835" w:type="dxa"/>
            <w:vAlign w:val="center"/>
          </w:tcPr>
          <w:p>
            <w:pPr>
              <w:pStyle w:val="57"/>
              <w:rPr>
                <w:rFonts w:ascii="仿宋_GB2312" w:eastAsia="仿宋_GB2312" w:cs="Times New Roman"/>
                <w:sz w:val="24"/>
                <w:szCs w:val="24"/>
              </w:rPr>
            </w:pPr>
            <w:r>
              <w:rPr>
                <w:rFonts w:hint="eastAsia" w:ascii="仿宋_GB2312" w:eastAsia="仿宋_GB2312" w:cs="Times New Roman"/>
                <w:sz w:val="24"/>
                <w:szCs w:val="24"/>
              </w:rPr>
              <w:t>PM</w:t>
            </w:r>
            <w:r>
              <w:rPr>
                <w:rFonts w:hint="eastAsia" w:ascii="仿宋_GB2312" w:eastAsia="仿宋_GB2312" w:cs="Times New Roman"/>
                <w:sz w:val="24"/>
                <w:szCs w:val="24"/>
                <w:vertAlign w:val="subscript"/>
              </w:rPr>
              <w:t>10</w:t>
            </w:r>
            <w:r>
              <w:rPr>
                <w:rFonts w:hint="eastAsia" w:ascii="仿宋_GB2312" w:eastAsia="仿宋_GB2312" w:cs="Times New Roman"/>
                <w:sz w:val="24"/>
                <w:szCs w:val="24"/>
              </w:rPr>
              <w:t>年均浓度</w:t>
            </w:r>
          </w:p>
        </w:tc>
        <w:tc>
          <w:tcPr>
            <w:tcW w:w="1276" w:type="dxa"/>
            <w:vAlign w:val="center"/>
          </w:tcPr>
          <w:p>
            <w:pPr>
              <w:pStyle w:val="57"/>
              <w:rPr>
                <w:rFonts w:ascii="仿宋_GB2312" w:eastAsia="仿宋_GB2312" w:cs="Times New Roman"/>
                <w:bCs/>
                <w:sz w:val="24"/>
                <w:szCs w:val="24"/>
              </w:rPr>
            </w:pPr>
            <w:r>
              <w:t>70</w:t>
            </w:r>
          </w:p>
        </w:tc>
        <w:tc>
          <w:tcPr>
            <w:tcW w:w="1418" w:type="dxa"/>
            <w:vAlign w:val="center"/>
          </w:tcPr>
          <w:p>
            <w:pPr>
              <w:pStyle w:val="57"/>
              <w:rPr>
                <w:rFonts w:ascii="仿宋_GB2312" w:eastAsia="仿宋_GB2312" w:cs="Times New Roman"/>
                <w:bCs/>
                <w:sz w:val="24"/>
                <w:szCs w:val="24"/>
              </w:rPr>
            </w:pPr>
            <w:r>
              <w:t>67</w:t>
            </w:r>
          </w:p>
        </w:tc>
        <w:tc>
          <w:tcPr>
            <w:tcW w:w="1275" w:type="dxa"/>
            <w:vAlign w:val="center"/>
          </w:tcPr>
          <w:p>
            <w:pPr>
              <w:pStyle w:val="57"/>
              <w:rPr>
                <w:rFonts w:ascii="仿宋_GB2312" w:eastAsia="仿宋_GB2312" w:cs="Times New Roman"/>
                <w:bCs/>
                <w:sz w:val="24"/>
                <w:szCs w:val="24"/>
              </w:rPr>
            </w:pPr>
            <w:r>
              <w:t>69</w:t>
            </w:r>
          </w:p>
        </w:tc>
        <w:tc>
          <w:tcPr>
            <w:tcW w:w="1276" w:type="dxa"/>
            <w:vAlign w:val="center"/>
          </w:tcPr>
          <w:p>
            <w:pPr>
              <w:pStyle w:val="57"/>
              <w:rPr>
                <w:rFonts w:ascii="仿宋_GB2312" w:eastAsia="仿宋_GB2312" w:cs="Times New Roman"/>
                <w:bCs/>
                <w:sz w:val="24"/>
                <w:szCs w:val="24"/>
              </w:rPr>
            </w:pPr>
            <w:r>
              <w:rPr>
                <w:rFonts w:hint="eastAsia" w:ascii="仿宋_GB2312" w:eastAsia="仿宋_GB2312" w:cs="Times New Roman"/>
                <w:bCs/>
                <w:sz w:val="24"/>
                <w:szCs w:val="24"/>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835" w:type="dxa"/>
            <w:vAlign w:val="center"/>
          </w:tcPr>
          <w:p>
            <w:pPr>
              <w:pStyle w:val="57"/>
              <w:rPr>
                <w:rFonts w:ascii="仿宋_GB2312" w:eastAsia="仿宋_GB2312" w:cs="Times New Roman"/>
                <w:sz w:val="24"/>
                <w:szCs w:val="24"/>
              </w:rPr>
            </w:pPr>
            <w:r>
              <w:rPr>
                <w:rFonts w:hint="eastAsia" w:ascii="仿宋_GB2312" w:eastAsia="仿宋_GB2312" w:cs="Times New Roman"/>
                <w:sz w:val="24"/>
                <w:szCs w:val="24"/>
              </w:rPr>
              <w:t>PM</w:t>
            </w:r>
            <w:r>
              <w:rPr>
                <w:rFonts w:hint="eastAsia" w:ascii="仿宋_GB2312" w:eastAsia="仿宋_GB2312" w:cs="Times New Roman"/>
                <w:sz w:val="24"/>
                <w:szCs w:val="24"/>
                <w:vertAlign w:val="subscript"/>
              </w:rPr>
              <w:t>2.5</w:t>
            </w:r>
            <w:r>
              <w:rPr>
                <w:rFonts w:hint="eastAsia" w:ascii="仿宋_GB2312" w:eastAsia="仿宋_GB2312" w:cs="Times New Roman"/>
                <w:sz w:val="24"/>
                <w:szCs w:val="24"/>
              </w:rPr>
              <w:t>年均浓度</w:t>
            </w:r>
          </w:p>
        </w:tc>
        <w:tc>
          <w:tcPr>
            <w:tcW w:w="1276" w:type="dxa"/>
            <w:vAlign w:val="center"/>
          </w:tcPr>
          <w:p>
            <w:pPr>
              <w:pStyle w:val="57"/>
              <w:rPr>
                <w:rFonts w:ascii="仿宋_GB2312" w:eastAsia="仿宋_GB2312" w:cs="Times New Roman"/>
                <w:bCs/>
                <w:sz w:val="24"/>
                <w:szCs w:val="24"/>
              </w:rPr>
            </w:pPr>
            <w:r>
              <w:t>45</w:t>
            </w:r>
          </w:p>
        </w:tc>
        <w:tc>
          <w:tcPr>
            <w:tcW w:w="1418" w:type="dxa"/>
            <w:vAlign w:val="center"/>
          </w:tcPr>
          <w:p>
            <w:pPr>
              <w:pStyle w:val="57"/>
              <w:rPr>
                <w:rFonts w:ascii="仿宋_GB2312" w:eastAsia="仿宋_GB2312" w:cs="Times New Roman"/>
                <w:bCs/>
                <w:sz w:val="24"/>
                <w:szCs w:val="24"/>
              </w:rPr>
            </w:pPr>
            <w:r>
              <w:t>45</w:t>
            </w:r>
          </w:p>
        </w:tc>
        <w:tc>
          <w:tcPr>
            <w:tcW w:w="1275" w:type="dxa"/>
            <w:vAlign w:val="center"/>
          </w:tcPr>
          <w:p>
            <w:pPr>
              <w:pStyle w:val="57"/>
              <w:rPr>
                <w:rFonts w:ascii="仿宋_GB2312" w:eastAsia="仿宋_GB2312" w:cs="Times New Roman"/>
                <w:bCs/>
                <w:sz w:val="24"/>
                <w:szCs w:val="24"/>
              </w:rPr>
            </w:pPr>
            <w:r>
              <w:t>48</w:t>
            </w:r>
          </w:p>
        </w:tc>
        <w:tc>
          <w:tcPr>
            <w:tcW w:w="1276" w:type="dxa"/>
            <w:vAlign w:val="center"/>
          </w:tcPr>
          <w:p>
            <w:pPr>
              <w:pStyle w:val="57"/>
              <w:rPr>
                <w:rFonts w:ascii="仿宋_GB2312" w:eastAsia="仿宋_GB2312" w:cs="Times New Roman"/>
                <w:bCs/>
                <w:sz w:val="24"/>
                <w:szCs w:val="24"/>
              </w:rPr>
            </w:pPr>
            <w:r>
              <w:rPr>
                <w:rFonts w:hint="eastAsia" w:ascii="仿宋_GB2312" w:eastAsia="仿宋_GB2312" w:cs="Times New Roman"/>
                <w:bCs/>
                <w:sz w:val="24"/>
                <w:szCs w:val="24"/>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835" w:type="dxa"/>
            <w:vAlign w:val="center"/>
          </w:tcPr>
          <w:p>
            <w:pPr>
              <w:pStyle w:val="57"/>
              <w:rPr>
                <w:rFonts w:ascii="仿宋_GB2312" w:eastAsia="仿宋_GB2312" w:cs="Times New Roman"/>
                <w:sz w:val="24"/>
                <w:szCs w:val="24"/>
              </w:rPr>
            </w:pPr>
            <w:r>
              <w:rPr>
                <w:rFonts w:hint="eastAsia" w:ascii="仿宋_GB2312" w:eastAsia="仿宋_GB2312" w:cs="Times New Roman"/>
                <w:sz w:val="24"/>
                <w:szCs w:val="24"/>
              </w:rPr>
              <w:t>一氧化碳日均浓度</w:t>
            </w:r>
          </w:p>
          <w:p>
            <w:pPr>
              <w:pStyle w:val="57"/>
              <w:rPr>
                <w:rFonts w:ascii="仿宋_GB2312" w:eastAsia="仿宋_GB2312" w:cs="Times New Roman"/>
                <w:sz w:val="24"/>
                <w:szCs w:val="24"/>
              </w:rPr>
            </w:pPr>
            <w:r>
              <w:rPr>
                <w:rFonts w:hint="eastAsia" w:ascii="仿宋_GB2312" w:eastAsia="仿宋_GB2312" w:cs="Times New Roman"/>
                <w:sz w:val="24"/>
                <w:szCs w:val="24"/>
              </w:rPr>
              <w:t>第95百分数数</w:t>
            </w:r>
          </w:p>
        </w:tc>
        <w:tc>
          <w:tcPr>
            <w:tcW w:w="1276" w:type="dxa"/>
            <w:vAlign w:val="center"/>
          </w:tcPr>
          <w:p>
            <w:pPr>
              <w:pStyle w:val="57"/>
              <w:rPr>
                <w:rFonts w:ascii="仿宋_GB2312" w:eastAsia="仿宋_GB2312" w:cs="Times New Roman"/>
                <w:bCs/>
                <w:sz w:val="24"/>
                <w:szCs w:val="24"/>
              </w:rPr>
            </w:pPr>
            <w:r>
              <w:t>1.1</w:t>
            </w:r>
          </w:p>
        </w:tc>
        <w:tc>
          <w:tcPr>
            <w:tcW w:w="1418" w:type="dxa"/>
            <w:vAlign w:val="center"/>
          </w:tcPr>
          <w:p>
            <w:pPr>
              <w:pStyle w:val="57"/>
              <w:rPr>
                <w:rFonts w:ascii="仿宋_GB2312" w:eastAsia="仿宋_GB2312" w:cs="Times New Roman"/>
                <w:bCs/>
                <w:sz w:val="24"/>
                <w:szCs w:val="24"/>
              </w:rPr>
            </w:pPr>
            <w:r>
              <w:t>1.0</w:t>
            </w:r>
          </w:p>
        </w:tc>
        <w:tc>
          <w:tcPr>
            <w:tcW w:w="1275" w:type="dxa"/>
            <w:vAlign w:val="center"/>
          </w:tcPr>
          <w:p>
            <w:pPr>
              <w:pStyle w:val="57"/>
              <w:rPr>
                <w:rFonts w:ascii="仿宋_GB2312" w:eastAsia="仿宋_GB2312" w:cs="Times New Roman"/>
                <w:bCs/>
                <w:sz w:val="24"/>
                <w:szCs w:val="24"/>
              </w:rPr>
            </w:pPr>
            <w:r>
              <w:t>1.1</w:t>
            </w:r>
          </w:p>
        </w:tc>
        <w:tc>
          <w:tcPr>
            <w:tcW w:w="1276" w:type="dxa"/>
            <w:vAlign w:val="center"/>
          </w:tcPr>
          <w:p>
            <w:pPr>
              <w:pStyle w:val="57"/>
              <w:rPr>
                <w:rFonts w:ascii="仿宋_GB2312" w:eastAsia="仿宋_GB2312" w:cs="Times New Roman"/>
                <w:bCs/>
                <w:sz w:val="24"/>
                <w:szCs w:val="24"/>
              </w:rPr>
            </w:pPr>
            <w:r>
              <w:rPr>
                <w:rFonts w:hint="eastAsia" w:ascii="仿宋_GB2312" w:eastAsia="仿宋_GB2312" w:cs="Times New Roman"/>
                <w:bCs/>
                <w:sz w:val="24"/>
                <w:szCs w:val="24"/>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835" w:type="dxa"/>
            <w:tcBorders>
              <w:bottom w:val="single" w:color="auto" w:sz="12" w:space="0"/>
            </w:tcBorders>
            <w:vAlign w:val="center"/>
          </w:tcPr>
          <w:p>
            <w:pPr>
              <w:pStyle w:val="57"/>
              <w:rPr>
                <w:rFonts w:ascii="仿宋_GB2312" w:eastAsia="仿宋_GB2312" w:cs="Times New Roman"/>
                <w:sz w:val="24"/>
                <w:szCs w:val="24"/>
              </w:rPr>
            </w:pPr>
            <w:r>
              <w:rPr>
                <w:rFonts w:hint="eastAsia" w:ascii="仿宋_GB2312" w:eastAsia="仿宋_GB2312" w:cs="Times New Roman"/>
                <w:sz w:val="24"/>
                <w:szCs w:val="24"/>
              </w:rPr>
              <w:t>臭氧日最大8小时平均浓度第90百分位数</w:t>
            </w:r>
          </w:p>
        </w:tc>
        <w:tc>
          <w:tcPr>
            <w:tcW w:w="1276" w:type="dxa"/>
            <w:tcBorders>
              <w:bottom w:val="single" w:color="auto" w:sz="12" w:space="0"/>
            </w:tcBorders>
            <w:vAlign w:val="center"/>
          </w:tcPr>
          <w:p>
            <w:pPr>
              <w:pStyle w:val="57"/>
              <w:rPr>
                <w:rFonts w:ascii="仿宋_GB2312" w:eastAsia="仿宋_GB2312" w:cs="Times New Roman"/>
                <w:bCs/>
                <w:sz w:val="24"/>
                <w:szCs w:val="24"/>
              </w:rPr>
            </w:pPr>
            <w:r>
              <w:t>124</w:t>
            </w:r>
          </w:p>
        </w:tc>
        <w:tc>
          <w:tcPr>
            <w:tcW w:w="1418" w:type="dxa"/>
            <w:tcBorders>
              <w:bottom w:val="single" w:color="auto" w:sz="12" w:space="0"/>
            </w:tcBorders>
            <w:vAlign w:val="center"/>
          </w:tcPr>
          <w:p>
            <w:pPr>
              <w:pStyle w:val="57"/>
              <w:rPr>
                <w:rFonts w:ascii="仿宋_GB2312" w:eastAsia="仿宋_GB2312" w:cs="Times New Roman"/>
                <w:bCs/>
                <w:sz w:val="24"/>
                <w:szCs w:val="24"/>
              </w:rPr>
            </w:pPr>
            <w:r>
              <w:t>129</w:t>
            </w:r>
          </w:p>
        </w:tc>
        <w:tc>
          <w:tcPr>
            <w:tcW w:w="1275" w:type="dxa"/>
            <w:tcBorders>
              <w:bottom w:val="single" w:color="auto" w:sz="12" w:space="0"/>
            </w:tcBorders>
            <w:vAlign w:val="center"/>
          </w:tcPr>
          <w:p>
            <w:pPr>
              <w:pStyle w:val="57"/>
              <w:rPr>
                <w:rFonts w:ascii="仿宋_GB2312" w:eastAsia="仿宋_GB2312" w:cs="Times New Roman"/>
                <w:bCs/>
                <w:sz w:val="24"/>
                <w:szCs w:val="24"/>
              </w:rPr>
            </w:pPr>
            <w:r>
              <w:t>138</w:t>
            </w:r>
          </w:p>
        </w:tc>
        <w:tc>
          <w:tcPr>
            <w:tcW w:w="1276" w:type="dxa"/>
            <w:tcBorders>
              <w:bottom w:val="single" w:color="auto" w:sz="12" w:space="0"/>
            </w:tcBorders>
            <w:vAlign w:val="center"/>
          </w:tcPr>
          <w:p>
            <w:pPr>
              <w:pStyle w:val="57"/>
              <w:rPr>
                <w:rFonts w:ascii="仿宋_GB2312" w:eastAsia="仿宋_GB2312" w:cs="Times New Roman"/>
                <w:bCs/>
                <w:sz w:val="24"/>
                <w:szCs w:val="24"/>
              </w:rPr>
            </w:pPr>
            <w:r>
              <w:rPr>
                <w:rFonts w:hint="eastAsia" w:ascii="仿宋_GB2312" w:eastAsia="仿宋_GB2312" w:cs="Times New Roman"/>
                <w:bCs/>
                <w:sz w:val="24"/>
                <w:szCs w:val="24"/>
              </w:rPr>
              <w:t>143</w:t>
            </w:r>
          </w:p>
        </w:tc>
      </w:tr>
    </w:tbl>
    <w:p>
      <w:pPr>
        <w:ind w:firstLine="482"/>
        <w:rPr>
          <w:rFonts w:ascii="仿宋_GB2312" w:eastAsia="仿宋_GB2312" w:cs="Times New Roman"/>
          <w:szCs w:val="24"/>
        </w:rPr>
      </w:pPr>
      <w:r>
        <w:rPr>
          <w:rFonts w:hint="eastAsia" w:ascii="仿宋_GB2312" w:eastAsia="仿宋_GB2312" w:cs="Times New Roman"/>
          <w:b/>
          <w:szCs w:val="24"/>
        </w:rPr>
        <w:t>注：</w:t>
      </w:r>
      <w:r>
        <w:rPr>
          <w:rFonts w:hint="eastAsia" w:ascii="仿宋_GB2312" w:eastAsia="仿宋_GB2312" w:cs="Times New Roman"/>
          <w:szCs w:val="24"/>
        </w:rPr>
        <w:t>二氧化硫、二氧化氮、PM</w:t>
      </w:r>
      <w:r>
        <w:rPr>
          <w:rFonts w:hint="eastAsia" w:ascii="仿宋_GB2312" w:eastAsia="仿宋_GB2312" w:cs="Times New Roman"/>
          <w:szCs w:val="24"/>
          <w:vertAlign w:val="subscript"/>
        </w:rPr>
        <w:t>10</w:t>
      </w:r>
      <w:r>
        <w:rPr>
          <w:rFonts w:hint="eastAsia" w:ascii="仿宋_GB2312" w:eastAsia="仿宋_GB2312" w:cs="Times New Roman"/>
          <w:szCs w:val="24"/>
        </w:rPr>
        <w:t>、PM</w:t>
      </w:r>
      <w:r>
        <w:rPr>
          <w:rFonts w:hint="eastAsia" w:ascii="仿宋_GB2312" w:eastAsia="仿宋_GB2312" w:cs="Times New Roman"/>
          <w:szCs w:val="24"/>
          <w:vertAlign w:val="subscript"/>
        </w:rPr>
        <w:t>2.5</w:t>
      </w:r>
      <w:r>
        <w:rPr>
          <w:rFonts w:hint="eastAsia" w:ascii="仿宋_GB2312" w:eastAsia="仿宋_GB2312" w:cs="Times New Roman"/>
          <w:szCs w:val="24"/>
        </w:rPr>
        <w:t>、臭氧浓度单位：微克/立方米；一氧化碳浓度单位：毫克/立方米。</w:t>
      </w:r>
    </w:p>
    <w:p>
      <w:pPr>
        <w:pStyle w:val="3"/>
        <w:spacing w:line="560" w:lineRule="exact"/>
        <w:ind w:firstLine="482"/>
        <w:rPr>
          <w:rFonts w:ascii="楷体_GB2312" w:eastAsia="楷体_GB2312" w:cs="Times New Roman"/>
          <w:sz w:val="32"/>
        </w:rPr>
      </w:pPr>
      <w:bookmarkStart w:id="10" w:name="_Toc45035985"/>
      <w:r>
        <w:rPr>
          <w:rFonts w:hint="eastAsia" w:ascii="楷体_GB2312" w:eastAsia="楷体_GB2312" w:cs="Times New Roman"/>
          <w:sz w:val="32"/>
        </w:rPr>
        <w:t>（二）时空变化特征</w:t>
      </w:r>
      <w:bookmarkEnd w:id="10"/>
    </w:p>
    <w:p>
      <w:pPr>
        <w:spacing w:line="560" w:lineRule="exact"/>
        <w:ind w:firstLine="640"/>
        <w:rPr>
          <w:rFonts w:ascii="仿宋_GB2312" w:eastAsia="仿宋_GB2312" w:cs="Times New Roman"/>
          <w:b/>
          <w:bCs/>
          <w:sz w:val="32"/>
          <w:szCs w:val="32"/>
        </w:rPr>
      </w:pPr>
      <w:r>
        <w:rPr>
          <w:rFonts w:hint="eastAsia" w:ascii="仿宋_GB2312" w:eastAsia="仿宋_GB2312" w:cs="Times New Roman"/>
          <w:sz w:val="32"/>
          <w:szCs w:val="32"/>
        </w:rPr>
        <w:t>在空间分布上，永州市各项污染物浓度总体北高南低的分布态势，高值区分布在中心城区，周边县区以双牌县、祁阳县、东安县污染最为严重。</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永州市两项颗粒物（</w:t>
      </w:r>
      <w:r>
        <w:rPr>
          <w:rFonts w:hint="eastAsia" w:ascii="仿宋_GB2312" w:eastAsia="仿宋_GB2312" w:cs="Times New Roman"/>
          <w:bCs/>
          <w:sz w:val="32"/>
          <w:szCs w:val="32"/>
        </w:rPr>
        <w:t>PM</w:t>
      </w:r>
      <w:r>
        <w:rPr>
          <w:rFonts w:hint="eastAsia" w:ascii="仿宋_GB2312" w:eastAsia="仿宋_GB2312" w:cs="Times New Roman"/>
          <w:bCs/>
          <w:sz w:val="32"/>
          <w:szCs w:val="32"/>
          <w:vertAlign w:val="subscript"/>
        </w:rPr>
        <w:t>10</w:t>
      </w:r>
      <w:r>
        <w:rPr>
          <w:rFonts w:hint="eastAsia" w:ascii="仿宋_GB2312" w:eastAsia="仿宋_GB2312" w:cs="Times New Roman"/>
          <w:sz w:val="32"/>
          <w:szCs w:val="32"/>
        </w:rPr>
        <w:t>、PM</w:t>
      </w:r>
      <w:r>
        <w:rPr>
          <w:rFonts w:hint="eastAsia" w:ascii="仿宋_GB2312" w:eastAsia="仿宋_GB2312" w:cs="Times New Roman"/>
          <w:sz w:val="32"/>
          <w:szCs w:val="32"/>
          <w:vertAlign w:val="subscript"/>
        </w:rPr>
        <w:t>2.5</w:t>
      </w:r>
      <w:r>
        <w:rPr>
          <w:rFonts w:hint="eastAsia" w:ascii="仿宋_GB2312" w:eastAsia="仿宋_GB2312" w:cs="Times New Roman"/>
          <w:sz w:val="32"/>
          <w:szCs w:val="32"/>
        </w:rPr>
        <w:t>）月均浓度月均浓度整体呈现秋冬高、夏季低的分布特点，全年最高月均浓度一般出现在冬季。2019年PM</w:t>
      </w:r>
      <w:r>
        <w:rPr>
          <w:rFonts w:hint="eastAsia" w:ascii="仿宋_GB2312" w:eastAsia="仿宋_GB2312" w:cs="Times New Roman"/>
          <w:sz w:val="32"/>
          <w:szCs w:val="32"/>
          <w:vertAlign w:val="subscript"/>
        </w:rPr>
        <w:t>2.5</w:t>
      </w:r>
      <w:r>
        <w:rPr>
          <w:rFonts w:hint="eastAsia" w:ascii="仿宋_GB2312" w:eastAsia="仿宋_GB2312" w:cs="Times New Roman"/>
          <w:sz w:val="32"/>
          <w:szCs w:val="32"/>
        </w:rPr>
        <w:t>月均浓度除了夏季能够达到国家二级标准外，其余月份基本未达标，说明秋冬季颗粒物仍需加以重点管控，PM</w:t>
      </w:r>
      <w:r>
        <w:rPr>
          <w:rFonts w:hint="eastAsia" w:ascii="仿宋_GB2312" w:eastAsia="仿宋_GB2312" w:cs="Times New Roman"/>
          <w:sz w:val="32"/>
          <w:szCs w:val="32"/>
          <w:vertAlign w:val="subscript"/>
        </w:rPr>
        <w:t>2.5</w:t>
      </w:r>
      <w:r>
        <w:rPr>
          <w:rFonts w:hint="eastAsia" w:ascii="仿宋_GB2312" w:eastAsia="仿宋_GB2312" w:cs="Times New Roman"/>
          <w:sz w:val="32"/>
          <w:szCs w:val="32"/>
        </w:rPr>
        <w:t>污染及防控问题仍相当严峻。</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永州市臭氧浓度浓度一般为4-11月浓度较高，浓度最高月份一般分布在秋季的9月或10月。永州市二氧化硫浓度高值一般出现在冬季，且高值逐年下降。二氧化氮月均浓度呈“U”型分布，5-9月较低，其余月份较高。一氧化碳月统计浓度较稳定，浓度高值一般出现在12月或1月，未出现超标现象。</w:t>
      </w:r>
    </w:p>
    <w:p>
      <w:pPr>
        <w:pStyle w:val="2"/>
        <w:spacing w:line="560" w:lineRule="exact"/>
        <w:ind w:firstLine="643"/>
        <w:rPr>
          <w:rFonts w:ascii="黑体" w:hAnsi="黑体"/>
          <w:szCs w:val="32"/>
        </w:rPr>
      </w:pPr>
      <w:bookmarkStart w:id="11" w:name="_Toc45035986"/>
      <w:bookmarkStart w:id="12" w:name="_Toc29809784"/>
      <w:r>
        <w:rPr>
          <w:rFonts w:hint="eastAsia" w:ascii="黑体" w:hAnsi="黑体"/>
          <w:szCs w:val="32"/>
        </w:rPr>
        <w:t>三、大气污染源排放特征分析</w:t>
      </w:r>
      <w:bookmarkEnd w:id="11"/>
      <w:bookmarkEnd w:id="12"/>
    </w:p>
    <w:p>
      <w:pPr>
        <w:spacing w:line="560" w:lineRule="exact"/>
        <w:ind w:firstLine="640"/>
        <w:rPr>
          <w:rFonts w:ascii="仿宋_GB2312" w:eastAsia="仿宋_GB2312" w:cs="Times New Roman"/>
          <w:bCs/>
          <w:sz w:val="32"/>
          <w:szCs w:val="32"/>
        </w:rPr>
      </w:pPr>
      <w:bookmarkStart w:id="13" w:name="_Toc29809785"/>
      <w:bookmarkEnd w:id="13"/>
      <w:bookmarkStart w:id="14" w:name="_Toc29809788"/>
      <w:bookmarkEnd w:id="14"/>
      <w:r>
        <w:rPr>
          <w:rFonts w:ascii="仿宋_GB2312" w:eastAsia="仿宋_GB2312" w:cs="Times New Roman"/>
          <w:bCs/>
          <w:sz w:val="32"/>
          <w:szCs w:val="32"/>
        </w:rPr>
        <w:t>2017</w:t>
      </w:r>
      <w:r>
        <w:rPr>
          <w:rFonts w:hint="eastAsia" w:ascii="仿宋_GB2312" w:eastAsia="仿宋_GB2312" w:cs="Times New Roman"/>
          <w:bCs/>
          <w:sz w:val="32"/>
          <w:szCs w:val="32"/>
        </w:rPr>
        <w:t>年永州市大气污染源一次排放清单结果显示，人为源各类污染物的排放量分别为：</w:t>
      </w:r>
      <w:r>
        <w:rPr>
          <w:rFonts w:ascii="仿宋_GB2312" w:eastAsia="仿宋_GB2312" w:cs="Times New Roman"/>
          <w:bCs/>
          <w:sz w:val="32"/>
          <w:szCs w:val="32"/>
        </w:rPr>
        <w:t>SO</w:t>
      </w:r>
      <w:r>
        <w:rPr>
          <w:rFonts w:ascii="仿宋_GB2312" w:eastAsia="仿宋_GB2312" w:cs="Times New Roman"/>
          <w:bCs/>
          <w:sz w:val="32"/>
          <w:szCs w:val="32"/>
          <w:vertAlign w:val="subscript"/>
        </w:rPr>
        <w:t>2</w:t>
      </w:r>
      <w:r>
        <w:rPr>
          <w:rFonts w:hint="eastAsia" w:ascii="仿宋_GB2312" w:eastAsia="仿宋_GB2312" w:cs="Times New Roman"/>
          <w:bCs/>
          <w:sz w:val="32"/>
          <w:szCs w:val="32"/>
        </w:rPr>
        <w:t>为</w:t>
      </w:r>
      <w:r>
        <w:rPr>
          <w:rFonts w:ascii="仿宋_GB2312" w:eastAsia="仿宋_GB2312" w:cs="Times New Roman"/>
          <w:bCs/>
          <w:sz w:val="32"/>
          <w:szCs w:val="32"/>
        </w:rPr>
        <w:t>0.9</w:t>
      </w:r>
      <w:r>
        <w:rPr>
          <w:rFonts w:hint="eastAsia" w:ascii="仿宋_GB2312" w:eastAsia="仿宋_GB2312" w:cs="Times New Roman"/>
          <w:bCs/>
          <w:sz w:val="32"/>
          <w:szCs w:val="32"/>
        </w:rPr>
        <w:t>万吨、</w:t>
      </w:r>
      <w:r>
        <w:rPr>
          <w:rFonts w:ascii="仿宋_GB2312" w:eastAsia="仿宋_GB2312" w:cs="Times New Roman"/>
          <w:bCs/>
          <w:sz w:val="32"/>
          <w:szCs w:val="32"/>
        </w:rPr>
        <w:t>NOx</w:t>
      </w:r>
      <w:r>
        <w:rPr>
          <w:rFonts w:hint="eastAsia" w:ascii="仿宋_GB2312" w:eastAsia="仿宋_GB2312" w:cs="Times New Roman"/>
          <w:bCs/>
          <w:sz w:val="32"/>
          <w:szCs w:val="32"/>
        </w:rPr>
        <w:t>为</w:t>
      </w:r>
      <w:r>
        <w:rPr>
          <w:rFonts w:ascii="仿宋_GB2312" w:eastAsia="仿宋_GB2312" w:cs="Times New Roman"/>
          <w:bCs/>
          <w:sz w:val="32"/>
          <w:szCs w:val="32"/>
        </w:rPr>
        <w:t>2.4</w:t>
      </w:r>
      <w:r>
        <w:rPr>
          <w:rFonts w:hint="eastAsia" w:ascii="仿宋_GB2312" w:eastAsia="仿宋_GB2312" w:cs="Times New Roman"/>
          <w:bCs/>
          <w:sz w:val="32"/>
          <w:szCs w:val="32"/>
        </w:rPr>
        <w:t>万吨、</w:t>
      </w:r>
      <w:r>
        <w:rPr>
          <w:rFonts w:ascii="仿宋_GB2312" w:eastAsia="仿宋_GB2312" w:cs="Times New Roman"/>
          <w:bCs/>
          <w:sz w:val="32"/>
          <w:szCs w:val="32"/>
        </w:rPr>
        <w:t>CO</w:t>
      </w:r>
      <w:r>
        <w:rPr>
          <w:rFonts w:hint="eastAsia" w:ascii="仿宋_GB2312" w:eastAsia="仿宋_GB2312" w:cs="Times New Roman"/>
          <w:bCs/>
          <w:sz w:val="32"/>
          <w:szCs w:val="32"/>
        </w:rPr>
        <w:t>为</w:t>
      </w:r>
      <w:r>
        <w:rPr>
          <w:rFonts w:ascii="仿宋_GB2312" w:eastAsia="仿宋_GB2312" w:cs="Times New Roman"/>
          <w:bCs/>
          <w:sz w:val="32"/>
          <w:szCs w:val="32"/>
        </w:rPr>
        <w:t>15</w:t>
      </w:r>
      <w:r>
        <w:rPr>
          <w:rFonts w:hint="eastAsia" w:ascii="仿宋_GB2312" w:eastAsia="仿宋_GB2312" w:cs="Times New Roman"/>
          <w:bCs/>
          <w:sz w:val="32"/>
          <w:szCs w:val="32"/>
        </w:rPr>
        <w:t>万吨、</w:t>
      </w:r>
      <w:r>
        <w:rPr>
          <w:rFonts w:ascii="仿宋_GB2312" w:eastAsia="仿宋_GB2312" w:cs="Times New Roman"/>
          <w:bCs/>
          <w:sz w:val="32"/>
          <w:szCs w:val="32"/>
        </w:rPr>
        <w:t>PM</w:t>
      </w:r>
      <w:r>
        <w:rPr>
          <w:rFonts w:ascii="仿宋_GB2312" w:eastAsia="仿宋_GB2312" w:cs="Times New Roman"/>
          <w:bCs/>
          <w:sz w:val="32"/>
          <w:szCs w:val="32"/>
          <w:vertAlign w:val="subscript"/>
        </w:rPr>
        <w:t>10</w:t>
      </w:r>
      <w:r>
        <w:rPr>
          <w:rFonts w:hint="eastAsia" w:ascii="仿宋_GB2312" w:eastAsia="仿宋_GB2312" w:cs="Times New Roman"/>
          <w:bCs/>
          <w:sz w:val="32"/>
          <w:szCs w:val="32"/>
        </w:rPr>
        <w:t>为</w:t>
      </w:r>
      <w:r>
        <w:rPr>
          <w:rFonts w:ascii="仿宋_GB2312" w:eastAsia="仿宋_GB2312" w:cs="Times New Roman"/>
          <w:bCs/>
          <w:sz w:val="32"/>
          <w:szCs w:val="32"/>
        </w:rPr>
        <w:t>5.4</w:t>
      </w:r>
      <w:r>
        <w:rPr>
          <w:rFonts w:hint="eastAsia" w:ascii="仿宋_GB2312" w:eastAsia="仿宋_GB2312" w:cs="Times New Roman"/>
          <w:bCs/>
          <w:sz w:val="32"/>
          <w:szCs w:val="32"/>
        </w:rPr>
        <w:t>万吨、</w:t>
      </w:r>
      <w:r>
        <w:rPr>
          <w:rFonts w:ascii="仿宋_GB2312" w:eastAsia="仿宋_GB2312" w:cs="Times New Roman"/>
          <w:bCs/>
          <w:sz w:val="32"/>
          <w:szCs w:val="32"/>
        </w:rPr>
        <w:t>PM</w:t>
      </w:r>
      <w:r>
        <w:rPr>
          <w:rFonts w:ascii="仿宋_GB2312" w:eastAsia="仿宋_GB2312" w:cs="Times New Roman"/>
          <w:bCs/>
          <w:sz w:val="32"/>
          <w:szCs w:val="32"/>
          <w:vertAlign w:val="subscript"/>
        </w:rPr>
        <w:t>2.5</w:t>
      </w:r>
      <w:r>
        <w:rPr>
          <w:rFonts w:hint="eastAsia" w:ascii="仿宋_GB2312" w:eastAsia="仿宋_GB2312" w:cs="Times New Roman"/>
          <w:bCs/>
          <w:sz w:val="32"/>
          <w:szCs w:val="32"/>
        </w:rPr>
        <w:t>为</w:t>
      </w:r>
      <w:r>
        <w:rPr>
          <w:rFonts w:ascii="仿宋_GB2312" w:eastAsia="仿宋_GB2312" w:cs="Times New Roman"/>
          <w:bCs/>
          <w:sz w:val="32"/>
          <w:szCs w:val="32"/>
        </w:rPr>
        <w:t>2.2</w:t>
      </w:r>
      <w:r>
        <w:rPr>
          <w:rFonts w:hint="eastAsia" w:ascii="仿宋_GB2312" w:eastAsia="仿宋_GB2312" w:cs="Times New Roman"/>
          <w:bCs/>
          <w:sz w:val="32"/>
          <w:szCs w:val="32"/>
        </w:rPr>
        <w:t>万吨、</w:t>
      </w:r>
      <w:r>
        <w:rPr>
          <w:rFonts w:ascii="仿宋_GB2312" w:eastAsia="仿宋_GB2312" w:cs="Times New Roman"/>
          <w:bCs/>
          <w:sz w:val="32"/>
          <w:szCs w:val="32"/>
        </w:rPr>
        <w:t>BC</w:t>
      </w:r>
      <w:r>
        <w:rPr>
          <w:rFonts w:hint="eastAsia" w:ascii="仿宋_GB2312" w:eastAsia="仿宋_GB2312" w:cs="Times New Roman"/>
          <w:bCs/>
          <w:sz w:val="32"/>
          <w:szCs w:val="32"/>
        </w:rPr>
        <w:t>为</w:t>
      </w:r>
      <w:r>
        <w:rPr>
          <w:rFonts w:ascii="仿宋_GB2312" w:eastAsia="仿宋_GB2312" w:cs="Times New Roman"/>
          <w:bCs/>
          <w:sz w:val="32"/>
          <w:szCs w:val="32"/>
        </w:rPr>
        <w:t>0.2</w:t>
      </w:r>
      <w:r>
        <w:rPr>
          <w:rFonts w:hint="eastAsia" w:ascii="仿宋_GB2312" w:eastAsia="仿宋_GB2312" w:cs="Times New Roman"/>
          <w:bCs/>
          <w:sz w:val="32"/>
          <w:szCs w:val="32"/>
        </w:rPr>
        <w:t>万吨、</w:t>
      </w:r>
      <w:r>
        <w:rPr>
          <w:rFonts w:ascii="仿宋_GB2312" w:eastAsia="仿宋_GB2312" w:cs="Times New Roman"/>
          <w:bCs/>
          <w:sz w:val="32"/>
          <w:szCs w:val="32"/>
        </w:rPr>
        <w:t>OC</w:t>
      </w:r>
      <w:r>
        <w:rPr>
          <w:rFonts w:hint="eastAsia" w:ascii="仿宋_GB2312" w:eastAsia="仿宋_GB2312" w:cs="Times New Roman"/>
          <w:bCs/>
          <w:sz w:val="32"/>
          <w:szCs w:val="32"/>
        </w:rPr>
        <w:t>为</w:t>
      </w:r>
      <w:r>
        <w:rPr>
          <w:rFonts w:ascii="仿宋_GB2312" w:eastAsia="仿宋_GB2312" w:cs="Times New Roman"/>
          <w:bCs/>
          <w:sz w:val="32"/>
          <w:szCs w:val="32"/>
        </w:rPr>
        <w:t>0.4</w:t>
      </w:r>
      <w:r>
        <w:rPr>
          <w:rFonts w:hint="eastAsia" w:ascii="仿宋_GB2312" w:eastAsia="仿宋_GB2312" w:cs="Times New Roman"/>
          <w:bCs/>
          <w:sz w:val="32"/>
          <w:szCs w:val="32"/>
        </w:rPr>
        <w:t>万吨、</w:t>
      </w:r>
      <w:r>
        <w:rPr>
          <w:rFonts w:ascii="仿宋_GB2312" w:eastAsia="仿宋_GB2312" w:cs="Times New Roman"/>
          <w:bCs/>
          <w:sz w:val="32"/>
          <w:szCs w:val="32"/>
        </w:rPr>
        <w:t>VOCs</w:t>
      </w:r>
      <w:r>
        <w:rPr>
          <w:rFonts w:hint="eastAsia" w:ascii="仿宋_GB2312" w:eastAsia="仿宋_GB2312" w:cs="Times New Roman"/>
          <w:bCs/>
          <w:sz w:val="32"/>
          <w:szCs w:val="32"/>
        </w:rPr>
        <w:t>和</w:t>
      </w:r>
      <w:r>
        <w:rPr>
          <w:rFonts w:ascii="仿宋_GB2312" w:eastAsia="仿宋_GB2312" w:cs="Times New Roman"/>
          <w:bCs/>
          <w:sz w:val="32"/>
          <w:szCs w:val="32"/>
        </w:rPr>
        <w:t>NH₃</w:t>
      </w:r>
      <w:r>
        <w:rPr>
          <w:rFonts w:hint="eastAsia" w:ascii="仿宋_GB2312" w:eastAsia="仿宋_GB2312" w:cs="Times New Roman"/>
          <w:bCs/>
          <w:sz w:val="32"/>
          <w:szCs w:val="32"/>
        </w:rPr>
        <w:t>分别为</w:t>
      </w:r>
      <w:r>
        <w:rPr>
          <w:rFonts w:ascii="仿宋_GB2312" w:eastAsia="仿宋_GB2312" w:cs="Times New Roman"/>
          <w:bCs/>
          <w:sz w:val="32"/>
          <w:szCs w:val="32"/>
        </w:rPr>
        <w:t>2.9</w:t>
      </w:r>
      <w:r>
        <w:rPr>
          <w:rFonts w:hint="eastAsia" w:ascii="仿宋_GB2312" w:eastAsia="仿宋_GB2312" w:cs="Times New Roman"/>
          <w:bCs/>
          <w:sz w:val="32"/>
          <w:szCs w:val="32"/>
        </w:rPr>
        <w:t>万和</w:t>
      </w:r>
      <w:r>
        <w:rPr>
          <w:rFonts w:ascii="仿宋_GB2312" w:eastAsia="仿宋_GB2312" w:cs="Times New Roman"/>
          <w:bCs/>
          <w:sz w:val="32"/>
          <w:szCs w:val="32"/>
        </w:rPr>
        <w:t>4.9</w:t>
      </w:r>
      <w:r>
        <w:rPr>
          <w:rFonts w:hint="eastAsia" w:ascii="仿宋_GB2312" w:eastAsia="仿宋_GB2312" w:cs="Times New Roman"/>
          <w:bCs/>
          <w:sz w:val="32"/>
          <w:szCs w:val="32"/>
        </w:rPr>
        <w:t>万吨。天然源</w:t>
      </w:r>
      <w:r>
        <w:rPr>
          <w:rFonts w:ascii="仿宋_GB2312" w:eastAsia="仿宋_GB2312" w:cs="Times New Roman"/>
          <w:bCs/>
          <w:sz w:val="32"/>
          <w:szCs w:val="32"/>
        </w:rPr>
        <w:t>VOC</w:t>
      </w:r>
      <w:r>
        <w:rPr>
          <w:rFonts w:hint="eastAsia" w:ascii="仿宋_GB2312" w:eastAsia="仿宋_GB2312" w:cs="Times New Roman"/>
          <w:bCs/>
          <w:sz w:val="32"/>
          <w:szCs w:val="32"/>
        </w:rPr>
        <w:t>s的排放量为</w:t>
      </w:r>
      <w:r>
        <w:rPr>
          <w:rFonts w:ascii="仿宋_GB2312" w:eastAsia="仿宋_GB2312" w:cs="Times New Roman"/>
          <w:bCs/>
          <w:sz w:val="32"/>
          <w:szCs w:val="32"/>
        </w:rPr>
        <w:t>25.2</w:t>
      </w:r>
      <w:r>
        <w:rPr>
          <w:rFonts w:hint="eastAsia" w:ascii="仿宋_GB2312" w:eastAsia="仿宋_GB2312" w:cs="Times New Roman"/>
          <w:bCs/>
          <w:sz w:val="32"/>
          <w:szCs w:val="32"/>
        </w:rPr>
        <w:t>万吨。</w:t>
      </w:r>
    </w:p>
    <w:p>
      <w:pPr>
        <w:spacing w:line="560" w:lineRule="exact"/>
        <w:ind w:firstLine="643"/>
        <w:rPr>
          <w:rFonts w:ascii="仿宋_GB2312" w:eastAsia="仿宋_GB2312" w:cs="Times New Roman"/>
          <w:sz w:val="32"/>
          <w:szCs w:val="32"/>
        </w:rPr>
      </w:pPr>
      <w:r>
        <w:rPr>
          <w:rFonts w:hint="eastAsia" w:ascii="仿宋_GB2312" w:eastAsia="仿宋_GB2312" w:cs="Times New Roman"/>
          <w:b/>
          <w:sz w:val="32"/>
          <w:szCs w:val="32"/>
        </w:rPr>
        <w:t>人为污染源排放贡献分布特征</w:t>
      </w:r>
      <w:r>
        <w:rPr>
          <w:rFonts w:hint="eastAsia" w:ascii="仿宋_GB2312" w:eastAsia="仿宋_GB2312" w:cs="Times New Roman"/>
          <w:sz w:val="32"/>
          <w:szCs w:val="32"/>
        </w:rPr>
        <w:t>：其中，工艺过程源是PM</w:t>
      </w:r>
      <w:r>
        <w:rPr>
          <w:rFonts w:hint="eastAsia" w:ascii="仿宋_GB2312" w:eastAsia="仿宋_GB2312" w:cs="Times New Roman"/>
          <w:sz w:val="32"/>
          <w:szCs w:val="32"/>
          <w:vertAlign w:val="subscript"/>
        </w:rPr>
        <w:t>2.5</w:t>
      </w:r>
      <w:r>
        <w:rPr>
          <w:rFonts w:hint="eastAsia" w:ascii="仿宋_GB2312" w:eastAsia="仿宋_GB2312" w:cs="Times New Roman"/>
          <w:sz w:val="32"/>
          <w:szCs w:val="32"/>
        </w:rPr>
        <w:t>和CO的主要人为排放源，对全市贡献率分别为36.6%和40.4%；PM</w:t>
      </w:r>
      <w:r>
        <w:rPr>
          <w:rFonts w:hint="eastAsia" w:ascii="仿宋_GB2312" w:eastAsia="仿宋_GB2312" w:cs="Times New Roman"/>
          <w:sz w:val="32"/>
          <w:szCs w:val="32"/>
          <w:vertAlign w:val="subscript"/>
        </w:rPr>
        <w:t>10</w:t>
      </w:r>
      <w:r>
        <w:rPr>
          <w:rFonts w:hint="eastAsia" w:ascii="仿宋_GB2312" w:eastAsia="仿宋_GB2312" w:cs="Times New Roman"/>
          <w:sz w:val="32"/>
          <w:szCs w:val="32"/>
        </w:rPr>
        <w:t>主要为扬尘源贡献，排放量占比为58.8%；NOx排放的第一贡献源为移动源，占比为54.6%；VOCs排放主要由溶剂使用源贡献，贡献率为31.4%；NH</w:t>
      </w:r>
      <w:r>
        <w:rPr>
          <w:rFonts w:hint="eastAsia" w:ascii="仿宋_GB2312" w:eastAsia="仿宋_GB2312" w:cs="Times New Roman"/>
          <w:sz w:val="32"/>
          <w:szCs w:val="32"/>
          <w:vertAlign w:val="subscript"/>
        </w:rPr>
        <w:t>3</w:t>
      </w:r>
      <w:r>
        <w:rPr>
          <w:rFonts w:hint="eastAsia" w:ascii="仿宋_GB2312" w:eastAsia="仿宋_GB2312" w:cs="Times New Roman"/>
          <w:sz w:val="32"/>
          <w:szCs w:val="32"/>
        </w:rPr>
        <w:t>排放则主要来自于农业源，其排放占比为97.7%。</w:t>
      </w:r>
    </w:p>
    <w:p>
      <w:pPr>
        <w:pStyle w:val="12"/>
        <w:spacing w:line="560" w:lineRule="exact"/>
        <w:ind w:firstLine="0" w:firstLineChars="0"/>
        <w:jc w:val="center"/>
        <w:rPr>
          <w:rFonts w:ascii="仿宋_GB2312" w:hAnsi="Times New Roman" w:eastAsia="仿宋_GB2312" w:cs="Times New Roman"/>
          <w:b/>
          <w:bCs/>
          <w:sz w:val="28"/>
          <w:szCs w:val="28"/>
        </w:rPr>
      </w:pPr>
      <w:r>
        <w:rPr>
          <w:rFonts w:hint="eastAsia" w:ascii="仿宋_GB2312" w:hAnsi="Times New Roman" w:eastAsia="仿宋_GB2312" w:cs="Times New Roman"/>
          <w:b/>
          <w:bCs/>
          <w:sz w:val="28"/>
          <w:szCs w:val="28"/>
        </w:rPr>
        <w:t>表4 永州市2017年人为源大气污染源排放清单（单位：吨/年）</w:t>
      </w:r>
    </w:p>
    <w:tbl>
      <w:tblPr>
        <w:tblStyle w:val="30"/>
        <w:tblW w:w="8219"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16"/>
        <w:gridCol w:w="709"/>
        <w:gridCol w:w="708"/>
        <w:gridCol w:w="992"/>
        <w:gridCol w:w="709"/>
        <w:gridCol w:w="709"/>
        <w:gridCol w:w="708"/>
        <w:gridCol w:w="709"/>
        <w:gridCol w:w="714"/>
        <w:gridCol w:w="845"/>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blHeader/>
          <w:jc w:val="center"/>
        </w:trPr>
        <w:tc>
          <w:tcPr>
            <w:tcW w:w="1416" w:type="dxa"/>
            <w:tcBorders>
              <w:top w:val="single" w:color="auto" w:sz="12" w:space="0"/>
              <w:left w:val="nil"/>
              <w:bottom w:val="single" w:color="auto" w:sz="12" w:space="0"/>
              <w:right w:val="nil"/>
            </w:tcBorders>
            <w:vAlign w:val="center"/>
          </w:tcPr>
          <w:p>
            <w:pPr>
              <w:pStyle w:val="62"/>
              <w:rPr>
                <w:rFonts w:ascii="仿宋_GB2312" w:eastAsia="仿宋_GB2312"/>
                <w:b/>
                <w:sz w:val="24"/>
              </w:rPr>
            </w:pPr>
            <w:r>
              <w:rPr>
                <w:rFonts w:ascii="仿宋_GB2312" w:eastAsia="仿宋_GB2312"/>
                <w:b/>
                <w:sz w:val="24"/>
              </w:rPr>
              <w:t>源分类</w:t>
            </w:r>
          </w:p>
        </w:tc>
        <w:tc>
          <w:tcPr>
            <w:tcW w:w="709" w:type="dxa"/>
            <w:tcBorders>
              <w:top w:val="single" w:color="auto" w:sz="12" w:space="0"/>
              <w:left w:val="nil"/>
              <w:bottom w:val="single" w:color="auto" w:sz="12" w:space="0"/>
              <w:right w:val="nil"/>
            </w:tcBorders>
            <w:vAlign w:val="center"/>
          </w:tcPr>
          <w:p>
            <w:pPr>
              <w:pStyle w:val="62"/>
              <w:rPr>
                <w:rFonts w:ascii="仿宋_GB2312" w:eastAsia="仿宋_GB2312"/>
                <w:b/>
                <w:sz w:val="24"/>
              </w:rPr>
            </w:pPr>
            <w:r>
              <w:rPr>
                <w:rFonts w:ascii="仿宋_GB2312" w:eastAsia="仿宋_GB2312"/>
                <w:b/>
                <w:sz w:val="24"/>
              </w:rPr>
              <w:t>SO₂</w:t>
            </w:r>
          </w:p>
        </w:tc>
        <w:tc>
          <w:tcPr>
            <w:tcW w:w="708" w:type="dxa"/>
            <w:tcBorders>
              <w:top w:val="single" w:color="auto" w:sz="12" w:space="0"/>
              <w:left w:val="nil"/>
              <w:bottom w:val="single" w:color="auto" w:sz="12" w:space="0"/>
              <w:right w:val="nil"/>
            </w:tcBorders>
            <w:vAlign w:val="center"/>
          </w:tcPr>
          <w:p>
            <w:pPr>
              <w:pStyle w:val="62"/>
              <w:rPr>
                <w:rFonts w:ascii="仿宋_GB2312" w:eastAsia="仿宋_GB2312"/>
                <w:b/>
                <w:sz w:val="24"/>
              </w:rPr>
            </w:pPr>
            <w:r>
              <w:rPr>
                <w:rFonts w:ascii="仿宋_GB2312" w:eastAsia="仿宋_GB2312"/>
                <w:b/>
                <w:sz w:val="24"/>
              </w:rPr>
              <w:t>NOx</w:t>
            </w:r>
          </w:p>
        </w:tc>
        <w:tc>
          <w:tcPr>
            <w:tcW w:w="992" w:type="dxa"/>
            <w:tcBorders>
              <w:top w:val="single" w:color="auto" w:sz="12" w:space="0"/>
              <w:left w:val="nil"/>
              <w:bottom w:val="single" w:color="auto" w:sz="12" w:space="0"/>
              <w:right w:val="nil"/>
            </w:tcBorders>
            <w:vAlign w:val="center"/>
          </w:tcPr>
          <w:p>
            <w:pPr>
              <w:pStyle w:val="62"/>
              <w:rPr>
                <w:rFonts w:ascii="仿宋_GB2312" w:eastAsia="仿宋_GB2312"/>
                <w:b/>
                <w:sz w:val="24"/>
              </w:rPr>
            </w:pPr>
            <w:r>
              <w:rPr>
                <w:rFonts w:ascii="仿宋_GB2312" w:eastAsia="仿宋_GB2312"/>
                <w:b/>
                <w:sz w:val="24"/>
              </w:rPr>
              <w:t>CO</w:t>
            </w:r>
          </w:p>
        </w:tc>
        <w:tc>
          <w:tcPr>
            <w:tcW w:w="709" w:type="dxa"/>
            <w:tcBorders>
              <w:top w:val="single" w:color="auto" w:sz="12" w:space="0"/>
              <w:left w:val="nil"/>
              <w:bottom w:val="single" w:color="auto" w:sz="12" w:space="0"/>
              <w:right w:val="nil"/>
            </w:tcBorders>
            <w:vAlign w:val="center"/>
          </w:tcPr>
          <w:p>
            <w:pPr>
              <w:pStyle w:val="62"/>
              <w:rPr>
                <w:rFonts w:ascii="仿宋_GB2312" w:eastAsia="仿宋_GB2312"/>
                <w:b/>
                <w:sz w:val="24"/>
              </w:rPr>
            </w:pPr>
            <w:r>
              <w:rPr>
                <w:rFonts w:ascii="仿宋_GB2312" w:eastAsia="仿宋_GB2312"/>
                <w:b/>
                <w:sz w:val="24"/>
              </w:rPr>
              <w:t>PM</w:t>
            </w:r>
            <w:r>
              <w:rPr>
                <w:rFonts w:ascii="仿宋_GB2312" w:eastAsia="仿宋_GB2312"/>
                <w:b/>
                <w:sz w:val="24"/>
                <w:vertAlign w:val="subscript"/>
              </w:rPr>
              <w:t>10</w:t>
            </w:r>
          </w:p>
        </w:tc>
        <w:tc>
          <w:tcPr>
            <w:tcW w:w="709" w:type="dxa"/>
            <w:tcBorders>
              <w:top w:val="single" w:color="auto" w:sz="12" w:space="0"/>
              <w:left w:val="nil"/>
              <w:bottom w:val="single" w:color="auto" w:sz="12" w:space="0"/>
              <w:right w:val="nil"/>
            </w:tcBorders>
            <w:vAlign w:val="center"/>
          </w:tcPr>
          <w:p>
            <w:pPr>
              <w:pStyle w:val="62"/>
              <w:rPr>
                <w:rFonts w:ascii="仿宋_GB2312" w:eastAsia="仿宋_GB2312"/>
                <w:b/>
                <w:sz w:val="24"/>
              </w:rPr>
            </w:pPr>
            <w:r>
              <w:rPr>
                <w:rFonts w:ascii="仿宋_GB2312" w:eastAsia="仿宋_GB2312"/>
                <w:b/>
                <w:sz w:val="24"/>
              </w:rPr>
              <w:t>PM</w:t>
            </w:r>
            <w:r>
              <w:rPr>
                <w:rFonts w:ascii="仿宋_GB2312" w:eastAsia="仿宋_GB2312"/>
                <w:b/>
                <w:sz w:val="24"/>
                <w:vertAlign w:val="subscript"/>
              </w:rPr>
              <w:t>2.5</w:t>
            </w:r>
          </w:p>
        </w:tc>
        <w:tc>
          <w:tcPr>
            <w:tcW w:w="708" w:type="dxa"/>
            <w:tcBorders>
              <w:top w:val="single" w:color="auto" w:sz="12" w:space="0"/>
              <w:left w:val="nil"/>
              <w:bottom w:val="single" w:color="auto" w:sz="12" w:space="0"/>
              <w:right w:val="nil"/>
            </w:tcBorders>
            <w:vAlign w:val="center"/>
          </w:tcPr>
          <w:p>
            <w:pPr>
              <w:pStyle w:val="62"/>
              <w:rPr>
                <w:rFonts w:ascii="仿宋_GB2312" w:eastAsia="仿宋_GB2312"/>
                <w:b/>
                <w:sz w:val="24"/>
              </w:rPr>
            </w:pPr>
            <w:r>
              <w:rPr>
                <w:rFonts w:ascii="仿宋_GB2312" w:eastAsia="仿宋_GB2312"/>
                <w:b/>
                <w:sz w:val="24"/>
              </w:rPr>
              <w:t>BC</w:t>
            </w:r>
          </w:p>
        </w:tc>
        <w:tc>
          <w:tcPr>
            <w:tcW w:w="709" w:type="dxa"/>
            <w:tcBorders>
              <w:top w:val="single" w:color="auto" w:sz="12" w:space="0"/>
              <w:left w:val="nil"/>
              <w:bottom w:val="single" w:color="auto" w:sz="12" w:space="0"/>
              <w:right w:val="nil"/>
            </w:tcBorders>
            <w:vAlign w:val="center"/>
          </w:tcPr>
          <w:p>
            <w:pPr>
              <w:pStyle w:val="62"/>
              <w:rPr>
                <w:rFonts w:ascii="仿宋_GB2312" w:eastAsia="仿宋_GB2312"/>
                <w:b/>
                <w:sz w:val="24"/>
              </w:rPr>
            </w:pPr>
            <w:r>
              <w:rPr>
                <w:rFonts w:ascii="仿宋_GB2312" w:eastAsia="仿宋_GB2312"/>
                <w:b/>
                <w:sz w:val="24"/>
              </w:rPr>
              <w:t>OC</w:t>
            </w:r>
          </w:p>
        </w:tc>
        <w:tc>
          <w:tcPr>
            <w:tcW w:w="714" w:type="dxa"/>
            <w:tcBorders>
              <w:top w:val="single" w:color="auto" w:sz="12" w:space="0"/>
              <w:left w:val="nil"/>
              <w:bottom w:val="single" w:color="auto" w:sz="12" w:space="0"/>
              <w:right w:val="nil"/>
            </w:tcBorders>
            <w:vAlign w:val="center"/>
          </w:tcPr>
          <w:p>
            <w:pPr>
              <w:pStyle w:val="62"/>
              <w:rPr>
                <w:rFonts w:ascii="仿宋_GB2312" w:eastAsia="仿宋_GB2312"/>
                <w:b/>
                <w:sz w:val="24"/>
              </w:rPr>
            </w:pPr>
            <w:r>
              <w:rPr>
                <w:rFonts w:ascii="仿宋_GB2312" w:eastAsia="仿宋_GB2312"/>
                <w:b/>
                <w:sz w:val="24"/>
              </w:rPr>
              <w:t>VOCs</w:t>
            </w:r>
          </w:p>
        </w:tc>
        <w:tc>
          <w:tcPr>
            <w:tcW w:w="845" w:type="dxa"/>
            <w:tcBorders>
              <w:top w:val="single" w:color="auto" w:sz="12" w:space="0"/>
              <w:left w:val="nil"/>
              <w:bottom w:val="single" w:color="auto" w:sz="12" w:space="0"/>
              <w:right w:val="nil"/>
            </w:tcBorders>
            <w:vAlign w:val="center"/>
          </w:tcPr>
          <w:p>
            <w:pPr>
              <w:pStyle w:val="62"/>
              <w:rPr>
                <w:rFonts w:ascii="仿宋_GB2312" w:eastAsia="仿宋_GB2312"/>
                <w:b/>
                <w:sz w:val="24"/>
              </w:rPr>
            </w:pPr>
            <w:r>
              <w:rPr>
                <w:rFonts w:ascii="仿宋_GB2312" w:eastAsia="仿宋_GB2312"/>
                <w:b/>
                <w:sz w:val="24"/>
              </w:rPr>
              <w:t>NH</w:t>
            </w:r>
            <w:r>
              <w:rPr>
                <w:rFonts w:ascii="仿宋_GB2312" w:eastAsia="仿宋_GB2312"/>
                <w:b/>
                <w:sz w:val="24"/>
                <w:vertAlign w:val="subscript"/>
              </w:rPr>
              <w:t>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jc w:val="center"/>
        </w:trPr>
        <w:tc>
          <w:tcPr>
            <w:tcW w:w="1416" w:type="dxa"/>
            <w:tcBorders>
              <w:top w:val="single" w:color="auto" w:sz="12" w:space="0"/>
              <w:left w:val="nil"/>
              <w:bottom w:val="nil"/>
              <w:right w:val="nil"/>
            </w:tcBorders>
            <w:vAlign w:val="center"/>
          </w:tcPr>
          <w:p>
            <w:pPr>
              <w:pStyle w:val="62"/>
              <w:rPr>
                <w:rFonts w:ascii="仿宋_GB2312" w:eastAsia="仿宋_GB2312"/>
                <w:b/>
                <w:sz w:val="24"/>
              </w:rPr>
            </w:pPr>
            <w:r>
              <w:rPr>
                <w:rFonts w:ascii="仿宋_GB2312" w:eastAsia="仿宋_GB2312"/>
                <w:b/>
                <w:sz w:val="24"/>
              </w:rPr>
              <w:t>化石燃料固定燃烧源</w:t>
            </w:r>
          </w:p>
        </w:tc>
        <w:tc>
          <w:tcPr>
            <w:tcW w:w="709" w:type="dxa"/>
            <w:tcBorders>
              <w:top w:val="single" w:color="auto" w:sz="12" w:space="0"/>
              <w:left w:val="nil"/>
              <w:bottom w:val="nil"/>
              <w:right w:val="nil"/>
            </w:tcBorders>
            <w:shd w:val="clear" w:color="auto" w:fill="FFFFFF"/>
            <w:vAlign w:val="center"/>
          </w:tcPr>
          <w:p>
            <w:pPr>
              <w:pStyle w:val="62"/>
              <w:rPr>
                <w:rFonts w:ascii="仿宋_GB2312" w:eastAsia="仿宋_GB2312"/>
                <w:b/>
                <w:sz w:val="24"/>
              </w:rPr>
            </w:pPr>
            <w:r>
              <w:rPr>
                <w:rFonts w:ascii="仿宋_GB2312" w:eastAsia="仿宋_GB2312"/>
                <w:b/>
                <w:sz w:val="24"/>
              </w:rPr>
              <w:t>4980</w:t>
            </w:r>
          </w:p>
        </w:tc>
        <w:tc>
          <w:tcPr>
            <w:tcW w:w="708" w:type="dxa"/>
            <w:tcBorders>
              <w:top w:val="single" w:color="auto" w:sz="12" w:space="0"/>
              <w:left w:val="nil"/>
              <w:bottom w:val="nil"/>
              <w:right w:val="nil"/>
            </w:tcBorders>
            <w:shd w:val="clear" w:color="auto" w:fill="FFFFFF"/>
            <w:vAlign w:val="center"/>
          </w:tcPr>
          <w:p>
            <w:pPr>
              <w:pStyle w:val="62"/>
              <w:rPr>
                <w:rFonts w:ascii="仿宋_GB2312" w:eastAsia="仿宋_GB2312"/>
                <w:b/>
                <w:sz w:val="24"/>
              </w:rPr>
            </w:pPr>
            <w:r>
              <w:rPr>
                <w:rFonts w:ascii="仿宋_GB2312" w:eastAsia="仿宋_GB2312"/>
                <w:b/>
                <w:sz w:val="24"/>
              </w:rPr>
              <w:t>3736</w:t>
            </w:r>
          </w:p>
        </w:tc>
        <w:tc>
          <w:tcPr>
            <w:tcW w:w="992" w:type="dxa"/>
            <w:tcBorders>
              <w:top w:val="single" w:color="auto" w:sz="12" w:space="0"/>
              <w:left w:val="nil"/>
              <w:bottom w:val="nil"/>
              <w:right w:val="nil"/>
            </w:tcBorders>
            <w:shd w:val="clear" w:color="auto" w:fill="FFFFFF"/>
            <w:vAlign w:val="center"/>
          </w:tcPr>
          <w:p>
            <w:pPr>
              <w:pStyle w:val="62"/>
              <w:rPr>
                <w:rFonts w:ascii="仿宋_GB2312" w:eastAsia="仿宋_GB2312"/>
                <w:b/>
                <w:sz w:val="24"/>
              </w:rPr>
            </w:pPr>
            <w:r>
              <w:rPr>
                <w:rFonts w:ascii="仿宋_GB2312" w:eastAsia="仿宋_GB2312"/>
                <w:b/>
                <w:sz w:val="24"/>
              </w:rPr>
              <w:t>39680</w:t>
            </w:r>
          </w:p>
        </w:tc>
        <w:tc>
          <w:tcPr>
            <w:tcW w:w="709" w:type="dxa"/>
            <w:tcBorders>
              <w:top w:val="single" w:color="auto" w:sz="12" w:space="0"/>
              <w:left w:val="nil"/>
              <w:bottom w:val="nil"/>
              <w:right w:val="nil"/>
            </w:tcBorders>
            <w:shd w:val="clear" w:color="auto" w:fill="FFFFFF"/>
            <w:vAlign w:val="center"/>
          </w:tcPr>
          <w:p>
            <w:pPr>
              <w:pStyle w:val="62"/>
              <w:rPr>
                <w:rFonts w:ascii="仿宋_GB2312" w:eastAsia="仿宋_GB2312"/>
                <w:b/>
                <w:sz w:val="24"/>
              </w:rPr>
            </w:pPr>
            <w:r>
              <w:rPr>
                <w:rFonts w:ascii="仿宋_GB2312" w:eastAsia="仿宋_GB2312"/>
                <w:b/>
                <w:sz w:val="24"/>
              </w:rPr>
              <w:t>1497</w:t>
            </w:r>
          </w:p>
        </w:tc>
        <w:tc>
          <w:tcPr>
            <w:tcW w:w="709" w:type="dxa"/>
            <w:tcBorders>
              <w:top w:val="single" w:color="auto" w:sz="12" w:space="0"/>
              <w:left w:val="nil"/>
              <w:bottom w:val="nil"/>
              <w:right w:val="nil"/>
            </w:tcBorders>
            <w:shd w:val="clear" w:color="auto" w:fill="FFFFFF"/>
            <w:vAlign w:val="center"/>
          </w:tcPr>
          <w:p>
            <w:pPr>
              <w:pStyle w:val="62"/>
              <w:rPr>
                <w:rFonts w:ascii="仿宋_GB2312" w:eastAsia="仿宋_GB2312"/>
                <w:b/>
                <w:sz w:val="24"/>
              </w:rPr>
            </w:pPr>
            <w:r>
              <w:rPr>
                <w:rFonts w:ascii="仿宋_GB2312" w:eastAsia="仿宋_GB2312"/>
                <w:b/>
                <w:sz w:val="24"/>
              </w:rPr>
              <w:t>791</w:t>
            </w:r>
          </w:p>
        </w:tc>
        <w:tc>
          <w:tcPr>
            <w:tcW w:w="708" w:type="dxa"/>
            <w:tcBorders>
              <w:top w:val="single" w:color="auto" w:sz="12" w:space="0"/>
              <w:left w:val="nil"/>
              <w:bottom w:val="nil"/>
              <w:right w:val="nil"/>
            </w:tcBorders>
            <w:shd w:val="clear" w:color="auto" w:fill="FFFFFF"/>
            <w:vAlign w:val="center"/>
          </w:tcPr>
          <w:p>
            <w:pPr>
              <w:pStyle w:val="62"/>
              <w:rPr>
                <w:rFonts w:ascii="仿宋_GB2312" w:eastAsia="仿宋_GB2312"/>
                <w:b/>
                <w:sz w:val="24"/>
              </w:rPr>
            </w:pPr>
            <w:r>
              <w:rPr>
                <w:rFonts w:ascii="仿宋_GB2312" w:eastAsia="仿宋_GB2312"/>
                <w:b/>
                <w:sz w:val="24"/>
              </w:rPr>
              <w:t>137</w:t>
            </w:r>
          </w:p>
        </w:tc>
        <w:tc>
          <w:tcPr>
            <w:tcW w:w="709" w:type="dxa"/>
            <w:tcBorders>
              <w:top w:val="single" w:color="auto" w:sz="12" w:space="0"/>
              <w:left w:val="nil"/>
              <w:bottom w:val="nil"/>
              <w:right w:val="nil"/>
            </w:tcBorders>
            <w:shd w:val="clear" w:color="auto" w:fill="FFFFFF"/>
            <w:vAlign w:val="center"/>
          </w:tcPr>
          <w:p>
            <w:pPr>
              <w:pStyle w:val="62"/>
              <w:rPr>
                <w:rFonts w:ascii="仿宋_GB2312" w:eastAsia="仿宋_GB2312"/>
                <w:b/>
                <w:sz w:val="24"/>
              </w:rPr>
            </w:pPr>
            <w:r>
              <w:rPr>
                <w:rFonts w:ascii="仿宋_GB2312" w:eastAsia="仿宋_GB2312"/>
                <w:b/>
                <w:sz w:val="24"/>
              </w:rPr>
              <w:t>121</w:t>
            </w:r>
          </w:p>
        </w:tc>
        <w:tc>
          <w:tcPr>
            <w:tcW w:w="714" w:type="dxa"/>
            <w:tcBorders>
              <w:top w:val="single" w:color="auto" w:sz="12" w:space="0"/>
              <w:left w:val="nil"/>
              <w:bottom w:val="nil"/>
              <w:right w:val="nil"/>
            </w:tcBorders>
            <w:shd w:val="clear" w:color="auto" w:fill="FFFFFF"/>
            <w:vAlign w:val="center"/>
          </w:tcPr>
          <w:p>
            <w:pPr>
              <w:pStyle w:val="62"/>
              <w:rPr>
                <w:rFonts w:ascii="仿宋_GB2312" w:eastAsia="仿宋_GB2312"/>
                <w:b/>
                <w:sz w:val="24"/>
              </w:rPr>
            </w:pPr>
            <w:r>
              <w:rPr>
                <w:rFonts w:ascii="仿宋_GB2312" w:eastAsia="仿宋_GB2312"/>
                <w:b/>
                <w:sz w:val="24"/>
              </w:rPr>
              <w:t>1555</w:t>
            </w:r>
          </w:p>
        </w:tc>
        <w:tc>
          <w:tcPr>
            <w:tcW w:w="845" w:type="dxa"/>
            <w:tcBorders>
              <w:top w:val="single" w:color="auto" w:sz="12" w:space="0"/>
              <w:left w:val="nil"/>
              <w:bottom w:val="nil"/>
              <w:right w:val="nil"/>
            </w:tcBorders>
            <w:shd w:val="clear" w:color="auto" w:fill="FFFFFF"/>
            <w:vAlign w:val="center"/>
          </w:tcPr>
          <w:p>
            <w:pPr>
              <w:pStyle w:val="62"/>
              <w:rPr>
                <w:rFonts w:ascii="仿宋_GB2312" w:eastAsia="仿宋_GB2312"/>
                <w:b/>
                <w:sz w:val="24"/>
              </w:rPr>
            </w:pPr>
            <w:r>
              <w:rPr>
                <w:rFonts w:ascii="仿宋_GB2312" w:eastAsia="仿宋_GB2312"/>
                <w:b/>
                <w:sz w:val="24"/>
              </w:rPr>
              <w:t>194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jc w:val="center"/>
        </w:trPr>
        <w:tc>
          <w:tcPr>
            <w:tcW w:w="1416" w:type="dxa"/>
            <w:tcBorders>
              <w:top w:val="nil"/>
              <w:left w:val="nil"/>
              <w:bottom w:val="nil"/>
              <w:right w:val="nil"/>
            </w:tcBorders>
            <w:vAlign w:val="center"/>
          </w:tcPr>
          <w:p>
            <w:pPr>
              <w:pStyle w:val="62"/>
              <w:rPr>
                <w:rFonts w:ascii="仿宋_GB2312" w:eastAsia="仿宋_GB2312"/>
                <w:b/>
                <w:sz w:val="24"/>
              </w:rPr>
            </w:pPr>
            <w:r>
              <w:rPr>
                <w:rFonts w:ascii="仿宋_GB2312" w:eastAsia="仿宋_GB2312"/>
                <w:b/>
                <w:sz w:val="24"/>
              </w:rPr>
              <w:t>溶剂使用源</w:t>
            </w:r>
          </w:p>
        </w:tc>
        <w:tc>
          <w:tcPr>
            <w:tcW w:w="709" w:type="dxa"/>
            <w:tcBorders>
              <w:top w:val="nil"/>
              <w:left w:val="nil"/>
              <w:bottom w:val="nil"/>
              <w:right w:val="nil"/>
            </w:tcBorders>
            <w:shd w:val="clear" w:color="auto" w:fill="FFFFFF"/>
            <w:vAlign w:val="center"/>
          </w:tcPr>
          <w:p>
            <w:pPr>
              <w:pStyle w:val="62"/>
              <w:rPr>
                <w:rFonts w:ascii="仿宋_GB2312" w:eastAsia="仿宋_GB2312"/>
                <w:b/>
                <w:sz w:val="24"/>
              </w:rPr>
            </w:pPr>
          </w:p>
        </w:tc>
        <w:tc>
          <w:tcPr>
            <w:tcW w:w="708" w:type="dxa"/>
            <w:tcBorders>
              <w:top w:val="nil"/>
              <w:left w:val="nil"/>
              <w:bottom w:val="nil"/>
              <w:right w:val="nil"/>
            </w:tcBorders>
            <w:shd w:val="clear" w:color="auto" w:fill="FFFFFF"/>
            <w:vAlign w:val="center"/>
          </w:tcPr>
          <w:p>
            <w:pPr>
              <w:pStyle w:val="62"/>
              <w:rPr>
                <w:rFonts w:ascii="仿宋_GB2312" w:eastAsia="仿宋_GB2312"/>
                <w:b/>
                <w:sz w:val="24"/>
              </w:rPr>
            </w:pPr>
          </w:p>
        </w:tc>
        <w:tc>
          <w:tcPr>
            <w:tcW w:w="992" w:type="dxa"/>
            <w:tcBorders>
              <w:top w:val="nil"/>
              <w:left w:val="nil"/>
              <w:bottom w:val="nil"/>
              <w:right w:val="nil"/>
            </w:tcBorders>
            <w:shd w:val="clear" w:color="auto" w:fill="FFFFFF"/>
            <w:vAlign w:val="center"/>
          </w:tcPr>
          <w:p>
            <w:pPr>
              <w:pStyle w:val="62"/>
              <w:rPr>
                <w:rFonts w:ascii="仿宋_GB2312" w:eastAsia="仿宋_GB2312"/>
                <w:b/>
                <w:sz w:val="24"/>
              </w:rPr>
            </w:pPr>
          </w:p>
        </w:tc>
        <w:tc>
          <w:tcPr>
            <w:tcW w:w="709" w:type="dxa"/>
            <w:tcBorders>
              <w:top w:val="nil"/>
              <w:left w:val="nil"/>
              <w:bottom w:val="nil"/>
              <w:right w:val="nil"/>
            </w:tcBorders>
            <w:shd w:val="clear" w:color="auto" w:fill="FFFFFF"/>
            <w:vAlign w:val="center"/>
          </w:tcPr>
          <w:p>
            <w:pPr>
              <w:pStyle w:val="62"/>
              <w:rPr>
                <w:rFonts w:ascii="仿宋_GB2312" w:eastAsia="仿宋_GB2312"/>
                <w:b/>
                <w:sz w:val="24"/>
              </w:rPr>
            </w:pPr>
          </w:p>
        </w:tc>
        <w:tc>
          <w:tcPr>
            <w:tcW w:w="709" w:type="dxa"/>
            <w:tcBorders>
              <w:top w:val="nil"/>
              <w:left w:val="nil"/>
              <w:bottom w:val="nil"/>
              <w:right w:val="nil"/>
            </w:tcBorders>
            <w:shd w:val="clear" w:color="auto" w:fill="FFFFFF"/>
            <w:vAlign w:val="center"/>
          </w:tcPr>
          <w:p>
            <w:pPr>
              <w:pStyle w:val="62"/>
              <w:rPr>
                <w:rFonts w:ascii="仿宋_GB2312" w:eastAsia="仿宋_GB2312"/>
                <w:b/>
                <w:sz w:val="24"/>
              </w:rPr>
            </w:pPr>
          </w:p>
        </w:tc>
        <w:tc>
          <w:tcPr>
            <w:tcW w:w="708" w:type="dxa"/>
            <w:tcBorders>
              <w:top w:val="nil"/>
              <w:left w:val="nil"/>
              <w:bottom w:val="nil"/>
              <w:right w:val="nil"/>
            </w:tcBorders>
            <w:shd w:val="clear" w:color="auto" w:fill="FFFFFF"/>
            <w:vAlign w:val="center"/>
          </w:tcPr>
          <w:p>
            <w:pPr>
              <w:pStyle w:val="62"/>
              <w:rPr>
                <w:rFonts w:ascii="仿宋_GB2312" w:eastAsia="仿宋_GB2312"/>
                <w:b/>
                <w:sz w:val="24"/>
              </w:rPr>
            </w:pPr>
          </w:p>
        </w:tc>
        <w:tc>
          <w:tcPr>
            <w:tcW w:w="709" w:type="dxa"/>
            <w:tcBorders>
              <w:top w:val="nil"/>
              <w:left w:val="nil"/>
              <w:bottom w:val="nil"/>
              <w:right w:val="nil"/>
            </w:tcBorders>
            <w:shd w:val="clear" w:color="auto" w:fill="FFFFFF"/>
            <w:vAlign w:val="center"/>
          </w:tcPr>
          <w:p>
            <w:pPr>
              <w:pStyle w:val="62"/>
              <w:rPr>
                <w:rFonts w:ascii="仿宋_GB2312" w:eastAsia="仿宋_GB2312"/>
                <w:b/>
                <w:sz w:val="24"/>
              </w:rPr>
            </w:pPr>
          </w:p>
        </w:tc>
        <w:tc>
          <w:tcPr>
            <w:tcW w:w="714" w:type="dxa"/>
            <w:tcBorders>
              <w:top w:val="nil"/>
              <w:left w:val="nil"/>
              <w:bottom w:val="nil"/>
              <w:right w:val="nil"/>
            </w:tcBorders>
            <w:shd w:val="clear" w:color="auto" w:fill="FFFFFF"/>
            <w:vAlign w:val="center"/>
          </w:tcPr>
          <w:p>
            <w:pPr>
              <w:pStyle w:val="62"/>
              <w:rPr>
                <w:rFonts w:ascii="仿宋_GB2312" w:eastAsia="仿宋_GB2312"/>
                <w:b/>
                <w:sz w:val="24"/>
              </w:rPr>
            </w:pPr>
            <w:r>
              <w:rPr>
                <w:rFonts w:ascii="仿宋_GB2312" w:eastAsia="仿宋_GB2312"/>
                <w:b/>
                <w:sz w:val="24"/>
              </w:rPr>
              <w:t>9367</w:t>
            </w:r>
          </w:p>
        </w:tc>
        <w:tc>
          <w:tcPr>
            <w:tcW w:w="845" w:type="dxa"/>
            <w:tcBorders>
              <w:top w:val="nil"/>
              <w:left w:val="nil"/>
              <w:bottom w:val="nil"/>
              <w:right w:val="nil"/>
            </w:tcBorders>
            <w:shd w:val="clear" w:color="auto" w:fill="FFFFFF"/>
            <w:vAlign w:val="center"/>
          </w:tcPr>
          <w:p>
            <w:pPr>
              <w:pStyle w:val="62"/>
              <w:rPr>
                <w:rFonts w:ascii="仿宋_GB2312" w:eastAsia="仿宋_GB2312"/>
                <w:b/>
                <w:sz w:val="24"/>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jc w:val="center"/>
        </w:trPr>
        <w:tc>
          <w:tcPr>
            <w:tcW w:w="1416" w:type="dxa"/>
            <w:tcBorders>
              <w:top w:val="nil"/>
              <w:left w:val="nil"/>
              <w:bottom w:val="nil"/>
              <w:right w:val="nil"/>
            </w:tcBorders>
            <w:vAlign w:val="center"/>
          </w:tcPr>
          <w:p>
            <w:pPr>
              <w:pStyle w:val="62"/>
              <w:rPr>
                <w:rFonts w:ascii="仿宋_GB2312" w:eastAsia="仿宋_GB2312"/>
                <w:b/>
                <w:sz w:val="24"/>
              </w:rPr>
            </w:pPr>
            <w:r>
              <w:rPr>
                <w:rFonts w:ascii="仿宋_GB2312" w:eastAsia="仿宋_GB2312"/>
                <w:b/>
                <w:sz w:val="24"/>
              </w:rPr>
              <w:t>工艺过程源</w:t>
            </w:r>
          </w:p>
        </w:tc>
        <w:tc>
          <w:tcPr>
            <w:tcW w:w="709" w:type="dxa"/>
            <w:tcBorders>
              <w:top w:val="nil"/>
              <w:left w:val="nil"/>
              <w:bottom w:val="nil"/>
              <w:right w:val="nil"/>
            </w:tcBorders>
            <w:shd w:val="clear" w:color="auto" w:fill="FFFFFF"/>
            <w:vAlign w:val="bottom"/>
          </w:tcPr>
          <w:p>
            <w:pPr>
              <w:pStyle w:val="62"/>
              <w:rPr>
                <w:rFonts w:ascii="仿宋_GB2312" w:eastAsia="仿宋_GB2312"/>
                <w:b/>
                <w:sz w:val="24"/>
              </w:rPr>
            </w:pPr>
            <w:r>
              <w:rPr>
                <w:rFonts w:hint="eastAsia" w:ascii="仿宋_GB2312" w:eastAsia="仿宋_GB2312"/>
                <w:b/>
                <w:sz w:val="24"/>
              </w:rPr>
              <w:t>3169</w:t>
            </w:r>
          </w:p>
        </w:tc>
        <w:tc>
          <w:tcPr>
            <w:tcW w:w="708" w:type="dxa"/>
            <w:tcBorders>
              <w:top w:val="nil"/>
              <w:left w:val="nil"/>
              <w:bottom w:val="nil"/>
              <w:right w:val="nil"/>
            </w:tcBorders>
            <w:shd w:val="clear" w:color="auto" w:fill="FFFFFF"/>
            <w:vAlign w:val="bottom"/>
          </w:tcPr>
          <w:p>
            <w:pPr>
              <w:pStyle w:val="62"/>
              <w:rPr>
                <w:rFonts w:ascii="仿宋_GB2312" w:eastAsia="仿宋_GB2312"/>
                <w:b/>
                <w:sz w:val="24"/>
              </w:rPr>
            </w:pPr>
            <w:r>
              <w:rPr>
                <w:rFonts w:hint="eastAsia" w:ascii="仿宋_GB2312" w:eastAsia="仿宋_GB2312"/>
                <w:b/>
                <w:sz w:val="24"/>
              </w:rPr>
              <w:t xml:space="preserve">6771 </w:t>
            </w:r>
          </w:p>
        </w:tc>
        <w:tc>
          <w:tcPr>
            <w:tcW w:w="992" w:type="dxa"/>
            <w:tcBorders>
              <w:top w:val="nil"/>
              <w:left w:val="nil"/>
              <w:bottom w:val="nil"/>
              <w:right w:val="nil"/>
            </w:tcBorders>
            <w:shd w:val="clear" w:color="auto" w:fill="FFFFFF"/>
            <w:vAlign w:val="bottom"/>
          </w:tcPr>
          <w:p>
            <w:pPr>
              <w:pStyle w:val="62"/>
              <w:rPr>
                <w:rFonts w:ascii="仿宋_GB2312" w:eastAsia="仿宋_GB2312"/>
                <w:b/>
                <w:sz w:val="24"/>
              </w:rPr>
            </w:pPr>
            <w:r>
              <w:rPr>
                <w:rFonts w:hint="eastAsia" w:ascii="仿宋_GB2312" w:eastAsia="仿宋_GB2312"/>
                <w:b/>
                <w:sz w:val="24"/>
              </w:rPr>
              <w:t xml:space="preserve">61581 </w:t>
            </w:r>
          </w:p>
        </w:tc>
        <w:tc>
          <w:tcPr>
            <w:tcW w:w="709" w:type="dxa"/>
            <w:tcBorders>
              <w:top w:val="nil"/>
              <w:left w:val="nil"/>
              <w:bottom w:val="nil"/>
              <w:right w:val="nil"/>
            </w:tcBorders>
            <w:shd w:val="clear" w:color="auto" w:fill="FFFFFF"/>
            <w:vAlign w:val="bottom"/>
          </w:tcPr>
          <w:p>
            <w:pPr>
              <w:pStyle w:val="62"/>
              <w:rPr>
                <w:rFonts w:ascii="仿宋_GB2312" w:eastAsia="仿宋_GB2312"/>
                <w:b/>
                <w:sz w:val="24"/>
              </w:rPr>
            </w:pPr>
            <w:r>
              <w:rPr>
                <w:rFonts w:hint="eastAsia" w:ascii="仿宋_GB2312" w:eastAsia="仿宋_GB2312"/>
                <w:b/>
                <w:sz w:val="24"/>
              </w:rPr>
              <w:t>14274</w:t>
            </w:r>
          </w:p>
        </w:tc>
        <w:tc>
          <w:tcPr>
            <w:tcW w:w="709" w:type="dxa"/>
            <w:tcBorders>
              <w:top w:val="nil"/>
              <w:left w:val="nil"/>
              <w:bottom w:val="nil"/>
              <w:right w:val="nil"/>
            </w:tcBorders>
            <w:shd w:val="clear" w:color="auto" w:fill="FFFFFF"/>
            <w:vAlign w:val="bottom"/>
          </w:tcPr>
          <w:p>
            <w:pPr>
              <w:pStyle w:val="62"/>
              <w:rPr>
                <w:rFonts w:ascii="仿宋_GB2312" w:eastAsia="仿宋_GB2312"/>
                <w:b/>
                <w:sz w:val="24"/>
              </w:rPr>
            </w:pPr>
            <w:r>
              <w:rPr>
                <w:rFonts w:hint="eastAsia" w:ascii="仿宋_GB2312" w:eastAsia="仿宋_GB2312"/>
                <w:b/>
                <w:sz w:val="24"/>
              </w:rPr>
              <w:t>8067</w:t>
            </w:r>
          </w:p>
        </w:tc>
        <w:tc>
          <w:tcPr>
            <w:tcW w:w="708" w:type="dxa"/>
            <w:tcBorders>
              <w:top w:val="nil"/>
              <w:left w:val="nil"/>
              <w:bottom w:val="nil"/>
              <w:right w:val="nil"/>
            </w:tcBorders>
            <w:shd w:val="clear" w:color="auto" w:fill="FFFFFF"/>
            <w:vAlign w:val="bottom"/>
          </w:tcPr>
          <w:p>
            <w:pPr>
              <w:pStyle w:val="62"/>
              <w:rPr>
                <w:rFonts w:ascii="仿宋_GB2312" w:eastAsia="仿宋_GB2312"/>
                <w:b/>
                <w:sz w:val="24"/>
              </w:rPr>
            </w:pPr>
            <w:r>
              <w:rPr>
                <w:rFonts w:hint="eastAsia" w:ascii="仿宋_GB2312" w:eastAsia="仿宋_GB2312"/>
                <w:b/>
                <w:sz w:val="24"/>
              </w:rPr>
              <w:t xml:space="preserve">517 </w:t>
            </w:r>
          </w:p>
        </w:tc>
        <w:tc>
          <w:tcPr>
            <w:tcW w:w="709" w:type="dxa"/>
            <w:tcBorders>
              <w:top w:val="nil"/>
              <w:left w:val="nil"/>
              <w:bottom w:val="nil"/>
              <w:right w:val="nil"/>
            </w:tcBorders>
            <w:shd w:val="clear" w:color="auto" w:fill="FFFFFF"/>
            <w:vAlign w:val="bottom"/>
          </w:tcPr>
          <w:p>
            <w:pPr>
              <w:pStyle w:val="62"/>
              <w:rPr>
                <w:rFonts w:ascii="仿宋_GB2312" w:eastAsia="仿宋_GB2312"/>
                <w:b/>
                <w:sz w:val="24"/>
              </w:rPr>
            </w:pPr>
            <w:r>
              <w:rPr>
                <w:rFonts w:hint="eastAsia" w:ascii="仿宋_GB2312" w:eastAsia="仿宋_GB2312"/>
                <w:b/>
                <w:sz w:val="24"/>
              </w:rPr>
              <w:t xml:space="preserve">648 </w:t>
            </w:r>
          </w:p>
        </w:tc>
        <w:tc>
          <w:tcPr>
            <w:tcW w:w="714" w:type="dxa"/>
            <w:tcBorders>
              <w:top w:val="nil"/>
              <w:left w:val="nil"/>
              <w:bottom w:val="nil"/>
              <w:right w:val="nil"/>
            </w:tcBorders>
            <w:shd w:val="clear" w:color="auto" w:fill="FFFFFF"/>
            <w:vAlign w:val="bottom"/>
          </w:tcPr>
          <w:p>
            <w:pPr>
              <w:pStyle w:val="62"/>
              <w:rPr>
                <w:rFonts w:ascii="仿宋_GB2312" w:eastAsia="仿宋_GB2312"/>
                <w:b/>
                <w:sz w:val="24"/>
              </w:rPr>
            </w:pPr>
            <w:r>
              <w:rPr>
                <w:rFonts w:hint="eastAsia" w:ascii="仿宋_GB2312" w:eastAsia="仿宋_GB2312"/>
                <w:b/>
                <w:sz w:val="24"/>
              </w:rPr>
              <w:t xml:space="preserve">6236 </w:t>
            </w:r>
          </w:p>
        </w:tc>
        <w:tc>
          <w:tcPr>
            <w:tcW w:w="845" w:type="dxa"/>
            <w:tcBorders>
              <w:top w:val="nil"/>
              <w:left w:val="nil"/>
              <w:bottom w:val="nil"/>
              <w:right w:val="nil"/>
            </w:tcBorders>
            <w:shd w:val="clear" w:color="auto" w:fill="FFFFFF"/>
            <w:vAlign w:val="bottom"/>
          </w:tcPr>
          <w:p>
            <w:pPr>
              <w:pStyle w:val="62"/>
              <w:rPr>
                <w:rFonts w:ascii="仿宋_GB2312" w:eastAsia="仿宋_GB2312"/>
                <w:b/>
                <w:sz w:val="24"/>
              </w:rPr>
            </w:pPr>
            <w:r>
              <w:rPr>
                <w:rFonts w:hint="eastAsia" w:ascii="仿宋_GB2312" w:eastAsia="仿宋_GB2312"/>
                <w:b/>
                <w:sz w:val="24"/>
              </w:rPr>
              <w:t xml:space="preserve">34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83" w:hRule="atLeast"/>
          <w:jc w:val="center"/>
        </w:trPr>
        <w:tc>
          <w:tcPr>
            <w:tcW w:w="1416" w:type="dxa"/>
            <w:tcBorders>
              <w:top w:val="nil"/>
              <w:left w:val="nil"/>
              <w:bottom w:val="nil"/>
              <w:right w:val="nil"/>
            </w:tcBorders>
            <w:vAlign w:val="center"/>
          </w:tcPr>
          <w:p>
            <w:pPr>
              <w:pStyle w:val="62"/>
              <w:rPr>
                <w:rFonts w:ascii="仿宋_GB2312" w:eastAsia="仿宋_GB2312"/>
                <w:b/>
                <w:sz w:val="24"/>
              </w:rPr>
            </w:pPr>
            <w:r>
              <w:rPr>
                <w:rFonts w:ascii="仿宋_GB2312" w:eastAsia="仿宋_GB2312"/>
                <w:b/>
                <w:sz w:val="24"/>
              </w:rPr>
              <w:t>移动源</w:t>
            </w:r>
          </w:p>
        </w:tc>
        <w:tc>
          <w:tcPr>
            <w:tcW w:w="709" w:type="dxa"/>
            <w:tcBorders>
              <w:top w:val="nil"/>
              <w:left w:val="nil"/>
              <w:bottom w:val="nil"/>
              <w:right w:val="nil"/>
            </w:tcBorders>
            <w:shd w:val="clear" w:color="auto" w:fill="FFFFFF"/>
            <w:vAlign w:val="bottom"/>
          </w:tcPr>
          <w:p>
            <w:pPr>
              <w:pStyle w:val="62"/>
              <w:rPr>
                <w:rFonts w:ascii="仿宋_GB2312" w:eastAsia="仿宋_GB2312"/>
                <w:b/>
                <w:sz w:val="24"/>
              </w:rPr>
            </w:pPr>
            <w:r>
              <w:rPr>
                <w:rFonts w:hint="eastAsia" w:ascii="仿宋_GB2312" w:eastAsia="仿宋_GB2312"/>
                <w:b/>
                <w:sz w:val="24"/>
              </w:rPr>
              <w:t xml:space="preserve">440 </w:t>
            </w:r>
          </w:p>
        </w:tc>
        <w:tc>
          <w:tcPr>
            <w:tcW w:w="708" w:type="dxa"/>
            <w:tcBorders>
              <w:top w:val="nil"/>
              <w:left w:val="nil"/>
              <w:bottom w:val="nil"/>
              <w:right w:val="nil"/>
            </w:tcBorders>
            <w:shd w:val="clear" w:color="auto" w:fill="FFFFFF"/>
            <w:vAlign w:val="bottom"/>
          </w:tcPr>
          <w:p>
            <w:pPr>
              <w:pStyle w:val="62"/>
              <w:rPr>
                <w:rFonts w:ascii="仿宋_GB2312" w:eastAsia="仿宋_GB2312"/>
                <w:b/>
                <w:sz w:val="24"/>
              </w:rPr>
            </w:pPr>
            <w:r>
              <w:rPr>
                <w:rFonts w:hint="eastAsia" w:ascii="仿宋_GB2312" w:eastAsia="仿宋_GB2312"/>
                <w:b/>
                <w:sz w:val="24"/>
              </w:rPr>
              <w:t xml:space="preserve">13323 </w:t>
            </w:r>
          </w:p>
        </w:tc>
        <w:tc>
          <w:tcPr>
            <w:tcW w:w="992" w:type="dxa"/>
            <w:tcBorders>
              <w:top w:val="nil"/>
              <w:left w:val="nil"/>
              <w:bottom w:val="nil"/>
              <w:right w:val="nil"/>
            </w:tcBorders>
            <w:shd w:val="clear" w:color="auto" w:fill="FFFFFF"/>
            <w:vAlign w:val="bottom"/>
          </w:tcPr>
          <w:p>
            <w:pPr>
              <w:pStyle w:val="62"/>
              <w:rPr>
                <w:rFonts w:ascii="仿宋_GB2312" w:eastAsia="仿宋_GB2312"/>
                <w:b/>
                <w:sz w:val="24"/>
              </w:rPr>
            </w:pPr>
            <w:r>
              <w:rPr>
                <w:rFonts w:hint="eastAsia" w:ascii="仿宋_GB2312" w:eastAsia="仿宋_GB2312"/>
                <w:b/>
                <w:sz w:val="24"/>
              </w:rPr>
              <w:t xml:space="preserve">20967 </w:t>
            </w:r>
          </w:p>
        </w:tc>
        <w:tc>
          <w:tcPr>
            <w:tcW w:w="709" w:type="dxa"/>
            <w:tcBorders>
              <w:top w:val="nil"/>
              <w:left w:val="nil"/>
              <w:bottom w:val="nil"/>
              <w:right w:val="nil"/>
            </w:tcBorders>
            <w:shd w:val="clear" w:color="auto" w:fill="FFFFFF"/>
            <w:vAlign w:val="bottom"/>
          </w:tcPr>
          <w:p>
            <w:pPr>
              <w:pStyle w:val="62"/>
              <w:rPr>
                <w:rFonts w:ascii="仿宋_GB2312" w:eastAsia="仿宋_GB2312"/>
                <w:b/>
                <w:sz w:val="24"/>
              </w:rPr>
            </w:pPr>
            <w:r>
              <w:rPr>
                <w:rFonts w:hint="eastAsia" w:ascii="仿宋_GB2312" w:eastAsia="仿宋_GB2312"/>
                <w:b/>
                <w:sz w:val="24"/>
              </w:rPr>
              <w:t xml:space="preserve">460 </w:t>
            </w:r>
          </w:p>
        </w:tc>
        <w:tc>
          <w:tcPr>
            <w:tcW w:w="709" w:type="dxa"/>
            <w:tcBorders>
              <w:top w:val="nil"/>
              <w:left w:val="nil"/>
              <w:bottom w:val="nil"/>
              <w:right w:val="nil"/>
            </w:tcBorders>
            <w:shd w:val="clear" w:color="auto" w:fill="FFFFFF"/>
            <w:vAlign w:val="bottom"/>
          </w:tcPr>
          <w:p>
            <w:pPr>
              <w:pStyle w:val="62"/>
              <w:rPr>
                <w:rFonts w:ascii="仿宋_GB2312" w:eastAsia="仿宋_GB2312"/>
                <w:b/>
                <w:sz w:val="24"/>
              </w:rPr>
            </w:pPr>
            <w:r>
              <w:rPr>
                <w:rFonts w:hint="eastAsia" w:ascii="仿宋_GB2312" w:eastAsia="仿宋_GB2312"/>
                <w:b/>
                <w:sz w:val="24"/>
              </w:rPr>
              <w:t xml:space="preserve">427 </w:t>
            </w:r>
          </w:p>
        </w:tc>
        <w:tc>
          <w:tcPr>
            <w:tcW w:w="708" w:type="dxa"/>
            <w:tcBorders>
              <w:top w:val="nil"/>
              <w:left w:val="nil"/>
              <w:bottom w:val="nil"/>
              <w:right w:val="nil"/>
            </w:tcBorders>
            <w:shd w:val="clear" w:color="auto" w:fill="FFFFFF"/>
            <w:vAlign w:val="bottom"/>
          </w:tcPr>
          <w:p>
            <w:pPr>
              <w:pStyle w:val="62"/>
              <w:rPr>
                <w:rFonts w:ascii="仿宋_GB2312" w:eastAsia="仿宋_GB2312"/>
                <w:b/>
                <w:sz w:val="24"/>
              </w:rPr>
            </w:pPr>
            <w:r>
              <w:rPr>
                <w:rFonts w:hint="eastAsia" w:ascii="仿宋_GB2312" w:eastAsia="仿宋_GB2312"/>
                <w:b/>
                <w:sz w:val="24"/>
              </w:rPr>
              <w:t xml:space="preserve">226 </w:t>
            </w:r>
          </w:p>
        </w:tc>
        <w:tc>
          <w:tcPr>
            <w:tcW w:w="709" w:type="dxa"/>
            <w:tcBorders>
              <w:top w:val="nil"/>
              <w:left w:val="nil"/>
              <w:bottom w:val="nil"/>
              <w:right w:val="nil"/>
            </w:tcBorders>
            <w:shd w:val="clear" w:color="auto" w:fill="FFFFFF"/>
            <w:vAlign w:val="bottom"/>
          </w:tcPr>
          <w:p>
            <w:pPr>
              <w:pStyle w:val="62"/>
              <w:rPr>
                <w:rFonts w:ascii="仿宋_GB2312" w:eastAsia="仿宋_GB2312"/>
                <w:b/>
                <w:sz w:val="24"/>
              </w:rPr>
            </w:pPr>
            <w:r>
              <w:rPr>
                <w:rFonts w:hint="eastAsia" w:ascii="仿宋_GB2312" w:eastAsia="仿宋_GB2312"/>
                <w:b/>
                <w:sz w:val="24"/>
              </w:rPr>
              <w:t xml:space="preserve">73 </w:t>
            </w:r>
          </w:p>
        </w:tc>
        <w:tc>
          <w:tcPr>
            <w:tcW w:w="714" w:type="dxa"/>
            <w:tcBorders>
              <w:top w:val="nil"/>
              <w:left w:val="nil"/>
              <w:bottom w:val="nil"/>
              <w:right w:val="nil"/>
            </w:tcBorders>
            <w:shd w:val="clear" w:color="auto" w:fill="FFFFFF"/>
            <w:vAlign w:val="bottom"/>
          </w:tcPr>
          <w:p>
            <w:pPr>
              <w:pStyle w:val="62"/>
              <w:rPr>
                <w:rFonts w:ascii="仿宋_GB2312" w:eastAsia="仿宋_GB2312"/>
                <w:b/>
                <w:sz w:val="24"/>
              </w:rPr>
            </w:pPr>
            <w:r>
              <w:rPr>
                <w:rFonts w:hint="eastAsia" w:ascii="仿宋_GB2312" w:eastAsia="仿宋_GB2312"/>
                <w:b/>
                <w:sz w:val="24"/>
              </w:rPr>
              <w:t>3655</w:t>
            </w:r>
          </w:p>
        </w:tc>
        <w:tc>
          <w:tcPr>
            <w:tcW w:w="845" w:type="dxa"/>
            <w:tcBorders>
              <w:top w:val="nil"/>
              <w:left w:val="nil"/>
              <w:bottom w:val="nil"/>
              <w:right w:val="nil"/>
            </w:tcBorders>
            <w:shd w:val="clear" w:color="auto" w:fill="FFFFFF"/>
            <w:vAlign w:val="bottom"/>
          </w:tcPr>
          <w:p>
            <w:pPr>
              <w:pStyle w:val="62"/>
              <w:rPr>
                <w:rFonts w:ascii="仿宋_GB2312" w:eastAsia="仿宋_GB2312"/>
                <w:b/>
                <w:sz w:val="24"/>
              </w:rPr>
            </w:pPr>
            <w:r>
              <w:rPr>
                <w:rFonts w:hint="eastAsia" w:ascii="仿宋_GB2312" w:eastAsia="仿宋_GB2312"/>
                <w:b/>
                <w:sz w:val="24"/>
              </w:rPr>
              <w:t xml:space="preserve">165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83" w:hRule="atLeast"/>
          <w:jc w:val="center"/>
        </w:trPr>
        <w:tc>
          <w:tcPr>
            <w:tcW w:w="1416" w:type="dxa"/>
            <w:tcBorders>
              <w:top w:val="nil"/>
              <w:left w:val="nil"/>
              <w:bottom w:val="nil"/>
              <w:right w:val="nil"/>
            </w:tcBorders>
            <w:vAlign w:val="center"/>
          </w:tcPr>
          <w:p>
            <w:pPr>
              <w:pStyle w:val="62"/>
              <w:rPr>
                <w:rFonts w:ascii="仿宋_GB2312" w:eastAsia="仿宋_GB2312"/>
                <w:b/>
                <w:sz w:val="24"/>
              </w:rPr>
            </w:pPr>
            <w:r>
              <w:rPr>
                <w:rFonts w:ascii="仿宋_GB2312" w:eastAsia="仿宋_GB2312"/>
                <w:b/>
                <w:sz w:val="24"/>
              </w:rPr>
              <w:t>扬尘源</w:t>
            </w:r>
          </w:p>
        </w:tc>
        <w:tc>
          <w:tcPr>
            <w:tcW w:w="709" w:type="dxa"/>
            <w:tcBorders>
              <w:top w:val="nil"/>
              <w:left w:val="nil"/>
              <w:bottom w:val="nil"/>
              <w:right w:val="nil"/>
            </w:tcBorders>
            <w:shd w:val="clear" w:color="auto" w:fill="FFFFFF"/>
            <w:vAlign w:val="center"/>
          </w:tcPr>
          <w:p>
            <w:pPr>
              <w:pStyle w:val="62"/>
              <w:rPr>
                <w:rFonts w:ascii="仿宋_GB2312" w:eastAsia="仿宋_GB2312"/>
                <w:b/>
                <w:sz w:val="24"/>
              </w:rPr>
            </w:pPr>
          </w:p>
        </w:tc>
        <w:tc>
          <w:tcPr>
            <w:tcW w:w="708" w:type="dxa"/>
            <w:tcBorders>
              <w:top w:val="nil"/>
              <w:left w:val="nil"/>
              <w:bottom w:val="nil"/>
              <w:right w:val="nil"/>
            </w:tcBorders>
            <w:shd w:val="clear" w:color="auto" w:fill="FFFFFF"/>
            <w:vAlign w:val="center"/>
          </w:tcPr>
          <w:p>
            <w:pPr>
              <w:pStyle w:val="62"/>
              <w:rPr>
                <w:rFonts w:ascii="仿宋_GB2312" w:eastAsia="仿宋_GB2312"/>
                <w:b/>
                <w:sz w:val="24"/>
              </w:rPr>
            </w:pPr>
          </w:p>
        </w:tc>
        <w:tc>
          <w:tcPr>
            <w:tcW w:w="992" w:type="dxa"/>
            <w:tcBorders>
              <w:top w:val="nil"/>
              <w:left w:val="nil"/>
              <w:bottom w:val="nil"/>
              <w:right w:val="nil"/>
            </w:tcBorders>
            <w:shd w:val="clear" w:color="auto" w:fill="FFFFFF"/>
            <w:vAlign w:val="center"/>
          </w:tcPr>
          <w:p>
            <w:pPr>
              <w:pStyle w:val="62"/>
              <w:rPr>
                <w:rFonts w:ascii="仿宋_GB2312" w:eastAsia="仿宋_GB2312"/>
                <w:b/>
                <w:sz w:val="24"/>
              </w:rPr>
            </w:pPr>
          </w:p>
        </w:tc>
        <w:tc>
          <w:tcPr>
            <w:tcW w:w="709" w:type="dxa"/>
            <w:tcBorders>
              <w:top w:val="nil"/>
              <w:left w:val="nil"/>
              <w:bottom w:val="nil"/>
              <w:right w:val="nil"/>
            </w:tcBorders>
            <w:shd w:val="clear" w:color="auto" w:fill="FFFFFF"/>
            <w:vAlign w:val="center"/>
          </w:tcPr>
          <w:p>
            <w:pPr>
              <w:pStyle w:val="62"/>
              <w:rPr>
                <w:rFonts w:ascii="仿宋_GB2312" w:eastAsia="仿宋_GB2312"/>
                <w:b/>
                <w:sz w:val="24"/>
              </w:rPr>
            </w:pPr>
            <w:r>
              <w:rPr>
                <w:rFonts w:ascii="仿宋_GB2312" w:eastAsia="仿宋_GB2312"/>
                <w:b/>
                <w:sz w:val="24"/>
              </w:rPr>
              <w:t>31643</w:t>
            </w:r>
          </w:p>
        </w:tc>
        <w:tc>
          <w:tcPr>
            <w:tcW w:w="709" w:type="dxa"/>
            <w:tcBorders>
              <w:top w:val="nil"/>
              <w:left w:val="nil"/>
              <w:bottom w:val="nil"/>
              <w:right w:val="nil"/>
            </w:tcBorders>
            <w:shd w:val="clear" w:color="auto" w:fill="FFFFFF"/>
            <w:vAlign w:val="center"/>
          </w:tcPr>
          <w:p>
            <w:pPr>
              <w:pStyle w:val="62"/>
              <w:rPr>
                <w:rFonts w:ascii="仿宋_GB2312" w:eastAsia="仿宋_GB2312"/>
                <w:b/>
                <w:sz w:val="24"/>
              </w:rPr>
            </w:pPr>
            <w:r>
              <w:rPr>
                <w:rFonts w:ascii="仿宋_GB2312" w:eastAsia="仿宋_GB2312"/>
                <w:b/>
                <w:sz w:val="24"/>
              </w:rPr>
              <w:t>7465</w:t>
            </w:r>
          </w:p>
        </w:tc>
        <w:tc>
          <w:tcPr>
            <w:tcW w:w="708" w:type="dxa"/>
            <w:tcBorders>
              <w:top w:val="nil"/>
              <w:left w:val="nil"/>
              <w:bottom w:val="nil"/>
              <w:right w:val="nil"/>
            </w:tcBorders>
            <w:shd w:val="clear" w:color="auto" w:fill="FFFFFF"/>
            <w:vAlign w:val="center"/>
          </w:tcPr>
          <w:p>
            <w:pPr>
              <w:pStyle w:val="62"/>
              <w:rPr>
                <w:rFonts w:ascii="仿宋_GB2312" w:eastAsia="仿宋_GB2312"/>
                <w:b/>
                <w:sz w:val="24"/>
              </w:rPr>
            </w:pPr>
          </w:p>
        </w:tc>
        <w:tc>
          <w:tcPr>
            <w:tcW w:w="709" w:type="dxa"/>
            <w:tcBorders>
              <w:top w:val="nil"/>
              <w:left w:val="nil"/>
              <w:bottom w:val="nil"/>
              <w:right w:val="nil"/>
            </w:tcBorders>
            <w:shd w:val="clear" w:color="auto" w:fill="FFFFFF"/>
            <w:vAlign w:val="center"/>
          </w:tcPr>
          <w:p>
            <w:pPr>
              <w:pStyle w:val="62"/>
              <w:rPr>
                <w:rFonts w:ascii="仿宋_GB2312" w:eastAsia="仿宋_GB2312"/>
                <w:b/>
                <w:sz w:val="24"/>
              </w:rPr>
            </w:pPr>
          </w:p>
        </w:tc>
        <w:tc>
          <w:tcPr>
            <w:tcW w:w="714" w:type="dxa"/>
            <w:tcBorders>
              <w:top w:val="nil"/>
              <w:left w:val="nil"/>
              <w:bottom w:val="nil"/>
              <w:right w:val="nil"/>
            </w:tcBorders>
            <w:shd w:val="clear" w:color="auto" w:fill="FFFFFF"/>
            <w:vAlign w:val="center"/>
          </w:tcPr>
          <w:p>
            <w:pPr>
              <w:pStyle w:val="62"/>
              <w:rPr>
                <w:rFonts w:ascii="仿宋_GB2312" w:eastAsia="仿宋_GB2312"/>
                <w:b/>
                <w:sz w:val="24"/>
              </w:rPr>
            </w:pPr>
          </w:p>
        </w:tc>
        <w:tc>
          <w:tcPr>
            <w:tcW w:w="845" w:type="dxa"/>
            <w:tcBorders>
              <w:top w:val="nil"/>
              <w:left w:val="nil"/>
              <w:bottom w:val="nil"/>
              <w:right w:val="nil"/>
            </w:tcBorders>
            <w:shd w:val="clear" w:color="auto" w:fill="FFFFFF"/>
            <w:vAlign w:val="center"/>
          </w:tcPr>
          <w:p>
            <w:pPr>
              <w:pStyle w:val="62"/>
              <w:rPr>
                <w:rFonts w:ascii="仿宋_GB2312" w:eastAsia="仿宋_GB2312"/>
                <w:b/>
                <w:sz w:val="24"/>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jc w:val="center"/>
        </w:trPr>
        <w:tc>
          <w:tcPr>
            <w:tcW w:w="1416" w:type="dxa"/>
            <w:tcBorders>
              <w:top w:val="nil"/>
              <w:left w:val="nil"/>
              <w:bottom w:val="nil"/>
              <w:right w:val="nil"/>
            </w:tcBorders>
            <w:vAlign w:val="center"/>
          </w:tcPr>
          <w:p>
            <w:pPr>
              <w:pStyle w:val="62"/>
              <w:rPr>
                <w:rFonts w:ascii="仿宋_GB2312" w:eastAsia="仿宋_GB2312"/>
                <w:b/>
                <w:sz w:val="24"/>
              </w:rPr>
            </w:pPr>
            <w:r>
              <w:rPr>
                <w:rFonts w:ascii="仿宋_GB2312" w:eastAsia="仿宋_GB2312"/>
                <w:b/>
                <w:sz w:val="24"/>
              </w:rPr>
              <w:t>储存运输源</w:t>
            </w:r>
          </w:p>
        </w:tc>
        <w:tc>
          <w:tcPr>
            <w:tcW w:w="709" w:type="dxa"/>
            <w:tcBorders>
              <w:top w:val="nil"/>
              <w:left w:val="nil"/>
              <w:bottom w:val="nil"/>
              <w:right w:val="nil"/>
            </w:tcBorders>
            <w:shd w:val="clear" w:color="auto" w:fill="FFFFFF"/>
            <w:vAlign w:val="center"/>
          </w:tcPr>
          <w:p>
            <w:pPr>
              <w:pStyle w:val="62"/>
              <w:rPr>
                <w:rFonts w:ascii="仿宋_GB2312" w:eastAsia="仿宋_GB2312"/>
                <w:b/>
                <w:sz w:val="24"/>
              </w:rPr>
            </w:pPr>
          </w:p>
        </w:tc>
        <w:tc>
          <w:tcPr>
            <w:tcW w:w="708" w:type="dxa"/>
            <w:tcBorders>
              <w:top w:val="nil"/>
              <w:left w:val="nil"/>
              <w:bottom w:val="nil"/>
              <w:right w:val="nil"/>
            </w:tcBorders>
            <w:shd w:val="clear" w:color="auto" w:fill="FFFFFF"/>
            <w:vAlign w:val="center"/>
          </w:tcPr>
          <w:p>
            <w:pPr>
              <w:pStyle w:val="62"/>
              <w:rPr>
                <w:rFonts w:ascii="仿宋_GB2312" w:eastAsia="仿宋_GB2312"/>
                <w:b/>
                <w:sz w:val="24"/>
              </w:rPr>
            </w:pPr>
          </w:p>
        </w:tc>
        <w:tc>
          <w:tcPr>
            <w:tcW w:w="992" w:type="dxa"/>
            <w:tcBorders>
              <w:top w:val="nil"/>
              <w:left w:val="nil"/>
              <w:bottom w:val="nil"/>
              <w:right w:val="nil"/>
            </w:tcBorders>
            <w:shd w:val="clear" w:color="auto" w:fill="FFFFFF"/>
            <w:vAlign w:val="center"/>
          </w:tcPr>
          <w:p>
            <w:pPr>
              <w:pStyle w:val="62"/>
              <w:rPr>
                <w:rFonts w:ascii="仿宋_GB2312" w:eastAsia="仿宋_GB2312"/>
                <w:b/>
                <w:sz w:val="24"/>
              </w:rPr>
            </w:pPr>
          </w:p>
        </w:tc>
        <w:tc>
          <w:tcPr>
            <w:tcW w:w="709" w:type="dxa"/>
            <w:tcBorders>
              <w:top w:val="nil"/>
              <w:left w:val="nil"/>
              <w:bottom w:val="nil"/>
              <w:right w:val="nil"/>
            </w:tcBorders>
            <w:shd w:val="clear" w:color="auto" w:fill="FFFFFF"/>
            <w:vAlign w:val="center"/>
          </w:tcPr>
          <w:p>
            <w:pPr>
              <w:pStyle w:val="62"/>
              <w:rPr>
                <w:rFonts w:ascii="仿宋_GB2312" w:eastAsia="仿宋_GB2312"/>
                <w:b/>
                <w:sz w:val="24"/>
              </w:rPr>
            </w:pPr>
          </w:p>
        </w:tc>
        <w:tc>
          <w:tcPr>
            <w:tcW w:w="709" w:type="dxa"/>
            <w:tcBorders>
              <w:top w:val="nil"/>
              <w:left w:val="nil"/>
              <w:bottom w:val="nil"/>
              <w:right w:val="nil"/>
            </w:tcBorders>
            <w:shd w:val="clear" w:color="auto" w:fill="FFFFFF"/>
            <w:vAlign w:val="center"/>
          </w:tcPr>
          <w:p>
            <w:pPr>
              <w:pStyle w:val="62"/>
              <w:rPr>
                <w:rFonts w:ascii="仿宋_GB2312" w:eastAsia="仿宋_GB2312"/>
                <w:b/>
                <w:sz w:val="24"/>
              </w:rPr>
            </w:pPr>
          </w:p>
        </w:tc>
        <w:tc>
          <w:tcPr>
            <w:tcW w:w="708" w:type="dxa"/>
            <w:tcBorders>
              <w:top w:val="nil"/>
              <w:left w:val="nil"/>
              <w:bottom w:val="nil"/>
              <w:right w:val="nil"/>
            </w:tcBorders>
            <w:shd w:val="clear" w:color="auto" w:fill="FFFFFF"/>
            <w:vAlign w:val="center"/>
          </w:tcPr>
          <w:p>
            <w:pPr>
              <w:pStyle w:val="62"/>
              <w:rPr>
                <w:rFonts w:ascii="仿宋_GB2312" w:eastAsia="仿宋_GB2312"/>
                <w:b/>
                <w:sz w:val="24"/>
              </w:rPr>
            </w:pPr>
          </w:p>
        </w:tc>
        <w:tc>
          <w:tcPr>
            <w:tcW w:w="709" w:type="dxa"/>
            <w:tcBorders>
              <w:top w:val="nil"/>
              <w:left w:val="nil"/>
              <w:bottom w:val="nil"/>
              <w:right w:val="nil"/>
            </w:tcBorders>
            <w:shd w:val="clear" w:color="auto" w:fill="FFFFFF"/>
            <w:vAlign w:val="center"/>
          </w:tcPr>
          <w:p>
            <w:pPr>
              <w:pStyle w:val="62"/>
              <w:rPr>
                <w:rFonts w:ascii="仿宋_GB2312" w:eastAsia="仿宋_GB2312"/>
                <w:b/>
                <w:sz w:val="24"/>
              </w:rPr>
            </w:pPr>
          </w:p>
        </w:tc>
        <w:tc>
          <w:tcPr>
            <w:tcW w:w="714" w:type="dxa"/>
            <w:tcBorders>
              <w:top w:val="nil"/>
              <w:left w:val="nil"/>
              <w:bottom w:val="nil"/>
              <w:right w:val="nil"/>
            </w:tcBorders>
            <w:shd w:val="clear" w:color="auto" w:fill="FFFFFF"/>
            <w:vAlign w:val="center"/>
          </w:tcPr>
          <w:p>
            <w:pPr>
              <w:pStyle w:val="62"/>
              <w:rPr>
                <w:rFonts w:ascii="仿宋_GB2312" w:eastAsia="仿宋_GB2312"/>
                <w:b/>
                <w:sz w:val="24"/>
              </w:rPr>
            </w:pPr>
            <w:r>
              <w:rPr>
                <w:rFonts w:ascii="仿宋_GB2312" w:eastAsia="仿宋_GB2312"/>
                <w:b/>
                <w:sz w:val="24"/>
              </w:rPr>
              <w:t>1714</w:t>
            </w:r>
          </w:p>
        </w:tc>
        <w:tc>
          <w:tcPr>
            <w:tcW w:w="845" w:type="dxa"/>
            <w:tcBorders>
              <w:top w:val="nil"/>
              <w:left w:val="nil"/>
              <w:bottom w:val="nil"/>
              <w:right w:val="nil"/>
            </w:tcBorders>
            <w:shd w:val="clear" w:color="auto" w:fill="FFFFFF"/>
            <w:vAlign w:val="center"/>
          </w:tcPr>
          <w:p>
            <w:pPr>
              <w:pStyle w:val="62"/>
              <w:rPr>
                <w:rFonts w:ascii="仿宋_GB2312" w:eastAsia="仿宋_GB2312"/>
                <w:b/>
                <w:sz w:val="24"/>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jc w:val="center"/>
        </w:trPr>
        <w:tc>
          <w:tcPr>
            <w:tcW w:w="1416" w:type="dxa"/>
            <w:tcBorders>
              <w:top w:val="nil"/>
              <w:left w:val="nil"/>
              <w:bottom w:val="nil"/>
              <w:right w:val="nil"/>
            </w:tcBorders>
            <w:vAlign w:val="center"/>
          </w:tcPr>
          <w:p>
            <w:pPr>
              <w:pStyle w:val="62"/>
              <w:rPr>
                <w:rFonts w:ascii="仿宋_GB2312" w:eastAsia="仿宋_GB2312"/>
                <w:b/>
                <w:sz w:val="24"/>
              </w:rPr>
            </w:pPr>
            <w:r>
              <w:rPr>
                <w:rFonts w:ascii="仿宋_GB2312" w:eastAsia="仿宋_GB2312"/>
                <w:b/>
                <w:sz w:val="24"/>
              </w:rPr>
              <w:t>农业源</w:t>
            </w:r>
          </w:p>
        </w:tc>
        <w:tc>
          <w:tcPr>
            <w:tcW w:w="709" w:type="dxa"/>
            <w:tcBorders>
              <w:top w:val="nil"/>
              <w:left w:val="nil"/>
              <w:bottom w:val="nil"/>
              <w:right w:val="nil"/>
            </w:tcBorders>
            <w:shd w:val="clear" w:color="auto" w:fill="FFFFFF"/>
            <w:vAlign w:val="center"/>
          </w:tcPr>
          <w:p>
            <w:pPr>
              <w:pStyle w:val="62"/>
              <w:rPr>
                <w:rFonts w:ascii="仿宋_GB2312" w:eastAsia="仿宋_GB2312"/>
                <w:b/>
                <w:sz w:val="24"/>
              </w:rPr>
            </w:pPr>
          </w:p>
        </w:tc>
        <w:tc>
          <w:tcPr>
            <w:tcW w:w="708" w:type="dxa"/>
            <w:tcBorders>
              <w:top w:val="nil"/>
              <w:left w:val="nil"/>
              <w:bottom w:val="nil"/>
              <w:right w:val="nil"/>
            </w:tcBorders>
            <w:shd w:val="clear" w:color="auto" w:fill="FFFFFF"/>
            <w:vAlign w:val="center"/>
          </w:tcPr>
          <w:p>
            <w:pPr>
              <w:pStyle w:val="62"/>
              <w:rPr>
                <w:rFonts w:ascii="仿宋_GB2312" w:eastAsia="仿宋_GB2312"/>
                <w:b/>
                <w:sz w:val="24"/>
              </w:rPr>
            </w:pPr>
          </w:p>
        </w:tc>
        <w:tc>
          <w:tcPr>
            <w:tcW w:w="992" w:type="dxa"/>
            <w:tcBorders>
              <w:top w:val="nil"/>
              <w:left w:val="nil"/>
              <w:bottom w:val="nil"/>
              <w:right w:val="nil"/>
            </w:tcBorders>
            <w:shd w:val="clear" w:color="auto" w:fill="FFFFFF"/>
            <w:vAlign w:val="center"/>
          </w:tcPr>
          <w:p>
            <w:pPr>
              <w:pStyle w:val="62"/>
              <w:rPr>
                <w:rFonts w:ascii="仿宋_GB2312" w:eastAsia="仿宋_GB2312"/>
                <w:b/>
                <w:sz w:val="24"/>
              </w:rPr>
            </w:pPr>
          </w:p>
        </w:tc>
        <w:tc>
          <w:tcPr>
            <w:tcW w:w="709" w:type="dxa"/>
            <w:tcBorders>
              <w:top w:val="nil"/>
              <w:left w:val="nil"/>
              <w:bottom w:val="nil"/>
              <w:right w:val="nil"/>
            </w:tcBorders>
            <w:shd w:val="clear" w:color="auto" w:fill="FFFFFF"/>
            <w:vAlign w:val="center"/>
          </w:tcPr>
          <w:p>
            <w:pPr>
              <w:pStyle w:val="62"/>
              <w:rPr>
                <w:rFonts w:ascii="仿宋_GB2312" w:eastAsia="仿宋_GB2312"/>
                <w:b/>
                <w:sz w:val="24"/>
              </w:rPr>
            </w:pPr>
          </w:p>
        </w:tc>
        <w:tc>
          <w:tcPr>
            <w:tcW w:w="709" w:type="dxa"/>
            <w:tcBorders>
              <w:top w:val="nil"/>
              <w:left w:val="nil"/>
              <w:bottom w:val="nil"/>
              <w:right w:val="nil"/>
            </w:tcBorders>
            <w:shd w:val="clear" w:color="auto" w:fill="FFFFFF"/>
            <w:vAlign w:val="center"/>
          </w:tcPr>
          <w:p>
            <w:pPr>
              <w:pStyle w:val="62"/>
              <w:rPr>
                <w:rFonts w:ascii="仿宋_GB2312" w:eastAsia="仿宋_GB2312"/>
                <w:b/>
                <w:sz w:val="24"/>
              </w:rPr>
            </w:pPr>
          </w:p>
        </w:tc>
        <w:tc>
          <w:tcPr>
            <w:tcW w:w="708" w:type="dxa"/>
            <w:tcBorders>
              <w:top w:val="nil"/>
              <w:left w:val="nil"/>
              <w:bottom w:val="nil"/>
              <w:right w:val="nil"/>
            </w:tcBorders>
            <w:shd w:val="clear" w:color="auto" w:fill="FFFFFF"/>
            <w:vAlign w:val="center"/>
          </w:tcPr>
          <w:p>
            <w:pPr>
              <w:pStyle w:val="62"/>
              <w:rPr>
                <w:rFonts w:ascii="仿宋_GB2312" w:eastAsia="仿宋_GB2312"/>
                <w:b/>
                <w:sz w:val="24"/>
              </w:rPr>
            </w:pPr>
          </w:p>
        </w:tc>
        <w:tc>
          <w:tcPr>
            <w:tcW w:w="709" w:type="dxa"/>
            <w:tcBorders>
              <w:top w:val="nil"/>
              <w:left w:val="nil"/>
              <w:bottom w:val="nil"/>
              <w:right w:val="nil"/>
            </w:tcBorders>
            <w:shd w:val="clear" w:color="auto" w:fill="FFFFFF"/>
            <w:vAlign w:val="center"/>
          </w:tcPr>
          <w:p>
            <w:pPr>
              <w:pStyle w:val="62"/>
              <w:rPr>
                <w:rFonts w:ascii="仿宋_GB2312" w:eastAsia="仿宋_GB2312"/>
                <w:b/>
                <w:sz w:val="24"/>
              </w:rPr>
            </w:pPr>
          </w:p>
        </w:tc>
        <w:tc>
          <w:tcPr>
            <w:tcW w:w="714" w:type="dxa"/>
            <w:tcBorders>
              <w:top w:val="nil"/>
              <w:left w:val="nil"/>
              <w:bottom w:val="nil"/>
              <w:right w:val="nil"/>
            </w:tcBorders>
            <w:shd w:val="clear" w:color="auto" w:fill="FFFFFF"/>
            <w:vAlign w:val="center"/>
          </w:tcPr>
          <w:p>
            <w:pPr>
              <w:pStyle w:val="62"/>
              <w:rPr>
                <w:rFonts w:ascii="仿宋_GB2312" w:eastAsia="仿宋_GB2312"/>
                <w:b/>
                <w:sz w:val="24"/>
              </w:rPr>
            </w:pPr>
          </w:p>
        </w:tc>
        <w:tc>
          <w:tcPr>
            <w:tcW w:w="845" w:type="dxa"/>
            <w:tcBorders>
              <w:top w:val="nil"/>
              <w:left w:val="nil"/>
              <w:bottom w:val="nil"/>
              <w:right w:val="nil"/>
            </w:tcBorders>
            <w:shd w:val="clear" w:color="auto" w:fill="FFFFFF"/>
            <w:vAlign w:val="center"/>
          </w:tcPr>
          <w:p>
            <w:pPr>
              <w:pStyle w:val="62"/>
              <w:rPr>
                <w:rFonts w:ascii="仿宋_GB2312" w:eastAsia="仿宋_GB2312"/>
                <w:b/>
                <w:sz w:val="24"/>
              </w:rPr>
            </w:pPr>
            <w:r>
              <w:rPr>
                <w:rFonts w:ascii="仿宋_GB2312" w:eastAsia="仿宋_GB2312"/>
                <w:b/>
                <w:sz w:val="24"/>
              </w:rPr>
              <w:t>47578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jc w:val="center"/>
        </w:trPr>
        <w:tc>
          <w:tcPr>
            <w:tcW w:w="1416" w:type="dxa"/>
            <w:tcBorders>
              <w:top w:val="nil"/>
              <w:left w:val="nil"/>
              <w:bottom w:val="nil"/>
              <w:right w:val="nil"/>
            </w:tcBorders>
            <w:vAlign w:val="center"/>
          </w:tcPr>
          <w:p>
            <w:pPr>
              <w:pStyle w:val="62"/>
              <w:rPr>
                <w:rFonts w:ascii="仿宋_GB2312" w:eastAsia="仿宋_GB2312"/>
                <w:b/>
                <w:sz w:val="24"/>
              </w:rPr>
            </w:pPr>
            <w:r>
              <w:rPr>
                <w:rFonts w:ascii="仿宋_GB2312" w:eastAsia="仿宋_GB2312"/>
                <w:b/>
                <w:sz w:val="24"/>
              </w:rPr>
              <w:t>生物质燃烧源</w:t>
            </w:r>
          </w:p>
        </w:tc>
        <w:tc>
          <w:tcPr>
            <w:tcW w:w="709" w:type="dxa"/>
            <w:tcBorders>
              <w:top w:val="nil"/>
              <w:left w:val="nil"/>
              <w:bottom w:val="nil"/>
              <w:right w:val="nil"/>
            </w:tcBorders>
            <w:shd w:val="clear" w:color="auto" w:fill="FFFFFF"/>
            <w:vAlign w:val="center"/>
          </w:tcPr>
          <w:p>
            <w:pPr>
              <w:pStyle w:val="62"/>
              <w:rPr>
                <w:rFonts w:ascii="仿宋_GB2312" w:eastAsia="仿宋_GB2312"/>
                <w:b/>
                <w:sz w:val="24"/>
              </w:rPr>
            </w:pPr>
            <w:r>
              <w:rPr>
                <w:rFonts w:ascii="仿宋_GB2312" w:eastAsia="仿宋_GB2312"/>
                <w:b/>
                <w:sz w:val="24"/>
              </w:rPr>
              <w:t>292</w:t>
            </w:r>
          </w:p>
        </w:tc>
        <w:tc>
          <w:tcPr>
            <w:tcW w:w="708" w:type="dxa"/>
            <w:tcBorders>
              <w:top w:val="nil"/>
              <w:left w:val="nil"/>
              <w:bottom w:val="nil"/>
              <w:right w:val="nil"/>
            </w:tcBorders>
            <w:shd w:val="clear" w:color="auto" w:fill="FFFFFF"/>
            <w:vAlign w:val="center"/>
          </w:tcPr>
          <w:p>
            <w:pPr>
              <w:pStyle w:val="62"/>
              <w:rPr>
                <w:rFonts w:ascii="仿宋_GB2312" w:eastAsia="仿宋_GB2312"/>
                <w:b/>
                <w:sz w:val="24"/>
              </w:rPr>
            </w:pPr>
            <w:r>
              <w:rPr>
                <w:rFonts w:ascii="仿宋_GB2312" w:eastAsia="仿宋_GB2312"/>
                <w:b/>
                <w:sz w:val="24"/>
              </w:rPr>
              <w:t>553</w:t>
            </w:r>
          </w:p>
        </w:tc>
        <w:tc>
          <w:tcPr>
            <w:tcW w:w="992" w:type="dxa"/>
            <w:tcBorders>
              <w:top w:val="nil"/>
              <w:left w:val="nil"/>
              <w:bottom w:val="nil"/>
              <w:right w:val="nil"/>
            </w:tcBorders>
            <w:shd w:val="clear" w:color="auto" w:fill="FFFFFF"/>
            <w:vAlign w:val="center"/>
          </w:tcPr>
          <w:p>
            <w:pPr>
              <w:pStyle w:val="62"/>
              <w:rPr>
                <w:rFonts w:ascii="仿宋_GB2312" w:eastAsia="仿宋_GB2312"/>
                <w:b/>
                <w:sz w:val="24"/>
              </w:rPr>
            </w:pPr>
            <w:r>
              <w:rPr>
                <w:rFonts w:ascii="仿宋_GB2312" w:eastAsia="仿宋_GB2312"/>
                <w:b/>
                <w:sz w:val="24"/>
              </w:rPr>
              <w:t>30057</w:t>
            </w:r>
          </w:p>
        </w:tc>
        <w:tc>
          <w:tcPr>
            <w:tcW w:w="709" w:type="dxa"/>
            <w:tcBorders>
              <w:top w:val="nil"/>
              <w:left w:val="nil"/>
              <w:bottom w:val="nil"/>
              <w:right w:val="nil"/>
            </w:tcBorders>
            <w:shd w:val="clear" w:color="auto" w:fill="FFFFFF"/>
            <w:vAlign w:val="center"/>
          </w:tcPr>
          <w:p>
            <w:pPr>
              <w:pStyle w:val="62"/>
              <w:rPr>
                <w:rFonts w:ascii="仿宋_GB2312" w:eastAsia="仿宋_GB2312"/>
                <w:b/>
                <w:sz w:val="24"/>
              </w:rPr>
            </w:pPr>
            <w:r>
              <w:rPr>
                <w:rFonts w:ascii="仿宋_GB2312" w:eastAsia="仿宋_GB2312"/>
                <w:b/>
                <w:sz w:val="24"/>
              </w:rPr>
              <w:t>3668</w:t>
            </w:r>
          </w:p>
        </w:tc>
        <w:tc>
          <w:tcPr>
            <w:tcW w:w="709" w:type="dxa"/>
            <w:tcBorders>
              <w:top w:val="nil"/>
              <w:left w:val="nil"/>
              <w:bottom w:val="nil"/>
              <w:right w:val="nil"/>
            </w:tcBorders>
            <w:shd w:val="clear" w:color="auto" w:fill="FFFFFF"/>
            <w:vAlign w:val="center"/>
          </w:tcPr>
          <w:p>
            <w:pPr>
              <w:pStyle w:val="62"/>
              <w:rPr>
                <w:rFonts w:ascii="仿宋_GB2312" w:eastAsia="仿宋_GB2312"/>
                <w:b/>
                <w:sz w:val="24"/>
              </w:rPr>
            </w:pPr>
            <w:r>
              <w:rPr>
                <w:rFonts w:ascii="仿宋_GB2312" w:eastAsia="仿宋_GB2312"/>
                <w:b/>
                <w:sz w:val="24"/>
              </w:rPr>
              <w:t>3493</w:t>
            </w:r>
          </w:p>
        </w:tc>
        <w:tc>
          <w:tcPr>
            <w:tcW w:w="708" w:type="dxa"/>
            <w:tcBorders>
              <w:top w:val="nil"/>
              <w:left w:val="nil"/>
              <w:bottom w:val="nil"/>
              <w:right w:val="nil"/>
            </w:tcBorders>
            <w:shd w:val="clear" w:color="auto" w:fill="FFFFFF"/>
            <w:vAlign w:val="center"/>
          </w:tcPr>
          <w:p>
            <w:pPr>
              <w:pStyle w:val="62"/>
              <w:rPr>
                <w:rFonts w:ascii="仿宋_GB2312" w:eastAsia="仿宋_GB2312"/>
                <w:b/>
                <w:sz w:val="24"/>
              </w:rPr>
            </w:pPr>
            <w:r>
              <w:rPr>
                <w:rFonts w:ascii="仿宋_GB2312" w:eastAsia="仿宋_GB2312"/>
                <w:b/>
                <w:sz w:val="24"/>
              </w:rPr>
              <w:t>712</w:t>
            </w:r>
          </w:p>
        </w:tc>
        <w:tc>
          <w:tcPr>
            <w:tcW w:w="709" w:type="dxa"/>
            <w:tcBorders>
              <w:top w:val="nil"/>
              <w:left w:val="nil"/>
              <w:bottom w:val="nil"/>
              <w:right w:val="nil"/>
            </w:tcBorders>
            <w:shd w:val="clear" w:color="auto" w:fill="FFFFFF"/>
            <w:vAlign w:val="center"/>
          </w:tcPr>
          <w:p>
            <w:pPr>
              <w:pStyle w:val="62"/>
              <w:rPr>
                <w:rFonts w:ascii="仿宋_GB2312" w:eastAsia="仿宋_GB2312"/>
                <w:b/>
                <w:sz w:val="24"/>
              </w:rPr>
            </w:pPr>
            <w:r>
              <w:rPr>
                <w:rFonts w:ascii="仿宋_GB2312" w:eastAsia="仿宋_GB2312"/>
                <w:b/>
                <w:sz w:val="24"/>
              </w:rPr>
              <w:t>2071</w:t>
            </w:r>
          </w:p>
        </w:tc>
        <w:tc>
          <w:tcPr>
            <w:tcW w:w="714" w:type="dxa"/>
            <w:tcBorders>
              <w:top w:val="nil"/>
              <w:left w:val="nil"/>
              <w:bottom w:val="nil"/>
              <w:right w:val="nil"/>
            </w:tcBorders>
            <w:shd w:val="clear" w:color="auto" w:fill="FFFFFF"/>
            <w:vAlign w:val="center"/>
          </w:tcPr>
          <w:p>
            <w:pPr>
              <w:pStyle w:val="62"/>
              <w:rPr>
                <w:rFonts w:ascii="仿宋_GB2312" w:eastAsia="仿宋_GB2312"/>
                <w:b/>
                <w:sz w:val="24"/>
              </w:rPr>
            </w:pPr>
            <w:r>
              <w:rPr>
                <w:rFonts w:ascii="仿宋_GB2312" w:eastAsia="仿宋_GB2312"/>
                <w:b/>
                <w:sz w:val="24"/>
              </w:rPr>
              <w:t>4306</w:t>
            </w:r>
          </w:p>
        </w:tc>
        <w:tc>
          <w:tcPr>
            <w:tcW w:w="845" w:type="dxa"/>
            <w:tcBorders>
              <w:top w:val="nil"/>
              <w:left w:val="nil"/>
              <w:bottom w:val="nil"/>
              <w:right w:val="nil"/>
            </w:tcBorders>
            <w:shd w:val="clear" w:color="auto" w:fill="FFFFFF"/>
            <w:vAlign w:val="center"/>
          </w:tcPr>
          <w:p>
            <w:pPr>
              <w:pStyle w:val="62"/>
              <w:rPr>
                <w:rFonts w:ascii="仿宋_GB2312" w:eastAsia="仿宋_GB2312"/>
                <w:b/>
                <w:sz w:val="24"/>
              </w:rPr>
            </w:pPr>
            <w:r>
              <w:rPr>
                <w:rFonts w:ascii="仿宋_GB2312" w:eastAsia="仿宋_GB2312"/>
                <w:b/>
                <w:sz w:val="24"/>
              </w:rPr>
              <w:t>364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jc w:val="center"/>
        </w:trPr>
        <w:tc>
          <w:tcPr>
            <w:tcW w:w="1416" w:type="dxa"/>
            <w:tcBorders>
              <w:top w:val="nil"/>
              <w:left w:val="nil"/>
              <w:bottom w:val="nil"/>
              <w:right w:val="nil"/>
            </w:tcBorders>
            <w:vAlign w:val="center"/>
          </w:tcPr>
          <w:p>
            <w:pPr>
              <w:pStyle w:val="62"/>
              <w:rPr>
                <w:rFonts w:ascii="仿宋_GB2312" w:eastAsia="仿宋_GB2312"/>
                <w:b/>
                <w:sz w:val="24"/>
              </w:rPr>
            </w:pPr>
            <w:r>
              <w:rPr>
                <w:rFonts w:ascii="仿宋_GB2312" w:eastAsia="仿宋_GB2312"/>
                <w:b/>
                <w:sz w:val="24"/>
              </w:rPr>
              <w:t>废弃物处理源</w:t>
            </w:r>
          </w:p>
        </w:tc>
        <w:tc>
          <w:tcPr>
            <w:tcW w:w="709" w:type="dxa"/>
            <w:tcBorders>
              <w:top w:val="nil"/>
              <w:left w:val="nil"/>
              <w:bottom w:val="nil"/>
              <w:right w:val="nil"/>
            </w:tcBorders>
            <w:shd w:val="clear" w:color="auto" w:fill="FFFFFF"/>
            <w:vAlign w:val="center"/>
          </w:tcPr>
          <w:p>
            <w:pPr>
              <w:pStyle w:val="62"/>
              <w:rPr>
                <w:rFonts w:ascii="仿宋_GB2312" w:eastAsia="仿宋_GB2312"/>
                <w:b/>
                <w:sz w:val="24"/>
              </w:rPr>
            </w:pPr>
          </w:p>
        </w:tc>
        <w:tc>
          <w:tcPr>
            <w:tcW w:w="708" w:type="dxa"/>
            <w:tcBorders>
              <w:top w:val="nil"/>
              <w:left w:val="nil"/>
              <w:bottom w:val="nil"/>
              <w:right w:val="nil"/>
            </w:tcBorders>
            <w:shd w:val="clear" w:color="auto" w:fill="FFFFFF"/>
            <w:vAlign w:val="center"/>
          </w:tcPr>
          <w:p>
            <w:pPr>
              <w:pStyle w:val="62"/>
              <w:rPr>
                <w:rFonts w:ascii="仿宋_GB2312" w:eastAsia="仿宋_GB2312"/>
                <w:b/>
                <w:sz w:val="24"/>
              </w:rPr>
            </w:pPr>
          </w:p>
        </w:tc>
        <w:tc>
          <w:tcPr>
            <w:tcW w:w="992" w:type="dxa"/>
            <w:tcBorders>
              <w:top w:val="nil"/>
              <w:left w:val="nil"/>
              <w:bottom w:val="nil"/>
              <w:right w:val="nil"/>
            </w:tcBorders>
            <w:shd w:val="clear" w:color="auto" w:fill="FFFFFF"/>
            <w:vAlign w:val="center"/>
          </w:tcPr>
          <w:p>
            <w:pPr>
              <w:pStyle w:val="62"/>
              <w:rPr>
                <w:rFonts w:ascii="仿宋_GB2312" w:eastAsia="仿宋_GB2312"/>
                <w:b/>
                <w:sz w:val="24"/>
              </w:rPr>
            </w:pPr>
          </w:p>
        </w:tc>
        <w:tc>
          <w:tcPr>
            <w:tcW w:w="709" w:type="dxa"/>
            <w:tcBorders>
              <w:top w:val="nil"/>
              <w:left w:val="nil"/>
              <w:bottom w:val="nil"/>
              <w:right w:val="nil"/>
            </w:tcBorders>
            <w:shd w:val="clear" w:color="auto" w:fill="FFFFFF"/>
            <w:vAlign w:val="center"/>
          </w:tcPr>
          <w:p>
            <w:pPr>
              <w:pStyle w:val="62"/>
              <w:rPr>
                <w:rFonts w:ascii="仿宋_GB2312" w:eastAsia="仿宋_GB2312"/>
                <w:b/>
                <w:sz w:val="24"/>
              </w:rPr>
            </w:pPr>
          </w:p>
        </w:tc>
        <w:tc>
          <w:tcPr>
            <w:tcW w:w="709" w:type="dxa"/>
            <w:tcBorders>
              <w:top w:val="nil"/>
              <w:left w:val="nil"/>
              <w:bottom w:val="nil"/>
              <w:right w:val="nil"/>
            </w:tcBorders>
            <w:shd w:val="clear" w:color="auto" w:fill="FFFFFF"/>
            <w:vAlign w:val="center"/>
          </w:tcPr>
          <w:p>
            <w:pPr>
              <w:pStyle w:val="62"/>
              <w:rPr>
                <w:rFonts w:ascii="仿宋_GB2312" w:eastAsia="仿宋_GB2312"/>
                <w:b/>
                <w:sz w:val="24"/>
              </w:rPr>
            </w:pPr>
          </w:p>
        </w:tc>
        <w:tc>
          <w:tcPr>
            <w:tcW w:w="708" w:type="dxa"/>
            <w:tcBorders>
              <w:top w:val="nil"/>
              <w:left w:val="nil"/>
              <w:bottom w:val="nil"/>
              <w:right w:val="nil"/>
            </w:tcBorders>
            <w:shd w:val="clear" w:color="auto" w:fill="FFFFFF"/>
            <w:vAlign w:val="center"/>
          </w:tcPr>
          <w:p>
            <w:pPr>
              <w:pStyle w:val="62"/>
              <w:rPr>
                <w:rFonts w:ascii="仿宋_GB2312" w:eastAsia="仿宋_GB2312"/>
                <w:b/>
                <w:sz w:val="24"/>
              </w:rPr>
            </w:pPr>
          </w:p>
        </w:tc>
        <w:tc>
          <w:tcPr>
            <w:tcW w:w="709" w:type="dxa"/>
            <w:tcBorders>
              <w:top w:val="nil"/>
              <w:left w:val="nil"/>
              <w:bottom w:val="nil"/>
              <w:right w:val="nil"/>
            </w:tcBorders>
            <w:shd w:val="clear" w:color="auto" w:fill="FFFFFF"/>
            <w:vAlign w:val="center"/>
          </w:tcPr>
          <w:p>
            <w:pPr>
              <w:pStyle w:val="62"/>
              <w:rPr>
                <w:rFonts w:ascii="仿宋_GB2312" w:eastAsia="仿宋_GB2312"/>
                <w:b/>
                <w:sz w:val="24"/>
              </w:rPr>
            </w:pPr>
          </w:p>
        </w:tc>
        <w:tc>
          <w:tcPr>
            <w:tcW w:w="714" w:type="dxa"/>
            <w:tcBorders>
              <w:top w:val="nil"/>
              <w:left w:val="nil"/>
              <w:bottom w:val="nil"/>
              <w:right w:val="nil"/>
            </w:tcBorders>
            <w:shd w:val="clear" w:color="auto" w:fill="FFFFFF"/>
            <w:vAlign w:val="center"/>
          </w:tcPr>
          <w:p>
            <w:pPr>
              <w:pStyle w:val="62"/>
              <w:rPr>
                <w:rFonts w:ascii="仿宋_GB2312" w:eastAsia="仿宋_GB2312"/>
                <w:b/>
                <w:sz w:val="24"/>
              </w:rPr>
            </w:pPr>
            <w:r>
              <w:rPr>
                <w:rFonts w:ascii="仿宋_GB2312" w:eastAsia="仿宋_GB2312"/>
                <w:b/>
                <w:sz w:val="24"/>
              </w:rPr>
              <w:t>235</w:t>
            </w:r>
          </w:p>
        </w:tc>
        <w:tc>
          <w:tcPr>
            <w:tcW w:w="845" w:type="dxa"/>
            <w:tcBorders>
              <w:top w:val="nil"/>
              <w:left w:val="nil"/>
              <w:bottom w:val="nil"/>
              <w:right w:val="nil"/>
            </w:tcBorders>
            <w:shd w:val="clear" w:color="auto" w:fill="FFFFFF"/>
            <w:vAlign w:val="center"/>
          </w:tcPr>
          <w:p>
            <w:pPr>
              <w:pStyle w:val="62"/>
              <w:rPr>
                <w:rFonts w:ascii="仿宋_GB2312" w:eastAsia="仿宋_GB2312"/>
                <w:b/>
                <w:sz w:val="24"/>
              </w:rPr>
            </w:pPr>
            <w:r>
              <w:rPr>
                <w:rFonts w:ascii="仿宋_GB2312" w:eastAsia="仿宋_GB2312"/>
                <w:b/>
                <w:sz w:val="24"/>
              </w:rPr>
              <w:t>373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jc w:val="center"/>
        </w:trPr>
        <w:tc>
          <w:tcPr>
            <w:tcW w:w="1416" w:type="dxa"/>
            <w:tcBorders>
              <w:top w:val="nil"/>
              <w:left w:val="nil"/>
              <w:bottom w:val="nil"/>
              <w:right w:val="nil"/>
            </w:tcBorders>
            <w:vAlign w:val="center"/>
          </w:tcPr>
          <w:p>
            <w:pPr>
              <w:pStyle w:val="62"/>
              <w:rPr>
                <w:rFonts w:ascii="仿宋_GB2312" w:eastAsia="仿宋_GB2312"/>
                <w:b/>
                <w:sz w:val="24"/>
              </w:rPr>
            </w:pPr>
            <w:r>
              <w:rPr>
                <w:rFonts w:ascii="仿宋_GB2312" w:eastAsia="仿宋_GB2312"/>
                <w:b/>
                <w:sz w:val="24"/>
              </w:rPr>
              <w:t>其它排放源</w:t>
            </w:r>
          </w:p>
        </w:tc>
        <w:tc>
          <w:tcPr>
            <w:tcW w:w="709" w:type="dxa"/>
            <w:tcBorders>
              <w:top w:val="nil"/>
              <w:left w:val="nil"/>
              <w:bottom w:val="nil"/>
              <w:right w:val="nil"/>
            </w:tcBorders>
            <w:shd w:val="clear" w:color="auto" w:fill="FFFFFF"/>
            <w:vAlign w:val="center"/>
          </w:tcPr>
          <w:p>
            <w:pPr>
              <w:pStyle w:val="62"/>
              <w:rPr>
                <w:rFonts w:ascii="仿宋_GB2312" w:eastAsia="仿宋_GB2312"/>
                <w:b/>
                <w:sz w:val="24"/>
              </w:rPr>
            </w:pPr>
          </w:p>
        </w:tc>
        <w:tc>
          <w:tcPr>
            <w:tcW w:w="708" w:type="dxa"/>
            <w:tcBorders>
              <w:top w:val="nil"/>
              <w:left w:val="nil"/>
              <w:bottom w:val="nil"/>
              <w:right w:val="nil"/>
            </w:tcBorders>
            <w:shd w:val="clear" w:color="auto" w:fill="FFFFFF"/>
            <w:vAlign w:val="center"/>
          </w:tcPr>
          <w:p>
            <w:pPr>
              <w:pStyle w:val="62"/>
              <w:rPr>
                <w:rFonts w:ascii="仿宋_GB2312" w:eastAsia="仿宋_GB2312"/>
                <w:b/>
                <w:sz w:val="24"/>
              </w:rPr>
            </w:pPr>
          </w:p>
        </w:tc>
        <w:tc>
          <w:tcPr>
            <w:tcW w:w="992" w:type="dxa"/>
            <w:tcBorders>
              <w:top w:val="nil"/>
              <w:left w:val="nil"/>
              <w:bottom w:val="nil"/>
              <w:right w:val="nil"/>
            </w:tcBorders>
            <w:shd w:val="clear" w:color="auto" w:fill="FFFFFF"/>
            <w:vAlign w:val="center"/>
          </w:tcPr>
          <w:p>
            <w:pPr>
              <w:pStyle w:val="62"/>
              <w:rPr>
                <w:rFonts w:ascii="仿宋_GB2312" w:eastAsia="仿宋_GB2312"/>
                <w:b/>
                <w:sz w:val="24"/>
              </w:rPr>
            </w:pPr>
          </w:p>
        </w:tc>
        <w:tc>
          <w:tcPr>
            <w:tcW w:w="709" w:type="dxa"/>
            <w:tcBorders>
              <w:top w:val="nil"/>
              <w:left w:val="nil"/>
              <w:bottom w:val="nil"/>
              <w:right w:val="nil"/>
            </w:tcBorders>
            <w:shd w:val="clear" w:color="auto" w:fill="FFFFFF"/>
            <w:vAlign w:val="center"/>
          </w:tcPr>
          <w:p>
            <w:pPr>
              <w:pStyle w:val="62"/>
              <w:rPr>
                <w:rFonts w:ascii="仿宋_GB2312" w:eastAsia="仿宋_GB2312"/>
                <w:b/>
                <w:sz w:val="24"/>
              </w:rPr>
            </w:pPr>
            <w:r>
              <w:rPr>
                <w:rFonts w:ascii="仿宋_GB2312" w:eastAsia="仿宋_GB2312"/>
                <w:b/>
                <w:sz w:val="24"/>
              </w:rPr>
              <w:t>2235</w:t>
            </w:r>
          </w:p>
        </w:tc>
        <w:tc>
          <w:tcPr>
            <w:tcW w:w="709" w:type="dxa"/>
            <w:tcBorders>
              <w:top w:val="nil"/>
              <w:left w:val="nil"/>
              <w:bottom w:val="nil"/>
              <w:right w:val="nil"/>
            </w:tcBorders>
            <w:shd w:val="clear" w:color="auto" w:fill="FFFFFF"/>
            <w:vAlign w:val="center"/>
          </w:tcPr>
          <w:p>
            <w:pPr>
              <w:pStyle w:val="62"/>
              <w:rPr>
                <w:rFonts w:ascii="仿宋_GB2312" w:eastAsia="仿宋_GB2312"/>
                <w:b/>
                <w:sz w:val="24"/>
              </w:rPr>
            </w:pPr>
            <w:r>
              <w:rPr>
                <w:rFonts w:ascii="仿宋_GB2312" w:eastAsia="仿宋_GB2312"/>
                <w:b/>
                <w:sz w:val="24"/>
              </w:rPr>
              <w:t>1788</w:t>
            </w:r>
          </w:p>
        </w:tc>
        <w:tc>
          <w:tcPr>
            <w:tcW w:w="708" w:type="dxa"/>
            <w:tcBorders>
              <w:top w:val="nil"/>
              <w:left w:val="nil"/>
              <w:bottom w:val="nil"/>
              <w:right w:val="nil"/>
            </w:tcBorders>
            <w:shd w:val="clear" w:color="auto" w:fill="FFFFFF"/>
            <w:vAlign w:val="center"/>
          </w:tcPr>
          <w:p>
            <w:pPr>
              <w:pStyle w:val="62"/>
              <w:rPr>
                <w:rFonts w:ascii="仿宋_GB2312" w:eastAsia="仿宋_GB2312"/>
                <w:b/>
                <w:sz w:val="24"/>
              </w:rPr>
            </w:pPr>
            <w:r>
              <w:rPr>
                <w:rFonts w:ascii="仿宋_GB2312" w:eastAsia="仿宋_GB2312"/>
                <w:b/>
                <w:sz w:val="24"/>
              </w:rPr>
              <w:t>36</w:t>
            </w:r>
          </w:p>
        </w:tc>
        <w:tc>
          <w:tcPr>
            <w:tcW w:w="709" w:type="dxa"/>
            <w:tcBorders>
              <w:top w:val="nil"/>
              <w:left w:val="nil"/>
              <w:bottom w:val="nil"/>
              <w:right w:val="nil"/>
            </w:tcBorders>
            <w:shd w:val="clear" w:color="auto" w:fill="FFFFFF"/>
            <w:vAlign w:val="center"/>
          </w:tcPr>
          <w:p>
            <w:pPr>
              <w:pStyle w:val="62"/>
              <w:rPr>
                <w:rFonts w:ascii="仿宋_GB2312" w:eastAsia="仿宋_GB2312"/>
                <w:b/>
                <w:sz w:val="24"/>
              </w:rPr>
            </w:pPr>
            <w:r>
              <w:rPr>
                <w:rFonts w:ascii="仿宋_GB2312" w:eastAsia="仿宋_GB2312"/>
                <w:b/>
                <w:sz w:val="24"/>
              </w:rPr>
              <w:t>1251</w:t>
            </w:r>
          </w:p>
        </w:tc>
        <w:tc>
          <w:tcPr>
            <w:tcW w:w="714" w:type="dxa"/>
            <w:tcBorders>
              <w:top w:val="nil"/>
              <w:left w:val="nil"/>
              <w:bottom w:val="nil"/>
              <w:right w:val="nil"/>
            </w:tcBorders>
            <w:shd w:val="clear" w:color="auto" w:fill="FFFFFF"/>
            <w:vAlign w:val="center"/>
          </w:tcPr>
          <w:p>
            <w:pPr>
              <w:pStyle w:val="62"/>
              <w:rPr>
                <w:rFonts w:ascii="仿宋_GB2312" w:eastAsia="仿宋_GB2312"/>
                <w:b/>
                <w:sz w:val="24"/>
              </w:rPr>
            </w:pPr>
            <w:r>
              <w:rPr>
                <w:rFonts w:ascii="仿宋_GB2312" w:eastAsia="仿宋_GB2312"/>
                <w:b/>
                <w:sz w:val="24"/>
              </w:rPr>
              <w:t>1564</w:t>
            </w:r>
          </w:p>
        </w:tc>
        <w:tc>
          <w:tcPr>
            <w:tcW w:w="845" w:type="dxa"/>
            <w:tcBorders>
              <w:top w:val="nil"/>
              <w:left w:val="nil"/>
              <w:bottom w:val="nil"/>
              <w:right w:val="nil"/>
            </w:tcBorders>
            <w:shd w:val="clear" w:color="auto" w:fill="FFFFFF"/>
            <w:vAlign w:val="center"/>
          </w:tcPr>
          <w:p>
            <w:pPr>
              <w:pStyle w:val="62"/>
              <w:rPr>
                <w:rFonts w:ascii="仿宋_GB2312" w:eastAsia="仿宋_GB2312"/>
                <w:b/>
                <w:sz w:val="24"/>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1416" w:type="dxa"/>
            <w:tcBorders>
              <w:top w:val="nil"/>
              <w:left w:val="nil"/>
              <w:bottom w:val="single" w:color="auto" w:sz="12" w:space="0"/>
              <w:right w:val="nil"/>
            </w:tcBorders>
            <w:vAlign w:val="center"/>
          </w:tcPr>
          <w:p>
            <w:pPr>
              <w:pStyle w:val="62"/>
              <w:rPr>
                <w:rFonts w:ascii="仿宋_GB2312" w:eastAsia="仿宋_GB2312"/>
                <w:b/>
                <w:sz w:val="24"/>
              </w:rPr>
            </w:pPr>
            <w:r>
              <w:rPr>
                <w:rFonts w:ascii="仿宋_GB2312" w:eastAsia="仿宋_GB2312"/>
                <w:b/>
                <w:sz w:val="24"/>
              </w:rPr>
              <w:t>永州市合计</w:t>
            </w:r>
          </w:p>
        </w:tc>
        <w:tc>
          <w:tcPr>
            <w:tcW w:w="709" w:type="dxa"/>
            <w:tcBorders>
              <w:top w:val="nil"/>
              <w:left w:val="nil"/>
              <w:right w:val="nil"/>
            </w:tcBorders>
            <w:shd w:val="clear" w:color="auto" w:fill="FFFFFF"/>
            <w:vAlign w:val="center"/>
          </w:tcPr>
          <w:p>
            <w:pPr>
              <w:pStyle w:val="62"/>
              <w:rPr>
                <w:rFonts w:ascii="仿宋_GB2312" w:eastAsia="仿宋_GB2312"/>
                <w:b/>
                <w:sz w:val="24"/>
              </w:rPr>
            </w:pPr>
            <w:r>
              <w:rPr>
                <w:rFonts w:hint="eastAsia" w:ascii="仿宋_GB2312" w:eastAsia="仿宋_GB2312"/>
                <w:b/>
                <w:sz w:val="24"/>
              </w:rPr>
              <w:t>8882</w:t>
            </w:r>
          </w:p>
        </w:tc>
        <w:tc>
          <w:tcPr>
            <w:tcW w:w="708" w:type="dxa"/>
            <w:tcBorders>
              <w:top w:val="nil"/>
              <w:left w:val="nil"/>
              <w:right w:val="nil"/>
            </w:tcBorders>
            <w:shd w:val="clear" w:color="auto" w:fill="FFFFFF"/>
            <w:vAlign w:val="center"/>
          </w:tcPr>
          <w:p>
            <w:pPr>
              <w:pStyle w:val="62"/>
              <w:rPr>
                <w:rFonts w:ascii="仿宋_GB2312" w:eastAsia="仿宋_GB2312"/>
                <w:b/>
                <w:sz w:val="24"/>
              </w:rPr>
            </w:pPr>
            <w:r>
              <w:rPr>
                <w:rFonts w:hint="eastAsia" w:ascii="仿宋_GB2312" w:eastAsia="仿宋_GB2312"/>
                <w:b/>
                <w:sz w:val="24"/>
              </w:rPr>
              <w:t>24385</w:t>
            </w:r>
          </w:p>
        </w:tc>
        <w:tc>
          <w:tcPr>
            <w:tcW w:w="992" w:type="dxa"/>
            <w:tcBorders>
              <w:top w:val="nil"/>
              <w:left w:val="nil"/>
              <w:right w:val="nil"/>
            </w:tcBorders>
            <w:shd w:val="clear" w:color="auto" w:fill="FFFFFF"/>
            <w:vAlign w:val="center"/>
          </w:tcPr>
          <w:p>
            <w:pPr>
              <w:pStyle w:val="62"/>
              <w:rPr>
                <w:rFonts w:ascii="仿宋_GB2312" w:eastAsia="仿宋_GB2312"/>
                <w:b/>
                <w:sz w:val="24"/>
              </w:rPr>
            </w:pPr>
            <w:r>
              <w:rPr>
                <w:rFonts w:hint="eastAsia" w:ascii="仿宋_GB2312" w:eastAsia="仿宋_GB2312"/>
                <w:b/>
                <w:sz w:val="24"/>
              </w:rPr>
              <w:t xml:space="preserve">152287 </w:t>
            </w:r>
          </w:p>
        </w:tc>
        <w:tc>
          <w:tcPr>
            <w:tcW w:w="709" w:type="dxa"/>
            <w:tcBorders>
              <w:top w:val="nil"/>
              <w:left w:val="nil"/>
              <w:right w:val="nil"/>
            </w:tcBorders>
            <w:shd w:val="clear" w:color="auto" w:fill="FFFFFF"/>
            <w:vAlign w:val="center"/>
          </w:tcPr>
          <w:p>
            <w:pPr>
              <w:pStyle w:val="62"/>
              <w:rPr>
                <w:rFonts w:ascii="仿宋_GB2312" w:eastAsia="仿宋_GB2312"/>
                <w:b/>
                <w:sz w:val="24"/>
              </w:rPr>
            </w:pPr>
            <w:r>
              <w:rPr>
                <w:rFonts w:hint="eastAsia" w:ascii="仿宋_GB2312" w:eastAsia="仿宋_GB2312"/>
                <w:b/>
                <w:sz w:val="24"/>
              </w:rPr>
              <w:t xml:space="preserve">53780 </w:t>
            </w:r>
          </w:p>
        </w:tc>
        <w:tc>
          <w:tcPr>
            <w:tcW w:w="709" w:type="dxa"/>
            <w:tcBorders>
              <w:top w:val="nil"/>
              <w:left w:val="nil"/>
              <w:right w:val="nil"/>
            </w:tcBorders>
            <w:shd w:val="clear" w:color="auto" w:fill="FFFFFF"/>
            <w:vAlign w:val="center"/>
          </w:tcPr>
          <w:p>
            <w:pPr>
              <w:pStyle w:val="62"/>
              <w:rPr>
                <w:rFonts w:ascii="仿宋_GB2312" w:eastAsia="仿宋_GB2312"/>
                <w:b/>
                <w:sz w:val="24"/>
              </w:rPr>
            </w:pPr>
            <w:r>
              <w:rPr>
                <w:rFonts w:hint="eastAsia" w:ascii="仿宋_GB2312" w:eastAsia="仿宋_GB2312"/>
                <w:b/>
                <w:sz w:val="24"/>
              </w:rPr>
              <w:t>22033</w:t>
            </w:r>
          </w:p>
        </w:tc>
        <w:tc>
          <w:tcPr>
            <w:tcW w:w="708" w:type="dxa"/>
            <w:tcBorders>
              <w:top w:val="nil"/>
              <w:left w:val="nil"/>
              <w:right w:val="nil"/>
            </w:tcBorders>
            <w:shd w:val="clear" w:color="auto" w:fill="FFFFFF"/>
            <w:vAlign w:val="center"/>
          </w:tcPr>
          <w:p>
            <w:pPr>
              <w:pStyle w:val="62"/>
              <w:rPr>
                <w:rFonts w:ascii="仿宋_GB2312" w:eastAsia="仿宋_GB2312"/>
                <w:b/>
                <w:sz w:val="24"/>
              </w:rPr>
            </w:pPr>
            <w:r>
              <w:rPr>
                <w:rFonts w:hint="eastAsia" w:ascii="仿宋_GB2312" w:eastAsia="仿宋_GB2312"/>
                <w:b/>
                <w:sz w:val="24"/>
              </w:rPr>
              <w:t>1631</w:t>
            </w:r>
          </w:p>
        </w:tc>
        <w:tc>
          <w:tcPr>
            <w:tcW w:w="709" w:type="dxa"/>
            <w:tcBorders>
              <w:top w:val="nil"/>
              <w:left w:val="nil"/>
              <w:right w:val="nil"/>
            </w:tcBorders>
            <w:shd w:val="clear" w:color="auto" w:fill="FFFFFF"/>
            <w:vAlign w:val="center"/>
          </w:tcPr>
          <w:p>
            <w:pPr>
              <w:pStyle w:val="62"/>
              <w:rPr>
                <w:rFonts w:ascii="仿宋_GB2312" w:eastAsia="仿宋_GB2312"/>
                <w:b/>
                <w:sz w:val="24"/>
              </w:rPr>
            </w:pPr>
            <w:r>
              <w:rPr>
                <w:rFonts w:hint="eastAsia" w:ascii="仿宋_GB2312" w:eastAsia="仿宋_GB2312"/>
                <w:b/>
                <w:sz w:val="24"/>
              </w:rPr>
              <w:t xml:space="preserve">4166 </w:t>
            </w:r>
          </w:p>
        </w:tc>
        <w:tc>
          <w:tcPr>
            <w:tcW w:w="714" w:type="dxa"/>
            <w:tcBorders>
              <w:top w:val="nil"/>
              <w:left w:val="nil"/>
              <w:right w:val="nil"/>
            </w:tcBorders>
            <w:shd w:val="clear" w:color="auto" w:fill="FFFFFF"/>
            <w:vAlign w:val="center"/>
          </w:tcPr>
          <w:p>
            <w:pPr>
              <w:pStyle w:val="62"/>
              <w:rPr>
                <w:rFonts w:ascii="仿宋_GB2312" w:eastAsia="仿宋_GB2312"/>
                <w:b/>
                <w:sz w:val="24"/>
              </w:rPr>
            </w:pPr>
            <w:r>
              <w:rPr>
                <w:rFonts w:hint="eastAsia" w:ascii="仿宋_GB2312" w:eastAsia="仿宋_GB2312"/>
                <w:b/>
                <w:sz w:val="24"/>
              </w:rPr>
              <w:t>28636</w:t>
            </w:r>
          </w:p>
        </w:tc>
        <w:tc>
          <w:tcPr>
            <w:tcW w:w="845" w:type="dxa"/>
            <w:tcBorders>
              <w:top w:val="nil"/>
              <w:left w:val="nil"/>
              <w:right w:val="nil"/>
            </w:tcBorders>
            <w:shd w:val="clear" w:color="auto" w:fill="FFFFFF"/>
            <w:vAlign w:val="center"/>
          </w:tcPr>
          <w:p>
            <w:pPr>
              <w:pStyle w:val="62"/>
              <w:rPr>
                <w:rFonts w:ascii="仿宋_GB2312" w:eastAsia="仿宋_GB2312"/>
                <w:b/>
                <w:sz w:val="24"/>
              </w:rPr>
            </w:pPr>
            <w:r>
              <w:rPr>
                <w:rFonts w:hint="eastAsia" w:ascii="仿宋_GB2312" w:eastAsia="仿宋_GB2312"/>
                <w:b/>
                <w:sz w:val="24"/>
              </w:rPr>
              <w:t>48711</w:t>
            </w:r>
          </w:p>
        </w:tc>
      </w:tr>
    </w:tbl>
    <w:p>
      <w:pPr>
        <w:pStyle w:val="2"/>
        <w:spacing w:line="560" w:lineRule="exact"/>
        <w:ind w:firstLine="643"/>
        <w:rPr>
          <w:rFonts w:ascii="黑体" w:hAnsi="黑体"/>
          <w:szCs w:val="32"/>
        </w:rPr>
      </w:pPr>
      <w:bookmarkStart w:id="15" w:name="_Toc32435476"/>
      <w:bookmarkEnd w:id="15"/>
      <w:bookmarkStart w:id="16" w:name="_Toc32435477"/>
      <w:bookmarkEnd w:id="16"/>
      <w:bookmarkStart w:id="17" w:name="_Toc45035987"/>
      <w:r>
        <w:rPr>
          <w:rFonts w:hint="eastAsia" w:ascii="黑体" w:hAnsi="黑体"/>
          <w:szCs w:val="32"/>
        </w:rPr>
        <w:t>四、达标压力及差距分析</w:t>
      </w:r>
      <w:bookmarkEnd w:id="17"/>
    </w:p>
    <w:p>
      <w:pPr>
        <w:pStyle w:val="3"/>
        <w:spacing w:line="560" w:lineRule="exact"/>
        <w:ind w:firstLine="482"/>
        <w:rPr>
          <w:rFonts w:ascii="楷体_GB2312" w:eastAsia="楷体_GB2312" w:cs="Times New Roman"/>
          <w:sz w:val="32"/>
        </w:rPr>
      </w:pPr>
      <w:bookmarkStart w:id="18" w:name="_Toc45035988"/>
      <w:r>
        <w:rPr>
          <w:rFonts w:hint="eastAsia" w:ascii="楷体_GB2312" w:eastAsia="楷体_GB2312" w:cs="Times New Roman"/>
          <w:sz w:val="32"/>
        </w:rPr>
        <w:t>（一）大气污染防治成效</w:t>
      </w:r>
      <w:bookmarkEnd w:id="18"/>
    </w:p>
    <w:p>
      <w:pPr>
        <w:pStyle w:val="4"/>
        <w:spacing w:line="560" w:lineRule="exact"/>
        <w:ind w:left="0" w:firstLine="641"/>
        <w:rPr>
          <w:rFonts w:ascii="仿宋_GB2312" w:eastAsia="仿宋_GB2312"/>
          <w:sz w:val="32"/>
        </w:rPr>
      </w:pPr>
      <w:r>
        <w:rPr>
          <w:rFonts w:hint="eastAsia" w:ascii="仿宋_GB2312" w:eastAsia="仿宋_GB2312"/>
          <w:sz w:val="32"/>
        </w:rPr>
        <w:t>大气环境综合治理</w:t>
      </w:r>
      <w:r>
        <w:rPr>
          <w:rFonts w:hint="eastAsia" w:ascii="仿宋_GB2312" w:eastAsia="仿宋_GB2312"/>
          <w:sz w:val="32"/>
          <w:lang w:eastAsia="zh-CN"/>
        </w:rPr>
        <w:t>全面推进</w:t>
      </w:r>
    </w:p>
    <w:p>
      <w:pPr>
        <w:spacing w:line="560" w:lineRule="exact"/>
        <w:ind w:firstLine="640"/>
        <w:rPr>
          <w:highlight w:val="yellow"/>
        </w:rPr>
      </w:pPr>
      <w:r>
        <w:rPr>
          <w:rFonts w:hint="eastAsia" w:ascii="仿宋_GB2312" w:eastAsia="仿宋_GB2312" w:cs="Times New Roman"/>
          <w:sz w:val="32"/>
          <w:szCs w:val="32"/>
        </w:rPr>
        <w:t>“蓝天保卫战”期间，永州市深入推进大气污染综合整治，大力推进大气污染防治各项措施。一是调整优化产业结构：围绕七大主导产业，努力构建“一区一轴一带”的发展格局；积极推进“散乱污”涉气企业整治、重污染企业搬迁改造或关闭退出；持续淘汰落后产能，整治冶炼企业117家，建筑用砖厂335家，石灰土立窑25座，打击“地条钢”生产企业6家；严抓工业污染源达标排放整治，开展中心城区“蓝天利剑”专项执法行动；推进重点行业污染治理升级改造，开展富锰渣行业污染治理升级改造。二是调整优化能源结构：大力发展清洁能源，稳步推进水能、风能、太阳能、生物质能等可再生能源建设，促进能源绿色发展，严格控制煤电项目，有序实施“煤改气”；全面淘汰了10t以下燃煤锅炉，无新建燃煤锅炉。三调整优化运输结构，加强机动车污染防治：推动淘汰了一批高排放车辆、老旧车、工程机械、农业机械和船舶；大力发展绿色公交，2018年底我市中心城区公交车已全部更换为新能源汽车，全市更新购置公交车100%为新能源公交车；我市范围内已全面供应国六标准普通汽柴油，并结合成品油市场“打非治违”专项整治活动、“自留黑”集中整治专项行动</w:t>
      </w:r>
      <w:r>
        <w:rPr>
          <w:rFonts w:hint="eastAsia" w:ascii="仿宋_GB2312" w:eastAsia="仿宋_GB2312" w:cs="Times New Roman"/>
          <w:sz w:val="32"/>
          <w:szCs w:val="32"/>
          <w:lang w:eastAsia="zh-CN"/>
        </w:rPr>
        <w:t>提升燃油品质</w:t>
      </w:r>
      <w:r>
        <w:rPr>
          <w:rFonts w:hint="eastAsia" w:ascii="仿宋_GB2312" w:eastAsia="仿宋_GB2312" w:cs="Times New Roman"/>
          <w:sz w:val="32"/>
          <w:szCs w:val="32"/>
        </w:rPr>
        <w:t>。四是加强露天矿山综合整治：严格落实省级部门对露天矿山的整治要求，全市现有露天矿区498处，已全部列入整治任务，有序推进矿区的整治工作。五是强化面源污染治理：</w:t>
      </w:r>
      <w:r>
        <w:rPr>
          <w:rFonts w:hint="eastAsia" w:ascii="仿宋_GB2312" w:eastAsia="仿宋_GB2312" w:cs="Times New Roman"/>
          <w:sz w:val="32"/>
          <w:szCs w:val="32"/>
          <w:lang w:eastAsia="zh-CN"/>
        </w:rPr>
        <w:t>对施工工地</w:t>
      </w:r>
      <w:r>
        <w:rPr>
          <w:rFonts w:hint="eastAsia" w:ascii="仿宋_GB2312" w:eastAsia="仿宋_GB2312" w:cs="Times New Roman"/>
          <w:sz w:val="32"/>
          <w:szCs w:val="32"/>
        </w:rPr>
        <w:t>开展了“六个不开工，七个100%”专项检查；扩大道路机械化清扫和洒水范围，增加道路冲洗保洁频次，切实降低道路积尘负荷；提高</w:t>
      </w:r>
      <w:r>
        <w:rPr>
          <w:rFonts w:hint="eastAsia" w:ascii="仿宋_GB2312" w:eastAsia="仿宋_GB2312"/>
          <w:sz w:val="32"/>
          <w:szCs w:val="32"/>
        </w:rPr>
        <w:t>秸秆综合利用率，开展秸秆禁烧专项巡查，严格控制秸秆露天焚烧；</w:t>
      </w:r>
    </w:p>
    <w:p>
      <w:pPr>
        <w:pStyle w:val="4"/>
        <w:spacing w:line="560" w:lineRule="exact"/>
        <w:ind w:left="0" w:firstLine="641"/>
        <w:rPr>
          <w:rFonts w:ascii="仿宋_GB2312" w:eastAsia="仿宋_GB2312"/>
          <w:sz w:val="32"/>
        </w:rPr>
      </w:pPr>
      <w:bookmarkStart w:id="19" w:name="_Toc31459869"/>
      <w:r>
        <w:rPr>
          <w:rFonts w:hint="eastAsia" w:ascii="仿宋_GB2312" w:eastAsia="仿宋_GB2312"/>
          <w:sz w:val="32"/>
        </w:rPr>
        <w:t>能力建设不断增强</w:t>
      </w:r>
      <w:bookmarkEnd w:id="19"/>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一是大气环境监测能力建设不断增加，逐步推进全市砖瓦行业安装污染物在线监控设施并与</w:t>
      </w:r>
      <w:r>
        <w:rPr>
          <w:rFonts w:hint="eastAsia" w:ascii="仿宋_GB2312" w:eastAsia="仿宋_GB2312" w:cs="Times New Roman"/>
          <w:sz w:val="32"/>
          <w:szCs w:val="32"/>
          <w:lang w:eastAsia="zh-CN"/>
        </w:rPr>
        <w:t>生态环境</w:t>
      </w:r>
      <w:r>
        <w:rPr>
          <w:rFonts w:hint="eastAsia" w:ascii="仿宋_GB2312" w:eastAsia="仿宋_GB2312" w:cs="Times New Roman"/>
          <w:sz w:val="32"/>
          <w:szCs w:val="32"/>
        </w:rPr>
        <w:t>部门联网；二是重污染天气应对能力提升，完善了重污染天气预警应急体系，完成全市大气污染防治特护期实施方案修订和重污染天气预警修订工作，明确了各项应急减排措施和责任主体。三是在中心城区三区成立了巡查队伍，建立了应急处置机制，使污染问题得到及时有效的控制。四是设立了改善环境空气质量攻坚行动专栏和环境违法行为曝光台，及时发现和处置各类环境违法行为。</w:t>
      </w:r>
    </w:p>
    <w:p>
      <w:pPr>
        <w:pStyle w:val="3"/>
        <w:spacing w:line="560" w:lineRule="exact"/>
        <w:ind w:firstLine="482"/>
        <w:rPr>
          <w:rFonts w:ascii="楷体_GB2312" w:eastAsia="楷体_GB2312" w:cs="Times New Roman"/>
          <w:sz w:val="32"/>
        </w:rPr>
      </w:pPr>
      <w:bookmarkStart w:id="20" w:name="_Toc31459871"/>
      <w:bookmarkStart w:id="21" w:name="_Toc45035989"/>
      <w:r>
        <w:rPr>
          <w:rFonts w:hint="eastAsia" w:ascii="楷体_GB2312" w:eastAsia="楷体_GB2312" w:cs="Times New Roman"/>
          <w:sz w:val="32"/>
        </w:rPr>
        <w:t>（二）存在的问题</w:t>
      </w:r>
      <w:bookmarkEnd w:id="20"/>
      <w:bookmarkEnd w:id="21"/>
    </w:p>
    <w:p>
      <w:pPr>
        <w:pStyle w:val="4"/>
        <w:numPr>
          <w:ilvl w:val="0"/>
          <w:numId w:val="3"/>
        </w:numPr>
        <w:spacing w:line="560" w:lineRule="exact"/>
        <w:ind w:left="0" w:firstLine="643"/>
        <w:rPr>
          <w:rFonts w:ascii="仿宋_GB2312" w:eastAsia="仿宋_GB2312"/>
          <w:sz w:val="32"/>
        </w:rPr>
      </w:pPr>
      <w:r>
        <w:rPr>
          <w:rFonts w:hint="eastAsia" w:ascii="仿宋_GB2312" w:eastAsia="仿宋_GB2312"/>
          <w:sz w:val="32"/>
        </w:rPr>
        <w:t>扬尘污染问题突出</w:t>
      </w:r>
    </w:p>
    <w:p>
      <w:pPr>
        <w:spacing w:line="560" w:lineRule="exact"/>
        <w:ind w:firstLine="640"/>
        <w:rPr>
          <w:rFonts w:ascii="仿宋_GB2312" w:eastAsia="仿宋_GB2312" w:cs="Times New Roman"/>
          <w:sz w:val="32"/>
          <w:szCs w:val="32"/>
        </w:rPr>
      </w:pPr>
      <w:bookmarkStart w:id="22" w:name="_Toc31459874"/>
      <w:r>
        <w:rPr>
          <w:rFonts w:hint="eastAsia" w:ascii="仿宋_GB2312" w:eastAsia="仿宋_GB2312" w:cs="Times New Roman"/>
          <w:sz w:val="32"/>
          <w:szCs w:val="32"/>
        </w:rPr>
        <w:t>当前永州市的施工工地治理效果尚不理想，部分工地未完全落实“七个100%”的要求，具有较大减排空间，同时随着社会经济的发展，主城区依然会存在大量建筑施工工地，因此若想实现颗粒物浓度稳定达标，仍需要长期加强对本地排放的整治力度，强化执法力度及各部门间的协作监管。</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永州市道路积尘负荷值为0.44g/m</w:t>
      </w:r>
      <w:r>
        <w:rPr>
          <w:rFonts w:hint="eastAsia" w:ascii="仿宋_GB2312" w:eastAsia="仿宋_GB2312" w:cs="Times New Roman"/>
          <w:sz w:val="32"/>
          <w:szCs w:val="32"/>
          <w:vertAlign w:val="superscript"/>
        </w:rPr>
        <w:t>2</w:t>
      </w:r>
      <w:r>
        <w:rPr>
          <w:rFonts w:hint="eastAsia" w:ascii="仿宋_GB2312" w:eastAsia="仿宋_GB2312" w:cs="Times New Roman"/>
          <w:sz w:val="32"/>
          <w:szCs w:val="32"/>
        </w:rPr>
        <w:t>，较同期监测的长沙市、邵阳市、岳阳市和怀化市分别高出29%、52%、16%和7%，道路扬尘控制仍有进步空间。其中零陵区道路积尘负荷值为0.54克/平方米，比冷水滩区高0.17克/平方米。实地调研发现零陵区建筑施工面积较大，场地裸露且无覆盖，同时运输的渣土车较多且进出无冲洗，会挟带尘土到道路上。</w:t>
      </w:r>
    </w:p>
    <w:p>
      <w:pPr>
        <w:pStyle w:val="4"/>
        <w:spacing w:line="560" w:lineRule="exact"/>
        <w:ind w:left="0" w:firstLine="640" w:firstLineChars="200"/>
        <w:rPr>
          <w:rFonts w:ascii="仿宋_GB2312" w:eastAsia="仿宋_GB2312"/>
          <w:sz w:val="32"/>
        </w:rPr>
      </w:pPr>
      <w:r>
        <w:rPr>
          <w:rFonts w:hint="eastAsia" w:ascii="仿宋_GB2312" w:eastAsia="仿宋_GB2312"/>
          <w:sz w:val="32"/>
        </w:rPr>
        <w:t>建材行业粉尘排放严重</w:t>
      </w:r>
      <w:bookmarkEnd w:id="22"/>
    </w:p>
    <w:p>
      <w:pPr>
        <w:spacing w:line="560" w:lineRule="exact"/>
        <w:ind w:firstLine="640"/>
        <w:rPr>
          <w:rFonts w:ascii="仿宋_GB2312" w:eastAsia="仿宋_GB2312" w:cs="Times New Roman"/>
          <w:sz w:val="32"/>
          <w:szCs w:val="32"/>
        </w:rPr>
      </w:pPr>
      <w:bookmarkStart w:id="23" w:name="_Toc31459875"/>
      <w:r>
        <w:rPr>
          <w:rFonts w:hint="eastAsia" w:ascii="仿宋_GB2312" w:eastAsia="仿宋_GB2312" w:cs="Times New Roman"/>
          <w:sz w:val="32"/>
          <w:szCs w:val="32"/>
        </w:rPr>
        <w:t>部分砖瓦企业仍存在以下问题：矿区原材料（页岩）及燃料（煤矸石）露天堆放，成品间、原料堆场、装卸间无喷淋降尘设施，进出车辆无清洗</w:t>
      </w:r>
      <w:r>
        <w:rPr>
          <w:rFonts w:hint="eastAsia" w:ascii="仿宋_GB2312" w:eastAsia="仿宋_GB2312" w:cs="Times New Roman"/>
          <w:sz w:val="32"/>
          <w:szCs w:val="32"/>
          <w:lang w:eastAsia="zh-CN"/>
        </w:rPr>
        <w:t>措施</w:t>
      </w:r>
      <w:r>
        <w:rPr>
          <w:rFonts w:hint="eastAsia" w:ascii="仿宋_GB2312" w:eastAsia="仿宋_GB2312" w:cs="Times New Roman"/>
          <w:sz w:val="32"/>
          <w:szCs w:val="32"/>
        </w:rPr>
        <w:t>，导致厂区内粉尘扬尘严重；布袋除尘器及破碎设备周围粉尘严重，未及时清理；脱硫设备安装的在线监测系统未正常运行。部分水泥行业除尘措施落实不到位：水泥装卸过程均无粉尘控制措施，雾炮等喷淋设施未开启使用，厂区内道路积尘严重，车辆经过</w:t>
      </w:r>
      <w:r>
        <w:rPr>
          <w:rFonts w:hint="eastAsia" w:ascii="仿宋_GB2312" w:eastAsia="仿宋_GB2312" w:cs="Times New Roman"/>
          <w:sz w:val="32"/>
          <w:szCs w:val="32"/>
          <w:lang w:eastAsia="zh-CN"/>
        </w:rPr>
        <w:t>导致</w:t>
      </w:r>
      <w:r>
        <w:rPr>
          <w:rFonts w:hint="eastAsia" w:ascii="仿宋_GB2312" w:eastAsia="仿宋_GB2312" w:cs="Times New Roman"/>
          <w:sz w:val="32"/>
          <w:szCs w:val="32"/>
        </w:rPr>
        <w:t>扬尘明显。</w:t>
      </w:r>
    </w:p>
    <w:bookmarkEnd w:id="23"/>
    <w:p>
      <w:pPr>
        <w:pStyle w:val="4"/>
        <w:spacing w:line="560" w:lineRule="exact"/>
        <w:ind w:left="0" w:firstLine="641"/>
        <w:rPr>
          <w:rFonts w:ascii="仿宋_GB2312" w:eastAsia="仿宋_GB2312"/>
          <w:sz w:val="32"/>
        </w:rPr>
      </w:pPr>
      <w:r>
        <w:rPr>
          <w:rFonts w:hint="eastAsia" w:ascii="仿宋_GB2312" w:eastAsia="仿宋_GB2312"/>
          <w:sz w:val="32"/>
        </w:rPr>
        <w:t>涉VOCs行业无组织排放严重</w:t>
      </w:r>
    </w:p>
    <w:p>
      <w:pPr>
        <w:spacing w:line="560" w:lineRule="exact"/>
        <w:ind w:firstLine="640"/>
        <w:rPr>
          <w:rFonts w:ascii="仿宋_GB2312" w:eastAsia="仿宋_GB2312" w:cs="Times New Roman"/>
          <w:sz w:val="32"/>
          <w:szCs w:val="32"/>
        </w:rPr>
      </w:pPr>
      <w:bookmarkStart w:id="24" w:name="_Toc31459876"/>
      <w:r>
        <w:rPr>
          <w:rFonts w:hint="eastAsia" w:ascii="仿宋_GB2312" w:eastAsia="仿宋_GB2312" w:cs="Times New Roman"/>
          <w:sz w:val="32"/>
          <w:szCs w:val="32"/>
        </w:rPr>
        <w:t>存在金属表面涂装、农副产品制造、包装印刷等涉VOCs行业无组织排放或后处理效率低：加工车间无气体收集处理设施，机械产品表面涂装露天喷涂，存在VOCs无组织排放；活性</w:t>
      </w:r>
      <w:r>
        <w:rPr>
          <w:rFonts w:hint="eastAsia" w:ascii="仿宋_GB2312" w:eastAsia="仿宋_GB2312" w:cs="Times New Roman"/>
          <w:sz w:val="32"/>
          <w:szCs w:val="32"/>
          <w:lang w:eastAsia="zh-CN"/>
        </w:rPr>
        <w:t>炭</w:t>
      </w:r>
      <w:r>
        <w:rPr>
          <w:rFonts w:hint="eastAsia" w:ascii="仿宋_GB2312" w:eastAsia="仿宋_GB2312" w:cs="Times New Roman"/>
          <w:sz w:val="32"/>
          <w:szCs w:val="32"/>
        </w:rPr>
        <w:t>更换频率低，导致处理效率降低；厂房内刺激气味明显、废气直排。</w:t>
      </w:r>
    </w:p>
    <w:p>
      <w:pPr>
        <w:pStyle w:val="4"/>
        <w:spacing w:line="560" w:lineRule="exact"/>
        <w:ind w:left="0" w:firstLine="641"/>
        <w:rPr>
          <w:rFonts w:ascii="仿宋_GB2312" w:eastAsia="仿宋_GB2312"/>
          <w:sz w:val="32"/>
        </w:rPr>
      </w:pPr>
      <w:r>
        <w:rPr>
          <w:rFonts w:hint="eastAsia" w:ascii="仿宋_GB2312" w:eastAsia="仿宋_GB2312"/>
          <w:sz w:val="32"/>
        </w:rPr>
        <w:t>工业窑炉及锅炉的未达标排放情况存在</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工业窑炉及锅炉存在未达标排放情况，主要有：1）</w:t>
      </w:r>
      <w:r>
        <w:rPr>
          <w:rFonts w:hint="eastAsia" w:ascii="仿宋_GB2312" w:eastAsia="仿宋_GB2312" w:cs="Times New Roman"/>
          <w:sz w:val="32"/>
          <w:szCs w:val="32"/>
          <w:lang w:eastAsia="zh-CN"/>
        </w:rPr>
        <w:t>砖厂</w:t>
      </w:r>
      <w:r>
        <w:rPr>
          <w:rFonts w:hint="eastAsia" w:ascii="仿宋_GB2312" w:eastAsia="仿宋_GB2312" w:cs="Times New Roman"/>
          <w:sz w:val="32"/>
          <w:szCs w:val="32"/>
        </w:rPr>
        <w:t>工业窑炉SO</w:t>
      </w:r>
      <w:r>
        <w:rPr>
          <w:rFonts w:hint="eastAsia" w:ascii="仿宋_GB2312" w:eastAsia="仿宋_GB2312" w:cs="Times New Roman"/>
          <w:sz w:val="32"/>
          <w:szCs w:val="32"/>
          <w:vertAlign w:val="subscript"/>
        </w:rPr>
        <w:t>2</w:t>
      </w:r>
      <w:r>
        <w:rPr>
          <w:rFonts w:hint="eastAsia" w:ascii="仿宋_GB2312" w:eastAsia="仿宋_GB2312" w:cs="Times New Roman"/>
          <w:sz w:val="32"/>
          <w:szCs w:val="32"/>
        </w:rPr>
        <w:t>排放超过《砖瓦工业大气污染物排放标准》（GB 13271-2014）SO</w:t>
      </w:r>
      <w:r>
        <w:rPr>
          <w:rFonts w:hint="eastAsia" w:ascii="仿宋_GB2312" w:eastAsia="仿宋_GB2312" w:cs="Times New Roman"/>
          <w:sz w:val="32"/>
          <w:szCs w:val="32"/>
          <w:vertAlign w:val="subscript"/>
        </w:rPr>
        <w:t>2</w:t>
      </w:r>
      <w:r>
        <w:rPr>
          <w:rFonts w:hint="eastAsia" w:ascii="仿宋_GB2312" w:eastAsia="仿宋_GB2312" w:cs="Times New Roman"/>
          <w:sz w:val="32"/>
          <w:szCs w:val="32"/>
        </w:rPr>
        <w:t>排放浓度限值（300 mg/m</w:t>
      </w:r>
      <w:r>
        <w:rPr>
          <w:rFonts w:hint="eastAsia" w:ascii="仿宋_GB2312" w:eastAsia="仿宋_GB2312" w:cs="Times New Roman"/>
          <w:sz w:val="32"/>
          <w:szCs w:val="32"/>
          <w:vertAlign w:val="superscript"/>
        </w:rPr>
        <w:t>3</w:t>
      </w:r>
      <w:r>
        <w:rPr>
          <w:rFonts w:hint="eastAsia" w:ascii="仿宋_GB2312" w:eastAsia="仿宋_GB2312" w:cs="Times New Roman"/>
          <w:sz w:val="32"/>
          <w:szCs w:val="32"/>
        </w:rPr>
        <w:t>）。2）生物质锅炉存在燃料掺烧情况，排放的</w:t>
      </w:r>
      <w:r>
        <w:rPr>
          <w:rFonts w:hint="eastAsia" w:ascii="仿宋_GB2312" w:eastAsia="仿宋_GB2312" w:cs="Times New Roman"/>
          <w:sz w:val="32"/>
          <w:szCs w:val="32"/>
          <w:lang w:eastAsia="zh-CN"/>
        </w:rPr>
        <w:t>颗粒物、</w:t>
      </w:r>
      <w:r>
        <w:rPr>
          <w:rFonts w:hint="eastAsia" w:ascii="仿宋_GB2312" w:eastAsia="仿宋_GB2312" w:cs="Times New Roman"/>
          <w:sz w:val="32"/>
          <w:szCs w:val="32"/>
        </w:rPr>
        <w:t>SO</w:t>
      </w:r>
      <w:r>
        <w:rPr>
          <w:rFonts w:hint="eastAsia" w:ascii="仿宋_GB2312" w:eastAsia="仿宋_GB2312" w:cs="Times New Roman"/>
          <w:sz w:val="32"/>
          <w:szCs w:val="32"/>
          <w:vertAlign w:val="subscript"/>
        </w:rPr>
        <w:t>2</w:t>
      </w:r>
      <w:r>
        <w:rPr>
          <w:rFonts w:hint="eastAsia" w:ascii="仿宋_GB2312" w:eastAsia="仿宋_GB2312" w:cs="Times New Roman"/>
          <w:sz w:val="32"/>
          <w:szCs w:val="32"/>
        </w:rPr>
        <w:t>和NOx</w:t>
      </w:r>
      <w:r>
        <w:rPr>
          <w:rFonts w:hint="eastAsia" w:ascii="仿宋_GB2312" w:eastAsia="仿宋_GB2312" w:cs="Times New Roman"/>
          <w:sz w:val="32"/>
          <w:szCs w:val="32"/>
          <w:lang w:eastAsia="zh-CN"/>
        </w:rPr>
        <w:t>存在</w:t>
      </w:r>
      <w:r>
        <w:rPr>
          <w:rFonts w:hint="eastAsia" w:ascii="仿宋_GB2312" w:eastAsia="仿宋_GB2312" w:cs="Times New Roman"/>
          <w:sz w:val="32"/>
          <w:szCs w:val="32"/>
        </w:rPr>
        <w:t>超标</w:t>
      </w:r>
      <w:r>
        <w:rPr>
          <w:rFonts w:hint="eastAsia" w:ascii="仿宋_GB2312" w:eastAsia="仿宋_GB2312" w:cs="Times New Roman"/>
          <w:sz w:val="32"/>
          <w:szCs w:val="32"/>
          <w:lang w:eastAsia="zh-CN"/>
        </w:rPr>
        <w:t>现象</w:t>
      </w:r>
      <w:r>
        <w:rPr>
          <w:rFonts w:hint="eastAsia" w:ascii="仿宋_GB2312" w:eastAsia="仿宋_GB2312" w:cs="Times New Roman"/>
          <w:sz w:val="32"/>
          <w:szCs w:val="32"/>
        </w:rPr>
        <w:t>。3）燃气锅炉排放烟尘</w:t>
      </w:r>
      <w:r>
        <w:rPr>
          <w:rFonts w:hint="eastAsia" w:ascii="仿宋_GB2312" w:eastAsia="仿宋_GB2312" w:cs="Times New Roman"/>
          <w:sz w:val="32"/>
          <w:szCs w:val="32"/>
          <w:lang w:eastAsia="zh-CN"/>
        </w:rPr>
        <w:t>间歇性</w:t>
      </w:r>
      <w:r>
        <w:rPr>
          <w:rFonts w:hint="eastAsia" w:ascii="仿宋_GB2312" w:eastAsia="仿宋_GB2312" w:cs="Times New Roman"/>
          <w:sz w:val="32"/>
          <w:szCs w:val="32"/>
        </w:rPr>
        <w:t>超标依然存在。</w:t>
      </w:r>
    </w:p>
    <w:p>
      <w:pPr>
        <w:pStyle w:val="4"/>
        <w:spacing w:line="560" w:lineRule="exact"/>
        <w:ind w:left="0" w:firstLine="641"/>
        <w:rPr>
          <w:rFonts w:ascii="仿宋_GB2312" w:eastAsia="仿宋_GB2312"/>
          <w:sz w:val="32"/>
        </w:rPr>
      </w:pPr>
      <w:r>
        <w:rPr>
          <w:rFonts w:hint="eastAsia" w:ascii="仿宋_GB2312" w:eastAsia="仿宋_GB2312"/>
          <w:sz w:val="32"/>
        </w:rPr>
        <w:t>露天秸秆焚烧污染严重</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站点附近存在一些城中村和农田，居民时常在院子或田间燃烧生活垃圾、秸秆、树枝、杂草，对站点的颗粒物浓度影响极大，但燃烧点位在房屋及树木遮挡下不易发现，隐蔽性极强，需要日常加强排查。</w:t>
      </w:r>
    </w:p>
    <w:p>
      <w:pPr>
        <w:pStyle w:val="4"/>
        <w:spacing w:line="560" w:lineRule="exact"/>
        <w:ind w:left="0" w:firstLine="641"/>
        <w:rPr>
          <w:rFonts w:ascii="仿宋_GB2312" w:eastAsia="仿宋_GB2312"/>
          <w:sz w:val="32"/>
        </w:rPr>
      </w:pPr>
      <w:r>
        <w:rPr>
          <w:rFonts w:hint="eastAsia" w:ascii="仿宋_GB2312" w:eastAsia="仿宋_GB2312"/>
          <w:sz w:val="32"/>
        </w:rPr>
        <w:t>柴油货车排放突出</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由于</w:t>
      </w:r>
      <w:r>
        <w:rPr>
          <w:rFonts w:hint="eastAsia" w:ascii="仿宋_GB2312" w:eastAsia="仿宋_GB2312" w:cs="Times New Roman"/>
          <w:sz w:val="32"/>
          <w:szCs w:val="32"/>
          <w:lang w:eastAsia="zh-CN"/>
        </w:rPr>
        <w:t>城</w:t>
      </w:r>
      <w:r>
        <w:rPr>
          <w:rFonts w:hint="eastAsia" w:ascii="仿宋_GB2312" w:eastAsia="仿宋_GB2312" w:cs="Times New Roman"/>
          <w:sz w:val="32"/>
          <w:szCs w:val="32"/>
        </w:rPr>
        <w:t>区建筑施工较多，不少运渣土车、货车等柴油车沿着主干道穿越城区，这些车辆尾气排放量大，污染范围广，会给城区大气污染治理增加一定压力，由此城区柴油车穿行频繁是造成NO</w:t>
      </w:r>
      <w:r>
        <w:rPr>
          <w:rFonts w:hint="eastAsia" w:ascii="仿宋_GB2312" w:eastAsia="仿宋_GB2312" w:cs="Times New Roman"/>
          <w:sz w:val="32"/>
          <w:szCs w:val="32"/>
          <w:vertAlign w:val="subscript"/>
        </w:rPr>
        <w:t>2</w:t>
      </w:r>
      <w:r>
        <w:rPr>
          <w:rFonts w:hint="eastAsia" w:ascii="仿宋_GB2312" w:eastAsia="仿宋_GB2312" w:cs="Times New Roman"/>
          <w:sz w:val="32"/>
          <w:szCs w:val="32"/>
        </w:rPr>
        <w:t>污染的主因之一。</w:t>
      </w:r>
    </w:p>
    <w:bookmarkEnd w:id="24"/>
    <w:p>
      <w:pPr>
        <w:pStyle w:val="3"/>
        <w:spacing w:line="560" w:lineRule="exact"/>
        <w:ind w:firstLine="482"/>
        <w:rPr>
          <w:rFonts w:ascii="楷体_GB2312" w:eastAsia="楷体_GB2312" w:cs="Times New Roman"/>
          <w:sz w:val="32"/>
        </w:rPr>
      </w:pPr>
      <w:bookmarkStart w:id="25" w:name="_Toc45035990"/>
      <w:r>
        <w:rPr>
          <w:rFonts w:hint="eastAsia" w:ascii="楷体_GB2312" w:eastAsia="楷体_GB2312" w:cs="Times New Roman"/>
          <w:sz w:val="32"/>
        </w:rPr>
        <w:t>（三）达标差距分析</w:t>
      </w:r>
      <w:bookmarkEnd w:id="25"/>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截至2019年，永州市环境空气质量常规六项污染物中，仅中心城区、祁阳县、东安县PM</w:t>
      </w:r>
      <w:r>
        <w:rPr>
          <w:rFonts w:hint="eastAsia" w:ascii="仿宋_GB2312" w:eastAsia="仿宋_GB2312" w:cs="Times New Roman"/>
          <w:sz w:val="32"/>
          <w:szCs w:val="32"/>
          <w:vertAlign w:val="subscript"/>
        </w:rPr>
        <w:t>2.5</w:t>
      </w:r>
      <w:r>
        <w:rPr>
          <w:rFonts w:hint="eastAsia" w:ascii="仿宋_GB2312" w:eastAsia="仿宋_GB2312" w:cs="Times New Roman"/>
          <w:sz w:val="32"/>
          <w:szCs w:val="32"/>
        </w:rPr>
        <w:t>浓度未达到环境空气质量二级标准。此外NO</w:t>
      </w:r>
      <w:r>
        <w:rPr>
          <w:rFonts w:hint="eastAsia" w:ascii="仿宋_GB2312" w:eastAsia="仿宋_GB2312" w:cs="Times New Roman"/>
          <w:sz w:val="32"/>
          <w:szCs w:val="32"/>
          <w:vertAlign w:val="subscript"/>
        </w:rPr>
        <w:t>2</w:t>
      </w:r>
      <w:r>
        <w:rPr>
          <w:rFonts w:hint="eastAsia" w:ascii="仿宋_GB2312" w:eastAsia="仿宋_GB2312" w:cs="Times New Roman"/>
          <w:sz w:val="32"/>
          <w:szCs w:val="32"/>
        </w:rPr>
        <w:t>、O</w:t>
      </w:r>
      <w:r>
        <w:rPr>
          <w:rFonts w:hint="eastAsia" w:ascii="仿宋_GB2312" w:eastAsia="仿宋_GB2312" w:cs="Times New Roman"/>
          <w:sz w:val="32"/>
          <w:szCs w:val="32"/>
          <w:vertAlign w:val="subscript"/>
        </w:rPr>
        <w:t>3</w:t>
      </w:r>
      <w:r>
        <w:rPr>
          <w:rFonts w:hint="eastAsia" w:ascii="仿宋_GB2312" w:eastAsia="仿宋_GB2312" w:cs="Times New Roman"/>
          <w:sz w:val="32"/>
          <w:szCs w:val="32"/>
        </w:rPr>
        <w:t>浓度虽远低于二级标准，但近年来出现上升趋势，需要找到其反弹和上升原因，才能保证空气质量持续改善，稳定达标。</w:t>
      </w:r>
    </w:p>
    <w:p>
      <w:pPr>
        <w:pStyle w:val="2"/>
        <w:spacing w:line="560" w:lineRule="exact"/>
        <w:ind w:firstLine="643"/>
        <w:rPr>
          <w:rFonts w:ascii="黑体" w:hAnsi="黑体"/>
          <w:szCs w:val="32"/>
        </w:rPr>
      </w:pPr>
      <w:bookmarkStart w:id="26" w:name="_Toc8371862"/>
      <w:bookmarkEnd w:id="26"/>
      <w:bookmarkStart w:id="27" w:name="_Toc8371859"/>
      <w:bookmarkEnd w:id="27"/>
      <w:bookmarkStart w:id="28" w:name="_Toc8371860"/>
      <w:bookmarkEnd w:id="28"/>
      <w:bookmarkStart w:id="29" w:name="_Toc8371861"/>
      <w:bookmarkEnd w:id="29"/>
      <w:bookmarkStart w:id="30" w:name="_Toc8371863"/>
      <w:bookmarkEnd w:id="30"/>
      <w:bookmarkStart w:id="31" w:name="_Toc8371858"/>
      <w:bookmarkEnd w:id="31"/>
      <w:bookmarkStart w:id="32" w:name="_Toc45035991"/>
      <w:r>
        <w:rPr>
          <w:rFonts w:hint="eastAsia" w:ascii="黑体" w:hAnsi="黑体"/>
          <w:szCs w:val="32"/>
        </w:rPr>
        <w:t>五、空气质量达标</w:t>
      </w:r>
      <w:bookmarkStart w:id="33" w:name="_Toc22746811"/>
      <w:bookmarkStart w:id="34" w:name="_Hlk29994761"/>
      <w:r>
        <w:rPr>
          <w:rFonts w:hint="eastAsia" w:ascii="黑体" w:hAnsi="黑体"/>
          <w:szCs w:val="32"/>
        </w:rPr>
        <w:t>总体策略</w:t>
      </w:r>
      <w:bookmarkEnd w:id="32"/>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结合永州市大气环境特征和空气质量改善需求，综合考虑永州市经济发展特点和大气污染状况，从城市面源污染治理、重点污染源减排、产业和能源结构</w:t>
      </w:r>
      <w:r>
        <w:rPr>
          <w:rFonts w:hint="eastAsia" w:ascii="仿宋_GB2312" w:eastAsia="仿宋_GB2312" w:cs="Times New Roman"/>
          <w:sz w:val="32"/>
          <w:szCs w:val="32"/>
          <w:lang w:eastAsia="zh-CN"/>
        </w:rPr>
        <w:t>调整</w:t>
      </w:r>
      <w:r>
        <w:rPr>
          <w:rFonts w:hint="eastAsia" w:ascii="仿宋_GB2312" w:eastAsia="仿宋_GB2312" w:cs="Times New Roman"/>
          <w:sz w:val="32"/>
          <w:szCs w:val="32"/>
        </w:rPr>
        <w:t>以及移动源污染治理的角度出发，设计空气质量达标污染控制战略。主要包括以下内容：</w:t>
      </w:r>
      <w:r>
        <w:rPr>
          <w:rFonts w:hint="eastAsia" w:ascii="仿宋_GB2312" w:eastAsia="仿宋_GB2312" w:cs="Times New Roman"/>
          <w:b/>
          <w:bCs/>
          <w:sz w:val="32"/>
          <w:szCs w:val="32"/>
        </w:rPr>
        <w:t>一是面源污染治理：</w:t>
      </w:r>
      <w:r>
        <w:rPr>
          <w:rFonts w:hint="eastAsia" w:ascii="仿宋_GB2312" w:eastAsia="仿宋_GB2312" w:cs="Times New Roman"/>
          <w:sz w:val="32"/>
          <w:szCs w:val="32"/>
        </w:rPr>
        <w:t>以施工扬尘和道路扬尘为主要治理方向，持续开展扬尘综合整治，加强监督管理，同时兼顾堆场扬尘和裸露地面的防治。其次为露天秸秆焚烧控制，一方面以加强专项巡查治标，另一方面以推广秸秆的综合利用治本。</w:t>
      </w:r>
      <w:r>
        <w:rPr>
          <w:rFonts w:hint="eastAsia" w:ascii="仿宋_GB2312" w:eastAsia="仿宋_GB2312" w:cs="Times New Roman"/>
          <w:b/>
          <w:bCs/>
          <w:sz w:val="32"/>
          <w:szCs w:val="32"/>
        </w:rPr>
        <w:t>二是工业污染治理：</w:t>
      </w:r>
      <w:r>
        <w:rPr>
          <w:rFonts w:hint="eastAsia" w:ascii="仿宋_GB2312" w:eastAsia="仿宋_GB2312" w:cs="Times New Roman"/>
          <w:sz w:val="32"/>
          <w:szCs w:val="32"/>
        </w:rPr>
        <w:t>针对中心城区和重点县的行业特点实施治理。全市同步持续开展砖瓦和水泥行业治理，加强达标排放管理和无组织治理。中心城区加强采石场、搅拌站的污染整治，祁阳县实施生物质发电脱硝改造以及推动铸造、陶粒和石灰行业的整治，双牌县深化木材加工行业污染治理。</w:t>
      </w:r>
      <w:r>
        <w:rPr>
          <w:rFonts w:hint="eastAsia" w:ascii="仿宋_GB2312" w:eastAsia="仿宋_GB2312" w:cs="Times New Roman"/>
          <w:b/>
          <w:bCs/>
          <w:sz w:val="32"/>
          <w:szCs w:val="32"/>
        </w:rPr>
        <w:t>三是能源与产业结构调整</w:t>
      </w:r>
      <w:r>
        <w:rPr>
          <w:rFonts w:hint="eastAsia" w:ascii="仿宋_GB2312" w:eastAsia="仿宋_GB2312" w:cs="Times New Roman"/>
          <w:sz w:val="32"/>
          <w:szCs w:val="32"/>
        </w:rPr>
        <w:t>：针对永州市生物质锅炉开展专项整治行动，实施工业窑炉的深度治理。紧跟国家及省内产业结构调整趋势，淘汰区县的落后行业。</w:t>
      </w:r>
      <w:r>
        <w:rPr>
          <w:rFonts w:hint="eastAsia" w:ascii="仿宋_GB2312" w:eastAsia="仿宋_GB2312" w:cs="Times New Roman"/>
          <w:b/>
          <w:bCs/>
          <w:sz w:val="32"/>
          <w:szCs w:val="32"/>
        </w:rPr>
        <w:t>四是移动源治理</w:t>
      </w:r>
      <w:r>
        <w:rPr>
          <w:rFonts w:hint="eastAsia" w:ascii="仿宋_GB2312" w:eastAsia="仿宋_GB2312" w:cs="Times New Roman"/>
          <w:sz w:val="32"/>
          <w:szCs w:val="32"/>
        </w:rPr>
        <w:t>：加大对柴油货车的管控力度，重点措施为划定高排放车辆限行区域和加强对夜间进城重型柴油车和渣土车的整治，以减少机动车排放对空气质量的影响。其次是工地项目的工程机械污染治理，禁止高排放非道路移动机械进城、发放环保牌照以及淘汰老旧机械</w:t>
      </w:r>
      <w:r>
        <w:rPr>
          <w:rFonts w:hint="eastAsia" w:ascii="仿宋_GB2312" w:eastAsia="仿宋_GB2312" w:cs="Times New Roman"/>
          <w:sz w:val="32"/>
          <w:szCs w:val="32"/>
          <w:lang w:eastAsia="zh-CN"/>
        </w:rPr>
        <w:t>相结合</w:t>
      </w:r>
      <w:r>
        <w:rPr>
          <w:rFonts w:hint="eastAsia" w:ascii="仿宋_GB2312" w:eastAsia="仿宋_GB2312" w:cs="Times New Roman"/>
          <w:sz w:val="32"/>
          <w:szCs w:val="32"/>
        </w:rPr>
        <w:t>。</w:t>
      </w:r>
    </w:p>
    <w:p>
      <w:pPr>
        <w:pStyle w:val="2"/>
        <w:spacing w:line="560" w:lineRule="exact"/>
        <w:ind w:firstLine="643"/>
        <w:rPr>
          <w:rFonts w:ascii="黑体" w:hAnsi="黑体"/>
          <w:szCs w:val="32"/>
        </w:rPr>
      </w:pPr>
      <w:bookmarkStart w:id="35" w:name="_Toc45035992"/>
      <w:r>
        <w:rPr>
          <w:rFonts w:hint="eastAsia" w:ascii="黑体" w:hAnsi="黑体"/>
          <w:szCs w:val="32"/>
        </w:rPr>
        <w:t>六、2020年空气质量达标常规控制措施</w:t>
      </w:r>
      <w:bookmarkEnd w:id="35"/>
    </w:p>
    <w:p>
      <w:pPr>
        <w:pStyle w:val="3"/>
        <w:spacing w:line="560" w:lineRule="exact"/>
        <w:ind w:firstLine="482"/>
        <w:rPr>
          <w:rFonts w:ascii="楷体_GB2312" w:eastAsia="楷体_GB2312" w:cs="Times New Roman"/>
          <w:sz w:val="32"/>
        </w:rPr>
      </w:pPr>
      <w:bookmarkStart w:id="36" w:name="_Toc45035993"/>
      <w:r>
        <w:rPr>
          <w:rFonts w:hint="eastAsia" w:ascii="楷体_GB2312" w:eastAsia="楷体_GB2312" w:cs="Times New Roman"/>
          <w:sz w:val="32"/>
        </w:rPr>
        <w:t>（一）落实扬尘污染精细化管理</w:t>
      </w:r>
      <w:bookmarkEnd w:id="36"/>
    </w:p>
    <w:p>
      <w:pPr>
        <w:pStyle w:val="4"/>
        <w:numPr>
          <w:ilvl w:val="0"/>
          <w:numId w:val="4"/>
        </w:numPr>
        <w:spacing w:line="560" w:lineRule="exact"/>
        <w:ind w:left="0" w:firstLine="643"/>
        <w:rPr>
          <w:rFonts w:ascii="仿宋_GB2312" w:eastAsia="仿宋_GB2312"/>
          <w:sz w:val="32"/>
        </w:rPr>
      </w:pPr>
      <w:r>
        <w:rPr>
          <w:rFonts w:hint="eastAsia" w:ascii="仿宋_GB2312" w:eastAsia="仿宋_GB2312"/>
          <w:sz w:val="32"/>
        </w:rPr>
        <w:t>持续加强施工扬尘管理</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全市施工工地</w:t>
      </w:r>
      <w:r>
        <w:rPr>
          <w:rFonts w:hint="eastAsia" w:ascii="仿宋_GB2312" w:eastAsia="仿宋_GB2312" w:cs="Times New Roman"/>
          <w:sz w:val="32"/>
          <w:szCs w:val="32"/>
          <w:lang w:eastAsia="zh-CN"/>
        </w:rPr>
        <w:t>应当</w:t>
      </w:r>
      <w:r>
        <w:rPr>
          <w:rFonts w:hint="eastAsia" w:ascii="仿宋_GB2312" w:eastAsia="仿宋_GB2312" w:cs="Times New Roman"/>
          <w:sz w:val="32"/>
          <w:szCs w:val="32"/>
        </w:rPr>
        <w:t>按照绿色建筑施工要求，建立健全建筑施工扬尘污染综合治理管理制度，按照“六个不开工”、“七个100%”和“八个必须”的要求，全力抓好建筑、市政、交通、水利、拆迁施工及预拌混凝土搅拌等场所产生的扬尘污染，强化环保设施运行监管，严查擅自停用降尘设施设备行为。</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bCs/>
          <w:color w:val="000000"/>
          <w:kern w:val="0"/>
          <w:sz w:val="32"/>
          <w:szCs w:val="32"/>
        </w:rPr>
        <w:t>市住建局牵头，市城管执法局、市生态环境局、市交通运输局参与）</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所有在建工地都要安装可视监控设备和扬尘超限警报装置，且必须接入各行业主管部门监督系统，对施工工地扬尘控制全覆盖。中心城区建立扬尘控制视频监管平台，实施24小时的扬尘实时监控；建议位于重点区域范围内工地项目全部安装扬尘污染在线监测系统，若工程进入后期阶段，工地内已经没有土方作业，没有渣土外运，可不安装在线系统，但仍需做好施工道路硬化、降尘喷淋等措施。</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bCs/>
          <w:color w:val="000000"/>
          <w:kern w:val="0"/>
          <w:sz w:val="32"/>
          <w:szCs w:val="32"/>
        </w:rPr>
        <w:t>市住建局牵头，市城管执法局、市生态环境局、市交通运输局参与）</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拆除工地要求湿法作业，房屋拆迁或爆破时，对被拆除或被爆破的房屋必须采取洒水或喷淋降尘措施，气象预报风速达到5级以上时，暂停拆除或爆破作业。建筑垃圾应及时清运出场，装运过程中须洒水、喷淋压尘处理；未能及时清运堆放时间超过48小时的，应采取临时洒水、用防尘网覆盖等措施。</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bCs/>
          <w:color w:val="000000"/>
          <w:kern w:val="0"/>
          <w:sz w:val="32"/>
          <w:szCs w:val="32"/>
        </w:rPr>
        <w:t>市城管执法局牵头，市住建局、市生态环境局、市交通运输局参与）</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为了进一步提升扬尘污染精细化管理水平，建议实行强化常态化的日常监管执法，加大违规处罚力度。将工地巡查和抽查任务列入</w:t>
      </w:r>
      <w:r>
        <w:rPr>
          <w:rFonts w:hint="eastAsia" w:ascii="仿宋_GB2312" w:eastAsia="仿宋_GB2312" w:cs="Times New Roman"/>
          <w:sz w:val="32"/>
          <w:szCs w:val="32"/>
          <w:lang w:eastAsia="zh-CN"/>
        </w:rPr>
        <w:t>建设主管部门</w:t>
      </w:r>
      <w:r>
        <w:rPr>
          <w:rFonts w:hint="eastAsia" w:ascii="仿宋_GB2312" w:eastAsia="仿宋_GB2312" w:cs="Times New Roman"/>
          <w:sz w:val="32"/>
          <w:szCs w:val="32"/>
        </w:rPr>
        <w:t>日常管理工作中，推行工地分级管理制度，建议针对重点区域内各类施工工地项目采取驻场督查、夜查晨查、联合执法等方式进行严格检查，若发现建设单位和施工单位存在违法违规行为</w:t>
      </w:r>
      <w:r>
        <w:rPr>
          <w:rFonts w:hint="eastAsia" w:ascii="仿宋_GB2312" w:eastAsia="仿宋_GB2312" w:cs="Times New Roman"/>
          <w:sz w:val="32"/>
          <w:szCs w:val="32"/>
          <w:lang w:eastAsia="zh-CN"/>
        </w:rPr>
        <w:t>，依法进行查处</w:t>
      </w:r>
      <w:r>
        <w:rPr>
          <w:rFonts w:hint="eastAsia" w:ascii="仿宋_GB2312" w:eastAsia="仿宋_GB2312" w:cs="Times New Roman"/>
          <w:sz w:val="32"/>
          <w:szCs w:val="32"/>
        </w:rPr>
        <w:t>。</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bCs/>
          <w:color w:val="000000"/>
          <w:kern w:val="0"/>
          <w:sz w:val="32"/>
          <w:szCs w:val="32"/>
        </w:rPr>
        <w:t>市住建局牵头，市城管执法局、市生态环境局、市交通运输局参与）</w:t>
      </w:r>
    </w:p>
    <w:p>
      <w:pPr>
        <w:pStyle w:val="4"/>
        <w:spacing w:line="560" w:lineRule="exact"/>
        <w:ind w:left="0" w:firstLine="641"/>
        <w:rPr>
          <w:rFonts w:ascii="仿宋_GB2312" w:eastAsia="仿宋_GB2312"/>
          <w:sz w:val="32"/>
        </w:rPr>
      </w:pPr>
      <w:r>
        <w:rPr>
          <w:rFonts w:hint="eastAsia" w:ascii="仿宋_GB2312" w:eastAsia="仿宋_GB2312"/>
          <w:sz w:val="32"/>
        </w:rPr>
        <w:t>强化道路扬尘治理</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（1）实施对城市建成区主要道路、外环路</w:t>
      </w:r>
      <w:r>
        <w:rPr>
          <w:rFonts w:hint="eastAsia" w:ascii="仿宋_GB2312" w:eastAsia="仿宋_GB2312" w:cs="Times New Roman"/>
          <w:sz w:val="32"/>
          <w:szCs w:val="32"/>
          <w:lang w:eastAsia="zh-CN"/>
        </w:rPr>
        <w:t>路面</w:t>
      </w:r>
      <w:r>
        <w:rPr>
          <w:rFonts w:hint="eastAsia" w:ascii="仿宋_GB2312" w:eastAsia="仿宋_GB2312" w:cs="Times New Roman"/>
          <w:sz w:val="32"/>
          <w:szCs w:val="32"/>
        </w:rPr>
        <w:t>硬化全覆盖，落实建筑工地规范化围挡和场内道路水泥硬化措施。增加国道市区路段、省道市区路段、进城道路、主干道、重点区域、污染时段的洒水喷雾频次，重点路段包括永州大道、文昌阁路、零陵大道、祁冷公路西段、</w:t>
      </w:r>
      <w:r>
        <w:rPr>
          <w:rFonts w:hint="eastAsia" w:ascii="微软雅黑" w:hAnsi="微软雅黑" w:eastAsia="微软雅黑" w:cs="微软雅黑"/>
          <w:sz w:val="32"/>
          <w:szCs w:val="32"/>
        </w:rPr>
        <w:t>迴</w:t>
      </w:r>
      <w:r>
        <w:rPr>
          <w:rFonts w:hint="eastAsia" w:ascii="仿宋_GB2312" w:hAnsi="仿宋_GB2312" w:eastAsia="仿宋_GB2312" w:cs="仿宋_GB2312"/>
          <w:sz w:val="32"/>
          <w:szCs w:val="32"/>
        </w:rPr>
        <w:t>龙塔路、黄泥塘路、黄古山路、鸟沙洲路、菱角塘路、萍洲东路、阳明大道、康济大道——南津渡大桥—南津南路和城南路至南津渡大桥等道路，落实规范化</w:t>
      </w:r>
      <w:r>
        <w:rPr>
          <w:rFonts w:hint="eastAsia" w:ascii="仿宋_GB2312" w:hAnsi="仿宋_GB2312" w:eastAsia="仿宋_GB2312" w:cs="仿宋_GB2312"/>
          <w:sz w:val="32"/>
          <w:szCs w:val="32"/>
          <w:lang w:eastAsia="zh-CN"/>
        </w:rPr>
        <w:t>治理措施</w:t>
      </w:r>
      <w:r>
        <w:rPr>
          <w:rFonts w:hint="eastAsia" w:ascii="仿宋_GB2312" w:hAnsi="仿宋_GB2312" w:eastAsia="仿宋_GB2312" w:cs="仿宋_GB2312"/>
          <w:sz w:val="32"/>
          <w:szCs w:val="32"/>
        </w:rPr>
        <w:t>。</w:t>
      </w:r>
      <w:r>
        <w:rPr>
          <w:rFonts w:hint="eastAsia" w:ascii="仿宋_GB2312" w:hAnsi="仿宋_GB2312" w:eastAsia="仿宋_GB2312" w:cs="仿宋_GB2312"/>
          <w:b/>
          <w:bCs/>
          <w:color w:val="000000"/>
          <w:kern w:val="0"/>
          <w:sz w:val="32"/>
          <w:szCs w:val="32"/>
        </w:rPr>
        <w:t>（市城管执法局牵头，市住建局、市生态环境局、市交通运输局、市公安局参与）</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2）扩大道路机械化清扫和洒水范围，增加道路冲洗保洁频次，切实降低道路积尘负荷。到2020年，中心城区城市道路机械化清扫率达到90%以上、县级城市达到80%。城市出入口及城市周边干线公路路段、城区道路能实现机扫的区域基本实现全覆盖。对于机动车通行量大的主干道，把路面积尘情况作为监督考核的主要标准之一。</w:t>
      </w:r>
      <w:r>
        <w:rPr>
          <w:rFonts w:hint="eastAsia" w:ascii="仿宋_GB2312" w:hAnsi="仿宋_GB2312" w:eastAsia="仿宋_GB2312" w:cs="仿宋_GB2312"/>
          <w:b/>
          <w:bCs/>
          <w:color w:val="000000"/>
          <w:kern w:val="0"/>
          <w:sz w:val="32"/>
          <w:szCs w:val="32"/>
        </w:rPr>
        <w:t>（市城管执法局牵头，市住建局、市生态环境局、市交通运输局、市公安局参与）</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（3）加强市区渣土车、混凝土搅拌车、运砂车管理和全面整顿，严查渣土车、混凝土搅拌车、运砂车等各类</w:t>
      </w:r>
      <w:r>
        <w:rPr>
          <w:rFonts w:hint="eastAsia" w:ascii="仿宋_GB2312" w:eastAsia="仿宋_GB2312" w:cs="Times New Roman"/>
          <w:sz w:val="32"/>
          <w:szCs w:val="32"/>
          <w:lang w:eastAsia="zh-CN"/>
        </w:rPr>
        <w:t>施工</w:t>
      </w:r>
      <w:r>
        <w:rPr>
          <w:rFonts w:hint="eastAsia" w:ascii="仿宋_GB2312" w:eastAsia="仿宋_GB2312" w:cs="Times New Roman"/>
          <w:sz w:val="32"/>
          <w:szCs w:val="32"/>
        </w:rPr>
        <w:t>车辆带泥上路</w:t>
      </w:r>
      <w:r>
        <w:rPr>
          <w:rFonts w:hint="eastAsia" w:ascii="仿宋_GB2312" w:eastAsia="仿宋_GB2312" w:cs="Times New Roman"/>
          <w:sz w:val="32"/>
          <w:szCs w:val="32"/>
          <w:lang w:eastAsia="zh-CN"/>
        </w:rPr>
        <w:t>和</w:t>
      </w:r>
      <w:r>
        <w:rPr>
          <w:rFonts w:hint="eastAsia" w:ascii="仿宋_GB2312" w:eastAsia="仿宋_GB2312" w:cs="Times New Roman"/>
          <w:sz w:val="32"/>
          <w:szCs w:val="32"/>
        </w:rPr>
        <w:t>撒漏渣土</w:t>
      </w:r>
      <w:r>
        <w:rPr>
          <w:rFonts w:hint="eastAsia" w:ascii="仿宋_GB2312" w:eastAsia="仿宋_GB2312" w:cs="Times New Roman"/>
          <w:sz w:val="32"/>
          <w:szCs w:val="32"/>
          <w:lang w:eastAsia="zh-CN"/>
        </w:rPr>
        <w:t>的行为</w:t>
      </w:r>
      <w:r>
        <w:rPr>
          <w:rFonts w:hint="eastAsia" w:ascii="仿宋_GB2312" w:eastAsia="仿宋_GB2312" w:cs="Times New Roman"/>
          <w:sz w:val="32"/>
          <w:szCs w:val="32"/>
        </w:rPr>
        <w:t>，严格规范渣土运输线路和运输时间，实施资质管理与备案制度。</w:t>
      </w:r>
      <w:r>
        <w:rPr>
          <w:rFonts w:hint="eastAsia" w:ascii="仿宋_GB2312" w:hAnsi="仿宋_GB2312" w:eastAsia="仿宋_GB2312" w:cs="仿宋_GB2312"/>
          <w:b/>
          <w:bCs/>
          <w:color w:val="000000"/>
          <w:kern w:val="0"/>
          <w:sz w:val="32"/>
          <w:szCs w:val="32"/>
        </w:rPr>
        <w:t>（市城管执法局牵头，市住建局、市生态环境局、市交通运输局、市公安局参与）</w:t>
      </w:r>
    </w:p>
    <w:p>
      <w:pPr>
        <w:pStyle w:val="4"/>
        <w:spacing w:line="560" w:lineRule="exact"/>
        <w:ind w:left="0" w:firstLine="641"/>
        <w:rPr>
          <w:rFonts w:ascii="仿宋_GB2312" w:eastAsia="仿宋_GB2312"/>
          <w:sz w:val="32"/>
        </w:rPr>
      </w:pPr>
      <w:r>
        <w:rPr>
          <w:rFonts w:hint="eastAsia" w:ascii="仿宋_GB2312" w:eastAsia="仿宋_GB2312"/>
          <w:sz w:val="32"/>
        </w:rPr>
        <w:t>开展裸土专项治理</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全面治理主城区及周边裸土裸地，减少由此造成的扬尘污染。对国土储备用地、出让未开发及拆而未建的闲置土地短期（3个月）内闲置的，按标准进行围挡</w:t>
      </w:r>
      <w:r>
        <w:rPr>
          <w:rFonts w:hint="eastAsia" w:ascii="仿宋_GB2312" w:eastAsia="仿宋_GB2312" w:cs="Times New Roman"/>
          <w:sz w:val="32"/>
          <w:szCs w:val="32"/>
          <w:lang w:eastAsia="zh-CN"/>
        </w:rPr>
        <w:t>和覆盖</w:t>
      </w:r>
      <w:r>
        <w:rPr>
          <w:rFonts w:hint="eastAsia" w:ascii="仿宋_GB2312" w:eastAsia="仿宋_GB2312" w:cs="Times New Roman"/>
          <w:sz w:val="32"/>
          <w:szCs w:val="32"/>
        </w:rPr>
        <w:t>，长期闲置（3个月以上）的地块，实行绿化。工业企业空地裸地能硬化的要硬化，不能硬化的实行绿化。城市管理范围内的主次干道、支街背巷、平交道口、商铺门前的裸露地进行全面硬化，道路两侧进行绿化补植。企事业单位庭院及居民社区裸露土地，进行系统的绿化提升和改造。城中村及城区近郊裸露土地实行临时绿化，或调整土地性质，建成广场、游园、引进项目等。施工工地裸露土地，严格执行</w:t>
      </w:r>
      <w:r>
        <w:rPr>
          <w:rFonts w:hint="eastAsia" w:ascii="仿宋_GB2312" w:eastAsia="仿宋_GB2312" w:cs="Times New Roman"/>
          <w:sz w:val="32"/>
          <w:szCs w:val="32"/>
          <w:lang w:eastAsia="zh-CN"/>
        </w:rPr>
        <w:t>施工扬尘防治</w:t>
      </w:r>
      <w:r>
        <w:rPr>
          <w:rFonts w:hint="eastAsia" w:ascii="仿宋_GB2312" w:eastAsia="仿宋_GB2312" w:cs="Times New Roman"/>
          <w:sz w:val="32"/>
          <w:szCs w:val="32"/>
        </w:rPr>
        <w:t>要求，高标准做好降尘抑尘措施。集中开展城区、城郊的荒山荒坡和裸露树坑的调查摸底工作。大力开展植树、栽花、种草等绿化行动，增加林草覆盖率，做到荒山荒坡和各类裸露树坑100%绿化。</w:t>
      </w:r>
      <w:r>
        <w:rPr>
          <w:rFonts w:hint="eastAsia" w:ascii="仿宋_GB2312" w:hAnsi="仿宋_GB2312" w:eastAsia="仿宋_GB2312" w:cs="仿宋_GB2312"/>
          <w:b/>
          <w:bCs/>
          <w:color w:val="000000"/>
          <w:kern w:val="0"/>
          <w:sz w:val="32"/>
          <w:szCs w:val="32"/>
        </w:rPr>
        <w:t>（市自然资源和规划局牵头，市林业局、市城管执法局、市住建局参与）</w:t>
      </w:r>
    </w:p>
    <w:p>
      <w:pPr>
        <w:pStyle w:val="3"/>
        <w:spacing w:line="560" w:lineRule="exact"/>
        <w:ind w:firstLine="482"/>
        <w:rPr>
          <w:rFonts w:ascii="楷体_GB2312" w:eastAsia="楷体_GB2312" w:cs="Times New Roman"/>
          <w:sz w:val="32"/>
        </w:rPr>
      </w:pPr>
      <w:bookmarkStart w:id="37" w:name="_Toc45035994"/>
      <w:r>
        <w:rPr>
          <w:rFonts w:hint="eastAsia" w:ascii="楷体_GB2312" w:eastAsia="楷体_GB2312" w:cs="Times New Roman"/>
          <w:sz w:val="32"/>
        </w:rPr>
        <w:t>（二）深化工业污染治理</w:t>
      </w:r>
      <w:bookmarkEnd w:id="37"/>
    </w:p>
    <w:p>
      <w:pPr>
        <w:pStyle w:val="4"/>
        <w:numPr>
          <w:ilvl w:val="0"/>
          <w:numId w:val="5"/>
        </w:numPr>
        <w:spacing w:line="560" w:lineRule="exact"/>
        <w:ind w:left="0" w:firstLine="641"/>
        <w:rPr>
          <w:rFonts w:ascii="仿宋_GB2312" w:eastAsia="仿宋_GB2312"/>
          <w:sz w:val="32"/>
        </w:rPr>
      </w:pPr>
      <w:r>
        <w:rPr>
          <w:rFonts w:hint="eastAsia" w:ascii="仿宋_GB2312" w:eastAsia="仿宋_GB2312"/>
          <w:sz w:val="32"/>
        </w:rPr>
        <w:t>中心城区重点治理措施</w:t>
      </w:r>
    </w:p>
    <w:p>
      <w:pPr>
        <w:spacing w:line="560" w:lineRule="exact"/>
        <w:ind w:firstLine="643"/>
        <w:rPr>
          <w:rFonts w:ascii="仿宋_GB2312" w:eastAsia="仿宋_GB2312" w:cs="Times New Roman"/>
          <w:b/>
          <w:bCs/>
          <w:sz w:val="32"/>
          <w:szCs w:val="32"/>
        </w:rPr>
      </w:pPr>
      <w:r>
        <w:rPr>
          <w:rFonts w:hint="eastAsia" w:ascii="仿宋_GB2312" w:eastAsia="仿宋_GB2312" w:cs="Times New Roman"/>
          <w:b/>
          <w:bCs/>
          <w:sz w:val="32"/>
          <w:szCs w:val="32"/>
        </w:rPr>
        <w:t>（1）实施工业炉窑深度治理</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参考关于印发《工业炉窑大气污染综合治理方案》的通知（环大气[2019]56号）、《湖南省工业炉窑大气污染综合治理实施方案》中工业炉窑大气污染综合治理方案中工业炉窑大气污染综合治理方案、《关于执行污染物特别排放限值（第一批）的公告》的要求，推进重点行业污染治理升级改造。</w:t>
      </w:r>
      <w:r>
        <w:rPr>
          <w:rFonts w:hint="eastAsia" w:eastAsia="仿宋_GB2312"/>
          <w:b/>
          <w:bCs/>
          <w:color w:val="000000"/>
          <w:sz w:val="32"/>
          <w:szCs w:val="32"/>
        </w:rPr>
        <w:t>（市生态环境局牵头，市工信局、市发改委参与）</w:t>
      </w:r>
    </w:p>
    <w:p>
      <w:pPr>
        <w:spacing w:line="560" w:lineRule="exact"/>
        <w:ind w:firstLine="643"/>
        <w:rPr>
          <w:rFonts w:ascii="仿宋_GB2312" w:eastAsia="仿宋_GB2312" w:cs="Times New Roman"/>
          <w:b/>
          <w:bCs/>
          <w:sz w:val="32"/>
          <w:szCs w:val="32"/>
        </w:rPr>
      </w:pPr>
      <w:r>
        <w:rPr>
          <w:rFonts w:hint="eastAsia" w:ascii="仿宋_GB2312" w:eastAsia="仿宋_GB2312" w:cs="Times New Roman"/>
          <w:b/>
          <w:bCs/>
          <w:sz w:val="32"/>
          <w:szCs w:val="32"/>
        </w:rPr>
        <w:t xml:space="preserve"> 无组织排放控制要求：</w:t>
      </w:r>
      <w:r>
        <w:rPr>
          <w:rFonts w:hint="eastAsia" w:ascii="仿宋_GB2312" w:eastAsia="仿宋_GB2312" w:cs="Times New Roman"/>
          <w:sz w:val="32"/>
          <w:szCs w:val="32"/>
        </w:rPr>
        <w:t>在保障生产安全的前提下，采取密闭、封闭等有效措施，提高废气收集率，产尘点及车间不得有可见烟粉尘外逸。生产工艺产尘点（装置）应采取密闭、封闭或设置集气罩等措施。煤粉、粉煤灰、石灰、除尘灰、脱硫灰等粉状物料应密闭或封闭储存，采用密闭皮带、封闭通廊、管状带式输送机或密闭车厢、真空罐车、气力输送等方式输送。粒状、块状物料应采用入棚入仓或建设防风抑尘网等方式进行储存，粒状物料采用密闭、封闭等方式输送。物料输送过程中产尘点应采取有效抑尘措施。</w:t>
      </w:r>
      <w:r>
        <w:rPr>
          <w:rFonts w:hint="eastAsia" w:eastAsia="仿宋_GB2312"/>
          <w:b/>
          <w:bCs/>
          <w:color w:val="000000"/>
          <w:sz w:val="32"/>
          <w:szCs w:val="32"/>
        </w:rPr>
        <w:t>（市生态环境局牵头，市工信局、市发改委参与）</w:t>
      </w:r>
    </w:p>
    <w:p>
      <w:pPr>
        <w:spacing w:line="560" w:lineRule="exact"/>
        <w:ind w:firstLine="643"/>
        <w:rPr>
          <w:rFonts w:ascii="仿宋_GB2312" w:eastAsia="仿宋_GB2312" w:cs="Times New Roman"/>
          <w:b/>
          <w:bCs/>
          <w:sz w:val="32"/>
          <w:szCs w:val="32"/>
        </w:rPr>
      </w:pPr>
      <w:r>
        <w:rPr>
          <w:rFonts w:hint="eastAsia" w:ascii="仿宋_GB2312" w:eastAsia="仿宋_GB2312" w:cs="Times New Roman"/>
          <w:b/>
          <w:bCs/>
          <w:sz w:val="32"/>
          <w:szCs w:val="32"/>
        </w:rPr>
        <w:t>建立工业炉窑管理台账：</w:t>
      </w:r>
      <w:r>
        <w:rPr>
          <w:rFonts w:hint="eastAsia" w:ascii="仿宋_GB2312" w:eastAsia="仿宋_GB2312" w:cs="Times New Roman"/>
          <w:sz w:val="32"/>
          <w:szCs w:val="32"/>
        </w:rPr>
        <w:t>结合第二次全国污染源普查工作，全面开展工业炉窑拉网式排查，按照“一窑一档”要求分行业和炉窑类型建立详细完善的工业炉窑管理清单，全面掌握工业炉窑使用燃料和原料、治污设施配套建设、标准限值、污染物排放情况等基本信息，实施清单化管理，明确治理要求和时间期限，扎实推进工业炉窑治理。</w:t>
      </w:r>
      <w:r>
        <w:rPr>
          <w:rFonts w:hint="eastAsia" w:eastAsia="仿宋_GB2312"/>
          <w:b/>
          <w:bCs/>
          <w:color w:val="000000"/>
          <w:sz w:val="32"/>
          <w:szCs w:val="32"/>
        </w:rPr>
        <w:t>（市生态环境局牵头，市工信局、市发改委参与）</w:t>
      </w:r>
    </w:p>
    <w:p>
      <w:pPr>
        <w:spacing w:line="560" w:lineRule="exact"/>
        <w:ind w:firstLine="643"/>
        <w:rPr>
          <w:rFonts w:ascii="仿宋_GB2312" w:eastAsia="仿宋_GB2312" w:cs="Times New Roman"/>
          <w:b/>
          <w:bCs/>
          <w:sz w:val="32"/>
          <w:szCs w:val="32"/>
        </w:rPr>
      </w:pPr>
      <w:r>
        <w:rPr>
          <w:rFonts w:hint="eastAsia" w:ascii="仿宋_GB2312" w:eastAsia="仿宋_GB2312" w:cs="Times New Roman"/>
          <w:b/>
          <w:bCs/>
          <w:sz w:val="32"/>
          <w:szCs w:val="32"/>
        </w:rPr>
        <w:t>城市规划区禁止建设建筑砖瓦企业。</w:t>
      </w:r>
      <w:r>
        <w:rPr>
          <w:rFonts w:hint="eastAsia" w:ascii="仿宋_GB2312" w:eastAsia="仿宋_GB2312" w:cs="Times New Roman"/>
          <w:sz w:val="32"/>
          <w:szCs w:val="32"/>
          <w:lang w:eastAsia="zh-CN"/>
        </w:rPr>
        <w:t>城区规划范围内禁止新建砖瓦企业，其他区域</w:t>
      </w:r>
      <w:r>
        <w:rPr>
          <w:rFonts w:hint="eastAsia" w:ascii="仿宋_GB2312" w:eastAsia="仿宋_GB2312" w:cs="Times New Roman"/>
          <w:sz w:val="32"/>
          <w:szCs w:val="32"/>
        </w:rPr>
        <w:t>的砖瓦厂需按要求使用低硫分的燃料，建设或完善干燥及焙烧窑烟气高效除尘、脱硫设施，安装污染物在线监控设施并与</w:t>
      </w:r>
      <w:r>
        <w:rPr>
          <w:rFonts w:hint="eastAsia" w:ascii="仿宋_GB2312" w:eastAsia="仿宋_GB2312" w:cs="Times New Roman"/>
          <w:sz w:val="32"/>
          <w:szCs w:val="32"/>
          <w:lang w:eastAsia="zh-CN"/>
        </w:rPr>
        <w:t>生态环境</w:t>
      </w:r>
      <w:r>
        <w:rPr>
          <w:rFonts w:hint="eastAsia" w:ascii="仿宋_GB2312" w:eastAsia="仿宋_GB2312" w:cs="Times New Roman"/>
          <w:sz w:val="32"/>
          <w:szCs w:val="32"/>
        </w:rPr>
        <w:t>部门联网。原料、燃料破碎及制备成型工序排放的颗粒物、二氧化硫和氮氧化物</w:t>
      </w:r>
      <w:r>
        <w:rPr>
          <w:rFonts w:hint="eastAsia" w:ascii="仿宋_GB2312" w:eastAsia="仿宋_GB2312" w:cs="Times New Roman"/>
          <w:sz w:val="32"/>
          <w:szCs w:val="32"/>
          <w:lang w:eastAsia="zh-CN"/>
        </w:rPr>
        <w:t>应做到稳定达标排放</w:t>
      </w:r>
      <w:r>
        <w:rPr>
          <w:rFonts w:hint="eastAsia" w:ascii="仿宋_GB2312" w:eastAsia="仿宋_GB2312" w:cs="Times New Roman"/>
          <w:sz w:val="32"/>
          <w:szCs w:val="32"/>
        </w:rPr>
        <w:t>。</w:t>
      </w:r>
      <w:r>
        <w:rPr>
          <w:rFonts w:hint="eastAsia" w:eastAsia="仿宋_GB2312"/>
          <w:b/>
          <w:bCs/>
          <w:color w:val="000000"/>
          <w:sz w:val="32"/>
          <w:szCs w:val="32"/>
        </w:rPr>
        <w:t>（市生态环境局牵头，市工信局、市发改委参与）</w:t>
      </w:r>
    </w:p>
    <w:p>
      <w:pPr>
        <w:spacing w:line="560" w:lineRule="exact"/>
        <w:ind w:firstLine="640"/>
        <w:rPr>
          <w:rFonts w:ascii="仿宋_GB2312" w:eastAsia="仿宋_GB2312" w:cs="Times New Roman"/>
          <w:b/>
          <w:bCs/>
          <w:sz w:val="32"/>
          <w:szCs w:val="32"/>
        </w:rPr>
      </w:pPr>
      <w:r>
        <w:rPr>
          <w:rFonts w:hint="eastAsia" w:ascii="仿宋_GB2312" w:eastAsia="仿宋_GB2312" w:cs="Times New Roman"/>
          <w:sz w:val="32"/>
          <w:szCs w:val="32"/>
        </w:rPr>
        <w:t>针对中心城区水泥窑企业（永州市九嶷骄阳水泥有限责任公司）进行提标改造：水泥熟料窑应配备低氮燃烧器，采用分级燃烧等技术，窑头配备高效除尘设施，窑尾配备高效除尘和脱硝设施，窑尾废气二氧化硫不能达标排放的应配备脱硫设施。保证废气净化处理装置应与其对应的生产工艺设备同步运转，并定期检修废气处理装置，保证处理效率，实现达标排放。废气排放执行《水泥工业大气污染物排放标准》（GB4915-2013）中大气污染物特别排放限值；到2021年，</w:t>
      </w:r>
      <w:r>
        <w:rPr>
          <w:rFonts w:hint="eastAsia" w:ascii="仿宋_GB2312" w:eastAsia="仿宋_GB2312" w:cs="Times New Roman"/>
          <w:sz w:val="32"/>
          <w:szCs w:val="32"/>
          <w:lang w:eastAsia="zh-CN"/>
        </w:rPr>
        <w:t>力争</w:t>
      </w:r>
      <w:r>
        <w:rPr>
          <w:rFonts w:hint="eastAsia" w:ascii="仿宋_GB2312" w:eastAsia="仿宋_GB2312" w:cs="Times New Roman"/>
          <w:sz w:val="32"/>
          <w:szCs w:val="32"/>
        </w:rPr>
        <w:t>将氮氧化物排放标准</w:t>
      </w:r>
      <w:r>
        <w:rPr>
          <w:rFonts w:hint="eastAsia" w:ascii="仿宋_GB2312" w:eastAsia="仿宋_GB2312" w:cs="Times New Roman"/>
          <w:sz w:val="32"/>
          <w:szCs w:val="32"/>
          <w:lang w:eastAsia="zh-CN"/>
        </w:rPr>
        <w:t>降低至超低排放限值</w:t>
      </w:r>
      <w:r>
        <w:rPr>
          <w:rFonts w:hint="eastAsia" w:ascii="仿宋_GB2312" w:eastAsia="仿宋_GB2312" w:cs="Times New Roman"/>
          <w:sz w:val="32"/>
          <w:szCs w:val="32"/>
        </w:rPr>
        <w:t>。</w:t>
      </w:r>
      <w:r>
        <w:rPr>
          <w:rFonts w:hint="eastAsia" w:eastAsia="仿宋_GB2312"/>
          <w:b/>
          <w:bCs/>
          <w:color w:val="000000"/>
          <w:sz w:val="32"/>
          <w:szCs w:val="32"/>
        </w:rPr>
        <w:t>（市生态环境局牵头，市工信局、市发改委参与）</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中心城区予以保留的石灰企业永州市开创耐火材料有限公司，石灰窑应配备高效除尘设施，二氧化硫不能达标排放的应配备脱硫设施。耐火材料窑应配备除尘设施；以煤（含煤气）、重油等为燃料以及使用含硫粘结剂，应配备高效脱硫设施；超高温竖窑、回转窑、高温隧道窑应配备脱硝设施。</w:t>
      </w:r>
      <w:r>
        <w:rPr>
          <w:rFonts w:hint="eastAsia" w:eastAsia="仿宋_GB2312"/>
          <w:b/>
          <w:bCs/>
          <w:color w:val="000000"/>
          <w:sz w:val="32"/>
          <w:szCs w:val="32"/>
        </w:rPr>
        <w:t>（市生态环境局牵头，市工信局、市发改委参与）</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中心城区陶瓷企业</w:t>
      </w:r>
      <w:r>
        <w:rPr>
          <w:rFonts w:hint="eastAsia" w:ascii="仿宋_GB2312" w:eastAsia="仿宋_GB2312" w:cs="Times New Roman"/>
          <w:sz w:val="32"/>
          <w:szCs w:val="32"/>
          <w:lang w:eastAsia="zh-CN"/>
        </w:rPr>
        <w:t>应推行</w:t>
      </w:r>
      <w:r>
        <w:rPr>
          <w:rFonts w:hint="eastAsia" w:ascii="仿宋_GB2312" w:eastAsia="仿宋_GB2312" w:cs="Times New Roman"/>
          <w:sz w:val="32"/>
          <w:szCs w:val="32"/>
        </w:rPr>
        <w:t>提标改造，以煤（含煤气）、石油焦、重油等为燃料的炉窑应配备除尘、高效脱硫设施</w:t>
      </w:r>
      <w:r>
        <w:rPr>
          <w:rFonts w:hint="eastAsia" w:ascii="仿宋_GB2312" w:eastAsia="仿宋_GB2312" w:cs="Times New Roman"/>
          <w:sz w:val="32"/>
          <w:szCs w:val="32"/>
          <w:lang w:eastAsia="zh-CN"/>
        </w:rPr>
        <w:t>，</w:t>
      </w:r>
      <w:r>
        <w:rPr>
          <w:rFonts w:hint="eastAsia" w:ascii="仿宋_GB2312" w:eastAsia="仿宋_GB2312" w:cs="Times New Roman"/>
          <w:sz w:val="32"/>
          <w:szCs w:val="32"/>
        </w:rPr>
        <w:t>喷雾干燥塔应配备高效除尘、高效脱硫和脱硝设施。</w:t>
      </w:r>
      <w:r>
        <w:rPr>
          <w:rFonts w:hint="eastAsia" w:eastAsia="仿宋_GB2312"/>
          <w:b/>
          <w:bCs/>
          <w:color w:val="000000"/>
          <w:sz w:val="32"/>
          <w:szCs w:val="32"/>
        </w:rPr>
        <w:t>（市生态环境局牵头，市工信局、市发改委参与）</w:t>
      </w:r>
    </w:p>
    <w:p>
      <w:pPr>
        <w:spacing w:line="560" w:lineRule="exact"/>
        <w:ind w:firstLine="643"/>
        <w:rPr>
          <w:rFonts w:ascii="仿宋_GB2312" w:eastAsia="仿宋_GB2312" w:cs="Times New Roman"/>
          <w:sz w:val="32"/>
          <w:szCs w:val="32"/>
        </w:rPr>
      </w:pPr>
      <w:r>
        <w:rPr>
          <w:rFonts w:hint="eastAsia" w:ascii="仿宋_GB2312" w:eastAsia="仿宋_GB2312" w:cs="Times New Roman"/>
          <w:b/>
          <w:bCs/>
          <w:sz w:val="32"/>
          <w:szCs w:val="32"/>
        </w:rPr>
        <w:t xml:space="preserve"> </w:t>
      </w:r>
      <w:r>
        <w:rPr>
          <w:rFonts w:hint="eastAsia" w:ascii="仿宋_GB2312" w:eastAsia="仿宋_GB2312" w:cs="Times New Roman"/>
          <w:sz w:val="32"/>
          <w:szCs w:val="32"/>
        </w:rPr>
        <w:t>针对中心城区铸造业永州市增明机械有限公司，根据《工业炉窑大气污染综合治理方案》的通知要求，配备高效除尘和脱硫设施。</w:t>
      </w:r>
      <w:r>
        <w:rPr>
          <w:rFonts w:hint="eastAsia" w:eastAsia="仿宋_GB2312"/>
          <w:b/>
          <w:bCs/>
          <w:color w:val="000000"/>
          <w:sz w:val="32"/>
          <w:szCs w:val="32"/>
        </w:rPr>
        <w:t>（市生态环境局牵头，市工信局、市发改委参与）</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中心城区保留的涉高炉企业永州万事达锰业有限公司、永州市零陵利丰冶化有限公司、永州市湘闽锰业有限公司、永州市鸿鑫锰业有限公司，按要求设置煤气净化系统，对煤气进行回收利用；废气排放满足</w:t>
      </w:r>
      <w:r>
        <w:rPr>
          <w:rFonts w:hint="eastAsia" w:ascii="仿宋_GB2312" w:eastAsia="仿宋_GB2312" w:cs="Times New Roman"/>
          <w:sz w:val="32"/>
          <w:szCs w:val="32"/>
          <w:lang w:eastAsia="zh-CN"/>
        </w:rPr>
        <w:t>稳定达标排放要求</w:t>
      </w:r>
      <w:r>
        <w:rPr>
          <w:rFonts w:hint="eastAsia" w:ascii="仿宋_GB2312" w:eastAsia="仿宋_GB2312" w:cs="Times New Roman"/>
          <w:sz w:val="32"/>
          <w:szCs w:val="32"/>
        </w:rPr>
        <w:t>。</w:t>
      </w:r>
      <w:r>
        <w:rPr>
          <w:rFonts w:hint="eastAsia" w:eastAsia="仿宋_GB2312"/>
          <w:b/>
          <w:bCs/>
          <w:color w:val="000000"/>
          <w:sz w:val="32"/>
          <w:szCs w:val="32"/>
        </w:rPr>
        <w:t>（市生态环境局牵头，市工信局、市发改委参与）</w:t>
      </w:r>
    </w:p>
    <w:p>
      <w:pPr>
        <w:spacing w:line="560" w:lineRule="exact"/>
        <w:ind w:firstLine="643"/>
        <w:rPr>
          <w:rFonts w:ascii="仿宋_GB2312" w:eastAsia="仿宋_GB2312" w:cs="Times New Roman"/>
          <w:b/>
          <w:bCs/>
          <w:sz w:val="32"/>
          <w:szCs w:val="32"/>
        </w:rPr>
      </w:pPr>
      <w:r>
        <w:rPr>
          <w:rFonts w:hint="eastAsia" w:ascii="仿宋_GB2312" w:eastAsia="仿宋_GB2312" w:cs="Times New Roman"/>
          <w:b/>
          <w:bCs/>
          <w:sz w:val="32"/>
          <w:szCs w:val="32"/>
        </w:rPr>
        <w:t>（2）加强采石场、搅拌站污染整治</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依法取缔非法采矿、采石和采砂企业，禁止在铁路、公路两侧可视范围内等区域新建砂石等露天矿山建设项目。原则上禁止新建露天矿山建设项目，依法关闭违反资源环境法律法规</w:t>
      </w:r>
      <w:r>
        <w:rPr>
          <w:rFonts w:hint="eastAsia" w:ascii="仿宋_GB2312" w:eastAsia="仿宋_GB2312" w:cs="Times New Roman"/>
          <w:sz w:val="32"/>
          <w:szCs w:val="32"/>
          <w:lang w:eastAsia="zh-CN"/>
        </w:rPr>
        <w:t>和土地利用</w:t>
      </w:r>
      <w:r>
        <w:rPr>
          <w:rFonts w:hint="eastAsia" w:ascii="仿宋_GB2312" w:eastAsia="仿宋_GB2312" w:cs="Times New Roman"/>
          <w:sz w:val="32"/>
          <w:szCs w:val="32"/>
        </w:rPr>
        <w:t>规划，污染环境、破坏生态、乱采滥挖的露天矿山；对污染治理不规范的露天矿山，依法责令停产整治，经相关部门组织验收合格后方可恢复生产，对拒不停产或擅自恢复生产的依法强制关闭；对责任主体灭失的露天矿山，因地制宜加强修复绿化，减少和抑制大气扬尘。全面加强矸石山综合治理，消除自燃和冒烟现象。</w:t>
      </w:r>
      <w:r>
        <w:rPr>
          <w:rFonts w:hint="eastAsia" w:eastAsia="仿宋_GB2312"/>
          <w:b/>
          <w:bCs/>
          <w:color w:val="000000"/>
          <w:sz w:val="32"/>
          <w:szCs w:val="32"/>
        </w:rPr>
        <w:t>（市</w:t>
      </w:r>
      <w:r>
        <w:rPr>
          <w:rFonts w:hint="eastAsia" w:eastAsia="仿宋_GB2312"/>
          <w:b/>
          <w:bCs/>
          <w:color w:val="000000"/>
          <w:sz w:val="32"/>
          <w:szCs w:val="32"/>
          <w:lang w:eastAsia="zh-CN"/>
        </w:rPr>
        <w:t>自然资源和规划局</w:t>
      </w:r>
      <w:r>
        <w:rPr>
          <w:rFonts w:hint="eastAsia" w:eastAsia="仿宋_GB2312"/>
          <w:b/>
          <w:bCs/>
          <w:color w:val="000000"/>
          <w:sz w:val="32"/>
          <w:szCs w:val="32"/>
        </w:rPr>
        <w:t>牵头，市生态环境局、市工信局按职责分别负责）</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推进沥青搅拌站污染治理，城市建成区内禁止建设沥青搅拌站，城市建成区外新建的沥青搅拌站同步建设烟气处理设施，并安装在线监控设施，料场采取封闭式管理并采取防尘、抑尘措施；重点部位规范安装扬尘在线监测设备和布设扬尘自动喷雾系统；已经建成现有的沥青搅拌站在2020年底前完成综合治理，建设烟气治理设施，对料场进行防尘抑尘设施改造，确保有机物以及颗粒物达标排放。</w:t>
      </w:r>
      <w:r>
        <w:rPr>
          <w:rFonts w:hint="eastAsia" w:ascii="仿宋" w:hAnsi="仿宋" w:eastAsia="仿宋" w:cs="仿宋"/>
          <w:b/>
          <w:sz w:val="32"/>
          <w:szCs w:val="32"/>
        </w:rPr>
        <w:t>（市住建局、市工信局牵头，市生态环境局</w:t>
      </w:r>
      <w:r>
        <w:rPr>
          <w:rFonts w:hint="eastAsia" w:ascii="仿宋" w:hAnsi="仿宋" w:eastAsia="仿宋" w:cs="仿宋"/>
          <w:b/>
          <w:bCs/>
          <w:sz w:val="32"/>
          <w:szCs w:val="32"/>
          <w:lang w:eastAsia="zh-CN"/>
        </w:rPr>
        <w:t>参与</w:t>
      </w:r>
      <w:r>
        <w:rPr>
          <w:rFonts w:hint="eastAsia" w:ascii="仿宋" w:hAnsi="仿宋" w:eastAsia="仿宋" w:cs="仿宋"/>
          <w:b/>
          <w:sz w:val="32"/>
          <w:szCs w:val="32"/>
        </w:rPr>
        <w:t>）</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全市混凝土搅拌站做到“六个100%抑尘措施”(主机楼、料仓100%全封闭、安装扬尘在线监测系统100%、场内道路100%硬化、场内100%设置污水收集沉淀利用系统禁止污水外排、场内设置清理搅拌车设施出入场口搅拌车100%全面清洗、混凝土搅拌车罐体卸料口处100%加挂防漏装置)。此外，各预拌混凝土搅拌站须在场内主干道、砂石骨料堆放区等污染源重点部位规范安装扬尘在线监测设备和布设扬尘自动喷雾系统，最迟2021年6月底前建成并完成在线监测系统的联网。混凝土搅拌站应具备相应的资质，12月底前全面完成无资质搅拌站的清理取缔工作并做到“两断三清”。</w:t>
      </w:r>
      <w:r>
        <w:rPr>
          <w:rFonts w:hint="eastAsia" w:ascii="仿宋" w:hAnsi="仿宋" w:eastAsia="仿宋" w:cs="仿宋"/>
          <w:b/>
          <w:sz w:val="32"/>
          <w:szCs w:val="32"/>
        </w:rPr>
        <w:t>（市住建局、市工信局牵头，市生态环境局</w:t>
      </w:r>
      <w:r>
        <w:rPr>
          <w:rFonts w:hint="eastAsia" w:ascii="仿宋" w:hAnsi="仿宋" w:eastAsia="仿宋" w:cs="仿宋"/>
          <w:b/>
          <w:sz w:val="32"/>
          <w:szCs w:val="32"/>
          <w:lang w:eastAsia="zh-CN"/>
        </w:rPr>
        <w:t>参与</w:t>
      </w:r>
      <w:r>
        <w:rPr>
          <w:rFonts w:hint="eastAsia" w:ascii="仿宋" w:hAnsi="仿宋" w:eastAsia="仿宋" w:cs="仿宋"/>
          <w:b/>
          <w:sz w:val="32"/>
          <w:szCs w:val="32"/>
        </w:rPr>
        <w:t>）</w:t>
      </w:r>
    </w:p>
    <w:p>
      <w:pPr>
        <w:spacing w:line="560" w:lineRule="exact"/>
        <w:ind w:firstLine="643"/>
        <w:rPr>
          <w:rFonts w:ascii="仿宋_GB2312" w:eastAsia="仿宋_GB2312" w:cs="Times New Roman"/>
          <w:b/>
          <w:bCs/>
          <w:sz w:val="32"/>
          <w:szCs w:val="32"/>
        </w:rPr>
      </w:pPr>
      <w:r>
        <w:rPr>
          <w:rFonts w:hint="eastAsia" w:ascii="仿宋_GB2312" w:eastAsia="仿宋_GB2312" w:cs="Times New Roman"/>
          <w:b/>
          <w:bCs/>
          <w:sz w:val="32"/>
          <w:szCs w:val="32"/>
        </w:rPr>
        <w:t>（3）持续推进“散乱污”涉气企业整治，淘汰落后产能</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对列入淘汰的涉大气污染物排放散乱污企业，依法依规关停取缔，做到“两断三清”（断水、断电、清除原料、清除产品、清除设备），并进一步清理现场、恢复生态。开展整治“回头看”，实行挂账销号，坚决杜绝已取缔“散乱污”企业异地转移和死灰复燃。</w:t>
      </w:r>
      <w:r>
        <w:rPr>
          <w:rFonts w:hint="eastAsia" w:eastAsia="仿宋_GB2312"/>
          <w:b/>
          <w:bCs/>
          <w:color w:val="000000"/>
          <w:sz w:val="32"/>
          <w:szCs w:val="32"/>
        </w:rPr>
        <w:t>（市工信局牵头，</w:t>
      </w:r>
      <w:r>
        <w:rPr>
          <w:rFonts w:hint="eastAsia" w:ascii="仿宋_GB2312" w:hAnsi="仿宋_GB2312" w:eastAsia="仿宋_GB2312" w:cs="仿宋_GB2312"/>
          <w:b/>
          <w:color w:val="000000"/>
          <w:sz w:val="32"/>
          <w:szCs w:val="32"/>
        </w:rPr>
        <w:t>市发改委、市生态环境局、市市场监管局、市应急管理局、市自然资源和规划局、市公安局、国网永州电力公司参与</w:t>
      </w:r>
      <w:r>
        <w:rPr>
          <w:rFonts w:hint="eastAsia" w:eastAsia="仿宋_GB2312"/>
          <w:b/>
          <w:bCs/>
          <w:color w:val="000000"/>
          <w:sz w:val="32"/>
          <w:szCs w:val="32"/>
        </w:rPr>
        <w:t>）</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依法淘汰污染较大、达不到环保排放要求的水泥、砖瓦窑等企业，做到“上大”与“关小”同步实施，淘汰落后生产能力。</w:t>
      </w:r>
      <w:r>
        <w:rPr>
          <w:rFonts w:hint="eastAsia" w:eastAsia="仿宋_GB2312"/>
          <w:b/>
          <w:bCs/>
          <w:color w:val="000000"/>
          <w:sz w:val="32"/>
          <w:szCs w:val="32"/>
        </w:rPr>
        <w:t>（市工信局牵头，</w:t>
      </w:r>
      <w:r>
        <w:rPr>
          <w:rFonts w:hint="eastAsia" w:ascii="仿宋_GB2312" w:hAnsi="仿宋_GB2312" w:eastAsia="仿宋_GB2312" w:cs="仿宋_GB2312"/>
          <w:b/>
          <w:color w:val="000000"/>
          <w:sz w:val="32"/>
          <w:szCs w:val="32"/>
        </w:rPr>
        <w:t>市发改委、市生态环境局、市市场监管局、市应急管理局、市自然资源和规划局、市公安局、国网永州电力公司参与</w:t>
      </w:r>
      <w:r>
        <w:rPr>
          <w:rFonts w:hint="eastAsia" w:eastAsia="仿宋_GB2312"/>
          <w:b/>
          <w:bCs/>
          <w:color w:val="000000"/>
          <w:sz w:val="32"/>
          <w:szCs w:val="32"/>
        </w:rPr>
        <w:t>）</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严格控制全市砖瓦、水泥、锰矿等产能严重过剩行业的新增产能项目，积极化解水泥、砖瓦、锰矿、有色等过剩行业产能，依法淘汰落后产能。对建成区内污染企业依法开展排查和清理，确保建成区无水泥、砖瓦窑、玻璃、有色金属冶炼等重点污染行业企业和污染排放不能稳定达标的其他企业。</w:t>
      </w:r>
      <w:r>
        <w:rPr>
          <w:rFonts w:hint="eastAsia" w:eastAsia="仿宋_GB2312"/>
          <w:b/>
          <w:bCs/>
          <w:color w:val="000000"/>
          <w:sz w:val="32"/>
          <w:szCs w:val="32"/>
        </w:rPr>
        <w:t>（市工信局牵头，</w:t>
      </w:r>
      <w:r>
        <w:rPr>
          <w:rFonts w:hint="eastAsia" w:ascii="仿宋_GB2312" w:hAnsi="仿宋_GB2312" w:eastAsia="仿宋_GB2312" w:cs="仿宋_GB2312"/>
          <w:b/>
          <w:color w:val="000000"/>
          <w:sz w:val="32"/>
          <w:szCs w:val="32"/>
        </w:rPr>
        <w:t>市发改委、市生态环境局、市市场监管局、市应急管理局、市自然资源和规划局、市公安局、国网永州电力公司参与</w:t>
      </w:r>
      <w:r>
        <w:rPr>
          <w:rFonts w:hint="eastAsia" w:eastAsia="仿宋_GB2312"/>
          <w:b/>
          <w:bCs/>
          <w:color w:val="000000"/>
          <w:sz w:val="32"/>
          <w:szCs w:val="32"/>
        </w:rPr>
        <w:t>）</w:t>
      </w:r>
    </w:p>
    <w:p>
      <w:pPr>
        <w:spacing w:line="560" w:lineRule="exact"/>
        <w:ind w:firstLine="643"/>
        <w:rPr>
          <w:rFonts w:ascii="仿宋_GB2312" w:eastAsia="仿宋_GB2312" w:cs="Times New Roman"/>
          <w:b/>
          <w:bCs/>
          <w:sz w:val="32"/>
          <w:szCs w:val="32"/>
        </w:rPr>
      </w:pPr>
      <w:r>
        <w:rPr>
          <w:rFonts w:hint="eastAsia" w:ascii="仿宋_GB2312" w:eastAsia="仿宋_GB2312" w:cs="Times New Roman"/>
          <w:b/>
          <w:bCs/>
          <w:sz w:val="32"/>
          <w:szCs w:val="32"/>
        </w:rPr>
        <w:t>（4）非建成区砖瓦、水泥行业达标排放</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城市非建成区砖瓦企业，要求全部建设或完善干燥及焙烧窑烟气高效除尘、脱硫设施，安装污染物在线监控设施并与</w:t>
      </w:r>
      <w:r>
        <w:rPr>
          <w:rFonts w:hint="eastAsia" w:ascii="仿宋_GB2312" w:eastAsia="仿宋_GB2312" w:cs="Times New Roman"/>
          <w:sz w:val="32"/>
          <w:szCs w:val="32"/>
          <w:lang w:eastAsia="zh-CN"/>
        </w:rPr>
        <w:t>生态环境</w:t>
      </w:r>
      <w:r>
        <w:rPr>
          <w:rFonts w:hint="eastAsia" w:ascii="仿宋_GB2312" w:eastAsia="仿宋_GB2312" w:cs="Times New Roman"/>
          <w:sz w:val="32"/>
          <w:szCs w:val="32"/>
        </w:rPr>
        <w:t>部门联网。保证人工干燥及焙烧工序的颗粒物、二氧化硫和氮氧化物</w:t>
      </w:r>
      <w:r>
        <w:rPr>
          <w:rFonts w:hint="eastAsia" w:ascii="仿宋_GB2312" w:eastAsia="仿宋_GB2312" w:cs="Times New Roman"/>
          <w:sz w:val="32"/>
          <w:szCs w:val="32"/>
          <w:lang w:eastAsia="zh-CN"/>
        </w:rPr>
        <w:t>稳定达标排放。</w:t>
      </w:r>
      <w:r>
        <w:rPr>
          <w:rFonts w:hint="eastAsia" w:eastAsia="仿宋_GB2312"/>
          <w:b/>
          <w:bCs/>
          <w:color w:val="000000"/>
          <w:sz w:val="32"/>
          <w:szCs w:val="32"/>
        </w:rPr>
        <w:t>（市生态环境局牵头，市工信局、市发改委参与）</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水泥制品企业在各个生产单元需采取有效抑尘措施，控制颗粒物无组织排放。原辅料堆存、储存、输送及转运：各环节实现全封闭，遵循“场地硬化，物料入库，密闭传输，有效降尘、湿法装卸，车辆冲洗、密闭运输”的标准。物料堆存：粉状物料全部密闭储存，其他物料全部封闭储存。产品包装运输：水泥散装采用密闭罐车，散装应采用带抽风口的散装卸料装置，物料装车与除尘设施同步运行；包装车间全封闭，袋装水泥装车点位采用集中通风除尘系统。</w:t>
      </w:r>
      <w:r>
        <w:rPr>
          <w:rFonts w:hint="eastAsia" w:eastAsia="仿宋_GB2312"/>
          <w:b/>
          <w:bCs/>
          <w:color w:val="000000"/>
          <w:sz w:val="32"/>
          <w:szCs w:val="32"/>
        </w:rPr>
        <w:t>（市生态环境局牵头，市工信局、市发改委参与）</w:t>
      </w:r>
    </w:p>
    <w:p>
      <w:pPr>
        <w:spacing w:line="560" w:lineRule="exact"/>
        <w:ind w:firstLine="643"/>
        <w:rPr>
          <w:rFonts w:ascii="仿宋_GB2312" w:eastAsia="仿宋_GB2312" w:cs="Times New Roman"/>
          <w:b/>
          <w:bCs/>
          <w:sz w:val="32"/>
          <w:szCs w:val="32"/>
        </w:rPr>
      </w:pPr>
      <w:r>
        <w:rPr>
          <w:rFonts w:hint="eastAsia" w:ascii="仿宋_GB2312" w:eastAsia="仿宋_GB2312" w:cs="Times New Roman"/>
          <w:b/>
          <w:bCs/>
          <w:sz w:val="32"/>
          <w:szCs w:val="32"/>
        </w:rPr>
        <w:t>（5）涉VOCs行业综合治理</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严格涉及VOCs排放的建设项目环境准入，加强源头控制。新建涉及VOCs排放的工业企业入园区，实行区域内VOCs排放等量削减替代。新、改、扩建涉及VOCs排放项目，从原辅材料和工艺过程大力推广使用低（无）VOCs含量的涂料、有机溶剂、胶黏剂、油墨等原辅材料，配套改进生产工艺。</w:t>
      </w:r>
      <w:r>
        <w:rPr>
          <w:rFonts w:hint="eastAsia" w:eastAsia="仿宋_GB2312"/>
          <w:b/>
          <w:color w:val="000000"/>
          <w:sz w:val="32"/>
          <w:szCs w:val="32"/>
        </w:rPr>
        <w:t>（市生态环境局牵头，市发改委、市工信局参与）</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建立健全涉 VOCs 工业行业排污许可证</w:t>
      </w:r>
      <w:r>
        <w:rPr>
          <w:rFonts w:hint="eastAsia" w:ascii="仿宋_GB2312" w:eastAsia="仿宋_GB2312" w:cs="Times New Roman"/>
          <w:sz w:val="32"/>
          <w:szCs w:val="32"/>
          <w:lang w:eastAsia="zh-CN"/>
        </w:rPr>
        <w:t>管理制度</w:t>
      </w:r>
      <w:r>
        <w:rPr>
          <w:rFonts w:hint="eastAsia" w:ascii="仿宋_GB2312" w:eastAsia="仿宋_GB2312" w:cs="Times New Roman"/>
          <w:sz w:val="32"/>
          <w:szCs w:val="32"/>
        </w:rPr>
        <w:t>。推动在包装印刷、汽车等 VOCs 排放重点行业全面推行排污许可制度。通过排污许可管理，推进VOCs综合治理，落实企业VOCs 源头削减、过程控制和末端治理措施要求，推进企业持证、按证排污，严厉处罚无证和不按证排污行为。逐步淘汰污染物排放超标、治理无望的企业。</w:t>
      </w:r>
      <w:r>
        <w:rPr>
          <w:rFonts w:hint="eastAsia" w:eastAsia="仿宋_GB2312"/>
          <w:b/>
          <w:color w:val="000000"/>
          <w:sz w:val="32"/>
          <w:szCs w:val="32"/>
        </w:rPr>
        <w:t>（市生态环境局牵头，市发改委、市工信局参与）</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推动重点监管企业安装VOCs在线监测设备，确保企业VOCs排放长效稳定达标，风量在5万立方米/小时以上的单个排气口必须安装在线监测设备，风量在5万立方米/小时以下的单个排气口安装用电动态监测系统，对单纯用活性炭治理的需进行技术改造，增加长效处理设施，否则需安装浓度在线监测设备。</w:t>
      </w:r>
      <w:r>
        <w:rPr>
          <w:rFonts w:hint="eastAsia" w:eastAsia="仿宋_GB2312"/>
          <w:b/>
          <w:color w:val="000000"/>
          <w:sz w:val="32"/>
          <w:szCs w:val="32"/>
        </w:rPr>
        <w:t>（市生态环境局牵头，市发改委、市工信局参与）</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根据《挥发性有机物无组织排放控制标准》（GB 37822—2019）要求：（1）企业应建立台账，记录含VOCs原辅材料和含VOCs产品的名称、使用量、回收量、废气量、去向以及VOCs含量等信息。（2）VOCs质量占比大于10%的含VOCs产品，其使用过程应采用密闭设备或在密闭空间操作，废气应排至VOCs废气收集处理系统，无法密闭的，应采取局部气体收集措施，废气应排至VOCs废气收集处理系统。（3）车间或生产设施排气中NMHC初始排放速率≥3kg/h时，应配置VOCs处理设施，处理效率不应低于80%。</w:t>
      </w:r>
      <w:r>
        <w:rPr>
          <w:rFonts w:hint="eastAsia" w:eastAsia="仿宋_GB2312"/>
          <w:b/>
          <w:color w:val="000000"/>
          <w:sz w:val="32"/>
          <w:szCs w:val="32"/>
        </w:rPr>
        <w:t>（市生态环境局牵头，市发改委、市工信局参与）</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此外对重点行业提出以下要求：</w:t>
      </w:r>
    </w:p>
    <w:p>
      <w:pPr>
        <w:spacing w:line="560" w:lineRule="exact"/>
        <w:ind w:firstLine="643"/>
        <w:rPr>
          <w:rFonts w:ascii="仿宋_GB2312" w:eastAsia="仿宋_GB2312" w:cs="Times New Roman"/>
          <w:sz w:val="32"/>
          <w:szCs w:val="32"/>
        </w:rPr>
      </w:pPr>
      <w:r>
        <w:rPr>
          <w:rFonts w:hint="eastAsia" w:ascii="仿宋_GB2312" w:eastAsia="仿宋_GB2312" w:cs="Times New Roman"/>
          <w:b/>
          <w:bCs/>
          <w:sz w:val="32"/>
          <w:szCs w:val="32"/>
        </w:rPr>
        <w:t>工业涂装：</w:t>
      </w:r>
      <w:r>
        <w:rPr>
          <w:rFonts w:hint="eastAsia" w:ascii="仿宋_GB2312" w:eastAsia="仿宋_GB2312" w:cs="Times New Roman"/>
          <w:sz w:val="32"/>
          <w:szCs w:val="32"/>
        </w:rPr>
        <w:t>加快推进工业涂装VOCs治理力度。全面推进工程机械、木质家具、钢结构等制造行业工业涂装VOCs 排放控制。推广先进工艺，实施低VOCs 涂料替代工程。全面实施《表面涂装（汽车制造及维修）挥发性有机物、镍排放标准》（DB43/1356-2017）、《家具制造行业挥发性有机物排放标准》（DB43/1355-2017）等挥发性有机物排放地方标准。2020年底，完成工业涂装VOCs综合治理。</w:t>
      </w:r>
      <w:r>
        <w:rPr>
          <w:rFonts w:hint="eastAsia" w:eastAsia="仿宋_GB2312"/>
          <w:b/>
          <w:color w:val="000000"/>
          <w:sz w:val="32"/>
          <w:szCs w:val="32"/>
        </w:rPr>
        <w:t>（市生态环境局牵头，市发改委、市工信局参与）</w:t>
      </w:r>
    </w:p>
    <w:p>
      <w:pPr>
        <w:spacing w:line="560" w:lineRule="exact"/>
        <w:ind w:firstLine="643"/>
        <w:rPr>
          <w:rFonts w:ascii="仿宋_GB2312" w:eastAsia="仿宋_GB2312" w:cs="Times New Roman"/>
          <w:sz w:val="32"/>
          <w:szCs w:val="32"/>
        </w:rPr>
      </w:pPr>
      <w:r>
        <w:rPr>
          <w:rFonts w:hint="eastAsia" w:ascii="仿宋_GB2312" w:eastAsia="仿宋_GB2312" w:cs="Times New Roman"/>
          <w:b/>
          <w:bCs/>
          <w:sz w:val="32"/>
          <w:szCs w:val="32"/>
        </w:rPr>
        <w:t>制药业：</w:t>
      </w:r>
      <w:r>
        <w:rPr>
          <w:rFonts w:hint="eastAsia" w:ascii="仿宋_GB2312" w:eastAsia="仿宋_GB2312" w:cs="Times New Roman"/>
          <w:sz w:val="32"/>
          <w:szCs w:val="32"/>
        </w:rPr>
        <w:t>按照</w:t>
      </w:r>
      <w:r>
        <w:rPr>
          <w:rFonts w:hint="eastAsia" w:ascii="仿宋_GB2312" w:eastAsia="仿宋_GB2312" w:cs="Times New Roman"/>
          <w:sz w:val="32"/>
          <w:szCs w:val="32"/>
          <w:lang w:eastAsia="zh-CN"/>
        </w:rPr>
        <w:t>行业</w:t>
      </w:r>
      <w:r>
        <w:rPr>
          <w:rFonts w:hint="eastAsia" w:ascii="仿宋_GB2312" w:eastAsia="仿宋_GB2312" w:cs="Times New Roman"/>
          <w:sz w:val="32"/>
          <w:szCs w:val="32"/>
        </w:rPr>
        <w:t>规范治理全市制药行业。废气处理系统应与生产工艺设备同步运行，VOCs燃烧装置除满足标准中的大气污染物排放要求外，还需对排放烟气中的二氧化硫、氮氧化物和二</w:t>
      </w:r>
      <w:r>
        <w:rPr>
          <w:rFonts w:hint="eastAsia" w:ascii="微软雅黑" w:hAnsi="微软雅黑" w:eastAsia="微软雅黑" w:cs="微软雅黑"/>
          <w:sz w:val="32"/>
          <w:szCs w:val="32"/>
        </w:rPr>
        <w:t>噁</w:t>
      </w:r>
      <w:r>
        <w:rPr>
          <w:rFonts w:hint="eastAsia" w:ascii="仿宋_GB2312" w:hAnsi="仿宋_GB2312" w:eastAsia="仿宋_GB2312" w:cs="仿宋_GB2312"/>
          <w:sz w:val="32"/>
          <w:szCs w:val="32"/>
        </w:rPr>
        <w:t>英类进行控制。利用锅炉、工业窑炉、固定焚烧炉焚烧处理有机废气的，应满足相应排放的控制标准要求。</w:t>
      </w:r>
      <w:r>
        <w:rPr>
          <w:rFonts w:hint="eastAsia" w:eastAsia="仿宋_GB2312"/>
          <w:b/>
          <w:color w:val="000000"/>
          <w:sz w:val="32"/>
          <w:szCs w:val="32"/>
        </w:rPr>
        <w:t>（市生态环境局牵头，市发改委、市工信局参与）</w:t>
      </w:r>
    </w:p>
    <w:p>
      <w:pPr>
        <w:spacing w:line="560" w:lineRule="exact"/>
        <w:ind w:firstLine="643"/>
        <w:rPr>
          <w:rFonts w:ascii="仿宋_GB2312" w:eastAsia="仿宋_GB2312" w:cs="Times New Roman"/>
          <w:sz w:val="32"/>
          <w:szCs w:val="32"/>
        </w:rPr>
      </w:pPr>
      <w:r>
        <w:rPr>
          <w:rFonts w:hint="eastAsia" w:ascii="仿宋_GB2312" w:eastAsia="仿宋_GB2312" w:cs="Times New Roman"/>
          <w:b/>
          <w:bCs/>
          <w:sz w:val="32"/>
          <w:szCs w:val="32"/>
        </w:rPr>
        <w:t>包装印刷业：</w:t>
      </w:r>
      <w:r>
        <w:rPr>
          <w:rFonts w:hint="eastAsia" w:ascii="仿宋_GB2312" w:eastAsia="仿宋_GB2312" w:cs="Times New Roman"/>
          <w:sz w:val="32"/>
          <w:szCs w:val="32"/>
        </w:rPr>
        <w:t>响应湖南省发布的《印刷业挥发性有机物排放标准》（DB 43/1357-2017）规范要求。使用低挥发性有机溶剂。新建印刷项目使用低VOCs含量油墨比例不低于90%，使用水性胶黏剂比例不低于95%。现有所有印刷企业低VOCs含量油墨占油墨总用量应达到50%以上，水性胶粘剂用量占总用量应达80%以上。</w:t>
      </w:r>
      <w:r>
        <w:rPr>
          <w:rFonts w:hint="eastAsia" w:eastAsia="仿宋_GB2312"/>
          <w:b/>
          <w:color w:val="000000"/>
          <w:sz w:val="32"/>
          <w:szCs w:val="32"/>
        </w:rPr>
        <w:t>（市生态环境局牵头，市发改委、市工信局参与）</w:t>
      </w:r>
    </w:p>
    <w:p>
      <w:pPr>
        <w:spacing w:line="560" w:lineRule="exact"/>
        <w:ind w:firstLine="643"/>
        <w:rPr>
          <w:rFonts w:ascii="仿宋_GB2312" w:eastAsia="仿宋_GB2312" w:cs="Times New Roman"/>
          <w:sz w:val="32"/>
          <w:szCs w:val="32"/>
        </w:rPr>
      </w:pPr>
      <w:r>
        <w:rPr>
          <w:rFonts w:hint="eastAsia" w:ascii="仿宋_GB2312" w:eastAsia="仿宋_GB2312" w:cs="Times New Roman"/>
          <w:b/>
          <w:bCs/>
          <w:sz w:val="32"/>
          <w:szCs w:val="32"/>
        </w:rPr>
        <w:t>塑料制品制造业：</w:t>
      </w:r>
      <w:r>
        <w:rPr>
          <w:rFonts w:hint="eastAsia" w:ascii="仿宋_GB2312" w:eastAsia="仿宋_GB2312" w:cs="Times New Roman"/>
          <w:sz w:val="32"/>
          <w:szCs w:val="32"/>
        </w:rPr>
        <w:t>VOCs物料储存、转移和输送、工艺过程、设备与管线组件、敞开液面、收集处理系统要求、企业厂区内及周边污染监控要求、污染物监测需满足《挥发性有机物无组织排放控制标准》（GB 37822—2019）要求；此外排气筒高度不应低于15m（因安全考虑或有特殊工艺要求的除外），具体高度以及与周围建筑物的相对高度应根据环境影响评价文件确定。</w:t>
      </w:r>
      <w:r>
        <w:rPr>
          <w:rFonts w:hint="eastAsia" w:eastAsia="仿宋_GB2312"/>
          <w:b/>
          <w:color w:val="000000"/>
          <w:sz w:val="32"/>
          <w:szCs w:val="32"/>
        </w:rPr>
        <w:t>（市生态环境局牵头，市发改委、市工信局参与）</w:t>
      </w:r>
    </w:p>
    <w:p>
      <w:pPr>
        <w:spacing w:line="560" w:lineRule="exact"/>
        <w:ind w:firstLine="643"/>
        <w:rPr>
          <w:rFonts w:ascii="仿宋_GB2312" w:eastAsia="仿宋_GB2312" w:cs="Times New Roman"/>
          <w:sz w:val="32"/>
          <w:szCs w:val="32"/>
        </w:rPr>
      </w:pPr>
      <w:r>
        <w:rPr>
          <w:rFonts w:hint="eastAsia" w:ascii="仿宋_GB2312" w:eastAsia="仿宋_GB2312" w:cs="Times New Roman"/>
          <w:b/>
          <w:bCs/>
          <w:sz w:val="32"/>
          <w:szCs w:val="32"/>
        </w:rPr>
        <w:t>加油站及储油库：</w:t>
      </w:r>
      <w:r>
        <w:rPr>
          <w:rFonts w:hint="eastAsia" w:ascii="仿宋_GB2312" w:eastAsia="仿宋_GB2312" w:cs="Times New Roman"/>
          <w:sz w:val="32"/>
          <w:szCs w:val="32"/>
        </w:rPr>
        <w:t>进一步加大加油站企业挥发性有机物（VOCs）的综合治理力度，全面推广泄漏检测与修复（LDAR）技术。全市加油站和储油库，必须安装油气回收治理装置或设施，符合国家油气污染排放标准要求。年销售汽油量大于5000吨的加油站，推广安装油气回收在线监测设备。</w:t>
      </w:r>
      <w:r>
        <w:rPr>
          <w:rFonts w:hint="eastAsia" w:eastAsia="仿宋_GB2312"/>
          <w:b/>
          <w:color w:val="000000"/>
          <w:sz w:val="32"/>
          <w:szCs w:val="32"/>
        </w:rPr>
        <w:t>（市商务局牵头</w:t>
      </w:r>
      <w:r>
        <w:rPr>
          <w:rFonts w:hint="eastAsia" w:ascii="仿宋_GB2312" w:hAnsi="仿宋_GB2312" w:eastAsia="仿宋_GB2312" w:cs="仿宋_GB2312"/>
          <w:b/>
          <w:bCs/>
          <w:color w:val="000000"/>
          <w:sz w:val="32"/>
          <w:szCs w:val="32"/>
        </w:rPr>
        <w:t>，市生态环境局、市交通运输局参与</w:t>
      </w:r>
      <w:r>
        <w:rPr>
          <w:rFonts w:hint="eastAsia" w:eastAsia="仿宋_GB2312"/>
          <w:b/>
          <w:color w:val="000000"/>
          <w:sz w:val="32"/>
          <w:szCs w:val="32"/>
        </w:rPr>
        <w:t>）</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各区应将加油站油气污染防治设施列入日常环境监督管理范围；要督促企业建立健全油气回收系统运行维护和日常检查制度，建立管理台帐，确保油气污染防治设施正常运行。各监管责任单位根据管理权限，要加强现场巡查监管，每年对其负责监管的加油站或储油库巡查次数不得低于2次，覆盖率达到100%。经营单位必须确保油气污染防治设施正常运行。</w:t>
      </w:r>
      <w:r>
        <w:rPr>
          <w:rFonts w:hint="eastAsia" w:eastAsia="仿宋_GB2312"/>
          <w:b/>
          <w:color w:val="000000"/>
          <w:sz w:val="32"/>
          <w:szCs w:val="32"/>
        </w:rPr>
        <w:t>（市商务局牵头</w:t>
      </w:r>
      <w:r>
        <w:rPr>
          <w:rFonts w:hint="eastAsia" w:ascii="仿宋_GB2312" w:hAnsi="仿宋_GB2312" w:eastAsia="仿宋_GB2312" w:cs="仿宋_GB2312"/>
          <w:b/>
          <w:bCs/>
          <w:color w:val="000000"/>
          <w:sz w:val="32"/>
          <w:szCs w:val="32"/>
        </w:rPr>
        <w:t>，市生态环境局、市交通运输局参与</w:t>
      </w:r>
      <w:r>
        <w:rPr>
          <w:rFonts w:hint="eastAsia" w:eastAsia="仿宋_GB2312"/>
          <w:b/>
          <w:color w:val="000000"/>
          <w:sz w:val="32"/>
          <w:szCs w:val="32"/>
        </w:rPr>
        <w:t>）</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储油库和加油站的油气回收装置年度自检工作由经营单位委托具有相应检测资质的第三方检测机构进行，检测频次为每年1次。对储油库、加油站油气污染防治设施运行情况的年度抽测数量不低于储油库、加油站总数的5%。各区县</w:t>
      </w:r>
      <w:r>
        <w:rPr>
          <w:rFonts w:hint="eastAsia" w:ascii="仿宋_GB2312" w:eastAsia="仿宋_GB2312" w:cs="Times New Roman"/>
          <w:sz w:val="32"/>
          <w:szCs w:val="32"/>
          <w:lang w:eastAsia="zh-CN"/>
        </w:rPr>
        <w:t>生态环境</w:t>
      </w:r>
      <w:r>
        <w:rPr>
          <w:rFonts w:hint="eastAsia" w:ascii="仿宋_GB2312" w:eastAsia="仿宋_GB2312" w:cs="Times New Roman"/>
          <w:sz w:val="32"/>
          <w:szCs w:val="32"/>
        </w:rPr>
        <w:t>部门对加油站的年度抽测数量，按照管理权限不低于所监督管理加油站总数的5%。</w:t>
      </w:r>
      <w:r>
        <w:rPr>
          <w:rFonts w:hint="eastAsia" w:eastAsia="仿宋_GB2312"/>
          <w:b/>
          <w:color w:val="000000"/>
          <w:sz w:val="32"/>
          <w:szCs w:val="32"/>
        </w:rPr>
        <w:t>（市商务局牵头</w:t>
      </w:r>
      <w:r>
        <w:rPr>
          <w:rFonts w:hint="eastAsia" w:ascii="仿宋_GB2312" w:hAnsi="仿宋_GB2312" w:eastAsia="仿宋_GB2312" w:cs="仿宋_GB2312"/>
          <w:b/>
          <w:bCs/>
          <w:color w:val="000000"/>
          <w:sz w:val="32"/>
          <w:szCs w:val="32"/>
        </w:rPr>
        <w:t>，市生态环境局、市交通运输局参与</w:t>
      </w:r>
      <w:r>
        <w:rPr>
          <w:rFonts w:hint="eastAsia" w:eastAsia="仿宋_GB2312"/>
          <w:b/>
          <w:color w:val="000000"/>
          <w:sz w:val="32"/>
          <w:szCs w:val="32"/>
        </w:rPr>
        <w:t>）</w:t>
      </w:r>
    </w:p>
    <w:p>
      <w:pPr>
        <w:spacing w:line="560" w:lineRule="exact"/>
        <w:ind w:firstLine="643"/>
        <w:rPr>
          <w:rFonts w:ascii="仿宋_GB2312" w:eastAsia="仿宋_GB2312" w:cs="Times New Roman"/>
          <w:sz w:val="32"/>
          <w:szCs w:val="32"/>
        </w:rPr>
      </w:pPr>
      <w:r>
        <w:rPr>
          <w:rFonts w:hint="eastAsia" w:ascii="仿宋_GB2312" w:eastAsia="仿宋_GB2312" w:cs="Times New Roman"/>
          <w:b/>
          <w:bCs/>
          <w:sz w:val="32"/>
          <w:szCs w:val="32"/>
        </w:rPr>
        <w:t>汽修业：</w:t>
      </w:r>
      <w:r>
        <w:rPr>
          <w:rFonts w:hint="eastAsia" w:ascii="仿宋_GB2312" w:eastAsia="仿宋_GB2312" w:cs="Times New Roman"/>
          <w:sz w:val="32"/>
          <w:szCs w:val="32"/>
        </w:rPr>
        <w:t>在喷涂和补漆工序中，除面漆（喷涂光油）外，推广使用符合《汽车涂料中有害物质限量》规定的VOCs含量低的原辅材料（如水性涂料、高固体份涂料）。调漆、喷漆、烤漆、烘干等工序须在密闭喷漆车间内进行，并做好废气收集处理工作，确保废气稳定达标排放。汽车维修打磨等过程，配套粉尘及挥发性有机物的收集处理设施。对有环保手续、营业执照的汽修企业，2021年底前配备有效废气收集处理设施，并确保处理设施正常运行，污染物排放达到湖南省《表面涂装（汽车制造及维修）挥发性有机物、镍排放标准》（DB43/1356-2017）。推动有条件的区县汽修行业转型升级，明确规定不同类型汽修店的服务功能，选择正规合法场地，集中规划布局，各区2021年底前至少完成一个以上汽修共享喷漆中心。鼓励使用油性涂料涂装作业工序进入集中喷涂中心进行。露天和敞开式汽修喷涂作业企业限期整改，整改后仍达不到要求的，进行取缔。</w:t>
      </w:r>
      <w:r>
        <w:rPr>
          <w:rFonts w:hint="eastAsia" w:eastAsia="仿宋_GB2312"/>
          <w:b/>
          <w:color w:val="000000"/>
          <w:sz w:val="32"/>
          <w:szCs w:val="32"/>
        </w:rPr>
        <w:t>（</w:t>
      </w:r>
      <w:r>
        <w:rPr>
          <w:rFonts w:hint="eastAsia" w:ascii="仿宋_GB2312" w:hAnsi="仿宋_GB2312" w:eastAsia="仿宋_GB2312" w:cs="仿宋_GB2312"/>
          <w:b/>
          <w:bCs/>
          <w:color w:val="000000"/>
          <w:sz w:val="32"/>
          <w:szCs w:val="32"/>
        </w:rPr>
        <w:t>市交通运输局</w:t>
      </w:r>
      <w:r>
        <w:rPr>
          <w:rFonts w:hint="eastAsia" w:eastAsia="仿宋_GB2312"/>
          <w:b/>
          <w:color w:val="000000"/>
          <w:sz w:val="32"/>
          <w:szCs w:val="32"/>
        </w:rPr>
        <w:t>牵头</w:t>
      </w:r>
      <w:r>
        <w:rPr>
          <w:rFonts w:hint="eastAsia" w:ascii="仿宋_GB2312" w:hAnsi="仿宋_GB2312" w:eastAsia="仿宋_GB2312" w:cs="仿宋_GB2312"/>
          <w:b/>
          <w:bCs/>
          <w:color w:val="000000"/>
          <w:sz w:val="32"/>
          <w:szCs w:val="32"/>
        </w:rPr>
        <w:t>，</w:t>
      </w:r>
      <w:r>
        <w:rPr>
          <w:rFonts w:hint="eastAsia" w:eastAsia="仿宋_GB2312"/>
          <w:b/>
          <w:color w:val="000000"/>
          <w:sz w:val="32"/>
          <w:szCs w:val="32"/>
        </w:rPr>
        <w:t>市生态环境局</w:t>
      </w:r>
      <w:r>
        <w:rPr>
          <w:rFonts w:hint="eastAsia" w:ascii="仿宋_GB2312" w:hAnsi="仿宋_GB2312" w:eastAsia="仿宋_GB2312" w:cs="仿宋_GB2312"/>
          <w:b/>
          <w:bCs/>
          <w:color w:val="000000"/>
          <w:sz w:val="32"/>
          <w:szCs w:val="32"/>
        </w:rPr>
        <w:t>参与</w:t>
      </w:r>
      <w:r>
        <w:rPr>
          <w:rFonts w:hint="eastAsia" w:eastAsia="仿宋_GB2312"/>
          <w:b/>
          <w:color w:val="000000"/>
          <w:sz w:val="32"/>
          <w:szCs w:val="32"/>
        </w:rPr>
        <w:t>）</w:t>
      </w:r>
    </w:p>
    <w:p>
      <w:pPr>
        <w:pStyle w:val="4"/>
        <w:spacing w:line="560" w:lineRule="exact"/>
        <w:ind w:left="0" w:firstLine="641"/>
        <w:rPr>
          <w:rFonts w:ascii="仿宋_GB2312" w:eastAsia="仿宋_GB2312"/>
          <w:sz w:val="32"/>
        </w:rPr>
      </w:pPr>
      <w:r>
        <w:rPr>
          <w:rFonts w:hint="eastAsia" w:ascii="仿宋_GB2312" w:eastAsia="仿宋_GB2312"/>
          <w:sz w:val="32"/>
        </w:rPr>
        <w:t>各县区重点治理措施</w:t>
      </w:r>
    </w:p>
    <w:p>
      <w:pPr>
        <w:spacing w:line="560" w:lineRule="exact"/>
        <w:ind w:firstLine="643"/>
        <w:rPr>
          <w:rFonts w:ascii="仿宋_GB2312" w:eastAsia="仿宋_GB2312" w:cs="Times New Roman"/>
          <w:b/>
          <w:bCs/>
          <w:sz w:val="32"/>
          <w:szCs w:val="32"/>
        </w:rPr>
      </w:pPr>
      <w:r>
        <w:rPr>
          <w:rFonts w:hint="eastAsia" w:ascii="仿宋_GB2312" w:eastAsia="仿宋_GB2312" w:cs="Times New Roman"/>
          <w:b/>
          <w:bCs/>
          <w:sz w:val="32"/>
          <w:szCs w:val="32"/>
        </w:rPr>
        <w:t>（1）强化各县区传统污染企业治理</w:t>
      </w:r>
    </w:p>
    <w:p>
      <w:pPr>
        <w:spacing w:line="560" w:lineRule="exact"/>
        <w:ind w:firstLine="643"/>
        <w:rPr>
          <w:rFonts w:ascii="仿宋_GB2312" w:eastAsia="仿宋_GB2312" w:cs="Times New Roman"/>
          <w:sz w:val="32"/>
          <w:szCs w:val="32"/>
        </w:rPr>
      </w:pPr>
      <w:r>
        <w:rPr>
          <w:rFonts w:hint="eastAsia" w:ascii="仿宋_GB2312" w:eastAsia="仿宋_GB2312" w:cs="Times New Roman"/>
          <w:b/>
          <w:bCs/>
          <w:sz w:val="32"/>
          <w:szCs w:val="32"/>
        </w:rPr>
        <w:t>水泥行业：</w:t>
      </w:r>
      <w:r>
        <w:rPr>
          <w:rFonts w:hint="eastAsia" w:ascii="仿宋_GB2312" w:eastAsia="仿宋_GB2312" w:cs="Times New Roman"/>
          <w:sz w:val="32"/>
          <w:szCs w:val="32"/>
        </w:rPr>
        <w:t>6家水泥制造企业（祁阳县的海螺水泥责任公司、东安县的永州红狮水泥有限公司、道县的华新水泥有限公司、江华瑶族自治县的海螺水泥有限公司、宁远县的永州莲花水泥有限责任公司、新田县的南峰水泥有限公司）严格执行《水泥工业大气污染物排放标准》（GB4915-2013）中大气污染物特别排放限值，水泥窑及窑尾余热利用系统的废气在基准氧含量10%的条件下，颗粒物、二氧化硫、氮氧化物排放浓度要分别不高于20毫克/立方米、100毫克/立方米、320毫克/立方米。保证废气净化处理装置应与其对应的生产工艺设备同步运转，并定期检修废气处理装置，保证处理效率，实现达标排放。</w:t>
      </w:r>
      <w:r>
        <w:rPr>
          <w:rFonts w:hint="eastAsia" w:eastAsia="仿宋_GB2312"/>
          <w:b/>
          <w:bCs/>
          <w:color w:val="000000"/>
          <w:sz w:val="32"/>
          <w:szCs w:val="32"/>
        </w:rPr>
        <w:t>（市生态环境局牵头，市工信局、市发改委参与）</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水泥行业在各个生产单元采取有效抑尘措施，控制颗粒物无组织排放。矿山开采：矿山机械钻孔机应配置除尘器或其他有效降尘措施；矿山爆破采用微差爆破等扬尘较低的爆破技术，爆堆应喷水；运矿道路应进行适当硬化并定期洒水，道路两旁进行绿化；运输皮带封闭，矿石厂外汽运车辆应采用封闭或覆盖等抑尘措施；石灰石转载、下料口等产尘点应设置集气罩并配备高效袋式除尘器。原辅料堆存、储存、输送及转运：各环节实现全封闭，遵循“场地硬化，物料入库，密闭传输，有效降尘、湿法装卸，车辆冲洗、密闭运输”的标准；产品包装运输：水泥散装采用密闭罐车，散装应采用带抽风口的散装卸料装置，物料装车与除尘设施同步运行；包装车间全封闭，袋装水泥装车点位采用集中通风除尘系统。</w:t>
      </w:r>
      <w:r>
        <w:rPr>
          <w:rFonts w:hint="eastAsia" w:eastAsia="仿宋_GB2312"/>
          <w:b/>
          <w:bCs/>
          <w:color w:val="000000"/>
          <w:sz w:val="32"/>
          <w:szCs w:val="32"/>
        </w:rPr>
        <w:t>（市生态环境局牵头，市工信局、市发改委参与）</w:t>
      </w:r>
    </w:p>
    <w:p>
      <w:pPr>
        <w:spacing w:line="560" w:lineRule="exact"/>
        <w:ind w:firstLine="643"/>
        <w:rPr>
          <w:rFonts w:ascii="仿宋_GB2312" w:eastAsia="仿宋_GB2312" w:cs="Times New Roman"/>
          <w:sz w:val="32"/>
          <w:szCs w:val="32"/>
        </w:rPr>
      </w:pPr>
      <w:r>
        <w:rPr>
          <w:rFonts w:hint="eastAsia" w:ascii="仿宋_GB2312" w:eastAsia="仿宋_GB2312" w:cs="Times New Roman"/>
          <w:b/>
          <w:bCs/>
          <w:sz w:val="32"/>
          <w:szCs w:val="32"/>
        </w:rPr>
        <w:t>砖瓦行业：</w:t>
      </w:r>
      <w:r>
        <w:rPr>
          <w:rFonts w:hint="eastAsia" w:ascii="仿宋_GB2312" w:eastAsia="仿宋_GB2312" w:cs="Times New Roman"/>
          <w:sz w:val="32"/>
          <w:szCs w:val="32"/>
        </w:rPr>
        <w:t>各县区的烧制砖瓦厂要使用低硫分的燃料，并全面配套建设烟气脱硫除尘设施，安装污染物在线监控设施并与</w:t>
      </w:r>
      <w:r>
        <w:rPr>
          <w:rFonts w:hint="eastAsia" w:ascii="仿宋_GB2312" w:eastAsia="仿宋_GB2312" w:cs="Times New Roman"/>
          <w:sz w:val="32"/>
          <w:szCs w:val="32"/>
          <w:lang w:eastAsia="zh-CN"/>
        </w:rPr>
        <w:t>生态环境</w:t>
      </w:r>
      <w:r>
        <w:rPr>
          <w:rFonts w:hint="eastAsia" w:ascii="仿宋_GB2312" w:eastAsia="仿宋_GB2312" w:cs="Times New Roman"/>
          <w:sz w:val="32"/>
          <w:szCs w:val="32"/>
        </w:rPr>
        <w:t>部门联网。必须全部建设或完善干燥及焙烧窑烟气除尘、脱硫设施，原料、燃料破碎及制备成型工序排放的颗粒物、二氧化硫和氮氧化物执行《砖瓦工业大气污染物排放标准》（GB 29620-2013）排放限值要求。干燥室、焙烧窑烟气需有组织收集，经污染治理设施处理后经排气筒排放，排气筒高度一律不得低于15m。</w:t>
      </w:r>
      <w:r>
        <w:rPr>
          <w:rFonts w:hint="eastAsia" w:eastAsia="仿宋_GB2312"/>
          <w:b/>
          <w:bCs/>
          <w:color w:val="000000"/>
          <w:sz w:val="32"/>
          <w:szCs w:val="32"/>
        </w:rPr>
        <w:t>（市生态环境局牵头，市工信局、市发改委参与）</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原辅料制备过程严控无组织排放：原煤、块石、粘湿物料等料场应采用封闭、半封闭料场（仓、库、棚），或四周设置防风抑尘网、挡风墙，或采取覆盖等抑尘措施，防风抑尘网、挡风墙高度不低于堆存物料高度的1.1倍；粉状物料应密闭输送，其他物料输送应在转运点设置集气罩，并配备除尘设施；原料的粉碎、筛分、配料、混合搅拌、制备等工序，均应采用封闭式作业，并配备除尘设施；除尘器应设置密闭灰仓及时卸灰，除尘灰不落地。减少地面积尘，保持厂区清洁：车辆驶离厂区时应清洗车轮、清洁车身；厂区道路、原料堆放路面应硬化，定期清扫、洒水清洁。</w:t>
      </w:r>
      <w:r>
        <w:rPr>
          <w:rFonts w:hint="eastAsia" w:eastAsia="仿宋_GB2312"/>
          <w:b/>
          <w:bCs/>
          <w:color w:val="000000"/>
          <w:sz w:val="32"/>
          <w:szCs w:val="32"/>
        </w:rPr>
        <w:t>（市生态环境局牵头，市工信局、市发改委参与）</w:t>
      </w:r>
    </w:p>
    <w:p>
      <w:pPr>
        <w:spacing w:line="560" w:lineRule="exact"/>
        <w:ind w:firstLine="643"/>
        <w:rPr>
          <w:rFonts w:ascii="仿宋_GB2312" w:eastAsia="仿宋_GB2312" w:cs="Times New Roman"/>
          <w:sz w:val="32"/>
          <w:szCs w:val="32"/>
        </w:rPr>
      </w:pPr>
      <w:r>
        <w:rPr>
          <w:rFonts w:hint="eastAsia" w:ascii="仿宋_GB2312" w:eastAsia="仿宋_GB2312" w:cs="Times New Roman"/>
          <w:b/>
          <w:bCs/>
          <w:sz w:val="32"/>
          <w:szCs w:val="32"/>
        </w:rPr>
        <w:t>采矿行业：</w:t>
      </w:r>
      <w:r>
        <w:rPr>
          <w:rFonts w:hint="eastAsia" w:ascii="仿宋_GB2312" w:eastAsia="仿宋_GB2312" w:cs="Times New Roman"/>
          <w:sz w:val="32"/>
          <w:szCs w:val="32"/>
        </w:rPr>
        <w:t>各个县区正在生产的各种规模采矿场合计95家左右，占全市78%，露天采矿场在钻机穿孔、爆破和二次破碎、铲装、汽车运输、汽车卸载和破碎等生产过程中都会产生大量的粉尘，具有产尘点多、产尘量大、空气含尘浓度高、分散度高等特点，需要在多个生产环节控制粉尘的无组织排放，建议进一步规范行业生产过程中的粉尘治理措施。钻孔机应配置除尘器，爆破作业时采用合理的炮孔网度、微差爆破技术以及空气间隔装药，运输路面应适当硬化并定期洒水，破碎机或粉碎机的投料口</w:t>
      </w:r>
      <w:r>
        <w:rPr>
          <w:rFonts w:hint="eastAsia" w:ascii="微软雅黑" w:hAnsi="微软雅黑" w:eastAsia="微软雅黑" w:cs="微软雅黑"/>
          <w:sz w:val="32"/>
          <w:szCs w:val="32"/>
        </w:rPr>
        <w:t>﹑</w:t>
      </w:r>
      <w:r>
        <w:rPr>
          <w:rFonts w:hint="eastAsia" w:ascii="仿宋_GB2312" w:hAnsi="仿宋_GB2312" w:eastAsia="仿宋_GB2312" w:cs="仿宋_GB2312"/>
          <w:sz w:val="32"/>
          <w:szCs w:val="32"/>
        </w:rPr>
        <w:t>出料口、振动筛上部以及带式输送机转运点等部位加装密闭装置或集尘罩，破碎加工场地应设置多台喷雾机进行喷雾降尘。</w:t>
      </w:r>
      <w:r>
        <w:rPr>
          <w:rFonts w:hint="eastAsia" w:eastAsia="仿宋_GB2312"/>
          <w:b/>
          <w:bCs/>
          <w:color w:val="000000"/>
          <w:sz w:val="32"/>
          <w:szCs w:val="32"/>
        </w:rPr>
        <w:t>（市自然资源和规划局牵头，市生态环境局、市住建局、市工信局按职责分别负责）</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2020年底前，依法取缔非法采矿、采石和采砂企业，禁止在铁路、公路两侧可视范围内等区域新建砂石等露天矿山建设项目。原则上禁止新建露天矿山建设项目，依法关闭违反资源环境法律法规、规划，污染环境、破坏生态、乱采滥挖的露天矿山；对污染治理不规范的露天矿山，依法责令停产整治，经相关部门组织验收合格后方可恢复生产，对拒不停产或擅自恢复生产的依法强制关闭；对责任主体灭失的露天矿山，因地制宜加强修复绿化，减少和抑制大气扬尘。全面加强矸石山综合治理，消除自燃和冒烟现象。</w:t>
      </w:r>
      <w:r>
        <w:rPr>
          <w:rFonts w:hint="eastAsia" w:eastAsia="仿宋_GB2312"/>
          <w:b/>
          <w:bCs/>
          <w:color w:val="000000"/>
          <w:sz w:val="32"/>
          <w:szCs w:val="32"/>
        </w:rPr>
        <w:t>（市自然资源和规划局牵头，市生态环境局、市住建局、市工信局按职责分别负责）</w:t>
      </w:r>
    </w:p>
    <w:p>
      <w:pPr>
        <w:spacing w:line="560" w:lineRule="exact"/>
        <w:ind w:firstLine="643"/>
        <w:rPr>
          <w:rFonts w:ascii="仿宋_GB2312" w:eastAsia="仿宋_GB2312" w:cs="Times New Roman"/>
          <w:b/>
          <w:bCs/>
          <w:sz w:val="32"/>
          <w:szCs w:val="32"/>
        </w:rPr>
      </w:pPr>
      <w:r>
        <w:rPr>
          <w:rFonts w:hint="eastAsia" w:ascii="仿宋_GB2312" w:eastAsia="仿宋_GB2312" w:cs="Times New Roman"/>
          <w:b/>
          <w:bCs/>
          <w:sz w:val="32"/>
          <w:szCs w:val="32"/>
        </w:rPr>
        <w:t>（2）实施祁阳县生物质发电超低排放</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祁阳县凯迪绿色能源开发有限公司（生物质电厂）2020年6月底前完成机组脱硝改造。同时完成安装大气污染物自动监测设施，并与</w:t>
      </w:r>
      <w:r>
        <w:rPr>
          <w:rFonts w:hint="eastAsia" w:ascii="仿宋_GB2312" w:eastAsia="仿宋_GB2312" w:cs="Times New Roman"/>
          <w:sz w:val="32"/>
          <w:szCs w:val="32"/>
          <w:lang w:eastAsia="zh-CN"/>
        </w:rPr>
        <w:t>生态环境</w:t>
      </w:r>
      <w:r>
        <w:rPr>
          <w:rFonts w:hint="eastAsia" w:ascii="仿宋_GB2312" w:eastAsia="仿宋_GB2312" w:cs="Times New Roman"/>
          <w:sz w:val="32"/>
          <w:szCs w:val="32"/>
        </w:rPr>
        <w:t>部门联网。</w:t>
      </w:r>
      <w:r>
        <w:rPr>
          <w:rFonts w:hint="eastAsia" w:eastAsia="仿宋_GB2312"/>
          <w:b/>
          <w:bCs/>
          <w:color w:val="000000"/>
          <w:sz w:val="32"/>
          <w:szCs w:val="32"/>
        </w:rPr>
        <w:t>（市生态环境局牵头，市工信局、市发改委参与）</w:t>
      </w:r>
    </w:p>
    <w:p>
      <w:pPr>
        <w:spacing w:line="560" w:lineRule="exact"/>
        <w:ind w:firstLine="643"/>
        <w:rPr>
          <w:rFonts w:ascii="仿宋_GB2312" w:eastAsia="仿宋_GB2312" w:cs="Times New Roman"/>
          <w:b/>
          <w:bCs/>
          <w:sz w:val="32"/>
          <w:szCs w:val="32"/>
        </w:rPr>
      </w:pPr>
      <w:r>
        <w:rPr>
          <w:rFonts w:hint="eastAsia" w:ascii="仿宋_GB2312" w:eastAsia="仿宋_GB2312" w:cs="Times New Roman"/>
          <w:b/>
          <w:bCs/>
          <w:sz w:val="32"/>
          <w:szCs w:val="32"/>
        </w:rPr>
        <w:t>（3）推动祁阳县铸造、陶粒及石灰行业整治</w:t>
      </w:r>
    </w:p>
    <w:p>
      <w:pPr>
        <w:spacing w:line="560" w:lineRule="exact"/>
        <w:ind w:firstLine="643"/>
        <w:rPr>
          <w:rFonts w:ascii="仿宋_GB2312" w:eastAsia="仿宋_GB2312" w:cs="Times New Roman"/>
          <w:sz w:val="32"/>
          <w:szCs w:val="32"/>
        </w:rPr>
      </w:pPr>
      <w:r>
        <w:rPr>
          <w:rFonts w:hint="eastAsia" w:ascii="仿宋_GB2312" w:eastAsia="仿宋_GB2312" w:cs="Times New Roman"/>
          <w:b/>
          <w:bCs/>
          <w:sz w:val="32"/>
          <w:szCs w:val="32"/>
        </w:rPr>
        <w:t>铸造行业：</w:t>
      </w:r>
      <w:r>
        <w:rPr>
          <w:rFonts w:hint="eastAsia" w:ascii="仿宋_GB2312" w:eastAsia="仿宋_GB2312" w:cs="Times New Roman"/>
          <w:sz w:val="32"/>
          <w:szCs w:val="32"/>
        </w:rPr>
        <w:t>根据《工业炉窑大气污染综合治理方案》的通知要求，加快推动铸造（10吨/小时及以下）行业冲天炉改为电炉，冲天炉应配备袋式除尘、滤筒除尘等高效除尘和脱硫设施，中频感应电炉应配备袋式等高效除尘设施。铸造行业烧结机排气筒颗粒物、二氧化硫、氮氧化物排放限值分别为50、200、300毫克/立方米；高炉排气筒颗粒物、二氧化硫、氮氧化物排放限值分别为20、100、300毫克/立方米；电炉、精炼炉颗粒物排放限值为20毫克/立方米。</w:t>
      </w:r>
      <w:r>
        <w:rPr>
          <w:rFonts w:hint="eastAsia" w:eastAsia="仿宋_GB2312"/>
          <w:b/>
          <w:bCs/>
          <w:color w:val="000000"/>
          <w:sz w:val="32"/>
          <w:szCs w:val="32"/>
        </w:rPr>
        <w:t>（市生态环境局牵头，市工信局、市发改委参与）</w:t>
      </w:r>
    </w:p>
    <w:p>
      <w:pPr>
        <w:spacing w:line="560" w:lineRule="exact"/>
        <w:ind w:firstLine="643"/>
        <w:rPr>
          <w:rFonts w:ascii="仿宋_GB2312" w:eastAsia="仿宋_GB2312" w:cs="Times New Roman"/>
          <w:sz w:val="32"/>
          <w:szCs w:val="32"/>
        </w:rPr>
      </w:pPr>
      <w:r>
        <w:rPr>
          <w:rFonts w:hint="eastAsia" w:ascii="仿宋_GB2312" w:eastAsia="仿宋_GB2312" w:cs="Times New Roman"/>
          <w:b/>
          <w:bCs/>
          <w:sz w:val="32"/>
          <w:szCs w:val="32"/>
        </w:rPr>
        <w:t>陶粒行业：</w:t>
      </w:r>
      <w:r>
        <w:rPr>
          <w:rFonts w:hint="eastAsia" w:ascii="仿宋_GB2312" w:eastAsia="仿宋_GB2312" w:cs="Times New Roman"/>
          <w:sz w:val="32"/>
          <w:szCs w:val="32"/>
        </w:rPr>
        <w:t>祁阳县现有陶粒企业的人工干燥及焙烧工段应配备完善的脱硫脱硝除尘处理设施，建议有条件的企业使用将炉窑燃料从煤炭更改为天然气，进一步减少污染物的排放。</w:t>
      </w:r>
      <w:r>
        <w:rPr>
          <w:rFonts w:hint="eastAsia" w:eastAsia="仿宋_GB2312"/>
          <w:b/>
          <w:bCs/>
          <w:color w:val="000000"/>
          <w:sz w:val="32"/>
          <w:szCs w:val="32"/>
        </w:rPr>
        <w:t>（市生态环境局牵头，市工信局、市发改委参与）</w:t>
      </w:r>
    </w:p>
    <w:p>
      <w:pPr>
        <w:spacing w:line="560" w:lineRule="exact"/>
        <w:ind w:firstLine="643"/>
        <w:rPr>
          <w:rFonts w:ascii="仿宋_GB2312" w:eastAsia="仿宋_GB2312" w:cs="Times New Roman"/>
          <w:sz w:val="32"/>
          <w:szCs w:val="32"/>
        </w:rPr>
      </w:pPr>
      <w:r>
        <w:rPr>
          <w:rFonts w:hint="eastAsia" w:ascii="仿宋_GB2312" w:eastAsia="仿宋_GB2312" w:cs="Times New Roman"/>
          <w:b/>
          <w:bCs/>
          <w:sz w:val="32"/>
          <w:szCs w:val="32"/>
        </w:rPr>
        <w:t>石灰窑：</w:t>
      </w:r>
      <w:r>
        <w:rPr>
          <w:rFonts w:hint="eastAsia" w:ascii="仿宋_GB2312" w:eastAsia="仿宋_GB2312" w:cs="Times New Roman"/>
          <w:sz w:val="32"/>
          <w:szCs w:val="32"/>
        </w:rPr>
        <w:t>参考国家发改委《产业结构调整指导目录》，逐步淘汰“没有配备石灰石和燃料计量设施的各种石灰立窑、敞开式窑顶及窑顶没有配备机械化布料设施的石灰立窑、窑顶烟气没有配备收尘设施或除尘仅采用重力法及水膜湿法的石灰立窑、窑底没有封闭及没有配备机械化卸灰实施的石灰立窑、窑底没有配备机械鼓风实施的石灰立窑”等5类石灰企业。坚决淘汰石灰土立窑及其他能耗、污染物排放、产品质量不达标的落后产能，推荐并鼓励采用节能技术。</w:t>
      </w:r>
      <w:r>
        <w:rPr>
          <w:rFonts w:hint="eastAsia" w:eastAsia="仿宋_GB2312"/>
          <w:b/>
          <w:bCs/>
          <w:color w:val="000000"/>
          <w:sz w:val="32"/>
          <w:szCs w:val="32"/>
        </w:rPr>
        <w:t>（市生态环境局牵头，市工信局、市发改委参与）</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予以保留的现有石灰窑应配备高效除尘设施，二氧化硫不能达标排放的应配备脱硫设施。耐火材料行业超高温竖窑、回转窑应配备高效除尘设施，其他耐火材料窑应配备除尘设施；以煤（含煤气）、重油等为燃料以及使用含硫粘结剂的，应配备高效脱硫设施；超高温竖窑、回转窑、高温隧道窑应配备脱硝设施。废气排放满足《无机化学工业污染物排放准》(GB31573-2015)。</w:t>
      </w:r>
      <w:r>
        <w:rPr>
          <w:rFonts w:hint="eastAsia" w:eastAsia="仿宋_GB2312"/>
          <w:b/>
          <w:bCs/>
          <w:color w:val="000000"/>
          <w:sz w:val="32"/>
          <w:szCs w:val="32"/>
        </w:rPr>
        <w:t>（市生态环境局牵头，市工信局、市发改委参与）</w:t>
      </w:r>
    </w:p>
    <w:p>
      <w:pPr>
        <w:spacing w:line="560" w:lineRule="exact"/>
        <w:ind w:firstLine="643"/>
        <w:rPr>
          <w:rFonts w:ascii="仿宋_GB2312" w:eastAsia="仿宋_GB2312" w:cs="Times New Roman"/>
          <w:b/>
          <w:bCs/>
          <w:sz w:val="32"/>
          <w:szCs w:val="32"/>
        </w:rPr>
      </w:pPr>
      <w:r>
        <w:rPr>
          <w:rFonts w:hint="eastAsia" w:ascii="仿宋_GB2312" w:eastAsia="仿宋_GB2312" w:cs="Times New Roman"/>
          <w:b/>
          <w:bCs/>
          <w:sz w:val="32"/>
          <w:szCs w:val="32"/>
        </w:rPr>
        <w:t>（4）深化双牌县木材加工行业污染治理</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木材加工行业锅炉主要为生物质锅炉，必须配置高效除尘装置，建议按照国能新能[2014]295号文件及国能新能[2014]520号文件要求，生物质锅炉烟尘、SO</w:t>
      </w:r>
      <w:r>
        <w:rPr>
          <w:rFonts w:hint="eastAsia" w:ascii="仿宋_GB2312" w:eastAsia="仿宋_GB2312" w:cs="Times New Roman"/>
          <w:sz w:val="32"/>
          <w:szCs w:val="32"/>
          <w:vertAlign w:val="subscript"/>
        </w:rPr>
        <w:t>2</w:t>
      </w:r>
      <w:r>
        <w:rPr>
          <w:rFonts w:hint="eastAsia" w:ascii="仿宋_GB2312" w:eastAsia="仿宋_GB2312" w:cs="Times New Roman"/>
          <w:sz w:val="32"/>
          <w:szCs w:val="32"/>
        </w:rPr>
        <w:t>、NOx排放浓度</w:t>
      </w:r>
      <w:r>
        <w:rPr>
          <w:rFonts w:hint="eastAsia" w:ascii="仿宋_GB2312" w:eastAsia="仿宋_GB2312" w:cs="Times New Roman"/>
          <w:sz w:val="32"/>
          <w:szCs w:val="32"/>
          <w:lang w:eastAsia="zh-CN"/>
        </w:rPr>
        <w:t>，</w:t>
      </w:r>
      <w:r>
        <w:rPr>
          <w:rFonts w:hint="eastAsia" w:ascii="仿宋_GB2312" w:eastAsia="仿宋_GB2312" w:cs="Times New Roman"/>
          <w:sz w:val="32"/>
          <w:szCs w:val="32"/>
        </w:rPr>
        <w:t>力争达到天然气排放标准（折算基准氧含量排放浓度时，暂定按9%执行）。对SO</w:t>
      </w:r>
      <w:r>
        <w:rPr>
          <w:rFonts w:hint="eastAsia" w:ascii="仿宋_GB2312" w:eastAsia="仿宋_GB2312" w:cs="Times New Roman"/>
          <w:sz w:val="32"/>
          <w:szCs w:val="32"/>
          <w:vertAlign w:val="subscript"/>
        </w:rPr>
        <w:t>2</w:t>
      </w:r>
      <w:r>
        <w:rPr>
          <w:rFonts w:hint="eastAsia" w:ascii="仿宋_GB2312" w:eastAsia="仿宋_GB2312" w:cs="Times New Roman"/>
          <w:sz w:val="32"/>
          <w:szCs w:val="32"/>
        </w:rPr>
        <w:t>、NOx不能稳定达到排放要求的，应配套安装脱硫脱硝设施。</w:t>
      </w:r>
      <w:r>
        <w:rPr>
          <w:rFonts w:hint="eastAsia" w:eastAsia="仿宋_GB2312"/>
          <w:b/>
          <w:bCs/>
          <w:color w:val="000000"/>
          <w:sz w:val="32"/>
          <w:szCs w:val="32"/>
        </w:rPr>
        <w:t>（市生态环境局牵头，市工信局、市发改委参与）</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生物质锅炉供热需以农林生物质成型燃料（颗粒状、棒状、块状等）为燃料，经专用生物质成型燃料锅炉燃烧后供应可再生热力。严禁掺烧城镇生活垃圾、废旧家具板材、工业固体废物及其他有害废弃物，以及煤炭、矸石等化石燃料；不得直接燃用未成型的生物质散料。</w:t>
      </w:r>
      <w:r>
        <w:rPr>
          <w:rFonts w:hint="eastAsia" w:eastAsia="仿宋_GB2312"/>
          <w:b/>
          <w:bCs/>
          <w:color w:val="000000"/>
          <w:sz w:val="32"/>
          <w:szCs w:val="32"/>
        </w:rPr>
        <w:t>（市生态环境局牵头，市工信局、市发改委参与）</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控制车间粉尘排放，开料、木工、抛光和打磨等产生粉尘的工序、车间必须安装粉尘吸收装置。上漆、涂装等有机废气产生工序、车间按规定安装废气收集处理装置。规范配置吸风罩、连接管道、匹配风量的风机等加强喷涂、干燥（烘干、自然晾干）室、原料调配、打磨（含抛光、油磨等）等工序产生VOCs及粉尘的收集。</w:t>
      </w:r>
      <w:r>
        <w:rPr>
          <w:rFonts w:hint="eastAsia" w:eastAsia="仿宋_GB2312"/>
          <w:b/>
          <w:bCs/>
          <w:color w:val="000000"/>
          <w:sz w:val="32"/>
          <w:szCs w:val="32"/>
        </w:rPr>
        <w:t>（市生态环境局牵头，市工信局、市发改委参与）</w:t>
      </w:r>
    </w:p>
    <w:p>
      <w:pPr>
        <w:spacing w:line="560" w:lineRule="exact"/>
        <w:ind w:firstLine="643"/>
        <w:rPr>
          <w:rFonts w:ascii="仿宋_GB2312" w:eastAsia="仿宋_GB2312" w:cs="Times New Roman"/>
          <w:b/>
          <w:bCs/>
          <w:sz w:val="32"/>
          <w:szCs w:val="32"/>
        </w:rPr>
      </w:pPr>
      <w:r>
        <w:rPr>
          <w:rFonts w:hint="eastAsia" w:ascii="仿宋_GB2312" w:eastAsia="仿宋_GB2312" w:cs="Times New Roman"/>
          <w:b/>
          <w:bCs/>
          <w:sz w:val="32"/>
          <w:szCs w:val="32"/>
        </w:rPr>
        <w:t>（5）落实蓝山县铸造行业、冶炼行业污染治理</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加强对蓝山县太平圩镇</w:t>
      </w:r>
      <w:r>
        <w:rPr>
          <w:rFonts w:hint="eastAsia" w:ascii="仿宋_GB2312" w:eastAsia="仿宋_GB2312" w:cs="Times New Roman"/>
          <w:sz w:val="32"/>
          <w:szCs w:val="32"/>
          <w:lang w:eastAsia="zh-CN"/>
        </w:rPr>
        <w:t>及周边</w:t>
      </w:r>
      <w:r>
        <w:rPr>
          <w:rFonts w:hint="eastAsia" w:ascii="仿宋_GB2312" w:eastAsia="仿宋_GB2312" w:cs="Times New Roman"/>
          <w:sz w:val="32"/>
          <w:szCs w:val="32"/>
        </w:rPr>
        <w:t>的铸造行业实施污染治理，排查熔炼、砂处理和浇注等工艺过程的排污情况。根据《工业炉窑大气污染综合治理方案》的通知要求，冲天炉应配备袋式除尘、滤筒除尘等高效除尘和脱硫设施，中频感应电炉应配备袋式等高效除尘设施。烧结机排气筒颗粒物、二氧化硫、氮氧化物排放限值分别为50、200、300毫克/立方米；高炉排气筒颗粒物、二氧化硫、氮氧化物排放限值分别为20、100、300毫克/立方米；电炉、精炼炉颗粒物排放限值为20毫克/立方米。</w:t>
      </w:r>
      <w:r>
        <w:rPr>
          <w:rFonts w:hint="eastAsia" w:eastAsia="仿宋_GB2312"/>
          <w:b/>
          <w:bCs/>
          <w:color w:val="000000"/>
          <w:sz w:val="32"/>
          <w:szCs w:val="32"/>
        </w:rPr>
        <w:t>（市生态环境局牵头，市工信局、市发改委参与）</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完善有效的配套工业废气污染治理设施及正常运行，确保大气污染物达标排放。铸件清理工序必须在密闭车间内运行，粉尘通过集气装置进除尘设施达标排放；消失模浇注环节必须固定浇注场地，建集气装置，或建设移动式集气装置将浇注产生的有机废气收集后经废气处理设施或送回冲天炉或燃烧室进行二次燃烧处理达标排放。砂处理环节的污染治理：对产生粉尘的设备或操作位置，安装设置除尘设备；对产生有异味气体的设备或工作位置，安装通风换气设备；对产生有害气体的设备或操作位置，应对气体进行综合处理后排放；铸件表面喷漆环节的污染治理。表面喷漆环节须在车间内进行，并安装相应污染治理设施，严禁露天操作。</w:t>
      </w:r>
      <w:r>
        <w:rPr>
          <w:rFonts w:hint="eastAsia" w:eastAsia="仿宋_GB2312"/>
          <w:b/>
          <w:bCs/>
          <w:color w:val="000000"/>
          <w:sz w:val="32"/>
          <w:szCs w:val="32"/>
        </w:rPr>
        <w:t>（市生态环境局牵头，市工信局、市发改委参与）</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针对蓝山县的三家涉高炉企业蓝山县盛世工贸有限责任公司、蓝山县鑫烨贸易有限公司、蓝山县兴达锰业有限公司应设置煤气净化系统，对煤气进行回收利用；废气排放满足《铁合金工业污染物排放标准(GB 28666-2012)》。</w:t>
      </w:r>
      <w:r>
        <w:rPr>
          <w:rFonts w:hint="eastAsia" w:eastAsia="仿宋_GB2312"/>
          <w:b/>
          <w:bCs/>
          <w:color w:val="000000"/>
          <w:sz w:val="32"/>
          <w:szCs w:val="32"/>
        </w:rPr>
        <w:t>（市生态环境局牵头，市工信局、市发改委参与）</w:t>
      </w:r>
    </w:p>
    <w:p>
      <w:pPr>
        <w:spacing w:line="560" w:lineRule="exact"/>
        <w:ind w:firstLine="643"/>
        <w:rPr>
          <w:rFonts w:ascii="仿宋_GB2312" w:eastAsia="仿宋_GB2312" w:cs="Times New Roman"/>
          <w:b/>
          <w:bCs/>
          <w:sz w:val="32"/>
          <w:szCs w:val="32"/>
        </w:rPr>
      </w:pPr>
      <w:r>
        <w:rPr>
          <w:rFonts w:hint="eastAsia" w:ascii="仿宋_GB2312" w:eastAsia="仿宋_GB2312" w:cs="Times New Roman"/>
          <w:b/>
          <w:bCs/>
          <w:sz w:val="32"/>
          <w:szCs w:val="32"/>
        </w:rPr>
        <w:t>（6）实施建筑用石加工、制鞋行业治理</w:t>
      </w:r>
    </w:p>
    <w:p>
      <w:pPr>
        <w:spacing w:line="560" w:lineRule="exact"/>
        <w:ind w:firstLine="643"/>
        <w:rPr>
          <w:rFonts w:ascii="仿宋_GB2312" w:eastAsia="仿宋_GB2312" w:cs="Times New Roman"/>
          <w:sz w:val="32"/>
          <w:szCs w:val="32"/>
        </w:rPr>
      </w:pPr>
      <w:r>
        <w:rPr>
          <w:rFonts w:hint="eastAsia" w:ascii="仿宋_GB2312" w:eastAsia="仿宋_GB2312" w:cs="Times New Roman"/>
          <w:b/>
          <w:bCs/>
          <w:sz w:val="32"/>
          <w:szCs w:val="32"/>
        </w:rPr>
        <w:t>建筑用石加工：</w:t>
      </w:r>
      <w:r>
        <w:rPr>
          <w:rFonts w:hint="eastAsia" w:ascii="仿宋_GB2312" w:eastAsia="仿宋_GB2312" w:cs="Times New Roman"/>
          <w:sz w:val="32"/>
          <w:szCs w:val="32"/>
        </w:rPr>
        <w:t>强化对全市建筑用石加工企业无组织排放整治，在石材加工过程中，露天作业部分应采用湿法作业或其他抑尘措施，生产车间外不应有可见粉尘外逸。同时，厂区道路应硬化，避免运输车辆来往而扬起粉尘。道路采取清扫、扫水等措施，保持路面清洁。</w:t>
      </w:r>
      <w:r>
        <w:rPr>
          <w:rFonts w:hint="eastAsia" w:eastAsia="仿宋_GB2312"/>
          <w:b/>
          <w:bCs/>
          <w:color w:val="000000"/>
          <w:sz w:val="32"/>
          <w:szCs w:val="32"/>
        </w:rPr>
        <w:t>（市生态环境局牵头，市工信局、市发改委参与）</w:t>
      </w:r>
    </w:p>
    <w:p>
      <w:pPr>
        <w:spacing w:line="560" w:lineRule="exact"/>
        <w:ind w:firstLine="643"/>
        <w:rPr>
          <w:rFonts w:ascii="仿宋_GB2312" w:eastAsia="仿宋_GB2312" w:cs="Times New Roman"/>
          <w:sz w:val="32"/>
          <w:szCs w:val="32"/>
        </w:rPr>
      </w:pPr>
      <w:r>
        <w:rPr>
          <w:rFonts w:hint="eastAsia" w:ascii="仿宋_GB2312" w:eastAsia="仿宋_GB2312" w:cs="Times New Roman"/>
          <w:b/>
          <w:bCs/>
          <w:sz w:val="32"/>
          <w:szCs w:val="32"/>
        </w:rPr>
        <w:t>制鞋业：</w:t>
      </w:r>
      <w:r>
        <w:rPr>
          <w:rFonts w:hint="eastAsia" w:ascii="仿宋_GB2312" w:eastAsia="仿宋_GB2312" w:cs="Times New Roman"/>
          <w:sz w:val="32"/>
          <w:szCs w:val="32"/>
        </w:rPr>
        <w:t>加强排查宁远县东溪街道的制鞋企业，对不符合要求的企业进行限期整改。1）使用的胶粘剂应符合国家强制性标准《鞋和箱包胶粘剂》（GB 19340-2014）和《环境标准产品技术要求胶粘剂》（HJ 2541-2016）要求；2）禁止使用含苯类胶粘剂、清洁剂、处理剂、油漆等原辅材料；3）面部拼缝粘贴、成型、组底、喷漆、发泡、注塑、印刷、清洗各生产工艺中使用油性胶粘剂、处理剂、清洗剂、硬化剂、港宝水、油性油墨、油性油漆的工段采用密闭、半密闭技术或分区密封生产工艺线进行废气收集，喷漆、印刷工序废气收集率达到95%以上，其他生产工序废气收集率达到85%，VOCs治理设施处理效率不得低于80%。</w:t>
      </w:r>
      <w:r>
        <w:rPr>
          <w:rFonts w:hint="eastAsia" w:eastAsia="仿宋_GB2312"/>
          <w:b/>
          <w:bCs/>
          <w:color w:val="000000"/>
          <w:sz w:val="32"/>
          <w:szCs w:val="32"/>
        </w:rPr>
        <w:t>（市生态环境局牵头，市工信局、市发改委参与）</w:t>
      </w:r>
    </w:p>
    <w:p>
      <w:pPr>
        <w:pStyle w:val="3"/>
        <w:spacing w:line="560" w:lineRule="exact"/>
        <w:ind w:firstLine="482"/>
        <w:rPr>
          <w:rFonts w:ascii="楷体_GB2312" w:eastAsia="楷体_GB2312" w:cs="Times New Roman"/>
          <w:sz w:val="32"/>
        </w:rPr>
      </w:pPr>
      <w:bookmarkStart w:id="38" w:name="_Toc45035995"/>
      <w:r>
        <w:rPr>
          <w:rFonts w:hint="eastAsia" w:ascii="楷体_GB2312" w:eastAsia="楷体_GB2312" w:cs="Times New Roman"/>
          <w:sz w:val="32"/>
        </w:rPr>
        <w:t>（三）优化能源结构，加强清洁能源使用</w:t>
      </w:r>
      <w:bookmarkEnd w:id="38"/>
    </w:p>
    <w:p>
      <w:pPr>
        <w:pStyle w:val="4"/>
        <w:numPr>
          <w:ilvl w:val="0"/>
          <w:numId w:val="6"/>
        </w:numPr>
        <w:spacing w:line="560" w:lineRule="exact"/>
        <w:ind w:left="0" w:firstLine="641"/>
        <w:rPr>
          <w:rFonts w:ascii="仿宋_GB2312" w:eastAsia="仿宋_GB2312"/>
          <w:sz w:val="32"/>
        </w:rPr>
      </w:pPr>
      <w:r>
        <w:rPr>
          <w:rFonts w:hint="eastAsia" w:ascii="仿宋_GB2312" w:eastAsia="仿宋_GB2312"/>
          <w:sz w:val="32"/>
        </w:rPr>
        <w:t>整治锅炉超标排放，促进工业园集中供热</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依法查处不按要求安装除尘脱硫装置或环保设施运行不正常、以及各类违法使用高污染燃料、掺烧煤炭的违法行为。2020年底前中心城区完成35蒸吨及以下燃煤锅炉淘汰和煤气发生炉专项整治工作，严把准入关，全市范围内禁止新建35蒸吨/小时及以下燃煤锅炉；推动燃柴油锅炉企业改用清洁能源（电、天然气）锅炉或执行《锅炉大气污染物排放标准》（GB13271—2014）规定的大气污染物排放限制；燃气锅炉执行《锅炉大气污染物排放标准》（GB13271—2014）规定的大气污染物排放限制要求。全市工业园区淘汰燃煤小锅炉，基本实现集中供热保留的燃煤锅炉自动监控设施建设、联网、验收及备案工作。</w:t>
      </w:r>
      <w:r>
        <w:rPr>
          <w:rFonts w:hint="eastAsia" w:ascii="仿宋_GB2312" w:hAnsi="仿宋_GB2312" w:eastAsia="仿宋_GB2312" w:cs="仿宋_GB2312"/>
          <w:b/>
          <w:color w:val="000000"/>
          <w:sz w:val="32"/>
          <w:szCs w:val="32"/>
        </w:rPr>
        <w:t>（市发改委、市生态环境局牵头，市工信局、市自然资源和规划局、</w:t>
      </w:r>
      <w:r>
        <w:rPr>
          <w:rFonts w:hint="eastAsia" w:ascii="仿宋_GB2312" w:hAnsi="仿宋_GB2312" w:eastAsia="仿宋_GB2312" w:cs="仿宋_GB2312"/>
          <w:b/>
          <w:bCs/>
          <w:color w:val="000000"/>
          <w:kern w:val="0"/>
          <w:sz w:val="32"/>
          <w:szCs w:val="32"/>
        </w:rPr>
        <w:t>市市场监督管理局</w:t>
      </w:r>
      <w:r>
        <w:rPr>
          <w:rFonts w:hint="eastAsia" w:ascii="仿宋_GB2312" w:hAnsi="仿宋_GB2312" w:eastAsia="仿宋_GB2312" w:cs="仿宋_GB2312"/>
          <w:b/>
          <w:color w:val="000000"/>
          <w:sz w:val="32"/>
          <w:szCs w:val="32"/>
        </w:rPr>
        <w:t>参与，各县区人民政府落实）</w:t>
      </w:r>
    </w:p>
    <w:p>
      <w:pPr>
        <w:pStyle w:val="4"/>
        <w:spacing w:line="560" w:lineRule="exact"/>
        <w:ind w:left="0" w:firstLine="641"/>
        <w:rPr>
          <w:rFonts w:ascii="仿宋_GB2312" w:eastAsia="仿宋_GB2312"/>
          <w:sz w:val="32"/>
        </w:rPr>
      </w:pPr>
      <w:r>
        <w:rPr>
          <w:rFonts w:hint="eastAsia" w:ascii="仿宋_GB2312" w:eastAsia="仿宋_GB2312"/>
          <w:sz w:val="32"/>
        </w:rPr>
        <w:t>推广发展清洁能源，加强燃煤污染治理管控</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实施能源消耗总量和强度双控行动，推进热电联产、集中供热和工业余热利用。县级城市完成高污染燃料禁燃区优化调整，进一步细化高污染燃料管控措施，扩大高污染燃料禁燃区范围，禁止使用生物质锅炉。鼓励有条件的企业实行锅炉煤改气改造。开展煤球厂、煤炭堆场、储存场的环境污染排查，整治涉煤“散乱污”企业。有序推进城区煤改气工作。推进燃气锅炉实施低氮燃烧改造。</w:t>
      </w:r>
      <w:r>
        <w:rPr>
          <w:rFonts w:hint="eastAsia" w:ascii="仿宋_GB2312" w:hAnsi="仿宋_GB2312" w:eastAsia="仿宋_GB2312" w:cs="仿宋_GB2312"/>
          <w:b/>
          <w:color w:val="000000"/>
          <w:sz w:val="32"/>
          <w:szCs w:val="32"/>
        </w:rPr>
        <w:t>（市发改委、市生态环境局牵头，市城市管理和综合执法局、市工信局、市自然资源和规划局、</w:t>
      </w:r>
      <w:r>
        <w:rPr>
          <w:rFonts w:hint="eastAsia" w:ascii="仿宋_GB2312" w:hAnsi="仿宋_GB2312" w:eastAsia="仿宋_GB2312" w:cs="仿宋_GB2312"/>
          <w:b/>
          <w:bCs/>
          <w:color w:val="000000"/>
          <w:kern w:val="0"/>
          <w:sz w:val="32"/>
          <w:szCs w:val="32"/>
        </w:rPr>
        <w:t>市市场监督管理局</w:t>
      </w:r>
      <w:r>
        <w:rPr>
          <w:rFonts w:hint="eastAsia" w:ascii="仿宋_GB2312" w:hAnsi="仿宋_GB2312" w:eastAsia="仿宋_GB2312" w:cs="仿宋_GB2312"/>
          <w:b/>
          <w:color w:val="000000"/>
          <w:sz w:val="32"/>
          <w:szCs w:val="32"/>
        </w:rPr>
        <w:t>参与）</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加快推进煤改气、煤改电、煤改清洁能源等工程实施，拓展天然气供应渠道，加快建设风能、太阳能、生物质能和地热等新能源应用示范项目，并逐步推广，减少煤炭使用量，到2020年煤炭占一次能源消费比重控制在54.0%以内。推进集中供热和工业余热利用，大幅度提高煤炭集中转化与集中治理，提高电煤占煤炭消费比重，2020 年发电用煤占煤炭消费的比重力争提高到40%以上。</w:t>
      </w:r>
      <w:r>
        <w:rPr>
          <w:rFonts w:hint="eastAsia" w:ascii="仿宋_GB2312" w:hAnsi="仿宋_GB2312" w:eastAsia="仿宋_GB2312" w:cs="仿宋_GB2312"/>
          <w:b/>
          <w:bCs/>
          <w:color w:val="000000"/>
          <w:kern w:val="0"/>
          <w:sz w:val="32"/>
          <w:szCs w:val="32"/>
        </w:rPr>
        <w:t>（市发改委牵头，市城管执法局、市市场监督管理局参与）</w:t>
      </w:r>
    </w:p>
    <w:p>
      <w:pPr>
        <w:pStyle w:val="4"/>
        <w:spacing w:line="560" w:lineRule="exact"/>
        <w:ind w:left="0" w:firstLine="641"/>
        <w:rPr>
          <w:rFonts w:ascii="仿宋_GB2312" w:eastAsia="仿宋_GB2312"/>
          <w:sz w:val="32"/>
        </w:rPr>
      </w:pPr>
      <w:r>
        <w:rPr>
          <w:rFonts w:hint="eastAsia" w:ascii="仿宋_GB2312" w:eastAsia="仿宋_GB2312"/>
          <w:sz w:val="32"/>
        </w:rPr>
        <w:t>开展生物质锅炉专项整治</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生物质锅炉专项整治对象为建成区范围内生物质锅炉，主要包括：直接燃用生物质（如木柴、木板等）的锅炉、燃用煤及其制品的双燃或多燃料的生物质成型燃料锅炉、燃煤锅炉改造成生物质成型燃料不符合法定改造程序的锅炉、不符合高污染燃料禁燃区管理要求的锅炉、属于“散乱污”类型相关手续不齐全的生物质锅炉等。</w:t>
      </w:r>
      <w:r>
        <w:rPr>
          <w:rFonts w:hint="eastAsia" w:eastAsia="仿宋_GB2312"/>
          <w:b/>
          <w:bCs/>
          <w:color w:val="000000"/>
          <w:sz w:val="32"/>
          <w:szCs w:val="32"/>
        </w:rPr>
        <w:t>（市生态环境局牵头，市工信局、市发改委参与）</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1）对建成区内生物质成型燃料锅炉数据的准确性进行核查，梳理确定生物质成型燃料锅炉名单。（2）制定监测计划，通过监督性监测、企业自行监测等措施，推动完成名单内生物质成型燃料锅炉的排放口监测。（3）生物质成型锅炉进料口视频监控设施要与</w:t>
      </w:r>
      <w:r>
        <w:rPr>
          <w:rFonts w:hint="eastAsia" w:ascii="仿宋_GB2312" w:eastAsia="仿宋_GB2312" w:cs="Times New Roman"/>
          <w:sz w:val="32"/>
          <w:szCs w:val="32"/>
          <w:lang w:eastAsia="zh-CN"/>
        </w:rPr>
        <w:t>生态环境</w:t>
      </w:r>
      <w:r>
        <w:rPr>
          <w:rFonts w:hint="eastAsia" w:ascii="仿宋_GB2312" w:eastAsia="仿宋_GB2312" w:cs="Times New Roman"/>
          <w:sz w:val="32"/>
          <w:szCs w:val="32"/>
        </w:rPr>
        <w:t>部门联网，10蒸吨及以上生物质成型锅炉要安装在线监测设备，并与</w:t>
      </w:r>
      <w:r>
        <w:rPr>
          <w:rFonts w:hint="eastAsia" w:ascii="仿宋_GB2312" w:eastAsia="仿宋_GB2312" w:cs="Times New Roman"/>
          <w:sz w:val="32"/>
          <w:szCs w:val="32"/>
          <w:lang w:eastAsia="zh-CN"/>
        </w:rPr>
        <w:t>生态环境</w:t>
      </w:r>
      <w:r>
        <w:rPr>
          <w:rFonts w:hint="eastAsia" w:ascii="仿宋_GB2312" w:eastAsia="仿宋_GB2312" w:cs="Times New Roman"/>
          <w:sz w:val="32"/>
          <w:szCs w:val="32"/>
        </w:rPr>
        <w:t>部门联网。（4）禁止建成区新（改）建生物质锅炉。</w:t>
      </w:r>
      <w:r>
        <w:rPr>
          <w:rFonts w:hint="eastAsia" w:eastAsia="仿宋_GB2312"/>
          <w:b/>
          <w:bCs/>
          <w:color w:val="000000"/>
          <w:sz w:val="32"/>
          <w:szCs w:val="32"/>
        </w:rPr>
        <w:t>（市生态环境局牵头，市工信局、市发改委参与）</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（2）</w:t>
      </w:r>
      <w:r>
        <w:rPr>
          <w:rFonts w:hint="eastAsia" w:ascii="仿宋_GB2312" w:eastAsia="仿宋_GB2312" w:cs="Times New Roman"/>
          <w:sz w:val="32"/>
          <w:szCs w:val="32"/>
        </w:rPr>
        <w:tab/>
      </w:r>
      <w:r>
        <w:rPr>
          <w:rFonts w:hint="eastAsia" w:ascii="仿宋_GB2312" w:eastAsia="仿宋_GB2312" w:cs="Times New Roman"/>
          <w:sz w:val="32"/>
          <w:szCs w:val="32"/>
        </w:rPr>
        <w:t>2020年6月之前完成永州市建成区生物质锅炉的达标排放改造。按照国能新能[2014]295号文件及国能新能[2014]520号文件要求，进一步严格控制排放，力争达到天然气排放标准。对</w:t>
      </w:r>
      <w:r>
        <w:rPr>
          <w:rFonts w:hint="eastAsia" w:ascii="仿宋_GB2312" w:eastAsia="仿宋_GB2312" w:cs="Times New Roman"/>
          <w:sz w:val="32"/>
          <w:szCs w:val="32"/>
          <w:lang w:eastAsia="zh-CN"/>
        </w:rPr>
        <w:t>污染物</w:t>
      </w:r>
      <w:r>
        <w:rPr>
          <w:rFonts w:hint="eastAsia" w:ascii="仿宋_GB2312" w:eastAsia="仿宋_GB2312" w:cs="Times New Roman"/>
          <w:sz w:val="32"/>
          <w:szCs w:val="32"/>
        </w:rPr>
        <w:t>不能稳定达到排放要求的，应</w:t>
      </w:r>
      <w:r>
        <w:rPr>
          <w:rFonts w:hint="eastAsia" w:ascii="仿宋_GB2312" w:eastAsia="仿宋_GB2312" w:cs="Times New Roman"/>
          <w:sz w:val="32"/>
          <w:szCs w:val="32"/>
          <w:lang w:eastAsia="zh-CN"/>
        </w:rPr>
        <w:t>对治理</w:t>
      </w:r>
      <w:r>
        <w:rPr>
          <w:rFonts w:hint="eastAsia" w:ascii="仿宋_GB2312" w:eastAsia="仿宋_GB2312" w:cs="Times New Roman"/>
          <w:sz w:val="32"/>
          <w:szCs w:val="32"/>
        </w:rPr>
        <w:t>设施</w:t>
      </w:r>
      <w:r>
        <w:rPr>
          <w:rFonts w:hint="eastAsia" w:ascii="仿宋_GB2312" w:eastAsia="仿宋_GB2312" w:cs="Times New Roman"/>
          <w:sz w:val="32"/>
          <w:szCs w:val="32"/>
          <w:lang w:eastAsia="zh-CN"/>
        </w:rPr>
        <w:t>进行体质改造</w:t>
      </w:r>
      <w:r>
        <w:rPr>
          <w:rFonts w:hint="eastAsia" w:ascii="仿宋_GB2312" w:eastAsia="仿宋_GB2312" w:cs="Times New Roman"/>
          <w:sz w:val="32"/>
          <w:szCs w:val="32"/>
        </w:rPr>
        <w:t>。改造方式可采用锅炉尾部加装高效除尘（布袋除尘）、脱硫、脱硝装置或更新为燃气锅炉、电锅炉。</w:t>
      </w:r>
      <w:r>
        <w:rPr>
          <w:rFonts w:hint="eastAsia" w:eastAsia="仿宋_GB2312"/>
          <w:b/>
          <w:bCs/>
          <w:color w:val="000000"/>
          <w:sz w:val="32"/>
          <w:szCs w:val="32"/>
        </w:rPr>
        <w:t>（市生态环境局牵头，市工信局、市发改委参与）</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按照国能新能[2014]520号文件要求，生物质成型燃料锅炉供热需以农林生物质成型燃料（颗粒状、棒状、块状等）为燃料，经专用生物质成型燃料锅炉燃烧后供应可再生热力。严禁掺烧城镇生活垃圾、废旧家具板材、工业固体废物及其他有害废弃物，以及煤炭、矸石等化石燃料。</w:t>
      </w:r>
      <w:r>
        <w:rPr>
          <w:rFonts w:hint="eastAsia" w:eastAsia="仿宋_GB2312"/>
          <w:b/>
          <w:bCs/>
          <w:color w:val="000000"/>
          <w:sz w:val="32"/>
          <w:szCs w:val="32"/>
        </w:rPr>
        <w:t>（市生态环境局牵头，市工信局、市发改委参与）</w:t>
      </w:r>
    </w:p>
    <w:p>
      <w:pPr>
        <w:pStyle w:val="3"/>
        <w:spacing w:line="560" w:lineRule="exact"/>
        <w:ind w:firstLine="482"/>
        <w:rPr>
          <w:rFonts w:ascii="楷体_GB2312" w:eastAsia="楷体_GB2312" w:cs="Times New Roman"/>
          <w:sz w:val="32"/>
        </w:rPr>
      </w:pPr>
      <w:bookmarkStart w:id="39" w:name="_Toc45035996"/>
      <w:r>
        <w:rPr>
          <w:rFonts w:hint="eastAsia" w:ascii="楷体_GB2312" w:eastAsia="楷体_GB2312" w:cs="Times New Roman"/>
          <w:sz w:val="32"/>
        </w:rPr>
        <w:t>（四）其他面源污染控制</w:t>
      </w:r>
      <w:bookmarkEnd w:id="39"/>
    </w:p>
    <w:p>
      <w:pPr>
        <w:pStyle w:val="4"/>
        <w:numPr>
          <w:ilvl w:val="0"/>
          <w:numId w:val="7"/>
        </w:numPr>
        <w:spacing w:line="560" w:lineRule="exact"/>
        <w:ind w:left="0" w:firstLine="641"/>
        <w:rPr>
          <w:rFonts w:ascii="仿宋_GB2312" w:eastAsia="仿宋_GB2312"/>
          <w:sz w:val="32"/>
        </w:rPr>
      </w:pPr>
      <w:r>
        <w:rPr>
          <w:rFonts w:hint="eastAsia" w:ascii="仿宋_GB2312" w:eastAsia="仿宋_GB2312"/>
          <w:sz w:val="32"/>
        </w:rPr>
        <w:t>开展露天焚烧垃圾、秸秆和露天烧烤污染整治</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加大露天焚烧垃圾和露天烧烤的查处力度、禁止露天烧烤直排。及时处理群众对露天焚烧的投诉，依法查处露天焚烧建筑垃圾、生活垃圾、秸秆等行为。各单位、乡镇、街道、社区应加大垃圾池巡查管理工作，落实社区网格员责任，增加巡查频次，发现问题及时处置。严禁在城市道路、居民小区和其他公共场所露天烧烤食品。</w:t>
      </w:r>
      <w:r>
        <w:rPr>
          <w:rFonts w:hint="eastAsia" w:ascii="仿宋_GB2312" w:hAnsi="仿宋_GB2312" w:eastAsia="仿宋_GB2312" w:cs="仿宋_GB2312"/>
          <w:b/>
          <w:bCs/>
          <w:color w:val="000000"/>
          <w:kern w:val="0"/>
          <w:sz w:val="32"/>
          <w:szCs w:val="32"/>
        </w:rPr>
        <w:t>（秸秆禁烧由市农业农村局牵头，垃圾焚烧由市城管执法局牵头，市林业局、市应急管理局参与）</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强化地方各级人民政府秸秆禁烧主体责任，各区人民政府、管理区、经开区管委会要发布禁燃公告，全域禁止露天焚烧秸秆；在每年10月16日至次年3月15日的大气污染防治特护期，开展秸秆禁烧专项巡查，及时处置露天焚烧秸秆的行为；凡露天焚烧秸秆产生烟尘污染的，处以罚款，情节严重的，则依法予以重罚；实行严格追责，对因工作不力造成秸秆焚烧产生严重后果的相关人员，依照有关规定追究责任。</w:t>
      </w:r>
      <w:r>
        <w:rPr>
          <w:rFonts w:hint="eastAsia" w:ascii="仿宋_GB2312" w:hAnsi="仿宋_GB2312" w:eastAsia="仿宋_GB2312" w:cs="仿宋_GB2312"/>
          <w:b/>
          <w:bCs/>
          <w:color w:val="000000"/>
          <w:kern w:val="0"/>
          <w:sz w:val="32"/>
          <w:szCs w:val="32"/>
        </w:rPr>
        <w:t>（秸秆禁烧由市农业农村局牵头，市林业局、市应急管理局参与）</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推动秸秆综合利用产业化发展，2020年底，秸秆综合利用率达到85%以上。永州市农作物秸秆主要有水稻、油菜和玉米秸秆，年秸秆产生量合计约为439万吨，水稻秸秆占比达86%。秸秆主要来自祁阳县、道县、东安县、冷水滩区和零陵区，分别占总秸秆产生量的17.3%、12.3%、12.0%、11.1%和11.1%，重点加强以上三县两区的秸秆综合利用，主要采取秸秆还田和肥料化等手段，通过财政补贴、企业或农民自筹等方式，鼓励企业或农民购置秸秆粉碎还田机等秸秆利用机具，有效提高秸秆还田率。</w:t>
      </w:r>
      <w:r>
        <w:rPr>
          <w:rFonts w:hint="eastAsia" w:ascii="仿宋_GB2312" w:hAnsi="仿宋_GB2312" w:eastAsia="仿宋_GB2312" w:cs="仿宋_GB2312"/>
          <w:b/>
          <w:bCs/>
          <w:color w:val="000000"/>
          <w:kern w:val="0"/>
          <w:sz w:val="32"/>
          <w:szCs w:val="32"/>
        </w:rPr>
        <w:t>（市农业农村局牵头）</w:t>
      </w:r>
    </w:p>
    <w:p>
      <w:pPr>
        <w:pStyle w:val="4"/>
        <w:numPr>
          <w:ilvl w:val="0"/>
          <w:numId w:val="7"/>
        </w:numPr>
        <w:spacing w:line="560" w:lineRule="exact"/>
        <w:ind w:left="0" w:firstLine="641"/>
        <w:rPr>
          <w:rFonts w:ascii="仿宋_GB2312" w:eastAsia="仿宋_GB2312"/>
          <w:sz w:val="32"/>
        </w:rPr>
      </w:pPr>
      <w:r>
        <w:rPr>
          <w:rFonts w:hint="eastAsia" w:ascii="仿宋_GB2312" w:eastAsia="仿宋_GB2312"/>
          <w:sz w:val="32"/>
        </w:rPr>
        <w:t>实施餐饮业油烟精细化管理</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切实落实大中型餐饮企业、企事业机关食堂、学校食堂等饮食油烟净化措施，做到油烟净化100%。中心城区建成区餐饮服务单位全部安装高效油烟净化设施。以站点周边居民区为重点，积极推广家用高效净化型吸油烟机。</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强化散煤污染整治，严厉打击在高污染燃料禁燃区内生产、销售和使用散煤、洗选煤、蜂窝煤、焦炭、木炭、煤矸石，以及直接燃用生物质燃料(木材、秸秆、锯末等）等行为。对尚未开展区域要严厉打击劣质煤销售，确保煤炭质量达到国家和地方标准。</w:t>
      </w:r>
      <w:r>
        <w:rPr>
          <w:rFonts w:hint="eastAsia" w:ascii="仿宋_GB2312" w:hAnsi="仿宋_GB2312" w:eastAsia="仿宋_GB2312" w:cs="仿宋_GB2312"/>
          <w:b/>
          <w:bCs/>
          <w:color w:val="000000"/>
          <w:kern w:val="0"/>
          <w:sz w:val="32"/>
          <w:szCs w:val="32"/>
        </w:rPr>
        <w:t>（市生态环境局、市城管执法局牵头）</w:t>
      </w:r>
    </w:p>
    <w:p>
      <w:pPr>
        <w:pStyle w:val="4"/>
        <w:numPr>
          <w:ilvl w:val="0"/>
          <w:numId w:val="7"/>
        </w:numPr>
        <w:spacing w:line="560" w:lineRule="exact"/>
        <w:ind w:left="0" w:firstLine="641"/>
        <w:rPr>
          <w:rFonts w:ascii="仿宋_GB2312" w:eastAsia="仿宋_GB2312"/>
          <w:sz w:val="32"/>
        </w:rPr>
      </w:pPr>
      <w:r>
        <w:rPr>
          <w:rFonts w:hint="eastAsia" w:ascii="仿宋_GB2312" w:eastAsia="仿宋_GB2312"/>
          <w:sz w:val="32"/>
        </w:rPr>
        <w:t>严格控制烟花爆竹燃放</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全面禁止燃放烟花爆竹，加强巡查，严肃查处违法违规行为。尤其要加强特护期烟花爆竹禁止燃放管理。如特殊重大活动确需燃放的，需经所在地人民政府批准同意，且须在指定地点和规定时间内燃放。广泛开展宣传教育，提高群众对禁限工作的认识，推动全社会移风易俗，逐步形成绿色、和谐、安全的生活新常态。</w:t>
      </w:r>
      <w:r>
        <w:rPr>
          <w:rFonts w:hint="eastAsia" w:ascii="仿宋_GB2312" w:hAnsi="仿宋_GB2312" w:eastAsia="仿宋_GB2312" w:cs="仿宋_GB2312"/>
          <w:b/>
          <w:bCs/>
          <w:color w:val="000000"/>
          <w:kern w:val="0"/>
          <w:sz w:val="32"/>
          <w:szCs w:val="32"/>
        </w:rPr>
        <w:t>（市城管执法局牵头，市生态环境局、市公安局、市市场监督局参与）</w:t>
      </w:r>
    </w:p>
    <w:p>
      <w:pPr>
        <w:pStyle w:val="4"/>
        <w:numPr>
          <w:ilvl w:val="0"/>
          <w:numId w:val="7"/>
        </w:numPr>
        <w:spacing w:line="560" w:lineRule="exact"/>
        <w:ind w:left="0" w:firstLine="641"/>
        <w:rPr>
          <w:rFonts w:ascii="仿宋_GB2312" w:eastAsia="仿宋_GB2312"/>
          <w:sz w:val="32"/>
        </w:rPr>
      </w:pPr>
      <w:r>
        <w:rPr>
          <w:rFonts w:hint="eastAsia" w:ascii="仿宋_GB2312" w:eastAsia="仿宋_GB2312"/>
          <w:sz w:val="32"/>
        </w:rPr>
        <w:t>规范畜禽养殖业，减少化肥、农药使用</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2020年规模畜禽养殖场粪污处理设施装备配套率达60%以上，畜禽粪污资源化利用率达到75%。</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推广测土配方施肥、绿肥种植、水肥一体化、有机肥替代等技术，减少化肥施用量，2020年化肥总量较2017年减少6%；全市测土配方施肥覆盖率达到 83%以上，主要农作物肥料利用率提高到38%，农药使用量持续减少。主要农作物化肥、农药使用量实现零增长。</w:t>
      </w:r>
      <w:r>
        <w:rPr>
          <w:rFonts w:hint="eastAsia" w:ascii="仿宋_GB2312" w:eastAsia="仿宋_GB2312" w:cs="Times New Roman"/>
          <w:b/>
          <w:bCs/>
          <w:sz w:val="32"/>
          <w:szCs w:val="32"/>
        </w:rPr>
        <w:t>（市农业农村局牵头，市生态环境局参与）</w:t>
      </w:r>
    </w:p>
    <w:p>
      <w:pPr>
        <w:pStyle w:val="3"/>
        <w:spacing w:line="560" w:lineRule="exact"/>
        <w:ind w:firstLine="482"/>
        <w:rPr>
          <w:rFonts w:ascii="楷体_GB2312" w:eastAsia="楷体_GB2312" w:cs="Times New Roman"/>
          <w:sz w:val="32"/>
        </w:rPr>
      </w:pPr>
      <w:bookmarkStart w:id="40" w:name="_Toc45035997"/>
      <w:r>
        <w:rPr>
          <w:rFonts w:hint="eastAsia" w:ascii="楷体_GB2312" w:eastAsia="楷体_GB2312" w:cs="Times New Roman"/>
          <w:sz w:val="32"/>
        </w:rPr>
        <w:t>（五）强化移动源污染控制</w:t>
      </w:r>
      <w:bookmarkEnd w:id="40"/>
    </w:p>
    <w:p>
      <w:pPr>
        <w:pStyle w:val="4"/>
        <w:numPr>
          <w:ilvl w:val="0"/>
          <w:numId w:val="8"/>
        </w:numPr>
        <w:spacing w:line="560" w:lineRule="exact"/>
        <w:ind w:left="0" w:firstLine="641"/>
        <w:rPr>
          <w:rFonts w:ascii="仿宋_GB2312" w:eastAsia="仿宋_GB2312"/>
          <w:sz w:val="32"/>
        </w:rPr>
      </w:pPr>
      <w:r>
        <w:rPr>
          <w:rFonts w:hint="eastAsia" w:ascii="仿宋_GB2312" w:eastAsia="仿宋_GB2312"/>
          <w:sz w:val="32"/>
        </w:rPr>
        <w:t>推进车用油品升级</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全面供应符合国Ⅵ标准的车用汽柴油，禁止销售普通柴油和低于国Ⅵ标准的车用汽柴油，实现车用柴油、普通柴油、船舶用油“三油并轨”。开展黑加油站点、流动加油车、假劣尿素专项整治行动，坚决清除、彻底取缔无证无照经营的黑加油站（车）。</w:t>
      </w:r>
      <w:r>
        <w:rPr>
          <w:rFonts w:hint="eastAsia" w:ascii="仿宋_GB2312" w:eastAsia="仿宋_GB2312" w:cs="Times New Roman"/>
          <w:b/>
          <w:bCs/>
          <w:sz w:val="32"/>
          <w:szCs w:val="32"/>
        </w:rPr>
        <w:t>（</w:t>
      </w:r>
      <w:r>
        <w:rPr>
          <w:rFonts w:hint="eastAsia" w:ascii="仿宋_GB2312" w:eastAsia="仿宋_GB2312" w:cs="Times New Roman"/>
          <w:b/>
          <w:bCs/>
          <w:sz w:val="32"/>
          <w:szCs w:val="32"/>
          <w:lang w:eastAsia="zh-CN"/>
        </w:rPr>
        <w:t>市商务局、</w:t>
      </w:r>
      <w:r>
        <w:rPr>
          <w:rFonts w:hint="eastAsia" w:ascii="仿宋_GB2312" w:eastAsia="仿宋_GB2312" w:cs="Times New Roman"/>
          <w:b/>
          <w:bCs/>
          <w:sz w:val="32"/>
          <w:szCs w:val="32"/>
        </w:rPr>
        <w:t>市市场监督局牵头，市公安局、市生态环境局参与）</w:t>
      </w:r>
    </w:p>
    <w:p>
      <w:pPr>
        <w:pStyle w:val="4"/>
        <w:numPr>
          <w:ilvl w:val="0"/>
          <w:numId w:val="8"/>
        </w:numPr>
        <w:spacing w:line="560" w:lineRule="exact"/>
        <w:ind w:left="0" w:firstLine="641"/>
        <w:rPr>
          <w:rFonts w:ascii="仿宋_GB2312" w:eastAsia="仿宋_GB2312"/>
          <w:sz w:val="32"/>
        </w:rPr>
      </w:pPr>
      <w:r>
        <w:rPr>
          <w:rFonts w:hint="eastAsia" w:ascii="仿宋_GB2312" w:eastAsia="仿宋_GB2312"/>
          <w:sz w:val="32"/>
        </w:rPr>
        <w:t>加大对柴油货车的管控</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加大对大型柴油运输车辆车用尿素使用和颗粒物过滤器安装的监管力度，对重型柴油车的运输企业和用车大户，建立车辆排放控制档案。</w:t>
      </w:r>
      <w:r>
        <w:rPr>
          <w:rFonts w:hint="eastAsia" w:ascii="仿宋_GB2312" w:eastAsia="仿宋_GB2312" w:cs="Times New Roman"/>
          <w:b/>
          <w:bCs/>
          <w:sz w:val="32"/>
          <w:szCs w:val="32"/>
        </w:rPr>
        <w:t>（市</w:t>
      </w:r>
      <w:r>
        <w:rPr>
          <w:rFonts w:hint="eastAsia" w:ascii="仿宋_GB2312" w:eastAsia="仿宋_GB2312" w:cs="Times New Roman"/>
          <w:b/>
          <w:bCs/>
          <w:sz w:val="32"/>
          <w:szCs w:val="32"/>
          <w:lang w:eastAsia="zh-CN"/>
        </w:rPr>
        <w:t>交通运输局</w:t>
      </w:r>
      <w:r>
        <w:rPr>
          <w:rFonts w:hint="eastAsia" w:ascii="仿宋_GB2312" w:eastAsia="仿宋_GB2312" w:cs="Times New Roman"/>
          <w:b/>
          <w:bCs/>
          <w:sz w:val="32"/>
          <w:szCs w:val="32"/>
        </w:rPr>
        <w:t>牵头，市公安局、市生态环境局参与）</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对零陵区环保局、冷水滩区环保局、市监测站三个具备绕行条件的点位，站点周边一公里内实行重型柴油货车禁行，在禁行区域或路段严禁柴油货车通行，具体禁行路段如下：</w:t>
      </w:r>
      <w:r>
        <w:rPr>
          <w:rFonts w:hint="eastAsia" w:eastAsia="仿宋_GB2312"/>
          <w:b/>
          <w:color w:val="000000"/>
          <w:sz w:val="32"/>
          <w:szCs w:val="32"/>
        </w:rPr>
        <w:t>（市公安局牵头，市生态环境局、市住建局、市交通运输局、市农业农村局参与）</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1）冷水滩区环保局站点：珊瑚路、零陵路（春江南路交汇处-德源路交汇处）、湘江西路、下河线路（春江南路-凤凰南路交汇处）、潇湘路、凤凰路（珊瑚路交汇处-潇湘大桥）、潇湘大桥、清桥路（潇湘大桥-百业街交汇处）、觅湘路；</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2）市监测站站点：育才路（百花路交汇处-中兴路交汇处）、梅湾路（双洲路交汇处-逸云路交汇处）、中兴路（湘江东路交汇处-永州大道）、逸云路（全段）、翠竹路（潇湘东路交汇处-永州大道交汇处）、富园路（育才南路交汇处-永州大道交汇处）、桐木井路（百花路交汇处-中兴路交汇处）、翠园商贸街；</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3）零陵区环保局站点：南津路（湘口馆路交汇处-潇水路交汇处）、芝山北路（荔枝西路交汇处-黄古山路交汇处）、神仙岭路（学苑路交汇处-黄古山中路交汇处）、菱角塘路、荔枝路（芝山路交汇处-鸟沙洲路交汇处）、黄古山路（阳明大道交汇处-芝山北路交汇处）、黄泥塘路（阳明大道-黄古山东路交汇处）</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组织开展重型柴油车专项整治行动，加大对夜间进城重型柴油车和渣土车的整治力度，通过视频抓拍等措施加强对黑烟车的执法力度，基本消灭黑烟车。</w:t>
      </w:r>
      <w:r>
        <w:rPr>
          <w:rFonts w:hint="eastAsia" w:eastAsia="仿宋_GB2312"/>
          <w:b/>
          <w:color w:val="000000"/>
          <w:sz w:val="32"/>
          <w:szCs w:val="32"/>
        </w:rPr>
        <w:t>（</w:t>
      </w:r>
      <w:r>
        <w:rPr>
          <w:rFonts w:hint="eastAsia" w:ascii="仿宋_GB2312" w:hAnsi="仿宋_GB2312" w:eastAsia="仿宋_GB2312" w:cs="仿宋_GB2312"/>
          <w:b/>
          <w:color w:val="000000"/>
          <w:spacing w:val="4"/>
          <w:sz w:val="32"/>
          <w:szCs w:val="32"/>
        </w:rPr>
        <w:t>市公安局</w:t>
      </w:r>
      <w:r>
        <w:rPr>
          <w:rFonts w:hint="eastAsia" w:eastAsia="仿宋_GB2312"/>
          <w:b/>
          <w:color w:val="000000"/>
          <w:sz w:val="32"/>
          <w:szCs w:val="32"/>
        </w:rPr>
        <w:t>牵头，市生态环境局</w:t>
      </w:r>
      <w:r>
        <w:rPr>
          <w:rFonts w:hint="eastAsia" w:ascii="仿宋_GB2312" w:hAnsi="仿宋_GB2312" w:eastAsia="仿宋_GB2312" w:cs="仿宋_GB2312"/>
          <w:b/>
          <w:color w:val="000000"/>
          <w:spacing w:val="4"/>
          <w:sz w:val="32"/>
          <w:szCs w:val="32"/>
        </w:rPr>
        <w:t>、市交通运输局参与</w:t>
      </w:r>
      <w:r>
        <w:rPr>
          <w:rFonts w:hint="eastAsia" w:eastAsia="仿宋_GB2312"/>
          <w:b/>
          <w:color w:val="000000"/>
          <w:sz w:val="32"/>
          <w:szCs w:val="32"/>
        </w:rPr>
        <w:t>）</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2020年至少安装1套移动式遥感监测设备和3套固定水平式机动车遥感监测设施；按照国家规范在机动车排污监控平台的基础上进行改造升级，建设机动车遥感监测系统功能；根据遥感监测系统提供的数据，公安机关要加大对排放超标车辆的处罚力度。</w:t>
      </w:r>
      <w:r>
        <w:rPr>
          <w:rFonts w:hint="eastAsia" w:eastAsia="仿宋_GB2312"/>
          <w:b/>
          <w:color w:val="000000"/>
          <w:sz w:val="32"/>
          <w:szCs w:val="32"/>
        </w:rPr>
        <w:t>（市生态环境局牵头）</w:t>
      </w:r>
    </w:p>
    <w:p>
      <w:pPr>
        <w:pStyle w:val="4"/>
        <w:numPr>
          <w:ilvl w:val="0"/>
          <w:numId w:val="8"/>
        </w:numPr>
        <w:spacing w:line="560" w:lineRule="exact"/>
        <w:ind w:left="0" w:firstLine="641"/>
        <w:rPr>
          <w:rFonts w:ascii="仿宋_GB2312" w:eastAsia="仿宋_GB2312"/>
          <w:sz w:val="32"/>
        </w:rPr>
      </w:pPr>
      <w:r>
        <w:rPr>
          <w:rFonts w:hint="eastAsia" w:ascii="仿宋_GB2312" w:eastAsia="仿宋_GB2312"/>
          <w:sz w:val="32"/>
        </w:rPr>
        <w:t>开展非道路移动机械污染控制</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城市建成区划定为24小时禁止高排放非道路移动机械使用范围，不符合《非道路柴油移动机械排气污染物排放限值及测量方法（中国第三、四阶段）（GB20891—2014）》中规定的装载车、推土机、挖掘机、打桩机、铲车、压路机、沥青摊铺机、叉车、混凝土输送泵等高排放非道路移动机械或排放可见烟的非道路移动机械禁止在上述范围使用。</w:t>
      </w:r>
      <w:r>
        <w:rPr>
          <w:rFonts w:hint="eastAsia" w:eastAsia="仿宋_GB2312"/>
          <w:b/>
          <w:color w:val="000000"/>
          <w:sz w:val="32"/>
          <w:szCs w:val="32"/>
        </w:rPr>
        <w:t>（市生态环境局牵头，市公安局、市住建局、市交通运输局、市农业农村局参与）</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市生态环境局主管部门组织实施市内非道路移动机械排放检测工作，并对非道路移动机械实施环保号牌登记管理。</w:t>
      </w:r>
      <w:r>
        <w:rPr>
          <w:rFonts w:hint="eastAsia" w:ascii="仿宋_GB2312" w:hAnsi="仿宋_GB2312" w:eastAsia="仿宋_GB2312" w:cs="仿宋_GB2312"/>
          <w:b/>
          <w:bCs/>
          <w:color w:val="000000"/>
          <w:kern w:val="0"/>
          <w:sz w:val="32"/>
          <w:szCs w:val="32"/>
        </w:rPr>
        <w:t>（市公安局牵头，市生态环境局、</w:t>
      </w:r>
      <w:r>
        <w:rPr>
          <w:rFonts w:hint="eastAsia" w:eastAsia="仿宋_GB2312"/>
          <w:b/>
          <w:color w:val="000000"/>
          <w:sz w:val="32"/>
          <w:szCs w:val="32"/>
        </w:rPr>
        <w:t>市交通运输局</w:t>
      </w:r>
      <w:r>
        <w:rPr>
          <w:rFonts w:hint="eastAsia" w:ascii="仿宋_GB2312" w:hAnsi="仿宋_GB2312" w:eastAsia="仿宋_GB2312" w:cs="仿宋_GB2312"/>
          <w:b/>
          <w:bCs/>
          <w:color w:val="000000"/>
          <w:kern w:val="0"/>
          <w:sz w:val="32"/>
          <w:szCs w:val="32"/>
        </w:rPr>
        <w:t>参与）</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促进老旧工程机械、港作老旧燃油机械淘汰，加快淘汰国Ⅱ及以下柴油机和装配国Ⅱ及以下柴油机的农业机械。加快淘汰装配国Ⅱ及以下柴油发动机的上道路运输拖拉机，超过使用年限的依法实施强制报废。鼓励淘汰使用20年以上的内河航运船舶。</w:t>
      </w:r>
      <w:r>
        <w:rPr>
          <w:rFonts w:hint="eastAsia" w:ascii="仿宋_GB2312" w:hAnsi="仿宋_GB2312" w:eastAsia="仿宋_GB2312" w:cs="仿宋_GB2312"/>
          <w:b/>
          <w:bCs/>
          <w:color w:val="000000"/>
          <w:kern w:val="0"/>
          <w:sz w:val="32"/>
          <w:szCs w:val="32"/>
        </w:rPr>
        <w:t>（市生态环境局牵头，市公安局、</w:t>
      </w:r>
      <w:r>
        <w:rPr>
          <w:rFonts w:hint="eastAsia" w:eastAsia="仿宋_GB2312"/>
          <w:b/>
          <w:color w:val="000000"/>
          <w:sz w:val="32"/>
          <w:szCs w:val="32"/>
        </w:rPr>
        <w:t>市交通运输局、市农业农村局</w:t>
      </w:r>
      <w:r>
        <w:rPr>
          <w:rFonts w:hint="eastAsia" w:ascii="仿宋_GB2312" w:hAnsi="仿宋_GB2312" w:eastAsia="仿宋_GB2312" w:cs="仿宋_GB2312"/>
          <w:b/>
          <w:bCs/>
          <w:color w:val="000000"/>
          <w:kern w:val="0"/>
          <w:sz w:val="32"/>
          <w:szCs w:val="32"/>
        </w:rPr>
        <w:t>参与）</w:t>
      </w:r>
    </w:p>
    <w:p>
      <w:pPr>
        <w:pStyle w:val="2"/>
        <w:spacing w:line="560" w:lineRule="exact"/>
        <w:ind w:firstLine="643"/>
        <w:rPr>
          <w:rFonts w:ascii="黑体" w:hAnsi="黑体"/>
          <w:szCs w:val="32"/>
        </w:rPr>
      </w:pPr>
      <w:bookmarkStart w:id="41" w:name="_Toc45035998"/>
      <w:r>
        <w:rPr>
          <w:rFonts w:hint="eastAsia" w:ascii="黑体" w:hAnsi="黑体"/>
          <w:szCs w:val="32"/>
        </w:rPr>
        <w:t>七、2021年空气治理达标加严控制措施</w:t>
      </w:r>
      <w:bookmarkEnd w:id="41"/>
    </w:p>
    <w:p>
      <w:pPr>
        <w:pStyle w:val="3"/>
        <w:spacing w:line="560" w:lineRule="exact"/>
        <w:ind w:firstLine="482"/>
        <w:rPr>
          <w:rFonts w:ascii="楷体_GB2312" w:eastAsia="楷体_GB2312" w:cs="Times New Roman"/>
          <w:sz w:val="32"/>
        </w:rPr>
      </w:pPr>
      <w:bookmarkStart w:id="42" w:name="_Toc45035999"/>
      <w:r>
        <w:rPr>
          <w:rFonts w:hint="eastAsia" w:ascii="楷体_GB2312" w:eastAsia="楷体_GB2312" w:cs="Times New Roman"/>
          <w:sz w:val="32"/>
        </w:rPr>
        <w:t>（一）</w:t>
      </w:r>
      <w:r>
        <w:rPr>
          <w:rFonts w:hint="eastAsia" w:ascii="楷体_GB2312" w:eastAsia="楷体_GB2312" w:cs="Times New Roman"/>
          <w:sz w:val="32"/>
          <w:lang w:eastAsia="zh-CN"/>
        </w:rPr>
        <w:t>明确</w:t>
      </w:r>
      <w:r>
        <w:rPr>
          <w:rFonts w:hint="eastAsia" w:ascii="楷体_GB2312" w:eastAsia="楷体_GB2312" w:cs="Times New Roman"/>
          <w:sz w:val="32"/>
        </w:rPr>
        <w:t>市区禁燃区范围</w:t>
      </w:r>
      <w:bookmarkEnd w:id="42"/>
    </w:p>
    <w:p>
      <w:pPr>
        <w:spacing w:line="560" w:lineRule="exact"/>
        <w:ind w:firstLine="640"/>
        <w:rPr>
          <w:rFonts w:ascii="仿宋_GB2312" w:eastAsia="仿宋_GB2312" w:cs="Times New Roman"/>
          <w:sz w:val="32"/>
          <w:szCs w:val="32"/>
        </w:rPr>
      </w:pPr>
      <w:r>
        <w:rPr>
          <w:rFonts w:ascii="仿宋_GB2312" w:eastAsia="仿宋_GB2312" w:cs="Times New Roman"/>
          <w:sz w:val="32"/>
          <w:szCs w:val="32"/>
        </w:rPr>
        <w:t>将市区的高污染燃料禁燃区由</w:t>
      </w:r>
      <w:r>
        <w:rPr>
          <w:rFonts w:hint="eastAsia" w:ascii="仿宋_GB2312" w:eastAsia="仿宋_GB2312" w:cs="Times New Roman"/>
          <w:sz w:val="32"/>
          <w:szCs w:val="32"/>
        </w:rPr>
        <w:t>2</w:t>
      </w:r>
      <w:r>
        <w:rPr>
          <w:rFonts w:ascii="仿宋_GB2312" w:eastAsia="仿宋_GB2312" w:cs="Times New Roman"/>
          <w:sz w:val="32"/>
          <w:szCs w:val="32"/>
        </w:rPr>
        <w:t>014年规定的中心城区建设用地范围</w:t>
      </w:r>
      <w:r>
        <w:rPr>
          <w:rFonts w:hint="eastAsia" w:ascii="仿宋_GB2312" w:eastAsia="仿宋_GB2312" w:cs="Times New Roman"/>
          <w:sz w:val="32"/>
          <w:szCs w:val="32"/>
          <w:lang w:eastAsia="zh-CN"/>
        </w:rPr>
        <w:t>进一步明确，包含</w:t>
      </w:r>
      <w:r>
        <w:rPr>
          <w:rFonts w:hint="eastAsia" w:ascii="仿宋_GB2312" w:eastAsia="仿宋_GB2312" w:cs="Times New Roman"/>
          <w:sz w:val="32"/>
          <w:szCs w:val="32"/>
        </w:rPr>
        <w:t>冷水滩区、零陵区和永州经济技术开发区全境，严厉打击在高污染燃料禁燃区内生产、销售和使用原（散）煤、煤矸石、粉煤、煤泥、燃料油（重油和渣油）、各种可燃废物和直接燃用的生物质燃料（树木、秸秆、锯末、稻壳、蔗渣等）等行为。</w:t>
      </w:r>
      <w:r>
        <w:rPr>
          <w:rFonts w:hint="eastAsia" w:ascii="仿宋_GB2312" w:hAnsi="仿宋_GB2312" w:eastAsia="仿宋_GB2312" w:cs="仿宋_GB2312"/>
          <w:b/>
          <w:color w:val="000000"/>
          <w:sz w:val="32"/>
          <w:szCs w:val="32"/>
        </w:rPr>
        <w:t>（市发改委、市生态环境局牵头，市工信局、市自然资源和规划局、</w:t>
      </w:r>
      <w:r>
        <w:rPr>
          <w:rFonts w:hint="eastAsia" w:ascii="仿宋_GB2312" w:hAnsi="仿宋_GB2312" w:eastAsia="仿宋_GB2312" w:cs="仿宋_GB2312"/>
          <w:b/>
          <w:bCs/>
          <w:color w:val="000000"/>
          <w:kern w:val="0"/>
          <w:sz w:val="32"/>
          <w:szCs w:val="32"/>
        </w:rPr>
        <w:t>市市场监督管理局</w:t>
      </w:r>
      <w:r>
        <w:rPr>
          <w:rFonts w:hint="eastAsia" w:ascii="仿宋_GB2312" w:hAnsi="仿宋_GB2312" w:eastAsia="仿宋_GB2312" w:cs="仿宋_GB2312"/>
          <w:b/>
          <w:color w:val="000000"/>
          <w:sz w:val="32"/>
          <w:szCs w:val="32"/>
        </w:rPr>
        <w:t>参与，各县区人民政府落实）</w:t>
      </w:r>
    </w:p>
    <w:p>
      <w:pPr>
        <w:pStyle w:val="3"/>
        <w:spacing w:line="560" w:lineRule="exact"/>
        <w:ind w:firstLine="643"/>
        <w:rPr>
          <w:rFonts w:ascii="楷体_GB2312" w:eastAsia="楷体_GB2312" w:cs="Times New Roman"/>
          <w:sz w:val="32"/>
        </w:rPr>
      </w:pPr>
      <w:bookmarkStart w:id="43" w:name="_Toc45036000"/>
      <w:r>
        <w:rPr>
          <w:rFonts w:hint="eastAsia" w:ascii="楷体_GB2312" w:eastAsia="楷体_GB2312" w:cs="Times New Roman"/>
          <w:sz w:val="32"/>
        </w:rPr>
        <w:t>（二）提高生物质锅炉排放标准</w:t>
      </w:r>
      <w:bookmarkEnd w:id="43"/>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针对市区建成区的生物质锅炉，烟尘、SO</w:t>
      </w:r>
      <w:r>
        <w:rPr>
          <w:rFonts w:hint="eastAsia" w:ascii="仿宋_GB2312" w:eastAsia="仿宋_GB2312" w:cs="Times New Roman"/>
          <w:sz w:val="32"/>
          <w:szCs w:val="32"/>
          <w:vertAlign w:val="subscript"/>
        </w:rPr>
        <w:t>2</w:t>
      </w:r>
      <w:r>
        <w:rPr>
          <w:rFonts w:hint="eastAsia" w:ascii="仿宋_GB2312" w:eastAsia="仿宋_GB2312" w:cs="Times New Roman"/>
          <w:sz w:val="32"/>
          <w:szCs w:val="32"/>
        </w:rPr>
        <w:t>、NOx排放浓度应达到天然气特别排放限值，有条件可进一步改用电（天然气）等清洁能源。10t/h及以上容量的生物质锅炉应安装</w:t>
      </w:r>
      <w:r>
        <w:rPr>
          <w:rFonts w:hint="eastAsia" w:ascii="仿宋_GB2312" w:eastAsia="仿宋_GB2312" w:cs="Times New Roman"/>
          <w:sz w:val="32"/>
          <w:szCs w:val="32"/>
          <w:lang w:eastAsia="zh-CN"/>
        </w:rPr>
        <w:t>生态环境</w:t>
      </w:r>
      <w:r>
        <w:rPr>
          <w:rFonts w:hint="eastAsia" w:ascii="仿宋_GB2312" w:eastAsia="仿宋_GB2312" w:cs="Times New Roman"/>
          <w:sz w:val="32"/>
          <w:szCs w:val="32"/>
        </w:rPr>
        <w:t>部门认可的污染物排放自动监测设备。</w:t>
      </w:r>
      <w:r>
        <w:rPr>
          <w:rFonts w:hint="eastAsia" w:eastAsia="仿宋_GB2312"/>
          <w:b/>
          <w:bCs/>
          <w:color w:val="000000"/>
          <w:sz w:val="32"/>
          <w:szCs w:val="32"/>
        </w:rPr>
        <w:t>（市生态环境局牵头，市工信局、市发改委、市市场监督管理局参与）</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推动市区非建成区、祁阳县、东安县以及双牌县生物质锅炉达标排放，按照国能新能[2014]520号文件要求，生物质锅炉烟气排放需力争达到天然气排放标准（折算基准氧含量排放浓度时，暂定按9%执行），对SO</w:t>
      </w:r>
      <w:r>
        <w:rPr>
          <w:rFonts w:hint="eastAsia" w:ascii="仿宋_GB2312" w:eastAsia="仿宋_GB2312" w:cs="Times New Roman"/>
          <w:sz w:val="32"/>
          <w:szCs w:val="32"/>
          <w:vertAlign w:val="subscript"/>
        </w:rPr>
        <w:t>2</w:t>
      </w:r>
      <w:r>
        <w:rPr>
          <w:rFonts w:hint="eastAsia" w:ascii="仿宋_GB2312" w:eastAsia="仿宋_GB2312" w:cs="Times New Roman"/>
          <w:sz w:val="32"/>
          <w:szCs w:val="32"/>
        </w:rPr>
        <w:t>、NOx不能稳定达到排放要求的，应配套安装脱硫脱硝设施。</w:t>
      </w:r>
      <w:r>
        <w:rPr>
          <w:rFonts w:hint="eastAsia" w:eastAsia="仿宋_GB2312"/>
          <w:b/>
          <w:bCs/>
          <w:color w:val="000000"/>
          <w:sz w:val="32"/>
          <w:szCs w:val="32"/>
        </w:rPr>
        <w:t>（市生态环境局牵头，市工信局、市发改委、市市场监督管理局参与）</w:t>
      </w:r>
    </w:p>
    <w:p>
      <w:pPr>
        <w:pStyle w:val="3"/>
        <w:spacing w:line="560" w:lineRule="exact"/>
        <w:ind w:firstLine="643"/>
        <w:rPr>
          <w:rFonts w:ascii="楷体_GB2312" w:eastAsia="楷体_GB2312" w:cs="Times New Roman"/>
          <w:sz w:val="32"/>
        </w:rPr>
      </w:pPr>
      <w:bookmarkStart w:id="44" w:name="_Toc45036001"/>
      <w:r>
        <w:rPr>
          <w:rFonts w:hint="eastAsia" w:ascii="楷体_GB2312" w:eastAsia="楷体_GB2312" w:cs="Times New Roman"/>
          <w:sz w:val="32"/>
        </w:rPr>
        <w:t>（三）提高砖瓦企业排放标准</w:t>
      </w:r>
      <w:bookmarkEnd w:id="44"/>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市区非建成区剩余砖瓦厂要求全部建设或完善干燥及焙烧窑烟气高效除尘、脱硫设施，安装污染物在线监控设施并与</w:t>
      </w:r>
      <w:r>
        <w:rPr>
          <w:rFonts w:hint="eastAsia" w:ascii="仿宋_GB2312" w:eastAsia="仿宋_GB2312" w:cs="Times New Roman"/>
          <w:sz w:val="32"/>
          <w:szCs w:val="32"/>
          <w:lang w:eastAsia="zh-CN"/>
        </w:rPr>
        <w:t>生态环境</w:t>
      </w:r>
      <w:r>
        <w:rPr>
          <w:rFonts w:hint="eastAsia" w:ascii="仿宋_GB2312" w:eastAsia="仿宋_GB2312" w:cs="Times New Roman"/>
          <w:sz w:val="32"/>
          <w:szCs w:val="32"/>
        </w:rPr>
        <w:t>部门联网，保证原料燃料破碎及制备成型工序的颗粒物及人工干燥和焙烧工序排放的颗粒物、二氧化硫和氮氧化物进一步达到相关标准排放限值要求。</w:t>
      </w:r>
      <w:r>
        <w:rPr>
          <w:rFonts w:hint="eastAsia" w:eastAsia="仿宋_GB2312"/>
          <w:b/>
          <w:bCs/>
          <w:color w:val="000000"/>
          <w:sz w:val="32"/>
          <w:szCs w:val="32"/>
        </w:rPr>
        <w:t>（市生态环境局牵头，市工信局、市发改委参与）</w:t>
      </w:r>
    </w:p>
    <w:p>
      <w:pPr>
        <w:pStyle w:val="3"/>
        <w:spacing w:line="560" w:lineRule="exact"/>
        <w:ind w:firstLine="643"/>
        <w:rPr>
          <w:rFonts w:ascii="楷体_GB2312" w:eastAsia="楷体_GB2312" w:cs="Times New Roman"/>
          <w:sz w:val="32"/>
        </w:rPr>
      </w:pPr>
      <w:bookmarkStart w:id="45" w:name="_Toc45036002"/>
      <w:r>
        <w:rPr>
          <w:rFonts w:hint="eastAsia" w:ascii="楷体_GB2312" w:eastAsia="楷体_GB2312" w:cs="Times New Roman"/>
          <w:sz w:val="32"/>
        </w:rPr>
        <w:t>（四）加强建材行业无组织排放监管</w:t>
      </w:r>
      <w:bookmarkEnd w:id="45"/>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加强对市区内沥青搅拌站、混凝土搅拌站和水泥制品等建材企业无组织排放情况的日常检查工作，通过在线监测系统和现场督查等手段，及时发现企业在料场密闭、物料输送环节、生产环节、厂区环境及运输车辆等方面的问题，依法实施停产并限期整改，逾期仍不到位的，依法实施关停取缔。对检查工作推进不力、执法不严、问责不力、逾期未完成检查任务的县市区，予以问责。</w:t>
      </w:r>
      <w:r>
        <w:rPr>
          <w:rFonts w:hint="eastAsia" w:ascii="仿宋" w:hAnsi="仿宋" w:eastAsia="仿宋" w:cs="仿宋"/>
          <w:b/>
          <w:sz w:val="32"/>
          <w:szCs w:val="32"/>
        </w:rPr>
        <w:t>(市生态环境局牵头，市住建局、市工信局、市自然资源和规划局</w:t>
      </w:r>
      <w:r>
        <w:rPr>
          <w:rFonts w:hint="eastAsia" w:ascii="仿宋" w:hAnsi="仿宋" w:eastAsia="仿宋" w:cs="仿宋"/>
          <w:b/>
          <w:bCs/>
          <w:sz w:val="32"/>
          <w:szCs w:val="32"/>
        </w:rPr>
        <w:t>按职责</w:t>
      </w:r>
      <w:r>
        <w:rPr>
          <w:rFonts w:hint="eastAsia" w:ascii="仿宋" w:hAnsi="仿宋" w:eastAsia="仿宋" w:cs="仿宋"/>
          <w:b/>
          <w:sz w:val="32"/>
          <w:szCs w:val="32"/>
        </w:rPr>
        <w:t>分别负责）</w:t>
      </w:r>
    </w:p>
    <w:p>
      <w:pPr>
        <w:pStyle w:val="3"/>
        <w:spacing w:line="560" w:lineRule="exact"/>
        <w:ind w:firstLine="643"/>
        <w:rPr>
          <w:rFonts w:ascii="楷体_GB2312" w:eastAsia="楷体_GB2312" w:cs="Times New Roman"/>
          <w:sz w:val="32"/>
        </w:rPr>
      </w:pPr>
      <w:bookmarkStart w:id="46" w:name="_Toc45036003"/>
      <w:r>
        <w:rPr>
          <w:rFonts w:hint="eastAsia" w:ascii="楷体_GB2312" w:eastAsia="楷体_GB2312" w:cs="Times New Roman"/>
          <w:sz w:val="32"/>
        </w:rPr>
        <w:t>（五）强化扬尘污染治理</w:t>
      </w:r>
      <w:bookmarkEnd w:id="46"/>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市区建成区所有建筑工地必须安装扬尘污染在线监测系统和可视监控设备，且并接入住建部门的监督系统，不具备上述监控设备条件的企业不予批准施工。如发现工地扬尘超标情况，住建部门及时向城市综合执法部门传达信息，由执法部门到现场叫停，并按照相关规定进行限期整改。施工单位整改到位后，由住建部门验收达标后方可开工，凡不具备“七个百分百”条件擅自复工的，严肃查处违法违规项目工地和责任人员，问题严重的列入黑名单，逐出永州建筑市场。</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bCs/>
          <w:color w:val="000000"/>
          <w:kern w:val="0"/>
          <w:sz w:val="32"/>
          <w:szCs w:val="32"/>
        </w:rPr>
        <w:t>市住建局牵头，市城管执法局、市生态环境局、市交通运输局参与）</w:t>
      </w:r>
    </w:p>
    <w:p>
      <w:pPr>
        <w:pStyle w:val="3"/>
        <w:spacing w:line="560" w:lineRule="exact"/>
        <w:ind w:firstLine="643"/>
        <w:rPr>
          <w:rFonts w:ascii="楷体_GB2312" w:eastAsia="楷体_GB2312" w:cs="Times New Roman"/>
          <w:sz w:val="32"/>
        </w:rPr>
      </w:pPr>
      <w:bookmarkStart w:id="47" w:name="_Toc45036004"/>
      <w:r>
        <w:rPr>
          <w:rFonts w:hint="eastAsia" w:ascii="楷体_GB2312" w:eastAsia="楷体_GB2312" w:cs="Times New Roman"/>
          <w:sz w:val="32"/>
        </w:rPr>
        <w:t>（六）强化机动车污染控制</w:t>
      </w:r>
      <w:bookmarkEnd w:id="47"/>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国二及以下排放标准汽油车、国三及以下排放标准的柴油车（包含本市籍和外市籍号牌）全天24小时禁止在市区限行区域内通行，限行区域包括永州大道连城段至九嶷大道以西、陶源路以南、珍珠路以东、紫霞路以南、潇湘大道以东、西区路以北、传芳路以东、舜皇路以北、零陵南路以东、长丰大道以北和湘江东路以东形成的合围区域，以及日升西路以南、绿影路以东、萍洲大桥以东、桃江路以东、潇水路以北、阳明大道以西、七里店路以西的合围区域，还有永州大道九嶷大道路口至日升路口路段。若限行对象有需要进入限行区域，必须提前向市公安局申领通行证，领证后方可驶入限行区域。</w:t>
      </w:r>
      <w:bookmarkStart w:id="48" w:name="_Toc28609458"/>
      <w:r>
        <w:rPr>
          <w:rFonts w:hint="eastAsia" w:eastAsia="仿宋_GB2312"/>
          <w:b/>
          <w:color w:val="000000"/>
          <w:sz w:val="32"/>
          <w:szCs w:val="32"/>
        </w:rPr>
        <w:t>（市公安局牵头，市生态环境局、市住建局、市交通运输局参与）</w:t>
      </w:r>
    </w:p>
    <w:bookmarkEnd w:id="48"/>
    <w:p>
      <w:pPr>
        <w:pStyle w:val="2"/>
        <w:spacing w:line="560" w:lineRule="exact"/>
        <w:ind w:firstLine="643"/>
        <w:rPr>
          <w:rFonts w:ascii="黑体" w:hAnsi="黑体"/>
          <w:szCs w:val="32"/>
        </w:rPr>
      </w:pPr>
      <w:bookmarkStart w:id="49" w:name="_Toc45036005"/>
      <w:r>
        <w:rPr>
          <w:rFonts w:hint="eastAsia" w:ascii="黑体" w:hAnsi="黑体"/>
          <w:szCs w:val="32"/>
        </w:rPr>
        <w:t>八、加强特护期重点污染源管控</w:t>
      </w:r>
      <w:bookmarkEnd w:id="49"/>
    </w:p>
    <w:p>
      <w:pPr>
        <w:pStyle w:val="3"/>
        <w:spacing w:line="560" w:lineRule="exact"/>
        <w:ind w:firstLine="482"/>
        <w:rPr>
          <w:rFonts w:ascii="楷体_GB2312" w:eastAsia="楷体_GB2312" w:cs="Times New Roman"/>
          <w:sz w:val="32"/>
        </w:rPr>
      </w:pPr>
      <w:bookmarkStart w:id="50" w:name="_Toc45036006"/>
      <w:r>
        <w:rPr>
          <w:rFonts w:hint="eastAsia" w:ascii="楷体_GB2312" w:eastAsia="楷体_GB2312" w:cs="Times New Roman"/>
          <w:sz w:val="32"/>
        </w:rPr>
        <w:t>（一）加强涉气工业企业环境监管</w:t>
      </w:r>
      <w:bookmarkEnd w:id="50"/>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全市相关行业按国家和省相关规定，执行大气污染物特别排放限值。列入年度“蓝天保卫战”重点减排项目清单的整治项目，当年10月底前尚未动工的，一律依法停产整治。对特护期内超标排放的企业，依法实施停产整治，从严从重处罚，并纳入重污染天气停限产的重点范围。</w:t>
      </w:r>
      <w:r>
        <w:rPr>
          <w:rFonts w:hint="eastAsia" w:ascii="仿宋_GB2312" w:eastAsia="仿宋_GB2312" w:cs="Times New Roman"/>
          <w:b/>
          <w:bCs/>
          <w:sz w:val="32"/>
          <w:szCs w:val="32"/>
        </w:rPr>
        <w:t>（市生态环境局牵头，市工信局参与）</w:t>
      </w:r>
    </w:p>
    <w:p>
      <w:pPr>
        <w:pStyle w:val="3"/>
        <w:spacing w:line="560" w:lineRule="exact"/>
        <w:ind w:firstLine="482"/>
        <w:rPr>
          <w:rFonts w:ascii="楷体_GB2312" w:eastAsia="楷体_GB2312" w:cs="Times New Roman"/>
          <w:sz w:val="32"/>
        </w:rPr>
      </w:pPr>
      <w:bookmarkStart w:id="51" w:name="_Toc45036007"/>
      <w:r>
        <w:rPr>
          <w:rFonts w:hint="eastAsia" w:ascii="楷体_GB2312" w:eastAsia="楷体_GB2312" w:cs="Times New Roman"/>
          <w:sz w:val="32"/>
        </w:rPr>
        <w:t>（二）加强“散乱污”企业整治</w:t>
      </w:r>
      <w:bookmarkEnd w:id="51"/>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对已明确列入关停取缔类的企业，切实做到“两断三清”（断水、断电、清除原料、产品、生产设备），实行挂账销号；对工业园区外或不符合园区规划的整合搬迁类企业，逐步引导整合搬迁至符合产业定位的工业园区内；对可通过治理后实现达标的企业，实施停产治理，完成整治能够稳定达标排放后方可恢复生产。</w:t>
      </w:r>
      <w:r>
        <w:rPr>
          <w:rFonts w:hint="eastAsia" w:eastAsia="仿宋_GB2312"/>
          <w:b/>
          <w:bCs/>
          <w:color w:val="000000"/>
          <w:sz w:val="32"/>
          <w:szCs w:val="32"/>
        </w:rPr>
        <w:t>（市工信局牵头，</w:t>
      </w:r>
      <w:r>
        <w:rPr>
          <w:rFonts w:hint="eastAsia" w:ascii="仿宋_GB2312" w:hAnsi="仿宋_GB2312" w:eastAsia="仿宋_GB2312" w:cs="仿宋_GB2312"/>
          <w:b/>
          <w:color w:val="000000"/>
          <w:sz w:val="32"/>
          <w:szCs w:val="32"/>
        </w:rPr>
        <w:t>市发改委、市生态环境局、市市场监管局、市应急管理局、市自然资源和规划局、市公安局、国网永州电力公司参与</w:t>
      </w:r>
      <w:r>
        <w:rPr>
          <w:rFonts w:hint="eastAsia" w:eastAsia="仿宋_GB2312"/>
          <w:b/>
          <w:bCs/>
          <w:color w:val="000000"/>
          <w:sz w:val="32"/>
          <w:szCs w:val="32"/>
        </w:rPr>
        <w:t>）</w:t>
      </w:r>
    </w:p>
    <w:p>
      <w:pPr>
        <w:pStyle w:val="3"/>
        <w:spacing w:line="560" w:lineRule="exact"/>
        <w:ind w:firstLine="482"/>
        <w:rPr>
          <w:rFonts w:ascii="楷体_GB2312" w:eastAsia="楷体_GB2312" w:cs="Times New Roman"/>
          <w:sz w:val="32"/>
        </w:rPr>
      </w:pPr>
      <w:bookmarkStart w:id="52" w:name="_Toc45036008"/>
      <w:r>
        <w:rPr>
          <w:rFonts w:hint="eastAsia" w:ascii="楷体_GB2312" w:eastAsia="楷体_GB2312" w:cs="Times New Roman"/>
          <w:sz w:val="32"/>
        </w:rPr>
        <w:t>（三）加强企业无组织排放监管</w:t>
      </w:r>
      <w:bookmarkEnd w:id="52"/>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县区人民政府要组织开展工业企业无组织排放状况排查工作，建立无组织排放企业清单。加强工业企业和有关单位原料、废料堆放和运输管控。对煤炭、煤矸石、废渣、水泥、石灰、砂石、砂土等易产生扬尘的粉状、粒状物料及燃料应当密闭储存，运输采用密闭皮带、封闭通廊、管状带式输送机或密闭车厢、真空罐车、气力输送等密闭输送方式；块状物料采用入棚入仓或建设防风抑尘网等方式进行存储，并采取洒水、喷淋、苫盖等综合措施进行抑尘；料场路面应实施硬化，出口处配备车轮和车身清洗装置。对未落实无组织排放控制要求、超标排放的企业，依法予以处罚和实施停产整治。</w:t>
      </w:r>
      <w:r>
        <w:rPr>
          <w:rFonts w:hint="eastAsia" w:ascii="仿宋" w:hAnsi="仿宋" w:eastAsia="仿宋" w:cs="仿宋"/>
          <w:b/>
          <w:sz w:val="32"/>
          <w:szCs w:val="32"/>
        </w:rPr>
        <w:t>(市生态环境局牵头，市住建局、市工信局、市自然资源和规划局</w:t>
      </w:r>
      <w:r>
        <w:rPr>
          <w:rFonts w:hint="eastAsia" w:ascii="仿宋" w:hAnsi="仿宋" w:eastAsia="仿宋" w:cs="仿宋"/>
          <w:b/>
          <w:bCs/>
          <w:sz w:val="32"/>
          <w:szCs w:val="32"/>
        </w:rPr>
        <w:t>按职责</w:t>
      </w:r>
      <w:r>
        <w:rPr>
          <w:rFonts w:hint="eastAsia" w:ascii="仿宋" w:hAnsi="仿宋" w:eastAsia="仿宋" w:cs="仿宋"/>
          <w:b/>
          <w:sz w:val="32"/>
          <w:szCs w:val="32"/>
        </w:rPr>
        <w:t>分别负责）</w:t>
      </w:r>
    </w:p>
    <w:p>
      <w:pPr>
        <w:pStyle w:val="3"/>
        <w:spacing w:line="560" w:lineRule="exact"/>
        <w:ind w:firstLine="482"/>
        <w:rPr>
          <w:rFonts w:ascii="楷体_GB2312" w:eastAsia="楷体_GB2312" w:cs="Times New Roman"/>
          <w:sz w:val="32"/>
        </w:rPr>
      </w:pPr>
      <w:bookmarkStart w:id="53" w:name="_Toc45036009"/>
      <w:r>
        <w:rPr>
          <w:rFonts w:hint="eastAsia" w:ascii="楷体_GB2312" w:eastAsia="楷体_GB2312" w:cs="Times New Roman"/>
          <w:sz w:val="32"/>
        </w:rPr>
        <w:t>（四）切实加强重点行业错峰生产、限产工作</w:t>
      </w:r>
      <w:bookmarkEnd w:id="53"/>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根据省里要求完成全市水泥、砖瓦、钢铁、焦化、有色等行业错峰生产实施方案的制定工作，每年9月底前完成更新，要将错峰生产方案细化到企业生产线、工序和设备。实行差别化管理，严禁“一刀切”，对以天然气、电力、电厂热力为燃料或热源的企业，可少限产或不予限产；属于《产业结构调整指导目录》限制类的，要提高限产比例或实施停产。</w:t>
      </w:r>
      <w:r>
        <w:rPr>
          <w:rFonts w:hint="eastAsia" w:ascii="仿宋_GB2312" w:eastAsia="仿宋_GB2312" w:cs="Times New Roman"/>
          <w:b/>
          <w:bCs/>
          <w:sz w:val="32"/>
          <w:szCs w:val="32"/>
        </w:rPr>
        <w:t>（市工信局牵头，市生态环境局参与）</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各县区要严格督促所有熟料生产线实施错峰生产，特护期期间，各水泥熟料生产企业应按照省、市经信委确定的错峰生产计划进行，错峰时间不少于60天，正常运行的协同处置熟料生产线减半执行。</w:t>
      </w:r>
      <w:r>
        <w:rPr>
          <w:rFonts w:hint="eastAsia" w:ascii="仿宋_GB2312" w:eastAsia="仿宋_GB2312" w:cs="Times New Roman"/>
          <w:b/>
          <w:bCs/>
          <w:sz w:val="32"/>
          <w:szCs w:val="32"/>
        </w:rPr>
        <w:t>（市工信局牵头，市生态环境局参与）</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各县区针对钢铁、建材、焦化、有色、化工、矿山等涉及大宗物料运输的重点用车企业以及港口码头、城市物流配送企业，制定错峰运输方案，2020年9月底前重点企业和单位要在车辆出入口安装视频监控系统，并保留监控记录三个月以上。</w:t>
      </w:r>
      <w:r>
        <w:rPr>
          <w:rFonts w:hint="eastAsia" w:ascii="仿宋_GB2312" w:eastAsia="仿宋_GB2312" w:cs="Times New Roman"/>
          <w:b/>
          <w:bCs/>
          <w:sz w:val="32"/>
          <w:szCs w:val="32"/>
        </w:rPr>
        <w:t>（市生态环境局牵头，市工信局、市交通运输局参与）</w:t>
      </w:r>
    </w:p>
    <w:p>
      <w:pPr>
        <w:pStyle w:val="3"/>
        <w:spacing w:line="560" w:lineRule="exact"/>
        <w:ind w:firstLine="482"/>
        <w:rPr>
          <w:rFonts w:ascii="楷体_GB2312" w:eastAsia="楷体_GB2312" w:cs="Times New Roman"/>
          <w:sz w:val="32"/>
        </w:rPr>
      </w:pPr>
      <w:bookmarkStart w:id="54" w:name="_Toc45036010"/>
      <w:r>
        <w:rPr>
          <w:rFonts w:hint="eastAsia" w:ascii="楷体_GB2312" w:eastAsia="楷体_GB2312" w:cs="Times New Roman"/>
          <w:sz w:val="32"/>
        </w:rPr>
        <w:t>（五）加强锅炉和工业炉窑污染治理</w:t>
      </w:r>
      <w:bookmarkEnd w:id="54"/>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实施工业窑炉深度治理，全面淘汰或升级改造工艺简易、治污效果差的大气污染治理设施；有行业污染物排放标准的工业炉窑，严格执行行业排放标准相关规定；铸造行业烧结、高炉工序污染排放控制，按钢铁行业相关标准执行；暂未制定行业排放标准的其他工业炉窑，按照颗粒物、二氧化硫、氮氧化物排放限值分别不高于50、200、300毫克／立方米执行，达不到相关要求的，实施停产整治。</w:t>
      </w:r>
      <w:r>
        <w:rPr>
          <w:rFonts w:hint="eastAsia" w:eastAsia="仿宋_GB2312"/>
          <w:b/>
          <w:bCs/>
          <w:color w:val="000000"/>
          <w:sz w:val="32"/>
          <w:szCs w:val="32"/>
        </w:rPr>
        <w:t>（市生态环境局牵头，市工信局、市发改委参与）</w:t>
      </w:r>
    </w:p>
    <w:p>
      <w:pPr>
        <w:pStyle w:val="3"/>
        <w:spacing w:line="560" w:lineRule="exact"/>
        <w:ind w:firstLine="482"/>
        <w:rPr>
          <w:rFonts w:ascii="楷体_GB2312" w:eastAsia="楷体_GB2312" w:cs="Times New Roman"/>
          <w:sz w:val="32"/>
        </w:rPr>
      </w:pPr>
      <w:bookmarkStart w:id="55" w:name="_Toc45036011"/>
      <w:r>
        <w:rPr>
          <w:rFonts w:hint="eastAsia" w:ascii="楷体_GB2312" w:eastAsia="楷体_GB2312" w:cs="Times New Roman"/>
          <w:sz w:val="32"/>
        </w:rPr>
        <w:t>（六）加强机动车污染控制</w:t>
      </w:r>
      <w:bookmarkEnd w:id="55"/>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中心城区和祁阳县建成区新增和更新的公交、环卫、邮政、出租、通勤、轻型物流配送车辆全部采用新能源或达到国六排放标准的清洁能源汽车；范围内港口、机场、铁路货场等新增或更换作业车辆主要采用新能源或达到国六排放标准的清洁能源汽车。</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各县区要加强公安交管、环境保护、交通运输等部门联合执法，加强新车生产、销售、注册登记等环节监督抽查，加大路检路查力度，依托超限超载检查站点等，开展柴油货车污染控制装置、车载诊断系统(OBD)、尾气排放达标情况等监督抽查，同步抽测车用燃油、车用尿素质量及使用情况；对物流园区、货物集散地、涉及大宗物料运输的工业企业、公交场站、长途客运站等车辆停放集中的重点场所，开展入户监督抽测。特护期期间，各县区路检路查、遥感监测、入户检查的柴油车，2020年不低于当地注册柴油车数量的60%。</w:t>
      </w:r>
      <w:r>
        <w:rPr>
          <w:rFonts w:hint="eastAsia" w:eastAsia="仿宋_GB2312"/>
          <w:b/>
          <w:bCs/>
          <w:color w:val="000000"/>
          <w:sz w:val="32"/>
          <w:szCs w:val="32"/>
        </w:rPr>
        <w:t>（市公安局、市交通运输局牵头，市农业农村局、市生态环境局参与）</w:t>
      </w:r>
    </w:p>
    <w:p>
      <w:pPr>
        <w:pStyle w:val="3"/>
        <w:spacing w:line="560" w:lineRule="exact"/>
        <w:ind w:firstLine="482"/>
        <w:rPr>
          <w:rFonts w:ascii="楷体_GB2312" w:eastAsia="楷体_GB2312" w:cs="Times New Roman"/>
          <w:sz w:val="32"/>
        </w:rPr>
      </w:pPr>
      <w:bookmarkStart w:id="56" w:name="_Toc45036012"/>
      <w:r>
        <w:rPr>
          <w:rFonts w:hint="eastAsia" w:ascii="楷体_GB2312" w:eastAsia="楷体_GB2312" w:cs="Times New Roman"/>
          <w:sz w:val="32"/>
        </w:rPr>
        <w:t>（七）加强非道路移动机械污染控制</w:t>
      </w:r>
      <w:bookmarkEnd w:id="56"/>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各县区2020年10月底前划定并公布低排放控制区。低排放控制区、港口码头和民航通用机场禁止使用冒黑烟等高排放非道路移动机械，特护期期间抽查率不低于50%。加快老旧工程机械淘汰力度，大力推进叉车、牵引车采用新能源或清洁能源。</w:t>
      </w:r>
      <w:r>
        <w:rPr>
          <w:rFonts w:hint="eastAsia" w:eastAsia="仿宋_GB2312"/>
          <w:b/>
          <w:color w:val="000000"/>
          <w:sz w:val="32"/>
          <w:szCs w:val="32"/>
        </w:rPr>
        <w:t>（市生态环境局牵头，市公安局、市住建局、市交通运输局、市农业农村局参与）</w:t>
      </w:r>
    </w:p>
    <w:p>
      <w:pPr>
        <w:pStyle w:val="3"/>
        <w:spacing w:line="560" w:lineRule="exact"/>
        <w:ind w:firstLine="482"/>
        <w:rPr>
          <w:rFonts w:ascii="楷体_GB2312" w:eastAsia="楷体_GB2312" w:cs="Times New Roman"/>
          <w:sz w:val="32"/>
        </w:rPr>
      </w:pPr>
      <w:bookmarkStart w:id="57" w:name="_Toc45036013"/>
      <w:r>
        <w:rPr>
          <w:rFonts w:hint="eastAsia" w:ascii="楷体_GB2312" w:eastAsia="楷体_GB2312" w:cs="Times New Roman"/>
          <w:sz w:val="32"/>
        </w:rPr>
        <w:t>（八）加强城市扬尘管控</w:t>
      </w:r>
      <w:bookmarkEnd w:id="57"/>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严格落实施工工地周边围挡、物料堆放和裸露土地覆盖、土方开挖湿法作业、路面硬化、出入车辆冲洗、渣土车辆密闭运输、现场监管等“七个百分之百”；各县区要将施工工地扬尘污染防治纳入“文明施工”管理范畴，建立扬尘控制责任制度，扬尘治理费用列入工程造价；将扬尘管理不到位的不良信息纳入建筑市场信用管理体系，情节严重的，列入建筑市场主体“黑名单”企业；对渣土车辆未做到密闭运输的，一经查处按上限处罚并取消渣土运输资格。大力推进城市道路清扫保洁机械化作业，依法查处抛洒滴漏、带泥行驶、道路乱开乱挖以及违法违规清运渣土等行为，提高道路机械化清扫率，到2020年底前，中心城区达到90%以上、县城达到80%以上。堆场要强化扬尘控制和监管，露天堆放应采取覆盖或建设自动喷淋装置等措施。</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bCs/>
          <w:color w:val="000000"/>
          <w:kern w:val="0"/>
          <w:sz w:val="32"/>
          <w:szCs w:val="32"/>
        </w:rPr>
        <w:t>市住建局牵头，市城管执法局、市生态环境局、市交通运输局参与）</w:t>
      </w:r>
    </w:p>
    <w:p>
      <w:pPr>
        <w:pStyle w:val="3"/>
        <w:spacing w:line="560" w:lineRule="exact"/>
        <w:ind w:firstLine="482"/>
        <w:rPr>
          <w:rFonts w:ascii="楷体_GB2312" w:eastAsia="楷体_GB2312" w:cs="Times New Roman"/>
          <w:sz w:val="32"/>
        </w:rPr>
      </w:pPr>
      <w:bookmarkStart w:id="58" w:name="_Toc45036014"/>
      <w:r>
        <w:rPr>
          <w:rFonts w:hint="eastAsia" w:ascii="楷体_GB2312" w:eastAsia="楷体_GB2312" w:cs="Times New Roman"/>
          <w:sz w:val="32"/>
        </w:rPr>
        <w:t>（九）加强面源管理</w:t>
      </w:r>
      <w:bookmarkEnd w:id="58"/>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各级人民政府要建立全覆盖网格化监管体系，层层压实责任，加强监督检查，充分利用卫星遥感、无人机、基于铁塔的监控系统等手段密切监测各地秸秆禁烧情况，组织开展秋收季节农作物秸秆综合利用和禁烧专项巡查，严格控制秋收季节秸秆露天焚烧。严禁垃圾露天焚烧和露天烧烤，城区内所有餐饮企业及机关与企事业单位食堂必须安装高效油烟净化设施并保持正常使用、定期维护，确保油烟达标排放。</w:t>
      </w:r>
      <w:r>
        <w:rPr>
          <w:rFonts w:hint="eastAsia" w:ascii="仿宋_GB2312" w:hAnsi="仿宋_GB2312" w:eastAsia="仿宋_GB2312" w:cs="仿宋_GB2312"/>
          <w:b/>
          <w:bCs/>
          <w:color w:val="000000"/>
          <w:kern w:val="0"/>
          <w:sz w:val="32"/>
          <w:szCs w:val="32"/>
        </w:rPr>
        <w:t>（秸秆禁烧由市农业农村局牵头，餐饮油烟、垃圾焚烧由市城管执法局牵头，市林业局、市应急管理局、市公安局参与）</w:t>
      </w:r>
      <w:bookmarkStart w:id="81" w:name="_GoBack"/>
      <w:bookmarkEnd w:id="81"/>
    </w:p>
    <w:p>
      <w:pPr>
        <w:pStyle w:val="3"/>
        <w:spacing w:line="560" w:lineRule="exact"/>
        <w:ind w:firstLine="482"/>
        <w:rPr>
          <w:rFonts w:ascii="楷体_GB2312" w:eastAsia="楷体_GB2312" w:cs="Times New Roman"/>
          <w:sz w:val="32"/>
        </w:rPr>
      </w:pPr>
      <w:bookmarkStart w:id="59" w:name="_Toc45036015"/>
      <w:r>
        <w:rPr>
          <w:rFonts w:hint="eastAsia" w:ascii="楷体_GB2312" w:eastAsia="楷体_GB2312" w:cs="Times New Roman"/>
          <w:sz w:val="32"/>
        </w:rPr>
        <w:t>（十）加强环境监测</w:t>
      </w:r>
      <w:bookmarkEnd w:id="59"/>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加快大气环境质量网格化监管系统建设，各县区于2020年12月底前建设完成覆盖建成区的大气环境质量网格化监测网络，并实现与市级</w:t>
      </w:r>
      <w:r>
        <w:rPr>
          <w:rFonts w:hint="eastAsia" w:ascii="仿宋_GB2312" w:eastAsia="仿宋_GB2312" w:cs="Times New Roman"/>
          <w:sz w:val="32"/>
          <w:szCs w:val="32"/>
          <w:lang w:eastAsia="zh-CN"/>
        </w:rPr>
        <w:t>生态环境</w:t>
      </w:r>
      <w:r>
        <w:rPr>
          <w:rFonts w:hint="eastAsia" w:ascii="仿宋_GB2312" w:eastAsia="仿宋_GB2312" w:cs="Times New Roman"/>
          <w:sz w:val="32"/>
          <w:szCs w:val="32"/>
        </w:rPr>
        <w:t>部门联网。加快推进大气超级站、组分站建设。社会化环境监测机构要履行好第三方运维责任，做到仪器设备稳定运行，监测数据及时可靠，要严厉打击监测数据弄虚作假，确保空气质量监测数据的真实性、准确性、公正性和权威性。加强大气环境质量监测数据的综合分析，为大气环境管理、决策和重污染天气应对提供及时、有效的支撑。</w:t>
      </w:r>
      <w:r>
        <w:rPr>
          <w:rFonts w:hint="eastAsia" w:ascii="仿宋_GB2312" w:hAnsi="仿宋_GB2312" w:eastAsia="仿宋_GB2312" w:cs="仿宋_GB2312"/>
          <w:b/>
          <w:bCs/>
          <w:color w:val="000000"/>
          <w:kern w:val="0"/>
          <w:sz w:val="32"/>
          <w:szCs w:val="32"/>
        </w:rPr>
        <w:t>（市生态环境局牵头）</w:t>
      </w:r>
    </w:p>
    <w:p>
      <w:pPr>
        <w:pStyle w:val="3"/>
        <w:spacing w:line="560" w:lineRule="exact"/>
        <w:ind w:firstLine="482"/>
        <w:rPr>
          <w:rFonts w:ascii="楷体_GB2312" w:eastAsia="楷体_GB2312" w:cs="Times New Roman"/>
          <w:sz w:val="32"/>
        </w:rPr>
      </w:pPr>
      <w:bookmarkStart w:id="60" w:name="_Toc45036016"/>
      <w:r>
        <w:rPr>
          <w:rFonts w:hint="eastAsia" w:ascii="楷体_GB2312" w:eastAsia="楷体_GB2312" w:cs="Times New Roman"/>
          <w:sz w:val="32"/>
        </w:rPr>
        <w:t>（十一）加强特护期大气污染防治执法力度</w:t>
      </w:r>
      <w:bookmarkEnd w:id="60"/>
    </w:p>
    <w:p>
      <w:pPr>
        <w:spacing w:line="560" w:lineRule="exact"/>
        <w:ind w:firstLine="640"/>
        <w:rPr>
          <w:rFonts w:ascii="仿宋_GB2312" w:eastAsia="仿宋_GB2312" w:cs="Times New Roman"/>
          <w:b/>
          <w:bCs/>
          <w:sz w:val="32"/>
          <w:szCs w:val="32"/>
        </w:rPr>
      </w:pPr>
      <w:r>
        <w:rPr>
          <w:rFonts w:hint="eastAsia" w:ascii="仿宋_GB2312" w:eastAsia="仿宋_GB2312" w:cs="Times New Roman"/>
          <w:sz w:val="32"/>
          <w:szCs w:val="32"/>
        </w:rPr>
        <w:t>组织相关部门加强对工业企业（尤其是城区周边砖瓦企业）达标排放、禁燃区高污染燃料禁用（重点是锅炉）、建筑和道路扬尘污染管控、垃圾和秸秆禁烧、餐饮油烟整治、“散乱污”企业整治等方面的重点督查，公布不达标企事业单位和其他排污单位名单，纳入社会信用评价体系，并对不达标的依法进行停产整治和顶格处罚。</w:t>
      </w:r>
      <w:r>
        <w:rPr>
          <w:rFonts w:hint="eastAsia" w:ascii="仿宋_GB2312" w:eastAsia="仿宋_GB2312" w:cs="Times New Roman"/>
          <w:b/>
          <w:bCs/>
          <w:sz w:val="32"/>
          <w:szCs w:val="32"/>
        </w:rPr>
        <w:t>（市生态环境局牵头）</w:t>
      </w:r>
    </w:p>
    <w:p>
      <w:pPr>
        <w:pStyle w:val="3"/>
        <w:spacing w:line="560" w:lineRule="exact"/>
        <w:ind w:firstLine="482"/>
        <w:rPr>
          <w:rFonts w:ascii="楷体_GB2312" w:eastAsia="楷体_GB2312" w:cs="Times New Roman"/>
          <w:sz w:val="32"/>
        </w:rPr>
      </w:pPr>
      <w:bookmarkStart w:id="61" w:name="_Toc45036017"/>
      <w:r>
        <w:rPr>
          <w:rFonts w:hint="eastAsia" w:ascii="楷体_GB2312" w:eastAsia="楷体_GB2312" w:cs="Times New Roman"/>
          <w:sz w:val="32"/>
        </w:rPr>
        <w:t>（十二）开展大气污染防治强化监督</w:t>
      </w:r>
      <w:bookmarkEnd w:id="61"/>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建立由市生环办牵头的联合执法机制，对大气污染防治强化督查执法。</w:t>
      </w:r>
      <w:r>
        <w:rPr>
          <w:rFonts w:hint="eastAsia" w:ascii="仿宋_GB2312" w:eastAsia="仿宋_GB2312" w:cs="Times New Roman"/>
          <w:sz w:val="32"/>
          <w:szCs w:val="32"/>
          <w:lang w:eastAsia="zh-CN"/>
        </w:rPr>
        <w:t>生态环境</w:t>
      </w:r>
      <w:r>
        <w:rPr>
          <w:rFonts w:hint="eastAsia" w:ascii="仿宋_GB2312" w:eastAsia="仿宋_GB2312" w:cs="Times New Roman"/>
          <w:sz w:val="32"/>
          <w:szCs w:val="32"/>
        </w:rPr>
        <w:t>、住建、城管、公安、经信、农业、国土、交通、质监等市直有关单位要采取联合执法、交叉执法、专项督查等方式，强力推动相关领域大气污染防治工作的落实，督促各县区人民政府切实落实主体责任。对落实大气污染防治责任和措施不到位的，采取通报、约谈和媒体曝光等方式进行督办。加强群众监督，鼓励公众通过“12369”投诉举报，及时发现存在的突出大气污染问题，并交办县区人民政府，实行“拉条挂账”式管理，限期整改销号。</w:t>
      </w:r>
      <w:r>
        <w:rPr>
          <w:rFonts w:hint="eastAsia" w:ascii="仿宋_GB2312" w:eastAsia="仿宋_GB2312" w:cs="Times New Roman"/>
          <w:b/>
          <w:bCs/>
          <w:sz w:val="32"/>
          <w:szCs w:val="32"/>
        </w:rPr>
        <w:t>（市生态环境局牵头，市工信局、市住建局、市城管执法局等单位参与）</w:t>
      </w:r>
    </w:p>
    <w:bookmarkEnd w:id="33"/>
    <w:p>
      <w:pPr>
        <w:pStyle w:val="2"/>
        <w:spacing w:line="560" w:lineRule="exact"/>
        <w:ind w:firstLine="643"/>
        <w:rPr>
          <w:rFonts w:ascii="黑体" w:hAnsi="黑体"/>
          <w:szCs w:val="32"/>
        </w:rPr>
      </w:pPr>
      <w:bookmarkStart w:id="62" w:name="_Toc45036018"/>
      <w:r>
        <w:rPr>
          <w:rFonts w:hint="eastAsia" w:ascii="黑体" w:hAnsi="黑体"/>
          <w:szCs w:val="32"/>
        </w:rPr>
        <w:t>九、加强重污染天气应急能力建设</w:t>
      </w:r>
      <w:bookmarkEnd w:id="62"/>
    </w:p>
    <w:p>
      <w:pPr>
        <w:pStyle w:val="3"/>
        <w:spacing w:line="560" w:lineRule="exact"/>
        <w:ind w:firstLine="482"/>
        <w:rPr>
          <w:rFonts w:ascii="楷体_GB2312" w:eastAsia="楷体_GB2312" w:cs="Times New Roman"/>
          <w:sz w:val="32"/>
        </w:rPr>
      </w:pPr>
      <w:bookmarkStart w:id="63" w:name="_Toc34647647"/>
      <w:bookmarkStart w:id="64" w:name="_Toc45036019"/>
      <w:r>
        <w:rPr>
          <w:rFonts w:hint="eastAsia" w:ascii="楷体_GB2312" w:eastAsia="楷体_GB2312" w:cs="Times New Roman"/>
          <w:sz w:val="32"/>
        </w:rPr>
        <w:t>（一）</w:t>
      </w:r>
      <w:bookmarkEnd w:id="63"/>
      <w:r>
        <w:rPr>
          <w:rFonts w:hint="eastAsia" w:ascii="楷体_GB2312" w:eastAsia="楷体_GB2312" w:cs="Times New Roman"/>
          <w:sz w:val="32"/>
        </w:rPr>
        <w:t>建立重污染天气应急减排预案</w:t>
      </w:r>
      <w:bookmarkEnd w:id="64"/>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提前组织各县区排查本辖区内各类污染源，摸清污染源排放实际情况，填报应急减排项目清单，切实夯实应急减排比例，二氧化硫、氮氧化物、颗粒物的减排比例应达到黄色、橙色和红色预警期间的相应减排要求。</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针对工业源、移动源、扬尘源及其他面源，分别制定合理的减排措施。工业源减排通过减产或停部分生产线的限产方式实现减排，移动源减排主要采取限值高排放车辆使用和非道路移动机械使用等措施，扬尘源减排应主要通过控制施工扬尘和道路扬尘实现减排。</w:t>
      </w:r>
      <w:r>
        <w:rPr>
          <w:rFonts w:hint="eastAsia" w:ascii="仿宋_GB2312" w:eastAsia="仿宋_GB2312" w:cs="Times New Roman"/>
          <w:b/>
          <w:bCs/>
          <w:sz w:val="32"/>
          <w:szCs w:val="32"/>
        </w:rPr>
        <w:t>（市生态环境局牵头，市工信局、市交通运输局、市城管执法局、市商务局分布按职责参与）</w:t>
      </w:r>
    </w:p>
    <w:p>
      <w:pPr>
        <w:pStyle w:val="3"/>
        <w:spacing w:line="560" w:lineRule="exact"/>
        <w:ind w:firstLine="482"/>
        <w:rPr>
          <w:rFonts w:ascii="楷体_GB2312" w:eastAsia="楷体_GB2312" w:cs="Times New Roman"/>
          <w:sz w:val="32"/>
        </w:rPr>
      </w:pPr>
      <w:bookmarkStart w:id="65" w:name="_Toc45036020"/>
      <w:r>
        <w:rPr>
          <w:rFonts w:hint="eastAsia" w:ascii="楷体_GB2312" w:eastAsia="楷体_GB2312" w:cs="Times New Roman"/>
          <w:sz w:val="32"/>
        </w:rPr>
        <w:t>（二）健全空气治理预报会商机制</w:t>
      </w:r>
      <w:bookmarkEnd w:id="65"/>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市生态环境局、市气象局建立重污染天气会商制度，联合开展重污染天气监测和天气定性潜势分析工作，并对发生在行政区以外，有可能造成重污染天气的信息进行收集、分析和研判。发现各例行监测点空气质量数据出现异常和不利污染物扩散气象条件时，及时上报市重污染天气应急指挥部办公室。</w:t>
      </w:r>
      <w:r>
        <w:rPr>
          <w:rFonts w:hint="eastAsia" w:ascii="仿宋_GB2312" w:eastAsia="仿宋_GB2312" w:cs="Times New Roman"/>
          <w:b/>
          <w:bCs/>
          <w:sz w:val="32"/>
          <w:szCs w:val="32"/>
        </w:rPr>
        <w:t>（市生态环境局牵头，市气象局参与）</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市生态环境局负责市区环境空气质量监测，与市气象局协同进行预测、预报；各县、区开展辖区内空气质量监测和预测、预报。市、县、区的环境空气质量采用地面自动监测系统开展24小时连续监测，主要监测因子为二氧化硫、二氧化氮、可吸入颗粒物、细颗粒物、一氧化碳和臭氧。市气象局每天按国家技术规范开展全市气象监测与预报工作。</w:t>
      </w:r>
      <w:r>
        <w:rPr>
          <w:rFonts w:hint="eastAsia" w:ascii="仿宋_GB2312" w:eastAsia="仿宋_GB2312" w:cs="Times New Roman"/>
          <w:b/>
          <w:bCs/>
          <w:sz w:val="32"/>
          <w:szCs w:val="32"/>
        </w:rPr>
        <w:t>（市生态环境局牵头，市气象局参与）</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预警应急时期，市环境监测站在保证空气质量监测点正常运行的基础上，要利用手工监测仪器或其他监测方式，增加对重点区域的空气质量监测工作，并对监测数据进行分析评价，为应急效果评估提供数据基础。</w:t>
      </w:r>
      <w:r>
        <w:rPr>
          <w:rFonts w:hint="eastAsia" w:ascii="仿宋_GB2312" w:eastAsia="仿宋_GB2312" w:cs="Times New Roman"/>
          <w:b/>
          <w:bCs/>
          <w:sz w:val="32"/>
          <w:szCs w:val="32"/>
        </w:rPr>
        <w:t>（市生态环境局牵头，市气象局参与）</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当空气质量指数（AQI）日均值大于150且气象部门预测到未来24小时可能出现不利气象条件时，市生态环境局与市气象局应及时会商，组织进行污染趋势分析，会商结果上报市指挥部办公室。市</w:t>
      </w:r>
      <w:r>
        <w:rPr>
          <w:rFonts w:hint="eastAsia" w:ascii="仿宋_GB2312" w:eastAsia="仿宋_GB2312" w:cs="Times New Roman"/>
          <w:sz w:val="32"/>
          <w:szCs w:val="32"/>
          <w:lang w:eastAsia="zh-CN"/>
        </w:rPr>
        <w:t>生态环境局</w:t>
      </w:r>
      <w:r>
        <w:rPr>
          <w:rFonts w:hint="eastAsia" w:ascii="仿宋_GB2312" w:eastAsia="仿宋_GB2312" w:cs="Times New Roman"/>
          <w:sz w:val="32"/>
          <w:szCs w:val="32"/>
        </w:rPr>
        <w:t>和市气象局做好24小时、48小时预报和未来3天或7天空气质量变化趋势预报。</w:t>
      </w:r>
      <w:r>
        <w:rPr>
          <w:rFonts w:hint="eastAsia" w:ascii="仿宋_GB2312" w:eastAsia="仿宋_GB2312" w:cs="Times New Roman"/>
          <w:b/>
          <w:bCs/>
          <w:sz w:val="32"/>
          <w:szCs w:val="32"/>
        </w:rPr>
        <w:t>（市生态环境局牵头，市气象局参与）</w:t>
      </w:r>
    </w:p>
    <w:p>
      <w:pPr>
        <w:pStyle w:val="3"/>
        <w:spacing w:line="560" w:lineRule="exact"/>
        <w:ind w:firstLine="482"/>
        <w:rPr>
          <w:rFonts w:ascii="楷体_GB2312" w:eastAsia="楷体_GB2312" w:cs="Times New Roman"/>
          <w:sz w:val="32"/>
        </w:rPr>
      </w:pPr>
      <w:bookmarkStart w:id="66" w:name="_Toc45036021"/>
      <w:r>
        <w:rPr>
          <w:rFonts w:hint="eastAsia" w:ascii="楷体_GB2312" w:eastAsia="楷体_GB2312" w:cs="Times New Roman"/>
          <w:sz w:val="32"/>
        </w:rPr>
        <w:t>（三）完善工作机制，增强应对能力</w:t>
      </w:r>
      <w:bookmarkEnd w:id="66"/>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开展重污染天气应急演练，完善部门之间的合作与联动机制，提高应急反应速度和应急能力。各县区人民政府根据应急预案要求，细化工作任务，明确责任单位和责任人，列明任务清单、污染源控制清单，制定严格、周密、细致的工作实施方案并报市生态办，市直各有关单位要根据职责分工，切实履行好本单位的职责，将任务分解落实到有关科室和责任人。加强执法力度，组织</w:t>
      </w:r>
      <w:r>
        <w:rPr>
          <w:rFonts w:hint="eastAsia" w:ascii="仿宋_GB2312" w:eastAsia="仿宋_GB2312" w:cs="Times New Roman"/>
          <w:sz w:val="32"/>
          <w:szCs w:val="32"/>
          <w:lang w:eastAsia="zh-CN"/>
        </w:rPr>
        <w:t>生态环境</w:t>
      </w:r>
      <w:r>
        <w:rPr>
          <w:rFonts w:hint="eastAsia" w:ascii="仿宋_GB2312" w:eastAsia="仿宋_GB2312" w:cs="Times New Roman"/>
          <w:sz w:val="32"/>
          <w:szCs w:val="32"/>
        </w:rPr>
        <w:t>、建设、公安、监察等部门对应急响应措施落实情况进行监督检查，确保应急措施百分百落地。加强重污染大气应急预案实施后评估，结合应急措施落实情况、气象条件和空气质量数据变化情况，分析应急预案实施效果，及时调整应急预案。做好中长期环境气象条件预报，提前筹备企业生产负荷调控、移动源限行以及扬尘源区域管控等方案，实施预防性削峰。</w:t>
      </w:r>
      <w:r>
        <w:rPr>
          <w:rFonts w:hint="eastAsia" w:ascii="仿宋_GB2312" w:eastAsia="仿宋_GB2312" w:cs="Times New Roman"/>
          <w:b/>
          <w:bCs/>
          <w:sz w:val="32"/>
          <w:szCs w:val="32"/>
        </w:rPr>
        <w:t>（市生态环境局牵头，市工信局、市住建局、市城管执法局、市气象局等单位参与）</w:t>
      </w:r>
    </w:p>
    <w:bookmarkEnd w:id="34"/>
    <w:p>
      <w:pPr>
        <w:pStyle w:val="2"/>
        <w:spacing w:line="560" w:lineRule="exact"/>
        <w:ind w:firstLine="643"/>
        <w:rPr>
          <w:rFonts w:ascii="黑体" w:hAnsi="黑体"/>
          <w:szCs w:val="32"/>
        </w:rPr>
      </w:pPr>
      <w:bookmarkStart w:id="67" w:name="_Toc45036022"/>
      <w:r>
        <w:rPr>
          <w:rFonts w:hint="eastAsia" w:ascii="黑体" w:hAnsi="黑体"/>
          <w:szCs w:val="32"/>
        </w:rPr>
        <w:t>十、推动能力建设，提高管理水平</w:t>
      </w:r>
      <w:bookmarkEnd w:id="67"/>
    </w:p>
    <w:p>
      <w:pPr>
        <w:pStyle w:val="3"/>
        <w:spacing w:line="560" w:lineRule="exact"/>
        <w:ind w:firstLine="482"/>
        <w:rPr>
          <w:rFonts w:ascii="楷体_GB2312" w:eastAsia="楷体_GB2312" w:cs="Times New Roman"/>
          <w:sz w:val="32"/>
        </w:rPr>
      </w:pPr>
      <w:bookmarkStart w:id="68" w:name="_Toc45036023"/>
      <w:r>
        <w:rPr>
          <w:rFonts w:hint="eastAsia" w:ascii="楷体_GB2312" w:eastAsia="楷体_GB2312" w:cs="Times New Roman"/>
          <w:sz w:val="32"/>
        </w:rPr>
        <w:t>（一）完善空气质量监测网络</w:t>
      </w:r>
      <w:bookmarkEnd w:id="68"/>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健全空气质量监测网络，提高大气自动监测网络覆盖度，完善环境空气质量自动监测系统，有序扩大环境空气质量监测网络范围，不断扩大污染源自动监测网络。完善环境监测实验室管理系统、环境监测数据分析系统、环境监测信息展示平台建设等。在大气约束性考核监测体系外，重点关注区域环境空气质量监测站点建设和移动监测车使用，开展区域特征污染因子监测，并将监测结果作为重点区域大气污染治理绩效考核的重要依据之一。</w:t>
      </w:r>
      <w:r>
        <w:rPr>
          <w:rFonts w:hint="eastAsia" w:ascii="仿宋_GB2312" w:hAnsi="仿宋_GB2312" w:eastAsia="仿宋_GB2312" w:cs="仿宋_GB2312"/>
          <w:b/>
          <w:color w:val="000000"/>
          <w:sz w:val="32"/>
          <w:szCs w:val="32"/>
        </w:rPr>
        <w:t>（市生态环境局牵头，市财政局、市气象局、市科技局参与）</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重点加强PM</w:t>
      </w:r>
      <w:r>
        <w:rPr>
          <w:rFonts w:hint="eastAsia" w:ascii="仿宋_GB2312" w:eastAsia="仿宋_GB2312" w:cs="Times New Roman"/>
          <w:sz w:val="32"/>
          <w:szCs w:val="32"/>
          <w:vertAlign w:val="subscript"/>
        </w:rPr>
        <w:t>2.5</w:t>
      </w:r>
      <w:r>
        <w:rPr>
          <w:rFonts w:hint="eastAsia" w:ascii="仿宋_GB2312" w:eastAsia="仿宋_GB2312" w:cs="Times New Roman"/>
          <w:sz w:val="32"/>
          <w:szCs w:val="32"/>
        </w:rPr>
        <w:t>监测能力建设，全面建成覆盖全市各镇（街道）的环境空气质量监测网络。根据国家“三区十群”的相关要求，中心城区2020年底前建成一座颗粒物观测组分站，完成城市重点区域监测小子站和网格化监测微站的建设。实现全市重点区域监测微站全监控：（1）对中心城区实现1x1公里的网格全监控；（2）对国控、省控、市控空气质量标准监测站2公里范围内的敏感区域，实现0.5x0.5公里的网格全监控；（3）对排名靠后的区县加密建设微站；（4）对建成区内外主干道（永州大道等）布设微站，实现对建成区外主干道扬尘的监控。（5）全市省级工业园区建设网格化监测微型站，加强特征污染物和环境质量监测。（6）有污染源的企业、新建楼盘、道路的上下风口及城市主要道路，也要作为布设微站的重点区域。</w:t>
      </w:r>
      <w:r>
        <w:rPr>
          <w:rFonts w:hint="eastAsia" w:ascii="仿宋_GB2312" w:hAnsi="仿宋_GB2312" w:eastAsia="仿宋_GB2312" w:cs="仿宋_GB2312"/>
          <w:b/>
          <w:color w:val="000000"/>
          <w:sz w:val="32"/>
          <w:szCs w:val="32"/>
        </w:rPr>
        <w:t>（市生态环境局牵头，市财政局、市气象局、市科技局参与）</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依托各镇街的大气环境自动监测站，以空气质量改善状况为主要指标，考核各镇街空气污染整治成绩。健全环境保护责任制考核、重点环境问题挂牌督办制度和领导干部奖惩评价制度，完善环境责任考核。</w:t>
      </w:r>
      <w:r>
        <w:rPr>
          <w:rFonts w:hint="eastAsia" w:ascii="仿宋_GB2312" w:eastAsia="仿宋_GB2312" w:cs="Times New Roman"/>
          <w:b/>
          <w:bCs/>
          <w:sz w:val="32"/>
          <w:szCs w:val="32"/>
        </w:rPr>
        <w:t>（市生态环境局牵头）</w:t>
      </w:r>
    </w:p>
    <w:p>
      <w:pPr>
        <w:pStyle w:val="3"/>
        <w:spacing w:line="560" w:lineRule="exact"/>
        <w:ind w:firstLine="482"/>
        <w:rPr>
          <w:rFonts w:ascii="楷体_GB2312" w:eastAsia="楷体_GB2312" w:cs="Times New Roman"/>
          <w:sz w:val="32"/>
        </w:rPr>
      </w:pPr>
      <w:bookmarkStart w:id="69" w:name="_Toc45036024"/>
      <w:r>
        <w:rPr>
          <w:rFonts w:hint="eastAsia" w:ascii="楷体_GB2312" w:eastAsia="楷体_GB2312" w:cs="Times New Roman"/>
          <w:sz w:val="32"/>
        </w:rPr>
        <w:t>（二）加强重点污染源监控能力建设</w:t>
      </w:r>
      <w:bookmarkEnd w:id="69"/>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完善砖瓦、水泥等重点污染源在线监测网络，新建重点大气污染源必须安装在线监测系统。纳入挥发性有机物重点监管企业名录中的企业逐步按照在线监测技术规范要求，分行业分阶段推进末端处理装置安装挥发性有机物在线监测设备。</w:t>
      </w:r>
      <w:r>
        <w:rPr>
          <w:rFonts w:hint="eastAsia" w:ascii="仿宋_GB2312" w:eastAsia="仿宋_GB2312" w:cs="Times New Roman"/>
          <w:b/>
          <w:bCs/>
          <w:sz w:val="32"/>
          <w:szCs w:val="32"/>
        </w:rPr>
        <w:t>（市生态环境局牵头）</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加强在线监测设备的监管，对老旧监测设备或连续两次未通过对比监测的在线监控设备，要求企业更换在线监控设备，加强重点污染源自动监测系统数据有效性审核，将自动监控设施运行情况及监测数据的有效性水平，纳入企业环保信用等级。</w:t>
      </w:r>
      <w:r>
        <w:rPr>
          <w:rFonts w:hint="eastAsia" w:ascii="仿宋_GB2312" w:eastAsia="仿宋_GB2312" w:cs="Times New Roman"/>
          <w:b/>
          <w:bCs/>
          <w:sz w:val="32"/>
          <w:szCs w:val="32"/>
        </w:rPr>
        <w:t>（市生态环境局牵头）</w:t>
      </w:r>
    </w:p>
    <w:p>
      <w:pPr>
        <w:pStyle w:val="3"/>
        <w:spacing w:line="560" w:lineRule="exact"/>
        <w:ind w:firstLine="482"/>
        <w:rPr>
          <w:rFonts w:ascii="楷体_GB2312" w:eastAsia="楷体_GB2312" w:cs="Times New Roman"/>
          <w:sz w:val="32"/>
        </w:rPr>
      </w:pPr>
      <w:bookmarkStart w:id="70" w:name="_Toc45036025"/>
      <w:r>
        <w:rPr>
          <w:rFonts w:hint="eastAsia" w:ascii="楷体_GB2312" w:eastAsia="楷体_GB2312" w:cs="Times New Roman"/>
          <w:sz w:val="32"/>
        </w:rPr>
        <w:t>（三）加强核心区域管理</w:t>
      </w:r>
      <w:bookmarkEnd w:id="70"/>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提升污染源精准治理水平，加强对大气污染核心控制区涉气重点污染企业的专项排查整治，重点通过采用经济鼓励、执法监测倒逼、信息公开和社会监督相结合的综合方法，推动提标、搬迁、淘汰对空气质量国控监测站点影响较大的涉气污染企业，改善城区大气环境、优化产业布局、提升城市综合竞争能力。大气污染核心控制区为国控站点周边区域，包括市辖区和经开区所有区域及祁阳、东安、双牌相关乡镇。</w:t>
      </w:r>
      <w:r>
        <w:rPr>
          <w:rFonts w:hint="eastAsia" w:ascii="仿宋_GB2312" w:eastAsia="仿宋_GB2312" w:cs="Times New Roman"/>
          <w:b/>
          <w:bCs/>
          <w:sz w:val="32"/>
          <w:szCs w:val="32"/>
        </w:rPr>
        <w:t>（市生态环境局牵头，市住建局、市城管执法局、市公安局、市交通运输局、市自然资源和规划局等参与）</w:t>
      </w:r>
    </w:p>
    <w:p>
      <w:pPr>
        <w:pStyle w:val="3"/>
        <w:spacing w:line="560" w:lineRule="exact"/>
        <w:ind w:firstLine="482"/>
        <w:rPr>
          <w:rFonts w:ascii="楷体_GB2312" w:eastAsia="楷体_GB2312" w:cs="Times New Roman"/>
          <w:sz w:val="32"/>
        </w:rPr>
      </w:pPr>
      <w:bookmarkStart w:id="71" w:name="_Toc45036026"/>
      <w:r>
        <w:rPr>
          <w:rFonts w:hint="eastAsia" w:ascii="楷体_GB2312" w:eastAsia="楷体_GB2312" w:cs="Times New Roman"/>
          <w:sz w:val="32"/>
        </w:rPr>
        <w:t>（四）加强执法能力建设</w:t>
      </w:r>
      <w:bookmarkEnd w:id="71"/>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在能力建设初期，加强与专业监测团队合作，借助先进的移动监测设备，配合嵌入式应用软件及专业的技术人员，以一线现场为综合业务信息的数据采集点和使用汇集点，采用通讯设备、激光雷达、“走航”监测系统和无人机等，建设现代化移动执法模式，改善监察执法效果，提高现场查处效率。在执法能力不断强化的过程中，逐渐强化本地辖区环境监察机构专项执法仪器设备补充，根据环境执法监督需求配置流动执法车辆、污染取证、移动式监测等专项设备，提升污染执法监督和环境执法快速反应能力。</w:t>
      </w:r>
      <w:r>
        <w:rPr>
          <w:rFonts w:hint="eastAsia" w:ascii="仿宋_GB2312" w:eastAsia="仿宋_GB2312" w:cs="Times New Roman"/>
          <w:b/>
          <w:bCs/>
          <w:sz w:val="32"/>
          <w:szCs w:val="32"/>
        </w:rPr>
        <w:t>（市生态环境局牵头）</w:t>
      </w:r>
    </w:p>
    <w:p>
      <w:pPr>
        <w:pStyle w:val="3"/>
        <w:spacing w:line="560" w:lineRule="exact"/>
        <w:ind w:firstLine="482"/>
        <w:rPr>
          <w:rFonts w:ascii="楷体_GB2312" w:eastAsia="楷体_GB2312" w:cs="Times New Roman"/>
          <w:sz w:val="32"/>
        </w:rPr>
      </w:pPr>
      <w:bookmarkStart w:id="72" w:name="_Toc45036027"/>
      <w:r>
        <w:rPr>
          <w:rFonts w:hint="eastAsia" w:ascii="楷体_GB2312" w:eastAsia="楷体_GB2312" w:cs="Times New Roman"/>
          <w:sz w:val="32"/>
        </w:rPr>
        <w:t>（五）加强污染时期减排、应急能力建设</w:t>
      </w:r>
      <w:bookmarkEnd w:id="72"/>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全市重点排污企业主要污染物按空气质量状况、污染天气程度分别实施停产检修、部分限产（限产减排比率根据污染等级调整）等应急减排措施，削减污染物排放总量。开展重点污染时段“削峰”行动，在特护期（每年 10 月 16 日至次年 3 月 15 日之间）围绕PM</w:t>
      </w:r>
      <w:r>
        <w:rPr>
          <w:rFonts w:hint="eastAsia" w:ascii="仿宋_GB2312" w:eastAsia="仿宋_GB2312" w:cs="Times New Roman"/>
          <w:sz w:val="32"/>
          <w:szCs w:val="32"/>
          <w:vertAlign w:val="subscript"/>
        </w:rPr>
        <w:t>2.5</w:t>
      </w:r>
      <w:r>
        <w:rPr>
          <w:rFonts w:hint="eastAsia" w:ascii="仿宋_GB2312" w:eastAsia="仿宋_GB2312" w:cs="Times New Roman"/>
          <w:sz w:val="32"/>
          <w:szCs w:val="32"/>
        </w:rPr>
        <w:t>开展污染物“削峰强化减排”工作，减少空气质量重/中度污染天数，提高达标率，降低污染物年均浓度。</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完善以PM</w:t>
      </w:r>
      <w:r>
        <w:rPr>
          <w:rFonts w:hint="eastAsia" w:ascii="仿宋_GB2312" w:eastAsia="仿宋_GB2312" w:cs="Times New Roman"/>
          <w:sz w:val="32"/>
          <w:szCs w:val="32"/>
          <w:vertAlign w:val="subscript"/>
        </w:rPr>
        <w:t>2.5</w:t>
      </w:r>
      <w:r>
        <w:rPr>
          <w:rFonts w:hint="eastAsia" w:ascii="仿宋_GB2312" w:eastAsia="仿宋_GB2312" w:cs="Times New Roman"/>
          <w:sz w:val="32"/>
          <w:szCs w:val="32"/>
        </w:rPr>
        <w:t>为核心的测报及综合分析工作，加强</w:t>
      </w:r>
      <w:r>
        <w:rPr>
          <w:rFonts w:hint="eastAsia" w:ascii="仿宋_GB2312" w:eastAsia="仿宋_GB2312" w:cs="Times New Roman"/>
          <w:sz w:val="32"/>
          <w:szCs w:val="32"/>
          <w:lang w:eastAsia="zh-CN"/>
        </w:rPr>
        <w:t>生态环境</w:t>
      </w:r>
      <w:r>
        <w:rPr>
          <w:rFonts w:hint="eastAsia" w:ascii="仿宋_GB2312" w:eastAsia="仿宋_GB2312" w:cs="Times New Roman"/>
          <w:sz w:val="32"/>
          <w:szCs w:val="32"/>
        </w:rPr>
        <w:t>、气象部门的对接协作，完善空气污染预警机制及预警信息传输体系，提高环境空气质量短、中、长期预报准确率，及时预报极端不利气象条件对空气质量的影响。</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完善环境空气重污染应急测报、信息发布、部门协作、市区联动、措施落实、社会参加等应急响应体系，组织实施环境空气重污染应急响应演练，提高应急反应能力。每季度更新污染物不稳定达标排放的企业名单及应急重点监管企业名单。完善轻度以上空气污染强化监管联动措施。</w:t>
      </w:r>
      <w:r>
        <w:rPr>
          <w:rFonts w:hint="eastAsia" w:ascii="仿宋_GB2312" w:hAnsi="仿宋_GB2312" w:eastAsia="仿宋_GB2312" w:cs="仿宋_GB2312"/>
          <w:b/>
          <w:color w:val="000000"/>
          <w:sz w:val="32"/>
          <w:szCs w:val="32"/>
        </w:rPr>
        <w:t>（市生态环境局、市气象局牵头，市重污染天气应急指挥部成员单位参与）</w:t>
      </w:r>
    </w:p>
    <w:p>
      <w:pPr>
        <w:pStyle w:val="3"/>
        <w:spacing w:line="560" w:lineRule="exact"/>
        <w:ind w:firstLine="482"/>
        <w:rPr>
          <w:rFonts w:ascii="楷体_GB2312" w:eastAsia="楷体_GB2312" w:cs="Times New Roman"/>
          <w:sz w:val="32"/>
        </w:rPr>
      </w:pPr>
      <w:bookmarkStart w:id="73" w:name="_Toc45036028"/>
      <w:r>
        <w:rPr>
          <w:rFonts w:hint="eastAsia" w:ascii="楷体_GB2312" w:eastAsia="楷体_GB2312" w:cs="Times New Roman"/>
          <w:sz w:val="32"/>
        </w:rPr>
        <w:t>（六）推动环保科技合作</w:t>
      </w:r>
      <w:bookmarkEnd w:id="73"/>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加强大气环境科研队伍建设，制定相关配套政策和人才发展规划，加强科技人员培训和对外交流合作，培养和引进一批高层次大气环境科技创新人才。同时加强与国内科研院所、大专院校、专业技术团队的合作，积极发展大气污染防治联合研究顾问组。组建一支集污染成因研究、重污染过程防控和空气质量保障服务等功能为一体的稳定团队。</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推动空气污染成因研究。结合大气污染防控需要，开展以细颗粒物为重点的源排放清单、来源解析、组分分析、污染成因研究。针对当前薄弱环节，积极开展细颗粒物形成和控制机理以及重点行业二次颗粒物治理等重大环境问题研究，增加相关领域科研经费支持，建立相应污染源数据库和信息系统，详细摸清污染物来源构成、迁移变化和扩散规律。</w:t>
      </w:r>
      <w:r>
        <w:rPr>
          <w:rFonts w:hint="eastAsia" w:ascii="仿宋_GB2312" w:hAnsi="仿宋_GB2312" w:eastAsia="仿宋_GB2312" w:cs="仿宋_GB2312"/>
          <w:b/>
          <w:color w:val="000000"/>
          <w:sz w:val="32"/>
          <w:szCs w:val="32"/>
        </w:rPr>
        <w:t>（市生态环境局牵头，市财政局、市气象局、市科技局参与）</w:t>
      </w:r>
    </w:p>
    <w:p>
      <w:pPr>
        <w:pStyle w:val="2"/>
        <w:spacing w:line="560" w:lineRule="exact"/>
        <w:ind w:firstLine="643"/>
        <w:rPr>
          <w:rFonts w:ascii="黑体" w:hAnsi="黑体"/>
          <w:szCs w:val="32"/>
        </w:rPr>
      </w:pPr>
      <w:bookmarkStart w:id="74" w:name="_Toc45036030"/>
      <w:r>
        <w:rPr>
          <w:rFonts w:hint="eastAsia" w:ascii="黑体" w:hAnsi="黑体"/>
          <w:szCs w:val="32"/>
        </w:rPr>
        <w:t>十</w:t>
      </w:r>
      <w:r>
        <w:rPr>
          <w:rFonts w:hint="eastAsia" w:ascii="黑体" w:hAnsi="黑体"/>
          <w:szCs w:val="32"/>
          <w:lang w:eastAsia="zh-CN"/>
        </w:rPr>
        <w:t>一</w:t>
      </w:r>
      <w:r>
        <w:rPr>
          <w:rFonts w:hint="eastAsia" w:ascii="黑体" w:hAnsi="黑体"/>
          <w:szCs w:val="32"/>
        </w:rPr>
        <w:t>、规划实施保障</w:t>
      </w:r>
      <w:bookmarkEnd w:id="74"/>
    </w:p>
    <w:p>
      <w:pPr>
        <w:pStyle w:val="3"/>
        <w:spacing w:line="560" w:lineRule="exact"/>
        <w:ind w:firstLine="482"/>
        <w:rPr>
          <w:rFonts w:ascii="楷体_GB2312" w:eastAsia="楷体_GB2312" w:cs="Times New Roman"/>
          <w:sz w:val="32"/>
        </w:rPr>
      </w:pPr>
      <w:bookmarkStart w:id="75" w:name="_Toc45036031"/>
      <w:r>
        <w:rPr>
          <w:rFonts w:hint="eastAsia" w:ascii="楷体_GB2312" w:eastAsia="楷体_GB2312" w:cs="Times New Roman"/>
          <w:sz w:val="32"/>
        </w:rPr>
        <w:t>（一）组织保障</w:t>
      </w:r>
      <w:bookmarkEnd w:id="75"/>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lang w:eastAsia="zh-CN"/>
        </w:rPr>
        <w:t>全市各级</w:t>
      </w:r>
      <w:r>
        <w:rPr>
          <w:rFonts w:hint="eastAsia" w:ascii="仿宋_GB2312" w:eastAsia="仿宋_GB2312" w:cs="Times New Roman"/>
          <w:sz w:val="32"/>
          <w:szCs w:val="32"/>
        </w:rPr>
        <w:t>人民政府要明确大气污染防治工作的重要性和艰巨性，应根据本规划及控制目标，健全县区联防联治、城乡协同治理等机制，同时加强与周边地区的大气污染联防联控工作。</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达标规划实施工作由永州市大气环境攻坚战指挥部统一协调督导，设立控尘、控车和控排三个专项工作小组，根据责任分工分别由住建、公安和生态环境局部门牵头，各部门要制定相关污染防治措施和实施方案，城管、交通、工信、市场、发改等其他部门响应配合，县区政府属地落实。通过建立考评机制，进行属地分担考评，市内周排名、月考核，将压力分摊到各区县、攻坚办和街道办。</w:t>
      </w:r>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号召重点企业全面参与其中，落实企业责任，密切配合各行政单位统一调度指挥，健全工作机制，加大污染处罚力度。</w:t>
      </w:r>
    </w:p>
    <w:p>
      <w:pPr>
        <w:pStyle w:val="3"/>
        <w:spacing w:line="560" w:lineRule="exact"/>
        <w:ind w:firstLine="482"/>
        <w:rPr>
          <w:rFonts w:ascii="楷体_GB2312" w:eastAsia="楷体_GB2312" w:cs="Times New Roman"/>
          <w:sz w:val="32"/>
        </w:rPr>
      </w:pPr>
      <w:bookmarkStart w:id="76" w:name="_Toc45036032"/>
      <w:r>
        <w:rPr>
          <w:rFonts w:hint="eastAsia" w:ascii="楷体_GB2312" w:eastAsia="楷体_GB2312" w:cs="Times New Roman"/>
          <w:sz w:val="32"/>
        </w:rPr>
        <w:t>（二）政策法规保障</w:t>
      </w:r>
      <w:bookmarkEnd w:id="76"/>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加快修正大气污染防治法规建设中不合理、不清晰的措施，坚持措施实施的定量化与具体化。同时大力开展大气污染防治政策措施研究，重点探索以经济杠杆为手段的污染控制措施，创新环境管理制度。主要围绕扬尘污染防治、工业污染治理、面源污染管控、机动车新能源推广等方面开展研究，为我市推行大气污染防治措施提供法规及政策依据。</w:t>
      </w:r>
    </w:p>
    <w:p>
      <w:pPr>
        <w:pStyle w:val="3"/>
        <w:spacing w:line="560" w:lineRule="exact"/>
        <w:ind w:firstLine="482"/>
        <w:rPr>
          <w:rFonts w:ascii="楷体_GB2312" w:eastAsia="楷体_GB2312" w:cs="Times New Roman"/>
          <w:sz w:val="32"/>
        </w:rPr>
      </w:pPr>
      <w:bookmarkStart w:id="77" w:name="_Toc45036033"/>
      <w:r>
        <w:rPr>
          <w:rFonts w:hint="eastAsia" w:ascii="楷体_GB2312" w:eastAsia="楷体_GB2312" w:cs="Times New Roman"/>
          <w:sz w:val="32"/>
        </w:rPr>
        <w:t>（三）责任保障</w:t>
      </w:r>
      <w:bookmarkEnd w:id="77"/>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坚决贯彻落实省生态环境厅的大气治理政策，进一步完善大气环境保护责任体系，切实落实到各级党委、政府环境保护主体责任和党委、政府主要负责同志第一责任人责任。市级领导将空气质量保护作为联系指导县区的工作重要内容，市直有关部门加强对县区业务指导，各县区切实担负主体责任，严肃认真治理好大气污染问题。此外，对在大气污染防治工作中不作为、乱作为、慢作为的行为逐一厘清责任，依法依规进行责任追究。同时，进一步强化环保问题责任追究，对履职不到位、责任不落实，甚至敷衍塞责、弄虚作假的单位或个人，严肃追究其责任。</w:t>
      </w:r>
    </w:p>
    <w:p>
      <w:pPr>
        <w:pStyle w:val="3"/>
        <w:spacing w:line="560" w:lineRule="exact"/>
        <w:ind w:firstLine="482"/>
        <w:rPr>
          <w:rFonts w:ascii="楷体_GB2312" w:eastAsia="楷体_GB2312" w:cs="Times New Roman"/>
          <w:sz w:val="32"/>
        </w:rPr>
      </w:pPr>
      <w:bookmarkStart w:id="78" w:name="_Toc45036034"/>
      <w:r>
        <w:rPr>
          <w:rFonts w:hint="eastAsia" w:ascii="楷体_GB2312" w:eastAsia="楷体_GB2312" w:cs="Times New Roman"/>
          <w:sz w:val="32"/>
        </w:rPr>
        <w:t>（四）技术保障</w:t>
      </w:r>
      <w:bookmarkEnd w:id="78"/>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根据解决区域大气污染以及其他重大污染防治技术攻关的科技支撑要求，提出服务于区域大气环境管理综合决策的方案。加快环保技术创新平台建设，联合高校、科研机构实施环保技术攻关，形成环境科研支撑体系，开展颗粒物、VOCs等污染物来源解析及传输扩散规律等方面的科研，以及扬尘管控技术、工业污染治理技术、清洁能源应用、面源污染治理技术等方面的开发、引进，并推广应用各类大气污染治理的新技术、新工艺、新产品。健全研究团队，为达标规划政策实施方案的制定和评估提供有力的技术支撑。</w:t>
      </w:r>
    </w:p>
    <w:p>
      <w:pPr>
        <w:pStyle w:val="3"/>
        <w:spacing w:line="560" w:lineRule="exact"/>
        <w:ind w:firstLine="482"/>
        <w:rPr>
          <w:rFonts w:ascii="楷体_GB2312" w:eastAsia="楷体_GB2312" w:cs="Times New Roman"/>
          <w:sz w:val="32"/>
        </w:rPr>
      </w:pPr>
      <w:bookmarkStart w:id="79" w:name="_Toc45036035"/>
      <w:r>
        <w:rPr>
          <w:rFonts w:hint="eastAsia" w:ascii="楷体_GB2312" w:eastAsia="楷体_GB2312" w:cs="Times New Roman"/>
          <w:sz w:val="32"/>
        </w:rPr>
        <w:t>（五）资金保障</w:t>
      </w:r>
      <w:bookmarkEnd w:id="79"/>
    </w:p>
    <w:p>
      <w:pP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积极争取上级财政支持，同时各地要充分发挥财政资金的杠杆作用，多方筹集，积极引导社会资金投入大气污染治理中。同时将环保投入和资金使用情况向社会公布，接受社会监督。此外，各级财政要加大投入对扬尘污染治理、工业锅炉综合整治、机动车清洁能源推广、秸秆综合利用、露天焚烧和烧烤整治、餐饮油烟污染防治、VOCs污染治理、大气污染防治综合能力建设给予引导性资金支持，同时采取“以奖代补”“以奖促防”“以奖促治”等方式，加快推进重点工程实施。拓宽融资渠道，引导银行业等金融机构加大对大气污染防治项目的信贷支持，拓宽节能环保设施融资、租赁业务。</w:t>
      </w:r>
    </w:p>
    <w:p>
      <w:pPr>
        <w:pStyle w:val="3"/>
        <w:spacing w:line="560" w:lineRule="exact"/>
        <w:ind w:firstLine="482"/>
        <w:rPr>
          <w:rFonts w:ascii="楷体_GB2312" w:eastAsia="楷体_GB2312" w:cs="Times New Roman"/>
          <w:sz w:val="32"/>
        </w:rPr>
      </w:pPr>
      <w:bookmarkStart w:id="80" w:name="_Toc45036036"/>
      <w:r>
        <w:rPr>
          <w:rFonts w:hint="eastAsia" w:ascii="楷体_GB2312" w:eastAsia="楷体_GB2312" w:cs="Times New Roman"/>
          <w:sz w:val="32"/>
        </w:rPr>
        <w:t>（六）社会保障</w:t>
      </w:r>
      <w:bookmarkEnd w:id="80"/>
    </w:p>
    <w:p>
      <w:pPr>
        <w:spacing w:line="560" w:lineRule="exact"/>
        <w:ind w:firstLine="640"/>
        <w:rPr>
          <w:rFonts w:ascii="仿宋_GB2312" w:eastAsia="仿宋_GB2312"/>
          <w:lang w:bidi="ar"/>
        </w:rPr>
      </w:pPr>
      <w:r>
        <w:rPr>
          <w:rFonts w:hint="eastAsia" w:ascii="仿宋_GB2312" w:eastAsia="仿宋_GB2312" w:cs="Times New Roman"/>
          <w:sz w:val="32"/>
          <w:szCs w:val="32"/>
        </w:rPr>
        <w:t>倡导全社会“同呼吸、共奋斗”，同时要鼓励和支持社会各界各方面参与、实现政府治理和社会自我调节、居民自治良性互动。在高等教育方面，做大做强大气环境管理专业，培养精干人才；在消费和生活方式方面，倡导文明、节约、绿色，只有人人自觉参与环境保护、自觉学习环境保护法律法规、自觉宣传环境知识，才能形成保护环境的良好风气，进一步改善空气质量。充分运用报刊、电视、网络等平台，深入宣传空气质量治理工作中好的做法和经验，曝光群众反映强烈的大气治理中不作为、乱作为、慢作为的典型案例。健全空气质量治理信息公开机制，利用“一台一报一网”和微信、微博等网络新媒体，及时公开大气污染治理方案和办理进度情况、造成大气重污染事件企业查处情况，保障公众知情权。</w:t>
      </w:r>
    </w:p>
    <w:sectPr>
      <w:headerReference r:id="rId3" w:type="default"/>
      <w:footerReference r:id="rId4" w:type="default"/>
      <w:pgSz w:w="11906" w:h="16838"/>
      <w:pgMar w:top="1440" w:right="1797" w:bottom="1440" w:left="1797" w:header="851" w:footer="992" w:gutter="0"/>
      <w:cols w:space="425"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方正仿宋简体">
    <w:altName w:val="微软雅黑"/>
    <w:panose1 w:val="00000000000000000000"/>
    <w:charset w:val="86"/>
    <w:family w:val="auto"/>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Gulim">
    <w:panose1 w:val="020B0600000101010101"/>
    <w:charset w:val="81"/>
    <w:family w:val="auto"/>
    <w:pitch w:val="default"/>
    <w:sig w:usb0="B00002AF" w:usb1="69D77CFB" w:usb2="00000030" w:usb3="00000000" w:csb0="4008009F" w:csb1="DFD7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5094424"/>
    </w:sdtPr>
    <w:sdtContent>
      <w:p>
        <w:pPr>
          <w:pStyle w:val="20"/>
          <w:ind w:firstLine="360"/>
          <w:jc w:val="center"/>
        </w:pPr>
        <w:r>
          <w:fldChar w:fldCharType="begin"/>
        </w:r>
        <w:r>
          <w:instrText xml:space="preserve">PAGE   \* MERGEFORMAT</w:instrText>
        </w:r>
        <w:r>
          <w:fldChar w:fldCharType="separate"/>
        </w:r>
        <w:r>
          <w:rPr>
            <w:lang w:val="zh-CN"/>
          </w:rPr>
          <w:t>70</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jc w:val="right"/>
    </w:pPr>
    <w:r>
      <w:rPr>
        <w:rFonts w:hint="eastAsia"/>
      </w:rPr>
      <w:t>永州市</w:t>
    </w:r>
    <w:r>
      <w:t>空气质量限期达标规划</w:t>
    </w:r>
  </w:p>
  <w:p>
    <w:pPr>
      <w:pStyle w:val="21"/>
      <w:pBdr>
        <w:bottom w:val="none" w:color="auto" w:sz="0" w:space="0"/>
      </w:pBdr>
      <w:ind w:firstLine="0" w:firstLineChars="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72149"/>
    <w:multiLevelType w:val="multilevel"/>
    <w:tmpl w:val="29572149"/>
    <w:lvl w:ilvl="0" w:tentative="0">
      <w:start w:val="1"/>
      <w:numFmt w:val="decimal"/>
      <w:pStyle w:val="4"/>
      <w:lvlText w:val="%1. "/>
      <w:lvlJc w:val="left"/>
      <w:pPr>
        <w:ind w:left="420" w:hanging="420"/>
      </w:pPr>
      <w:rPr>
        <w:rFonts w:hint="eastAsia" w:ascii="仿宋_GB2312" w:eastAsia="仿宋_GB2312"/>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EEB537F"/>
    <w:multiLevelType w:val="multilevel"/>
    <w:tmpl w:val="7EEB537F"/>
    <w:lvl w:ilvl="0" w:tentative="0">
      <w:start w:val="1"/>
      <w:numFmt w:val="chineseCountingThousand"/>
      <w:lvlText w:val="%1、"/>
      <w:lvlJc w:val="left"/>
      <w:pPr>
        <w:ind w:left="480" w:hanging="48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chineseCountingThousand"/>
      <w:lvlText w:val="(%2)"/>
      <w:lvlJc w:val="left"/>
      <w:pPr>
        <w:ind w:left="227" w:hanging="114"/>
      </w:pPr>
      <w:rPr>
        <w:rFonts w:hint="eastAsia"/>
      </w:rPr>
    </w:lvl>
    <w:lvl w:ilvl="2" w:tentative="0">
      <w:start w:val="1"/>
      <w:numFmt w:val="decimal"/>
      <w:lvlText w:val="%3. "/>
      <w:lvlJc w:val="left"/>
      <w:pPr>
        <w:ind w:left="1362" w:hanging="227"/>
      </w:pPr>
      <w:rPr>
        <w:rFonts w:hint="eastAsia"/>
        <w:b w:val="0"/>
        <w:bCs/>
        <w:i w:val="0"/>
        <w:iCs w:val="0"/>
        <w:caps w:val="0"/>
        <w:smallCaps w:val="0"/>
        <w:strike w:val="0"/>
        <w:dstrike w:val="0"/>
        <w:outline w:val="0"/>
        <w:shadow w:val="0"/>
        <w:emboss w:val="0"/>
        <w:imprint w:val="0"/>
        <w:vanish w:val="0"/>
        <w:spacing w:val="0"/>
        <w:position w:val="0"/>
        <w:u w:val="none"/>
        <w:vertAlign w:val="baseline"/>
        <w:lang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lvlRestart w:val="2"/>
      <w:pStyle w:val="5"/>
      <w:isLgl/>
      <w:suff w:val="space"/>
      <w:lvlText w:val="%1.%2.%3.%4"/>
      <w:lvlJc w:val="left"/>
      <w:pPr>
        <w:ind w:left="680" w:hanging="340"/>
      </w:pPr>
      <w:rPr>
        <w:rFonts w:ascii="Times New Roman" w:hAnsi="Times New Roman"/>
        <w:b w:val="0"/>
        <w:bCs w:val="0"/>
        <w:i w:val="0"/>
        <w:iCs w:val="0"/>
        <w:caps w:val="0"/>
        <w:smallCaps w:val="0"/>
        <w:strike w:val="0"/>
        <w:dstrike w:val="0"/>
        <w:outline w:val="0"/>
        <w:shadow w:val="0"/>
        <w:emboss w:val="0"/>
        <w:imprint w:val="0"/>
        <w:vanish w:val="0"/>
        <w:spacing w:val="0"/>
        <w:position w:val="0"/>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1"/>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documentProtection w:enforcement="0"/>
  <w:defaultTabStop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348"/>
    <w:rsid w:val="00000689"/>
    <w:rsid w:val="000007B3"/>
    <w:rsid w:val="00000919"/>
    <w:rsid w:val="00000AAF"/>
    <w:rsid w:val="0000126D"/>
    <w:rsid w:val="000019C2"/>
    <w:rsid w:val="00001F08"/>
    <w:rsid w:val="000025D5"/>
    <w:rsid w:val="00002D4A"/>
    <w:rsid w:val="00002FAC"/>
    <w:rsid w:val="0000370F"/>
    <w:rsid w:val="0000382B"/>
    <w:rsid w:val="00003BBF"/>
    <w:rsid w:val="00004794"/>
    <w:rsid w:val="000047FA"/>
    <w:rsid w:val="00004A84"/>
    <w:rsid w:val="00004E80"/>
    <w:rsid w:val="00005E3C"/>
    <w:rsid w:val="00005FBB"/>
    <w:rsid w:val="0000622E"/>
    <w:rsid w:val="000063AF"/>
    <w:rsid w:val="00006CA6"/>
    <w:rsid w:val="00007C28"/>
    <w:rsid w:val="00007D41"/>
    <w:rsid w:val="00010457"/>
    <w:rsid w:val="000105C4"/>
    <w:rsid w:val="000105D5"/>
    <w:rsid w:val="00010A0B"/>
    <w:rsid w:val="00010B50"/>
    <w:rsid w:val="00010F55"/>
    <w:rsid w:val="00010F74"/>
    <w:rsid w:val="00011334"/>
    <w:rsid w:val="000117CB"/>
    <w:rsid w:val="00012885"/>
    <w:rsid w:val="00012D5C"/>
    <w:rsid w:val="00013CA5"/>
    <w:rsid w:val="00013CAC"/>
    <w:rsid w:val="00013F16"/>
    <w:rsid w:val="00013F1F"/>
    <w:rsid w:val="000141BC"/>
    <w:rsid w:val="000146E6"/>
    <w:rsid w:val="00014A3A"/>
    <w:rsid w:val="00015129"/>
    <w:rsid w:val="00015C1A"/>
    <w:rsid w:val="00015E24"/>
    <w:rsid w:val="00015E8F"/>
    <w:rsid w:val="000160FA"/>
    <w:rsid w:val="000161E7"/>
    <w:rsid w:val="00016772"/>
    <w:rsid w:val="00017031"/>
    <w:rsid w:val="00017296"/>
    <w:rsid w:val="00017E09"/>
    <w:rsid w:val="00017F11"/>
    <w:rsid w:val="00020101"/>
    <w:rsid w:val="00020B29"/>
    <w:rsid w:val="00020C29"/>
    <w:rsid w:val="00021134"/>
    <w:rsid w:val="000213F7"/>
    <w:rsid w:val="0002154D"/>
    <w:rsid w:val="00021D70"/>
    <w:rsid w:val="00021E1E"/>
    <w:rsid w:val="00022147"/>
    <w:rsid w:val="00022E12"/>
    <w:rsid w:val="00023E84"/>
    <w:rsid w:val="00023EC4"/>
    <w:rsid w:val="0002498F"/>
    <w:rsid w:val="000249DE"/>
    <w:rsid w:val="00025344"/>
    <w:rsid w:val="00025396"/>
    <w:rsid w:val="0002569F"/>
    <w:rsid w:val="00025B45"/>
    <w:rsid w:val="00026B57"/>
    <w:rsid w:val="0002781B"/>
    <w:rsid w:val="000307AE"/>
    <w:rsid w:val="00030A4D"/>
    <w:rsid w:val="00030B67"/>
    <w:rsid w:val="00030BCB"/>
    <w:rsid w:val="0003112F"/>
    <w:rsid w:val="00031277"/>
    <w:rsid w:val="00031C9D"/>
    <w:rsid w:val="00032059"/>
    <w:rsid w:val="00032242"/>
    <w:rsid w:val="00032788"/>
    <w:rsid w:val="000327BE"/>
    <w:rsid w:val="00033192"/>
    <w:rsid w:val="000333B0"/>
    <w:rsid w:val="000337AE"/>
    <w:rsid w:val="00033C48"/>
    <w:rsid w:val="000341DD"/>
    <w:rsid w:val="000345BA"/>
    <w:rsid w:val="00034BFC"/>
    <w:rsid w:val="00034E35"/>
    <w:rsid w:val="000363C4"/>
    <w:rsid w:val="00036DAC"/>
    <w:rsid w:val="00036DD5"/>
    <w:rsid w:val="00037045"/>
    <w:rsid w:val="000370F6"/>
    <w:rsid w:val="000370FE"/>
    <w:rsid w:val="000377F8"/>
    <w:rsid w:val="00037DAD"/>
    <w:rsid w:val="00037FD2"/>
    <w:rsid w:val="000408B0"/>
    <w:rsid w:val="00040BC5"/>
    <w:rsid w:val="00041542"/>
    <w:rsid w:val="00041801"/>
    <w:rsid w:val="000418F3"/>
    <w:rsid w:val="000425FF"/>
    <w:rsid w:val="0004382D"/>
    <w:rsid w:val="00043D8C"/>
    <w:rsid w:val="00043F09"/>
    <w:rsid w:val="00045024"/>
    <w:rsid w:val="000456BA"/>
    <w:rsid w:val="0004582C"/>
    <w:rsid w:val="00045960"/>
    <w:rsid w:val="00046646"/>
    <w:rsid w:val="00046848"/>
    <w:rsid w:val="00046B6A"/>
    <w:rsid w:val="000470EB"/>
    <w:rsid w:val="0004779F"/>
    <w:rsid w:val="0005021F"/>
    <w:rsid w:val="00050776"/>
    <w:rsid w:val="00050DAF"/>
    <w:rsid w:val="000513C9"/>
    <w:rsid w:val="0005157C"/>
    <w:rsid w:val="00051C8F"/>
    <w:rsid w:val="000523C3"/>
    <w:rsid w:val="000532C8"/>
    <w:rsid w:val="0005361F"/>
    <w:rsid w:val="00053A7C"/>
    <w:rsid w:val="00053A88"/>
    <w:rsid w:val="00053C91"/>
    <w:rsid w:val="000541D1"/>
    <w:rsid w:val="0005423D"/>
    <w:rsid w:val="00054364"/>
    <w:rsid w:val="000548A4"/>
    <w:rsid w:val="00055113"/>
    <w:rsid w:val="000555E3"/>
    <w:rsid w:val="00055752"/>
    <w:rsid w:val="00055FC8"/>
    <w:rsid w:val="000564D3"/>
    <w:rsid w:val="00056C56"/>
    <w:rsid w:val="00056D3C"/>
    <w:rsid w:val="000574B2"/>
    <w:rsid w:val="00057A73"/>
    <w:rsid w:val="00057CAC"/>
    <w:rsid w:val="000604CE"/>
    <w:rsid w:val="000605E3"/>
    <w:rsid w:val="00060C64"/>
    <w:rsid w:val="00061714"/>
    <w:rsid w:val="00061E50"/>
    <w:rsid w:val="0006231B"/>
    <w:rsid w:val="00062529"/>
    <w:rsid w:val="000625A5"/>
    <w:rsid w:val="000629BF"/>
    <w:rsid w:val="000629F6"/>
    <w:rsid w:val="00062C53"/>
    <w:rsid w:val="00062F89"/>
    <w:rsid w:val="00063042"/>
    <w:rsid w:val="000630AD"/>
    <w:rsid w:val="0006325B"/>
    <w:rsid w:val="000633C9"/>
    <w:rsid w:val="000634EE"/>
    <w:rsid w:val="0006382B"/>
    <w:rsid w:val="00063B7E"/>
    <w:rsid w:val="0006412D"/>
    <w:rsid w:val="0006423F"/>
    <w:rsid w:val="000647A1"/>
    <w:rsid w:val="00064ED7"/>
    <w:rsid w:val="0006532D"/>
    <w:rsid w:val="00065DD5"/>
    <w:rsid w:val="00066518"/>
    <w:rsid w:val="00066CD9"/>
    <w:rsid w:val="000678D0"/>
    <w:rsid w:val="00067CC0"/>
    <w:rsid w:val="000705FB"/>
    <w:rsid w:val="00070874"/>
    <w:rsid w:val="00070DBD"/>
    <w:rsid w:val="00070EB1"/>
    <w:rsid w:val="00071A55"/>
    <w:rsid w:val="0007257C"/>
    <w:rsid w:val="000726E3"/>
    <w:rsid w:val="00072793"/>
    <w:rsid w:val="00072B97"/>
    <w:rsid w:val="000736C9"/>
    <w:rsid w:val="00073A1B"/>
    <w:rsid w:val="00073C4D"/>
    <w:rsid w:val="00073D68"/>
    <w:rsid w:val="00073DD7"/>
    <w:rsid w:val="0007431B"/>
    <w:rsid w:val="00074448"/>
    <w:rsid w:val="00074C75"/>
    <w:rsid w:val="00075864"/>
    <w:rsid w:val="00075A61"/>
    <w:rsid w:val="000763FE"/>
    <w:rsid w:val="00076C8A"/>
    <w:rsid w:val="00076CA6"/>
    <w:rsid w:val="00076FF3"/>
    <w:rsid w:val="0008079C"/>
    <w:rsid w:val="00080D11"/>
    <w:rsid w:val="00081581"/>
    <w:rsid w:val="00081901"/>
    <w:rsid w:val="00081D5F"/>
    <w:rsid w:val="00082681"/>
    <w:rsid w:val="0008301E"/>
    <w:rsid w:val="0008312F"/>
    <w:rsid w:val="000837AD"/>
    <w:rsid w:val="00083AFB"/>
    <w:rsid w:val="00083FC1"/>
    <w:rsid w:val="00084441"/>
    <w:rsid w:val="000845F1"/>
    <w:rsid w:val="00084A66"/>
    <w:rsid w:val="00085072"/>
    <w:rsid w:val="0008554D"/>
    <w:rsid w:val="00085A72"/>
    <w:rsid w:val="000865AA"/>
    <w:rsid w:val="0008726E"/>
    <w:rsid w:val="0008791C"/>
    <w:rsid w:val="00087ED7"/>
    <w:rsid w:val="0009158C"/>
    <w:rsid w:val="00091ECC"/>
    <w:rsid w:val="00091F23"/>
    <w:rsid w:val="00091FBF"/>
    <w:rsid w:val="00092C81"/>
    <w:rsid w:val="00092F37"/>
    <w:rsid w:val="000934C0"/>
    <w:rsid w:val="00093686"/>
    <w:rsid w:val="000938D9"/>
    <w:rsid w:val="00093B79"/>
    <w:rsid w:val="00093DAC"/>
    <w:rsid w:val="00094BC7"/>
    <w:rsid w:val="00094C1A"/>
    <w:rsid w:val="00094FD4"/>
    <w:rsid w:val="000955D3"/>
    <w:rsid w:val="0009560F"/>
    <w:rsid w:val="00095A0E"/>
    <w:rsid w:val="00095AF2"/>
    <w:rsid w:val="00095C50"/>
    <w:rsid w:val="00096609"/>
    <w:rsid w:val="000969CB"/>
    <w:rsid w:val="000A05B3"/>
    <w:rsid w:val="000A08E2"/>
    <w:rsid w:val="000A0955"/>
    <w:rsid w:val="000A0B39"/>
    <w:rsid w:val="000A0E32"/>
    <w:rsid w:val="000A148B"/>
    <w:rsid w:val="000A1B8E"/>
    <w:rsid w:val="000A21C9"/>
    <w:rsid w:val="000A2320"/>
    <w:rsid w:val="000A2A47"/>
    <w:rsid w:val="000A32A9"/>
    <w:rsid w:val="000A3A81"/>
    <w:rsid w:val="000A4198"/>
    <w:rsid w:val="000A46BB"/>
    <w:rsid w:val="000A4796"/>
    <w:rsid w:val="000A4B58"/>
    <w:rsid w:val="000A4F3A"/>
    <w:rsid w:val="000A5C49"/>
    <w:rsid w:val="000A669C"/>
    <w:rsid w:val="000A67A2"/>
    <w:rsid w:val="000A6B45"/>
    <w:rsid w:val="000A6BC1"/>
    <w:rsid w:val="000A6C0C"/>
    <w:rsid w:val="000A6D7F"/>
    <w:rsid w:val="000A7016"/>
    <w:rsid w:val="000A70DA"/>
    <w:rsid w:val="000A743C"/>
    <w:rsid w:val="000A76AF"/>
    <w:rsid w:val="000A7C8F"/>
    <w:rsid w:val="000A7CFD"/>
    <w:rsid w:val="000B02DD"/>
    <w:rsid w:val="000B03CF"/>
    <w:rsid w:val="000B0537"/>
    <w:rsid w:val="000B0635"/>
    <w:rsid w:val="000B065C"/>
    <w:rsid w:val="000B08A5"/>
    <w:rsid w:val="000B179A"/>
    <w:rsid w:val="000B19B0"/>
    <w:rsid w:val="000B2B0B"/>
    <w:rsid w:val="000B2C36"/>
    <w:rsid w:val="000B329F"/>
    <w:rsid w:val="000B376F"/>
    <w:rsid w:val="000B3C3B"/>
    <w:rsid w:val="000B3F14"/>
    <w:rsid w:val="000B3FD3"/>
    <w:rsid w:val="000B4637"/>
    <w:rsid w:val="000B4729"/>
    <w:rsid w:val="000B58D4"/>
    <w:rsid w:val="000B6747"/>
    <w:rsid w:val="000B6FE5"/>
    <w:rsid w:val="000B743D"/>
    <w:rsid w:val="000B74BF"/>
    <w:rsid w:val="000B7740"/>
    <w:rsid w:val="000B7C08"/>
    <w:rsid w:val="000C00DE"/>
    <w:rsid w:val="000C08B6"/>
    <w:rsid w:val="000C0D95"/>
    <w:rsid w:val="000C1023"/>
    <w:rsid w:val="000C16FD"/>
    <w:rsid w:val="000C17A0"/>
    <w:rsid w:val="000C23B1"/>
    <w:rsid w:val="000C2981"/>
    <w:rsid w:val="000C2B31"/>
    <w:rsid w:val="000C2CBD"/>
    <w:rsid w:val="000C3159"/>
    <w:rsid w:val="000C346B"/>
    <w:rsid w:val="000C3582"/>
    <w:rsid w:val="000C3B24"/>
    <w:rsid w:val="000C3C30"/>
    <w:rsid w:val="000C4113"/>
    <w:rsid w:val="000C4973"/>
    <w:rsid w:val="000C4FF9"/>
    <w:rsid w:val="000C5270"/>
    <w:rsid w:val="000C61AC"/>
    <w:rsid w:val="000C62E2"/>
    <w:rsid w:val="000C6AB0"/>
    <w:rsid w:val="000C6C1A"/>
    <w:rsid w:val="000C7080"/>
    <w:rsid w:val="000C70F7"/>
    <w:rsid w:val="000C7608"/>
    <w:rsid w:val="000C76BF"/>
    <w:rsid w:val="000C7889"/>
    <w:rsid w:val="000C7EB8"/>
    <w:rsid w:val="000D0113"/>
    <w:rsid w:val="000D02C5"/>
    <w:rsid w:val="000D0853"/>
    <w:rsid w:val="000D10A8"/>
    <w:rsid w:val="000D14EA"/>
    <w:rsid w:val="000D1597"/>
    <w:rsid w:val="000D1C6F"/>
    <w:rsid w:val="000D240D"/>
    <w:rsid w:val="000D30F6"/>
    <w:rsid w:val="000D3C37"/>
    <w:rsid w:val="000D3D02"/>
    <w:rsid w:val="000D3DD7"/>
    <w:rsid w:val="000D43FB"/>
    <w:rsid w:val="000D45C8"/>
    <w:rsid w:val="000D47FC"/>
    <w:rsid w:val="000D4C28"/>
    <w:rsid w:val="000D4D55"/>
    <w:rsid w:val="000D50D4"/>
    <w:rsid w:val="000D5268"/>
    <w:rsid w:val="000D52C3"/>
    <w:rsid w:val="000D5800"/>
    <w:rsid w:val="000D5FE6"/>
    <w:rsid w:val="000D670F"/>
    <w:rsid w:val="000D6AC2"/>
    <w:rsid w:val="000D6E55"/>
    <w:rsid w:val="000D6ED2"/>
    <w:rsid w:val="000D7400"/>
    <w:rsid w:val="000D786B"/>
    <w:rsid w:val="000D7F93"/>
    <w:rsid w:val="000E0841"/>
    <w:rsid w:val="000E0A56"/>
    <w:rsid w:val="000E1CFB"/>
    <w:rsid w:val="000E1DAB"/>
    <w:rsid w:val="000E2C06"/>
    <w:rsid w:val="000E2C36"/>
    <w:rsid w:val="000E3BD0"/>
    <w:rsid w:val="000E4B2E"/>
    <w:rsid w:val="000E50F1"/>
    <w:rsid w:val="000E543D"/>
    <w:rsid w:val="000E56FC"/>
    <w:rsid w:val="000E5DF1"/>
    <w:rsid w:val="000E693C"/>
    <w:rsid w:val="000E6A1A"/>
    <w:rsid w:val="000E6DB2"/>
    <w:rsid w:val="000F13E0"/>
    <w:rsid w:val="000F1B03"/>
    <w:rsid w:val="000F1F19"/>
    <w:rsid w:val="000F29FD"/>
    <w:rsid w:val="000F2EF0"/>
    <w:rsid w:val="000F3944"/>
    <w:rsid w:val="000F3BCB"/>
    <w:rsid w:val="000F3EF6"/>
    <w:rsid w:val="000F41F3"/>
    <w:rsid w:val="000F4AB3"/>
    <w:rsid w:val="000F4D04"/>
    <w:rsid w:val="000F594E"/>
    <w:rsid w:val="000F61EF"/>
    <w:rsid w:val="000F6B49"/>
    <w:rsid w:val="000F6E28"/>
    <w:rsid w:val="001001A9"/>
    <w:rsid w:val="0010061B"/>
    <w:rsid w:val="0010105F"/>
    <w:rsid w:val="00101859"/>
    <w:rsid w:val="001018B5"/>
    <w:rsid w:val="00101AA0"/>
    <w:rsid w:val="00101EC2"/>
    <w:rsid w:val="00102EEB"/>
    <w:rsid w:val="00103425"/>
    <w:rsid w:val="00103630"/>
    <w:rsid w:val="001040E3"/>
    <w:rsid w:val="0010435D"/>
    <w:rsid w:val="00104B96"/>
    <w:rsid w:val="00105339"/>
    <w:rsid w:val="00105F57"/>
    <w:rsid w:val="00106203"/>
    <w:rsid w:val="0010645E"/>
    <w:rsid w:val="00107630"/>
    <w:rsid w:val="00107B44"/>
    <w:rsid w:val="00107F52"/>
    <w:rsid w:val="0011065F"/>
    <w:rsid w:val="00110B89"/>
    <w:rsid w:val="0011198A"/>
    <w:rsid w:val="00111C98"/>
    <w:rsid w:val="001120B1"/>
    <w:rsid w:val="0011218F"/>
    <w:rsid w:val="0011224C"/>
    <w:rsid w:val="0011265F"/>
    <w:rsid w:val="00112BD1"/>
    <w:rsid w:val="00112C4D"/>
    <w:rsid w:val="001130EB"/>
    <w:rsid w:val="0011366E"/>
    <w:rsid w:val="00113816"/>
    <w:rsid w:val="00113E37"/>
    <w:rsid w:val="00113EA3"/>
    <w:rsid w:val="0011435C"/>
    <w:rsid w:val="0011451F"/>
    <w:rsid w:val="001146AA"/>
    <w:rsid w:val="00114991"/>
    <w:rsid w:val="00114CA3"/>
    <w:rsid w:val="0011598F"/>
    <w:rsid w:val="001159B4"/>
    <w:rsid w:val="00115E35"/>
    <w:rsid w:val="001161A8"/>
    <w:rsid w:val="00116643"/>
    <w:rsid w:val="001168D2"/>
    <w:rsid w:val="00116CAF"/>
    <w:rsid w:val="0011739C"/>
    <w:rsid w:val="0011773C"/>
    <w:rsid w:val="00117CC6"/>
    <w:rsid w:val="00117E8D"/>
    <w:rsid w:val="001206D8"/>
    <w:rsid w:val="0012163E"/>
    <w:rsid w:val="00121CFB"/>
    <w:rsid w:val="00121E90"/>
    <w:rsid w:val="00122F75"/>
    <w:rsid w:val="001230F1"/>
    <w:rsid w:val="00123844"/>
    <w:rsid w:val="00123B7C"/>
    <w:rsid w:val="0012423C"/>
    <w:rsid w:val="001245AA"/>
    <w:rsid w:val="00124747"/>
    <w:rsid w:val="00124D36"/>
    <w:rsid w:val="001251E1"/>
    <w:rsid w:val="0012535A"/>
    <w:rsid w:val="00125CAA"/>
    <w:rsid w:val="00125EC6"/>
    <w:rsid w:val="00126E6B"/>
    <w:rsid w:val="00126F18"/>
    <w:rsid w:val="00127254"/>
    <w:rsid w:val="001275AC"/>
    <w:rsid w:val="00127605"/>
    <w:rsid w:val="00127820"/>
    <w:rsid w:val="00130104"/>
    <w:rsid w:val="00130175"/>
    <w:rsid w:val="0013031F"/>
    <w:rsid w:val="00130A2B"/>
    <w:rsid w:val="00130E3B"/>
    <w:rsid w:val="00130E9C"/>
    <w:rsid w:val="00130FA4"/>
    <w:rsid w:val="001310FF"/>
    <w:rsid w:val="00131DAB"/>
    <w:rsid w:val="00132809"/>
    <w:rsid w:val="00132882"/>
    <w:rsid w:val="001330BD"/>
    <w:rsid w:val="001333CF"/>
    <w:rsid w:val="0013365A"/>
    <w:rsid w:val="00133FB7"/>
    <w:rsid w:val="0013406A"/>
    <w:rsid w:val="00134666"/>
    <w:rsid w:val="001346FA"/>
    <w:rsid w:val="00134CBF"/>
    <w:rsid w:val="00135207"/>
    <w:rsid w:val="00135696"/>
    <w:rsid w:val="00135A99"/>
    <w:rsid w:val="00135B92"/>
    <w:rsid w:val="00135BA4"/>
    <w:rsid w:val="00135C52"/>
    <w:rsid w:val="001366F0"/>
    <w:rsid w:val="00136859"/>
    <w:rsid w:val="001368A7"/>
    <w:rsid w:val="00136D5A"/>
    <w:rsid w:val="001374DA"/>
    <w:rsid w:val="00137C36"/>
    <w:rsid w:val="00137C4D"/>
    <w:rsid w:val="00137C52"/>
    <w:rsid w:val="00137EAD"/>
    <w:rsid w:val="001404A5"/>
    <w:rsid w:val="001405EF"/>
    <w:rsid w:val="001408F5"/>
    <w:rsid w:val="00140AAD"/>
    <w:rsid w:val="00141555"/>
    <w:rsid w:val="001415F4"/>
    <w:rsid w:val="00141A0A"/>
    <w:rsid w:val="00141A31"/>
    <w:rsid w:val="00141D72"/>
    <w:rsid w:val="00142020"/>
    <w:rsid w:val="0014202E"/>
    <w:rsid w:val="001425BB"/>
    <w:rsid w:val="001435C4"/>
    <w:rsid w:val="001449E7"/>
    <w:rsid w:val="0014550E"/>
    <w:rsid w:val="00145562"/>
    <w:rsid w:val="00146003"/>
    <w:rsid w:val="0014607A"/>
    <w:rsid w:val="00146417"/>
    <w:rsid w:val="00146A6D"/>
    <w:rsid w:val="00146E5F"/>
    <w:rsid w:val="00146E65"/>
    <w:rsid w:val="001477E9"/>
    <w:rsid w:val="00147C72"/>
    <w:rsid w:val="00150875"/>
    <w:rsid w:val="00150D59"/>
    <w:rsid w:val="00150F95"/>
    <w:rsid w:val="00152201"/>
    <w:rsid w:val="001523D3"/>
    <w:rsid w:val="001526E7"/>
    <w:rsid w:val="001527FA"/>
    <w:rsid w:val="0015293A"/>
    <w:rsid w:val="0015372C"/>
    <w:rsid w:val="00153BD7"/>
    <w:rsid w:val="001547AE"/>
    <w:rsid w:val="00154D3A"/>
    <w:rsid w:val="00154F8E"/>
    <w:rsid w:val="001553ED"/>
    <w:rsid w:val="001559B3"/>
    <w:rsid w:val="00156000"/>
    <w:rsid w:val="0015638E"/>
    <w:rsid w:val="0015725B"/>
    <w:rsid w:val="00157CC0"/>
    <w:rsid w:val="00157F8E"/>
    <w:rsid w:val="0016009B"/>
    <w:rsid w:val="001602D2"/>
    <w:rsid w:val="00162288"/>
    <w:rsid w:val="00162561"/>
    <w:rsid w:val="00162BB5"/>
    <w:rsid w:val="00162CDD"/>
    <w:rsid w:val="001637A6"/>
    <w:rsid w:val="00163884"/>
    <w:rsid w:val="001638EC"/>
    <w:rsid w:val="00163B6C"/>
    <w:rsid w:val="00163E9A"/>
    <w:rsid w:val="001644B2"/>
    <w:rsid w:val="001647A6"/>
    <w:rsid w:val="001654D0"/>
    <w:rsid w:val="00166B22"/>
    <w:rsid w:val="00166BD8"/>
    <w:rsid w:val="0017012F"/>
    <w:rsid w:val="00170132"/>
    <w:rsid w:val="0017031B"/>
    <w:rsid w:val="00170D0B"/>
    <w:rsid w:val="001717DF"/>
    <w:rsid w:val="00171E98"/>
    <w:rsid w:val="00171F0B"/>
    <w:rsid w:val="0017286A"/>
    <w:rsid w:val="00172DE0"/>
    <w:rsid w:val="001730EE"/>
    <w:rsid w:val="001738DA"/>
    <w:rsid w:val="00173989"/>
    <w:rsid w:val="00173A8E"/>
    <w:rsid w:val="0017411A"/>
    <w:rsid w:val="0017430A"/>
    <w:rsid w:val="001744FF"/>
    <w:rsid w:val="00174B0F"/>
    <w:rsid w:val="00175DB5"/>
    <w:rsid w:val="00176F64"/>
    <w:rsid w:val="00177046"/>
    <w:rsid w:val="001770A6"/>
    <w:rsid w:val="00177FB9"/>
    <w:rsid w:val="0018092C"/>
    <w:rsid w:val="00180CEE"/>
    <w:rsid w:val="00180EC4"/>
    <w:rsid w:val="0018160E"/>
    <w:rsid w:val="00181AC8"/>
    <w:rsid w:val="00181C75"/>
    <w:rsid w:val="0018208E"/>
    <w:rsid w:val="00182438"/>
    <w:rsid w:val="001825BA"/>
    <w:rsid w:val="001825E3"/>
    <w:rsid w:val="0018288D"/>
    <w:rsid w:val="00182BBF"/>
    <w:rsid w:val="00182C01"/>
    <w:rsid w:val="00182D08"/>
    <w:rsid w:val="00182F7B"/>
    <w:rsid w:val="0018313E"/>
    <w:rsid w:val="00183723"/>
    <w:rsid w:val="001838AC"/>
    <w:rsid w:val="0018494F"/>
    <w:rsid w:val="00184970"/>
    <w:rsid w:val="00185A13"/>
    <w:rsid w:val="00185E8C"/>
    <w:rsid w:val="0018709E"/>
    <w:rsid w:val="00187103"/>
    <w:rsid w:val="001878F5"/>
    <w:rsid w:val="00187AE8"/>
    <w:rsid w:val="001904FA"/>
    <w:rsid w:val="00190651"/>
    <w:rsid w:val="00190C36"/>
    <w:rsid w:val="00190DFA"/>
    <w:rsid w:val="001912AE"/>
    <w:rsid w:val="00191985"/>
    <w:rsid w:val="00191B5E"/>
    <w:rsid w:val="00192127"/>
    <w:rsid w:val="0019280B"/>
    <w:rsid w:val="00192851"/>
    <w:rsid w:val="00193213"/>
    <w:rsid w:val="0019348B"/>
    <w:rsid w:val="00193CA7"/>
    <w:rsid w:val="0019405F"/>
    <w:rsid w:val="0019423E"/>
    <w:rsid w:val="0019447E"/>
    <w:rsid w:val="00194541"/>
    <w:rsid w:val="00194BA3"/>
    <w:rsid w:val="00194E85"/>
    <w:rsid w:val="00194EED"/>
    <w:rsid w:val="00195647"/>
    <w:rsid w:val="001962B3"/>
    <w:rsid w:val="00196304"/>
    <w:rsid w:val="00196468"/>
    <w:rsid w:val="0019651B"/>
    <w:rsid w:val="0019732F"/>
    <w:rsid w:val="0019759F"/>
    <w:rsid w:val="00197B2D"/>
    <w:rsid w:val="001A001A"/>
    <w:rsid w:val="001A0510"/>
    <w:rsid w:val="001A0D0F"/>
    <w:rsid w:val="001A0F6F"/>
    <w:rsid w:val="001A11D9"/>
    <w:rsid w:val="001A1C2D"/>
    <w:rsid w:val="001A1FA4"/>
    <w:rsid w:val="001A22AB"/>
    <w:rsid w:val="001A3378"/>
    <w:rsid w:val="001A39CD"/>
    <w:rsid w:val="001A3CE3"/>
    <w:rsid w:val="001A4067"/>
    <w:rsid w:val="001A5878"/>
    <w:rsid w:val="001A5ED3"/>
    <w:rsid w:val="001A60C4"/>
    <w:rsid w:val="001A6E36"/>
    <w:rsid w:val="001A74F8"/>
    <w:rsid w:val="001A7F6B"/>
    <w:rsid w:val="001B009D"/>
    <w:rsid w:val="001B0AA8"/>
    <w:rsid w:val="001B1205"/>
    <w:rsid w:val="001B1AD1"/>
    <w:rsid w:val="001B2680"/>
    <w:rsid w:val="001B2CAB"/>
    <w:rsid w:val="001B2CC9"/>
    <w:rsid w:val="001B300E"/>
    <w:rsid w:val="001B37F0"/>
    <w:rsid w:val="001B443C"/>
    <w:rsid w:val="001B4BFB"/>
    <w:rsid w:val="001B4EFE"/>
    <w:rsid w:val="001B5283"/>
    <w:rsid w:val="001B534F"/>
    <w:rsid w:val="001B536D"/>
    <w:rsid w:val="001B5946"/>
    <w:rsid w:val="001B59E6"/>
    <w:rsid w:val="001B5AB6"/>
    <w:rsid w:val="001B6016"/>
    <w:rsid w:val="001B6165"/>
    <w:rsid w:val="001B63D2"/>
    <w:rsid w:val="001B6423"/>
    <w:rsid w:val="001B644C"/>
    <w:rsid w:val="001B6981"/>
    <w:rsid w:val="001B6D1D"/>
    <w:rsid w:val="001B7247"/>
    <w:rsid w:val="001B7CB4"/>
    <w:rsid w:val="001B7D25"/>
    <w:rsid w:val="001C009C"/>
    <w:rsid w:val="001C0C42"/>
    <w:rsid w:val="001C0CE1"/>
    <w:rsid w:val="001C0E8F"/>
    <w:rsid w:val="001C1030"/>
    <w:rsid w:val="001C21C1"/>
    <w:rsid w:val="001C2235"/>
    <w:rsid w:val="001C29EC"/>
    <w:rsid w:val="001C2E2D"/>
    <w:rsid w:val="001C33EA"/>
    <w:rsid w:val="001C370A"/>
    <w:rsid w:val="001C3BDF"/>
    <w:rsid w:val="001C3E5B"/>
    <w:rsid w:val="001C3F09"/>
    <w:rsid w:val="001C41E9"/>
    <w:rsid w:val="001C4D29"/>
    <w:rsid w:val="001C5837"/>
    <w:rsid w:val="001C5DB4"/>
    <w:rsid w:val="001C61CA"/>
    <w:rsid w:val="001C6479"/>
    <w:rsid w:val="001C69CD"/>
    <w:rsid w:val="001C7090"/>
    <w:rsid w:val="001C721C"/>
    <w:rsid w:val="001C74DF"/>
    <w:rsid w:val="001D032B"/>
    <w:rsid w:val="001D1592"/>
    <w:rsid w:val="001D160E"/>
    <w:rsid w:val="001D1E21"/>
    <w:rsid w:val="001D1E61"/>
    <w:rsid w:val="001D1F84"/>
    <w:rsid w:val="001D2082"/>
    <w:rsid w:val="001D22BA"/>
    <w:rsid w:val="001D30B9"/>
    <w:rsid w:val="001D39DD"/>
    <w:rsid w:val="001D4925"/>
    <w:rsid w:val="001D4FDC"/>
    <w:rsid w:val="001D5575"/>
    <w:rsid w:val="001D5BAF"/>
    <w:rsid w:val="001D6268"/>
    <w:rsid w:val="001D67EB"/>
    <w:rsid w:val="001D6E1C"/>
    <w:rsid w:val="001D7116"/>
    <w:rsid w:val="001D724B"/>
    <w:rsid w:val="001D7FC7"/>
    <w:rsid w:val="001E0D1B"/>
    <w:rsid w:val="001E0D30"/>
    <w:rsid w:val="001E19F1"/>
    <w:rsid w:val="001E1B88"/>
    <w:rsid w:val="001E24B7"/>
    <w:rsid w:val="001E27B1"/>
    <w:rsid w:val="001E30BC"/>
    <w:rsid w:val="001E3DFB"/>
    <w:rsid w:val="001E3F89"/>
    <w:rsid w:val="001E439D"/>
    <w:rsid w:val="001E4C57"/>
    <w:rsid w:val="001E4CC3"/>
    <w:rsid w:val="001E56A1"/>
    <w:rsid w:val="001E5CB2"/>
    <w:rsid w:val="001E5F0E"/>
    <w:rsid w:val="001E6128"/>
    <w:rsid w:val="001E640C"/>
    <w:rsid w:val="001E644B"/>
    <w:rsid w:val="001E699D"/>
    <w:rsid w:val="001E7655"/>
    <w:rsid w:val="001E7674"/>
    <w:rsid w:val="001E7F97"/>
    <w:rsid w:val="001F0411"/>
    <w:rsid w:val="001F117C"/>
    <w:rsid w:val="001F121E"/>
    <w:rsid w:val="001F1556"/>
    <w:rsid w:val="001F195A"/>
    <w:rsid w:val="001F1B2E"/>
    <w:rsid w:val="001F1B67"/>
    <w:rsid w:val="001F1BF5"/>
    <w:rsid w:val="001F1CA3"/>
    <w:rsid w:val="001F3105"/>
    <w:rsid w:val="001F3116"/>
    <w:rsid w:val="001F49CE"/>
    <w:rsid w:val="001F4BAA"/>
    <w:rsid w:val="001F510A"/>
    <w:rsid w:val="001F55B7"/>
    <w:rsid w:val="001F5807"/>
    <w:rsid w:val="001F59D4"/>
    <w:rsid w:val="001F5FDA"/>
    <w:rsid w:val="001F6129"/>
    <w:rsid w:val="001F61AC"/>
    <w:rsid w:val="001F6D89"/>
    <w:rsid w:val="001F6EEE"/>
    <w:rsid w:val="001F71A0"/>
    <w:rsid w:val="001F7620"/>
    <w:rsid w:val="001F7B21"/>
    <w:rsid w:val="001F7B3A"/>
    <w:rsid w:val="001F7CB2"/>
    <w:rsid w:val="00200646"/>
    <w:rsid w:val="002006D8"/>
    <w:rsid w:val="00200735"/>
    <w:rsid w:val="00200C53"/>
    <w:rsid w:val="002012BD"/>
    <w:rsid w:val="002013D3"/>
    <w:rsid w:val="00201D86"/>
    <w:rsid w:val="0020278C"/>
    <w:rsid w:val="00202A93"/>
    <w:rsid w:val="00203873"/>
    <w:rsid w:val="00203B82"/>
    <w:rsid w:val="00203CB9"/>
    <w:rsid w:val="00203EB8"/>
    <w:rsid w:val="002045C8"/>
    <w:rsid w:val="0020538E"/>
    <w:rsid w:val="00205780"/>
    <w:rsid w:val="00205B8E"/>
    <w:rsid w:val="00205FC3"/>
    <w:rsid w:val="00206111"/>
    <w:rsid w:val="002062F6"/>
    <w:rsid w:val="00206E4B"/>
    <w:rsid w:val="0020714A"/>
    <w:rsid w:val="0020744E"/>
    <w:rsid w:val="002074EE"/>
    <w:rsid w:val="0020775A"/>
    <w:rsid w:val="00207A63"/>
    <w:rsid w:val="00207CA4"/>
    <w:rsid w:val="00210244"/>
    <w:rsid w:val="0021061E"/>
    <w:rsid w:val="00210697"/>
    <w:rsid w:val="002107B5"/>
    <w:rsid w:val="00210CD8"/>
    <w:rsid w:val="00211825"/>
    <w:rsid w:val="00211A2A"/>
    <w:rsid w:val="00211B4B"/>
    <w:rsid w:val="002121C5"/>
    <w:rsid w:val="00212656"/>
    <w:rsid w:val="002126B2"/>
    <w:rsid w:val="00212704"/>
    <w:rsid w:val="0021289F"/>
    <w:rsid w:val="002132A6"/>
    <w:rsid w:val="002133C9"/>
    <w:rsid w:val="002133F7"/>
    <w:rsid w:val="002135BD"/>
    <w:rsid w:val="00213C0E"/>
    <w:rsid w:val="002142F4"/>
    <w:rsid w:val="00214783"/>
    <w:rsid w:val="00214D00"/>
    <w:rsid w:val="00215058"/>
    <w:rsid w:val="002154DB"/>
    <w:rsid w:val="00215C01"/>
    <w:rsid w:val="002172D4"/>
    <w:rsid w:val="00217495"/>
    <w:rsid w:val="00217E22"/>
    <w:rsid w:val="002200FC"/>
    <w:rsid w:val="00220B0A"/>
    <w:rsid w:val="00220FD8"/>
    <w:rsid w:val="002210C9"/>
    <w:rsid w:val="002215C1"/>
    <w:rsid w:val="00221AC2"/>
    <w:rsid w:val="0022316A"/>
    <w:rsid w:val="00223246"/>
    <w:rsid w:val="002233A1"/>
    <w:rsid w:val="00223952"/>
    <w:rsid w:val="00223B78"/>
    <w:rsid w:val="00224378"/>
    <w:rsid w:val="002243FC"/>
    <w:rsid w:val="00224AC0"/>
    <w:rsid w:val="00224B55"/>
    <w:rsid w:val="00224DFC"/>
    <w:rsid w:val="00224FB4"/>
    <w:rsid w:val="0022556E"/>
    <w:rsid w:val="00225CF2"/>
    <w:rsid w:val="00226062"/>
    <w:rsid w:val="002265AC"/>
    <w:rsid w:val="002266B1"/>
    <w:rsid w:val="00226E34"/>
    <w:rsid w:val="0022784D"/>
    <w:rsid w:val="002279D2"/>
    <w:rsid w:val="00230236"/>
    <w:rsid w:val="00230282"/>
    <w:rsid w:val="002305D6"/>
    <w:rsid w:val="002319C8"/>
    <w:rsid w:val="002319D8"/>
    <w:rsid w:val="00232079"/>
    <w:rsid w:val="002321D9"/>
    <w:rsid w:val="00232E6F"/>
    <w:rsid w:val="002333FA"/>
    <w:rsid w:val="00233974"/>
    <w:rsid w:val="0023466F"/>
    <w:rsid w:val="0023476A"/>
    <w:rsid w:val="002348A8"/>
    <w:rsid w:val="00234B43"/>
    <w:rsid w:val="00235809"/>
    <w:rsid w:val="00235B44"/>
    <w:rsid w:val="0023606D"/>
    <w:rsid w:val="00236086"/>
    <w:rsid w:val="002360C2"/>
    <w:rsid w:val="00236662"/>
    <w:rsid w:val="00236764"/>
    <w:rsid w:val="00237128"/>
    <w:rsid w:val="002371F8"/>
    <w:rsid w:val="0023749F"/>
    <w:rsid w:val="00237765"/>
    <w:rsid w:val="00237946"/>
    <w:rsid w:val="00237973"/>
    <w:rsid w:val="00237ED4"/>
    <w:rsid w:val="00237F37"/>
    <w:rsid w:val="00237FE8"/>
    <w:rsid w:val="0024010A"/>
    <w:rsid w:val="0024038E"/>
    <w:rsid w:val="00242CE9"/>
    <w:rsid w:val="002436C1"/>
    <w:rsid w:val="00243C47"/>
    <w:rsid w:val="0024436D"/>
    <w:rsid w:val="0024504C"/>
    <w:rsid w:val="0024519A"/>
    <w:rsid w:val="0024524A"/>
    <w:rsid w:val="002465FE"/>
    <w:rsid w:val="00246F90"/>
    <w:rsid w:val="00247E4C"/>
    <w:rsid w:val="002505AF"/>
    <w:rsid w:val="00250853"/>
    <w:rsid w:val="00250899"/>
    <w:rsid w:val="00250A9D"/>
    <w:rsid w:val="00250B22"/>
    <w:rsid w:val="00251109"/>
    <w:rsid w:val="00251B9D"/>
    <w:rsid w:val="00252188"/>
    <w:rsid w:val="0025263C"/>
    <w:rsid w:val="002528F7"/>
    <w:rsid w:val="00252969"/>
    <w:rsid w:val="0025310F"/>
    <w:rsid w:val="00253320"/>
    <w:rsid w:val="00253A7E"/>
    <w:rsid w:val="00253DC7"/>
    <w:rsid w:val="00255A61"/>
    <w:rsid w:val="00255CAB"/>
    <w:rsid w:val="00256149"/>
    <w:rsid w:val="00257164"/>
    <w:rsid w:val="0026008B"/>
    <w:rsid w:val="00260216"/>
    <w:rsid w:val="002611A5"/>
    <w:rsid w:val="00261640"/>
    <w:rsid w:val="00263A3D"/>
    <w:rsid w:val="00263B8F"/>
    <w:rsid w:val="00264016"/>
    <w:rsid w:val="00264108"/>
    <w:rsid w:val="002645BB"/>
    <w:rsid w:val="00264710"/>
    <w:rsid w:val="0026563B"/>
    <w:rsid w:val="0026598F"/>
    <w:rsid w:val="00265A3F"/>
    <w:rsid w:val="00265EEB"/>
    <w:rsid w:val="0026670A"/>
    <w:rsid w:val="00266806"/>
    <w:rsid w:val="00266E8C"/>
    <w:rsid w:val="00267517"/>
    <w:rsid w:val="0026759C"/>
    <w:rsid w:val="00267DD4"/>
    <w:rsid w:val="002702F4"/>
    <w:rsid w:val="0027039B"/>
    <w:rsid w:val="0027040F"/>
    <w:rsid w:val="00270457"/>
    <w:rsid w:val="002704F3"/>
    <w:rsid w:val="00270835"/>
    <w:rsid w:val="002713C7"/>
    <w:rsid w:val="002715B3"/>
    <w:rsid w:val="002717CB"/>
    <w:rsid w:val="0027184F"/>
    <w:rsid w:val="002720D2"/>
    <w:rsid w:val="00272115"/>
    <w:rsid w:val="00272532"/>
    <w:rsid w:val="00272640"/>
    <w:rsid w:val="002727D2"/>
    <w:rsid w:val="00273CE1"/>
    <w:rsid w:val="00273CE2"/>
    <w:rsid w:val="00274918"/>
    <w:rsid w:val="00274DC3"/>
    <w:rsid w:val="00274FFF"/>
    <w:rsid w:val="00275054"/>
    <w:rsid w:val="00275768"/>
    <w:rsid w:val="00275935"/>
    <w:rsid w:val="00275DE8"/>
    <w:rsid w:val="002764FC"/>
    <w:rsid w:val="002767D8"/>
    <w:rsid w:val="0027799F"/>
    <w:rsid w:val="00277E5A"/>
    <w:rsid w:val="00281839"/>
    <w:rsid w:val="002819A9"/>
    <w:rsid w:val="00282116"/>
    <w:rsid w:val="002822A0"/>
    <w:rsid w:val="002822F9"/>
    <w:rsid w:val="002824D6"/>
    <w:rsid w:val="002837C5"/>
    <w:rsid w:val="00283844"/>
    <w:rsid w:val="00283DE6"/>
    <w:rsid w:val="0028463E"/>
    <w:rsid w:val="002849F9"/>
    <w:rsid w:val="00285BB0"/>
    <w:rsid w:val="0028626F"/>
    <w:rsid w:val="0028658B"/>
    <w:rsid w:val="00286617"/>
    <w:rsid w:val="00286763"/>
    <w:rsid w:val="00286E77"/>
    <w:rsid w:val="0028702E"/>
    <w:rsid w:val="002878F1"/>
    <w:rsid w:val="00287A77"/>
    <w:rsid w:val="0029030B"/>
    <w:rsid w:val="00290D1E"/>
    <w:rsid w:val="00290DE3"/>
    <w:rsid w:val="0029109A"/>
    <w:rsid w:val="00291631"/>
    <w:rsid w:val="00291636"/>
    <w:rsid w:val="00291AA3"/>
    <w:rsid w:val="00291EB0"/>
    <w:rsid w:val="00291F3A"/>
    <w:rsid w:val="002922BC"/>
    <w:rsid w:val="002923D1"/>
    <w:rsid w:val="00292D25"/>
    <w:rsid w:val="00292DA2"/>
    <w:rsid w:val="00293198"/>
    <w:rsid w:val="00293ED1"/>
    <w:rsid w:val="00293FEC"/>
    <w:rsid w:val="002946B1"/>
    <w:rsid w:val="002947C1"/>
    <w:rsid w:val="00294B77"/>
    <w:rsid w:val="00294C7B"/>
    <w:rsid w:val="00294FFB"/>
    <w:rsid w:val="002953DB"/>
    <w:rsid w:val="0029592A"/>
    <w:rsid w:val="00295E24"/>
    <w:rsid w:val="00296396"/>
    <w:rsid w:val="0029672A"/>
    <w:rsid w:val="00296780"/>
    <w:rsid w:val="00296DCA"/>
    <w:rsid w:val="00297BD6"/>
    <w:rsid w:val="00297D39"/>
    <w:rsid w:val="002A00D1"/>
    <w:rsid w:val="002A01B8"/>
    <w:rsid w:val="002A0388"/>
    <w:rsid w:val="002A0A13"/>
    <w:rsid w:val="002A0CD0"/>
    <w:rsid w:val="002A0DD4"/>
    <w:rsid w:val="002A12E9"/>
    <w:rsid w:val="002A1D40"/>
    <w:rsid w:val="002A2726"/>
    <w:rsid w:val="002A4075"/>
    <w:rsid w:val="002A4313"/>
    <w:rsid w:val="002A4685"/>
    <w:rsid w:val="002A4853"/>
    <w:rsid w:val="002A4A13"/>
    <w:rsid w:val="002A50F3"/>
    <w:rsid w:val="002A56E2"/>
    <w:rsid w:val="002A578B"/>
    <w:rsid w:val="002A58B1"/>
    <w:rsid w:val="002A5BFA"/>
    <w:rsid w:val="002A62BB"/>
    <w:rsid w:val="002A655F"/>
    <w:rsid w:val="002A7047"/>
    <w:rsid w:val="002A7B17"/>
    <w:rsid w:val="002A7FCA"/>
    <w:rsid w:val="002B01C3"/>
    <w:rsid w:val="002B0322"/>
    <w:rsid w:val="002B0556"/>
    <w:rsid w:val="002B06A6"/>
    <w:rsid w:val="002B07E8"/>
    <w:rsid w:val="002B115A"/>
    <w:rsid w:val="002B11CE"/>
    <w:rsid w:val="002B16F5"/>
    <w:rsid w:val="002B2097"/>
    <w:rsid w:val="002B20E6"/>
    <w:rsid w:val="002B246E"/>
    <w:rsid w:val="002B294E"/>
    <w:rsid w:val="002B3307"/>
    <w:rsid w:val="002B33A1"/>
    <w:rsid w:val="002B45F1"/>
    <w:rsid w:val="002B48F9"/>
    <w:rsid w:val="002B4AA1"/>
    <w:rsid w:val="002B4F1F"/>
    <w:rsid w:val="002B5BF4"/>
    <w:rsid w:val="002B64EC"/>
    <w:rsid w:val="002B65BD"/>
    <w:rsid w:val="002B6A44"/>
    <w:rsid w:val="002B6C31"/>
    <w:rsid w:val="002B6CA7"/>
    <w:rsid w:val="002B7869"/>
    <w:rsid w:val="002B7EA2"/>
    <w:rsid w:val="002B7FEF"/>
    <w:rsid w:val="002C1557"/>
    <w:rsid w:val="002C1EF1"/>
    <w:rsid w:val="002C2115"/>
    <w:rsid w:val="002C29C4"/>
    <w:rsid w:val="002C2CC4"/>
    <w:rsid w:val="002C372B"/>
    <w:rsid w:val="002C37CF"/>
    <w:rsid w:val="002C3F98"/>
    <w:rsid w:val="002C4693"/>
    <w:rsid w:val="002C4813"/>
    <w:rsid w:val="002C4B53"/>
    <w:rsid w:val="002C4D51"/>
    <w:rsid w:val="002C4E7A"/>
    <w:rsid w:val="002C5010"/>
    <w:rsid w:val="002C5084"/>
    <w:rsid w:val="002C558C"/>
    <w:rsid w:val="002C5F65"/>
    <w:rsid w:val="002C62B6"/>
    <w:rsid w:val="002C648B"/>
    <w:rsid w:val="002C66A3"/>
    <w:rsid w:val="002C76E9"/>
    <w:rsid w:val="002C78DD"/>
    <w:rsid w:val="002C7931"/>
    <w:rsid w:val="002D00C3"/>
    <w:rsid w:val="002D0123"/>
    <w:rsid w:val="002D022F"/>
    <w:rsid w:val="002D02D8"/>
    <w:rsid w:val="002D044D"/>
    <w:rsid w:val="002D0CA2"/>
    <w:rsid w:val="002D0D95"/>
    <w:rsid w:val="002D17EA"/>
    <w:rsid w:val="002D19E7"/>
    <w:rsid w:val="002D1F71"/>
    <w:rsid w:val="002D206F"/>
    <w:rsid w:val="002D2212"/>
    <w:rsid w:val="002D2D5B"/>
    <w:rsid w:val="002D3C77"/>
    <w:rsid w:val="002D42A4"/>
    <w:rsid w:val="002D469A"/>
    <w:rsid w:val="002D476D"/>
    <w:rsid w:val="002D4D3F"/>
    <w:rsid w:val="002D4F1D"/>
    <w:rsid w:val="002D52A3"/>
    <w:rsid w:val="002D53F6"/>
    <w:rsid w:val="002D56B1"/>
    <w:rsid w:val="002D5A21"/>
    <w:rsid w:val="002D5DB0"/>
    <w:rsid w:val="002D5DF3"/>
    <w:rsid w:val="002D5EA7"/>
    <w:rsid w:val="002D6023"/>
    <w:rsid w:val="002D7589"/>
    <w:rsid w:val="002D78DE"/>
    <w:rsid w:val="002D79D4"/>
    <w:rsid w:val="002D7A94"/>
    <w:rsid w:val="002D7F03"/>
    <w:rsid w:val="002E0162"/>
    <w:rsid w:val="002E045A"/>
    <w:rsid w:val="002E0D40"/>
    <w:rsid w:val="002E13C9"/>
    <w:rsid w:val="002E1BED"/>
    <w:rsid w:val="002E1C08"/>
    <w:rsid w:val="002E1D88"/>
    <w:rsid w:val="002E1F90"/>
    <w:rsid w:val="002E26FC"/>
    <w:rsid w:val="002E27D2"/>
    <w:rsid w:val="002E2F27"/>
    <w:rsid w:val="002E3292"/>
    <w:rsid w:val="002E34AE"/>
    <w:rsid w:val="002E4822"/>
    <w:rsid w:val="002E4C20"/>
    <w:rsid w:val="002E4F9E"/>
    <w:rsid w:val="002E52EE"/>
    <w:rsid w:val="002E69A3"/>
    <w:rsid w:val="002E70BD"/>
    <w:rsid w:val="002E7FCF"/>
    <w:rsid w:val="002F0202"/>
    <w:rsid w:val="002F097B"/>
    <w:rsid w:val="002F20D9"/>
    <w:rsid w:val="002F2191"/>
    <w:rsid w:val="002F2263"/>
    <w:rsid w:val="002F26F6"/>
    <w:rsid w:val="002F2E70"/>
    <w:rsid w:val="002F2F08"/>
    <w:rsid w:val="002F306B"/>
    <w:rsid w:val="002F41AD"/>
    <w:rsid w:val="002F4EF8"/>
    <w:rsid w:val="002F5C76"/>
    <w:rsid w:val="002F5FE3"/>
    <w:rsid w:val="002F696C"/>
    <w:rsid w:val="002F6DC1"/>
    <w:rsid w:val="002F73F4"/>
    <w:rsid w:val="002F7D1A"/>
    <w:rsid w:val="00300272"/>
    <w:rsid w:val="003004ED"/>
    <w:rsid w:val="003005CC"/>
    <w:rsid w:val="0030073A"/>
    <w:rsid w:val="003008DF"/>
    <w:rsid w:val="00300CDD"/>
    <w:rsid w:val="00300FD5"/>
    <w:rsid w:val="00301068"/>
    <w:rsid w:val="003018C4"/>
    <w:rsid w:val="0030221D"/>
    <w:rsid w:val="00302226"/>
    <w:rsid w:val="003023AD"/>
    <w:rsid w:val="0030279E"/>
    <w:rsid w:val="003027E3"/>
    <w:rsid w:val="003028A4"/>
    <w:rsid w:val="00303CFB"/>
    <w:rsid w:val="00303E52"/>
    <w:rsid w:val="00303F20"/>
    <w:rsid w:val="00303FF5"/>
    <w:rsid w:val="00304BE9"/>
    <w:rsid w:val="00304EE4"/>
    <w:rsid w:val="00304F51"/>
    <w:rsid w:val="00305B6B"/>
    <w:rsid w:val="00306D3D"/>
    <w:rsid w:val="00306D83"/>
    <w:rsid w:val="00310C54"/>
    <w:rsid w:val="00310E38"/>
    <w:rsid w:val="00311081"/>
    <w:rsid w:val="003110BC"/>
    <w:rsid w:val="0031126B"/>
    <w:rsid w:val="00311D49"/>
    <w:rsid w:val="003125D2"/>
    <w:rsid w:val="00312771"/>
    <w:rsid w:val="003128EB"/>
    <w:rsid w:val="00312948"/>
    <w:rsid w:val="00312D86"/>
    <w:rsid w:val="00313075"/>
    <w:rsid w:val="003135DF"/>
    <w:rsid w:val="00313FE1"/>
    <w:rsid w:val="003143D9"/>
    <w:rsid w:val="00314736"/>
    <w:rsid w:val="0031499C"/>
    <w:rsid w:val="00314F0B"/>
    <w:rsid w:val="00315EA5"/>
    <w:rsid w:val="00315F68"/>
    <w:rsid w:val="0031669D"/>
    <w:rsid w:val="00317AD6"/>
    <w:rsid w:val="00317C44"/>
    <w:rsid w:val="00317E23"/>
    <w:rsid w:val="0032047E"/>
    <w:rsid w:val="003208B0"/>
    <w:rsid w:val="003209A0"/>
    <w:rsid w:val="00320B60"/>
    <w:rsid w:val="003214A1"/>
    <w:rsid w:val="00321CBB"/>
    <w:rsid w:val="00322218"/>
    <w:rsid w:val="003227E5"/>
    <w:rsid w:val="00322AE0"/>
    <w:rsid w:val="00322B5E"/>
    <w:rsid w:val="00322E11"/>
    <w:rsid w:val="00323DD6"/>
    <w:rsid w:val="00323F92"/>
    <w:rsid w:val="00324361"/>
    <w:rsid w:val="003245CD"/>
    <w:rsid w:val="003257C0"/>
    <w:rsid w:val="00325A00"/>
    <w:rsid w:val="00325C39"/>
    <w:rsid w:val="0032652D"/>
    <w:rsid w:val="00326A78"/>
    <w:rsid w:val="00326B7F"/>
    <w:rsid w:val="0032768C"/>
    <w:rsid w:val="003277FE"/>
    <w:rsid w:val="00327CCC"/>
    <w:rsid w:val="0033023F"/>
    <w:rsid w:val="00330302"/>
    <w:rsid w:val="00330AFB"/>
    <w:rsid w:val="0033118D"/>
    <w:rsid w:val="00331621"/>
    <w:rsid w:val="00331A68"/>
    <w:rsid w:val="00331CAC"/>
    <w:rsid w:val="003324D7"/>
    <w:rsid w:val="00332639"/>
    <w:rsid w:val="003326FA"/>
    <w:rsid w:val="00332EC3"/>
    <w:rsid w:val="00333724"/>
    <w:rsid w:val="00333ADB"/>
    <w:rsid w:val="00333CD7"/>
    <w:rsid w:val="003342FE"/>
    <w:rsid w:val="00334653"/>
    <w:rsid w:val="00334A6F"/>
    <w:rsid w:val="0033527A"/>
    <w:rsid w:val="00335546"/>
    <w:rsid w:val="00335641"/>
    <w:rsid w:val="00335927"/>
    <w:rsid w:val="00335C95"/>
    <w:rsid w:val="003364AA"/>
    <w:rsid w:val="003365A6"/>
    <w:rsid w:val="0033672A"/>
    <w:rsid w:val="00337173"/>
    <w:rsid w:val="00337C31"/>
    <w:rsid w:val="0034018B"/>
    <w:rsid w:val="003406F7"/>
    <w:rsid w:val="003407D1"/>
    <w:rsid w:val="00340E60"/>
    <w:rsid w:val="00340EE2"/>
    <w:rsid w:val="00340EF1"/>
    <w:rsid w:val="003412A2"/>
    <w:rsid w:val="00341D74"/>
    <w:rsid w:val="00341DD3"/>
    <w:rsid w:val="00341F3A"/>
    <w:rsid w:val="003421CD"/>
    <w:rsid w:val="003421FA"/>
    <w:rsid w:val="003429BE"/>
    <w:rsid w:val="00342C3F"/>
    <w:rsid w:val="00342CF3"/>
    <w:rsid w:val="003430F6"/>
    <w:rsid w:val="00343182"/>
    <w:rsid w:val="00343514"/>
    <w:rsid w:val="00343E61"/>
    <w:rsid w:val="003444E3"/>
    <w:rsid w:val="00344D0B"/>
    <w:rsid w:val="00345381"/>
    <w:rsid w:val="003454B1"/>
    <w:rsid w:val="00345E3E"/>
    <w:rsid w:val="003463AE"/>
    <w:rsid w:val="0034659F"/>
    <w:rsid w:val="003472E4"/>
    <w:rsid w:val="003475C2"/>
    <w:rsid w:val="00347DFD"/>
    <w:rsid w:val="0035127C"/>
    <w:rsid w:val="00351619"/>
    <w:rsid w:val="00351AA9"/>
    <w:rsid w:val="00351B21"/>
    <w:rsid w:val="00351B72"/>
    <w:rsid w:val="00351BAC"/>
    <w:rsid w:val="003524B5"/>
    <w:rsid w:val="003526AC"/>
    <w:rsid w:val="003527DE"/>
    <w:rsid w:val="00352B44"/>
    <w:rsid w:val="003533FB"/>
    <w:rsid w:val="00353515"/>
    <w:rsid w:val="00353B7A"/>
    <w:rsid w:val="00354CCA"/>
    <w:rsid w:val="00354F84"/>
    <w:rsid w:val="0035503A"/>
    <w:rsid w:val="003550EA"/>
    <w:rsid w:val="00355710"/>
    <w:rsid w:val="00355A3C"/>
    <w:rsid w:val="003563C0"/>
    <w:rsid w:val="00356489"/>
    <w:rsid w:val="00356D50"/>
    <w:rsid w:val="0035771D"/>
    <w:rsid w:val="0035772A"/>
    <w:rsid w:val="00357902"/>
    <w:rsid w:val="00357904"/>
    <w:rsid w:val="00357CB2"/>
    <w:rsid w:val="00360187"/>
    <w:rsid w:val="00360414"/>
    <w:rsid w:val="00360870"/>
    <w:rsid w:val="00360880"/>
    <w:rsid w:val="003608BB"/>
    <w:rsid w:val="003615D2"/>
    <w:rsid w:val="00361A54"/>
    <w:rsid w:val="00362894"/>
    <w:rsid w:val="003628CE"/>
    <w:rsid w:val="003629A3"/>
    <w:rsid w:val="00362FFC"/>
    <w:rsid w:val="003636D2"/>
    <w:rsid w:val="00363E7F"/>
    <w:rsid w:val="00364E00"/>
    <w:rsid w:val="0036529D"/>
    <w:rsid w:val="003654CB"/>
    <w:rsid w:val="00365A30"/>
    <w:rsid w:val="003667F9"/>
    <w:rsid w:val="0036750F"/>
    <w:rsid w:val="0036752F"/>
    <w:rsid w:val="00367B55"/>
    <w:rsid w:val="00367D52"/>
    <w:rsid w:val="00370426"/>
    <w:rsid w:val="00370DE7"/>
    <w:rsid w:val="00370E1F"/>
    <w:rsid w:val="00371256"/>
    <w:rsid w:val="0037134D"/>
    <w:rsid w:val="00371866"/>
    <w:rsid w:val="00371BDE"/>
    <w:rsid w:val="00371C75"/>
    <w:rsid w:val="003722BA"/>
    <w:rsid w:val="003728F9"/>
    <w:rsid w:val="003729D3"/>
    <w:rsid w:val="00372E7A"/>
    <w:rsid w:val="00373443"/>
    <w:rsid w:val="00373EC8"/>
    <w:rsid w:val="00374153"/>
    <w:rsid w:val="00374F21"/>
    <w:rsid w:val="003750EF"/>
    <w:rsid w:val="003753AF"/>
    <w:rsid w:val="00375822"/>
    <w:rsid w:val="00375836"/>
    <w:rsid w:val="003759A3"/>
    <w:rsid w:val="00375CB6"/>
    <w:rsid w:val="00376009"/>
    <w:rsid w:val="00376B59"/>
    <w:rsid w:val="0037739E"/>
    <w:rsid w:val="0037746B"/>
    <w:rsid w:val="0037783A"/>
    <w:rsid w:val="00377B4C"/>
    <w:rsid w:val="00377D32"/>
    <w:rsid w:val="00377F6F"/>
    <w:rsid w:val="003803AA"/>
    <w:rsid w:val="0038087B"/>
    <w:rsid w:val="00380B61"/>
    <w:rsid w:val="00380C65"/>
    <w:rsid w:val="003810B2"/>
    <w:rsid w:val="003826E5"/>
    <w:rsid w:val="00382E1E"/>
    <w:rsid w:val="0038360A"/>
    <w:rsid w:val="00384191"/>
    <w:rsid w:val="00384422"/>
    <w:rsid w:val="003849E1"/>
    <w:rsid w:val="00384CB2"/>
    <w:rsid w:val="00384E60"/>
    <w:rsid w:val="00384F22"/>
    <w:rsid w:val="003852A1"/>
    <w:rsid w:val="00385576"/>
    <w:rsid w:val="00385EEB"/>
    <w:rsid w:val="00385F29"/>
    <w:rsid w:val="0038609C"/>
    <w:rsid w:val="00386505"/>
    <w:rsid w:val="003865D8"/>
    <w:rsid w:val="00386854"/>
    <w:rsid w:val="0038691A"/>
    <w:rsid w:val="00386C9B"/>
    <w:rsid w:val="00386E5C"/>
    <w:rsid w:val="00386F52"/>
    <w:rsid w:val="00387415"/>
    <w:rsid w:val="003878A8"/>
    <w:rsid w:val="003879B9"/>
    <w:rsid w:val="00387B22"/>
    <w:rsid w:val="0039024A"/>
    <w:rsid w:val="00390309"/>
    <w:rsid w:val="003913D2"/>
    <w:rsid w:val="00391CC5"/>
    <w:rsid w:val="00391DC2"/>
    <w:rsid w:val="003926DF"/>
    <w:rsid w:val="00392936"/>
    <w:rsid w:val="00392D44"/>
    <w:rsid w:val="0039325D"/>
    <w:rsid w:val="003934C1"/>
    <w:rsid w:val="0039385B"/>
    <w:rsid w:val="003949F5"/>
    <w:rsid w:val="003951E4"/>
    <w:rsid w:val="003952AB"/>
    <w:rsid w:val="0039539D"/>
    <w:rsid w:val="00395A07"/>
    <w:rsid w:val="00395AB3"/>
    <w:rsid w:val="00395FDD"/>
    <w:rsid w:val="00396A72"/>
    <w:rsid w:val="00397B4E"/>
    <w:rsid w:val="00397C7D"/>
    <w:rsid w:val="00397EDC"/>
    <w:rsid w:val="003A0107"/>
    <w:rsid w:val="003A045E"/>
    <w:rsid w:val="003A090D"/>
    <w:rsid w:val="003A0A6E"/>
    <w:rsid w:val="003A0BE7"/>
    <w:rsid w:val="003A0F8B"/>
    <w:rsid w:val="003A11DA"/>
    <w:rsid w:val="003A1EC5"/>
    <w:rsid w:val="003A25F6"/>
    <w:rsid w:val="003A2993"/>
    <w:rsid w:val="003A2A1D"/>
    <w:rsid w:val="003A38E1"/>
    <w:rsid w:val="003A3D24"/>
    <w:rsid w:val="003A3EC9"/>
    <w:rsid w:val="003A4467"/>
    <w:rsid w:val="003A44DE"/>
    <w:rsid w:val="003A4E89"/>
    <w:rsid w:val="003A5352"/>
    <w:rsid w:val="003A558C"/>
    <w:rsid w:val="003A5CF6"/>
    <w:rsid w:val="003A6134"/>
    <w:rsid w:val="003A61C2"/>
    <w:rsid w:val="003A62F5"/>
    <w:rsid w:val="003A6721"/>
    <w:rsid w:val="003A67D2"/>
    <w:rsid w:val="003A7693"/>
    <w:rsid w:val="003B09A3"/>
    <w:rsid w:val="003B0E68"/>
    <w:rsid w:val="003B0F0C"/>
    <w:rsid w:val="003B16E1"/>
    <w:rsid w:val="003B1A75"/>
    <w:rsid w:val="003B2289"/>
    <w:rsid w:val="003B2400"/>
    <w:rsid w:val="003B2B8F"/>
    <w:rsid w:val="003B2D36"/>
    <w:rsid w:val="003B2DEA"/>
    <w:rsid w:val="003B355C"/>
    <w:rsid w:val="003B3D3A"/>
    <w:rsid w:val="003B3E90"/>
    <w:rsid w:val="003B4C9A"/>
    <w:rsid w:val="003B4CF2"/>
    <w:rsid w:val="003B5843"/>
    <w:rsid w:val="003B5AFE"/>
    <w:rsid w:val="003B653A"/>
    <w:rsid w:val="003B681E"/>
    <w:rsid w:val="003B79B7"/>
    <w:rsid w:val="003B7A72"/>
    <w:rsid w:val="003B7F7B"/>
    <w:rsid w:val="003C0487"/>
    <w:rsid w:val="003C08B0"/>
    <w:rsid w:val="003C0B8E"/>
    <w:rsid w:val="003C0C57"/>
    <w:rsid w:val="003C16EB"/>
    <w:rsid w:val="003C175D"/>
    <w:rsid w:val="003C1EAC"/>
    <w:rsid w:val="003C2427"/>
    <w:rsid w:val="003C2DC3"/>
    <w:rsid w:val="003C36E9"/>
    <w:rsid w:val="003C3BCC"/>
    <w:rsid w:val="003C3FB7"/>
    <w:rsid w:val="003C41E1"/>
    <w:rsid w:val="003C45AA"/>
    <w:rsid w:val="003C49B9"/>
    <w:rsid w:val="003C4B9E"/>
    <w:rsid w:val="003C521F"/>
    <w:rsid w:val="003C541D"/>
    <w:rsid w:val="003C5861"/>
    <w:rsid w:val="003C5908"/>
    <w:rsid w:val="003C5CB6"/>
    <w:rsid w:val="003C5CC5"/>
    <w:rsid w:val="003C5F09"/>
    <w:rsid w:val="003C63DE"/>
    <w:rsid w:val="003C697F"/>
    <w:rsid w:val="003C726B"/>
    <w:rsid w:val="003C72E0"/>
    <w:rsid w:val="003C7343"/>
    <w:rsid w:val="003C7AF2"/>
    <w:rsid w:val="003C7DAF"/>
    <w:rsid w:val="003D0250"/>
    <w:rsid w:val="003D03F9"/>
    <w:rsid w:val="003D0749"/>
    <w:rsid w:val="003D074D"/>
    <w:rsid w:val="003D0AD5"/>
    <w:rsid w:val="003D0FD8"/>
    <w:rsid w:val="003D14A6"/>
    <w:rsid w:val="003D229C"/>
    <w:rsid w:val="003D2D14"/>
    <w:rsid w:val="003D2E3E"/>
    <w:rsid w:val="003D399D"/>
    <w:rsid w:val="003D3D34"/>
    <w:rsid w:val="003D4F35"/>
    <w:rsid w:val="003D56A4"/>
    <w:rsid w:val="003D59FB"/>
    <w:rsid w:val="003D5DAE"/>
    <w:rsid w:val="003D602E"/>
    <w:rsid w:val="003D6281"/>
    <w:rsid w:val="003D6F60"/>
    <w:rsid w:val="003D71BC"/>
    <w:rsid w:val="003D749C"/>
    <w:rsid w:val="003D7724"/>
    <w:rsid w:val="003D784E"/>
    <w:rsid w:val="003D7DF9"/>
    <w:rsid w:val="003D7E96"/>
    <w:rsid w:val="003E0CCE"/>
    <w:rsid w:val="003E113E"/>
    <w:rsid w:val="003E1330"/>
    <w:rsid w:val="003E1472"/>
    <w:rsid w:val="003E214B"/>
    <w:rsid w:val="003E3168"/>
    <w:rsid w:val="003E39E2"/>
    <w:rsid w:val="003E4E4E"/>
    <w:rsid w:val="003E4EE3"/>
    <w:rsid w:val="003E5910"/>
    <w:rsid w:val="003E594D"/>
    <w:rsid w:val="003E5A50"/>
    <w:rsid w:val="003E64D3"/>
    <w:rsid w:val="003E67F8"/>
    <w:rsid w:val="003E6F57"/>
    <w:rsid w:val="003E7B93"/>
    <w:rsid w:val="003E7CC6"/>
    <w:rsid w:val="003F04D2"/>
    <w:rsid w:val="003F0C8F"/>
    <w:rsid w:val="003F1291"/>
    <w:rsid w:val="003F1524"/>
    <w:rsid w:val="003F1648"/>
    <w:rsid w:val="003F170B"/>
    <w:rsid w:val="003F1AD3"/>
    <w:rsid w:val="003F2280"/>
    <w:rsid w:val="003F287C"/>
    <w:rsid w:val="003F3008"/>
    <w:rsid w:val="003F3060"/>
    <w:rsid w:val="003F3122"/>
    <w:rsid w:val="003F3327"/>
    <w:rsid w:val="003F3FA0"/>
    <w:rsid w:val="003F438C"/>
    <w:rsid w:val="003F450F"/>
    <w:rsid w:val="003F484E"/>
    <w:rsid w:val="003F521C"/>
    <w:rsid w:val="003F5943"/>
    <w:rsid w:val="003F5EFD"/>
    <w:rsid w:val="003F72D6"/>
    <w:rsid w:val="003F74F4"/>
    <w:rsid w:val="0040050D"/>
    <w:rsid w:val="0040059A"/>
    <w:rsid w:val="004008DE"/>
    <w:rsid w:val="0040129F"/>
    <w:rsid w:val="00402065"/>
    <w:rsid w:val="00402A3B"/>
    <w:rsid w:val="0040445A"/>
    <w:rsid w:val="00404A2A"/>
    <w:rsid w:val="0040585B"/>
    <w:rsid w:val="00405C33"/>
    <w:rsid w:val="00405CBB"/>
    <w:rsid w:val="00405CFC"/>
    <w:rsid w:val="00405F3B"/>
    <w:rsid w:val="004065D7"/>
    <w:rsid w:val="00406F69"/>
    <w:rsid w:val="004070C4"/>
    <w:rsid w:val="00407AF4"/>
    <w:rsid w:val="00407BC5"/>
    <w:rsid w:val="00410A60"/>
    <w:rsid w:val="00410FA7"/>
    <w:rsid w:val="00412089"/>
    <w:rsid w:val="00412251"/>
    <w:rsid w:val="00413194"/>
    <w:rsid w:val="004136C6"/>
    <w:rsid w:val="004139F0"/>
    <w:rsid w:val="00413EB5"/>
    <w:rsid w:val="00414630"/>
    <w:rsid w:val="00414680"/>
    <w:rsid w:val="00414810"/>
    <w:rsid w:val="00415A34"/>
    <w:rsid w:val="00416050"/>
    <w:rsid w:val="00416306"/>
    <w:rsid w:val="004167FF"/>
    <w:rsid w:val="004169B7"/>
    <w:rsid w:val="00416B87"/>
    <w:rsid w:val="00416D22"/>
    <w:rsid w:val="004209E3"/>
    <w:rsid w:val="00421239"/>
    <w:rsid w:val="00421245"/>
    <w:rsid w:val="00421AA9"/>
    <w:rsid w:val="00422054"/>
    <w:rsid w:val="0042227A"/>
    <w:rsid w:val="004227CE"/>
    <w:rsid w:val="00422D86"/>
    <w:rsid w:val="00422E10"/>
    <w:rsid w:val="00423445"/>
    <w:rsid w:val="0042367D"/>
    <w:rsid w:val="004239E1"/>
    <w:rsid w:val="00423E8B"/>
    <w:rsid w:val="004248D8"/>
    <w:rsid w:val="00424AA5"/>
    <w:rsid w:val="00424D65"/>
    <w:rsid w:val="00424DFE"/>
    <w:rsid w:val="004251D8"/>
    <w:rsid w:val="0042563A"/>
    <w:rsid w:val="00425910"/>
    <w:rsid w:val="00425D33"/>
    <w:rsid w:val="0042602D"/>
    <w:rsid w:val="0042710E"/>
    <w:rsid w:val="004274A0"/>
    <w:rsid w:val="004276AA"/>
    <w:rsid w:val="00427E36"/>
    <w:rsid w:val="004303C9"/>
    <w:rsid w:val="00430851"/>
    <w:rsid w:val="004308AE"/>
    <w:rsid w:val="00430977"/>
    <w:rsid w:val="00430E31"/>
    <w:rsid w:val="004318B8"/>
    <w:rsid w:val="00432223"/>
    <w:rsid w:val="00432B5B"/>
    <w:rsid w:val="00432BFC"/>
    <w:rsid w:val="00432C05"/>
    <w:rsid w:val="00432CD4"/>
    <w:rsid w:val="00432D1D"/>
    <w:rsid w:val="00432E5F"/>
    <w:rsid w:val="00433442"/>
    <w:rsid w:val="0043355D"/>
    <w:rsid w:val="004339B2"/>
    <w:rsid w:val="00434022"/>
    <w:rsid w:val="004340CF"/>
    <w:rsid w:val="0043463C"/>
    <w:rsid w:val="00434A7A"/>
    <w:rsid w:val="004350BE"/>
    <w:rsid w:val="004351EA"/>
    <w:rsid w:val="004354C0"/>
    <w:rsid w:val="004358B2"/>
    <w:rsid w:val="00435F34"/>
    <w:rsid w:val="00436AF0"/>
    <w:rsid w:val="00436CE1"/>
    <w:rsid w:val="00436D05"/>
    <w:rsid w:val="004375E2"/>
    <w:rsid w:val="00441419"/>
    <w:rsid w:val="004415ED"/>
    <w:rsid w:val="004418D3"/>
    <w:rsid w:val="004420E9"/>
    <w:rsid w:val="004421A4"/>
    <w:rsid w:val="00442577"/>
    <w:rsid w:val="0044296E"/>
    <w:rsid w:val="00442C4A"/>
    <w:rsid w:val="004434E2"/>
    <w:rsid w:val="004439EC"/>
    <w:rsid w:val="00443DEA"/>
    <w:rsid w:val="00443F79"/>
    <w:rsid w:val="00444E79"/>
    <w:rsid w:val="00444F3B"/>
    <w:rsid w:val="00445343"/>
    <w:rsid w:val="00445AA0"/>
    <w:rsid w:val="00445B5B"/>
    <w:rsid w:val="00445C72"/>
    <w:rsid w:val="004460F1"/>
    <w:rsid w:val="00446220"/>
    <w:rsid w:val="0044683C"/>
    <w:rsid w:val="004474E9"/>
    <w:rsid w:val="004475F2"/>
    <w:rsid w:val="00450849"/>
    <w:rsid w:val="004509F5"/>
    <w:rsid w:val="00450CB2"/>
    <w:rsid w:val="00450D91"/>
    <w:rsid w:val="0045108E"/>
    <w:rsid w:val="0045126A"/>
    <w:rsid w:val="00451488"/>
    <w:rsid w:val="00451687"/>
    <w:rsid w:val="00451E9E"/>
    <w:rsid w:val="00452812"/>
    <w:rsid w:val="00452888"/>
    <w:rsid w:val="00452980"/>
    <w:rsid w:val="00453223"/>
    <w:rsid w:val="00453302"/>
    <w:rsid w:val="004539C5"/>
    <w:rsid w:val="00454595"/>
    <w:rsid w:val="00455837"/>
    <w:rsid w:val="00455ACD"/>
    <w:rsid w:val="00455D7E"/>
    <w:rsid w:val="00456242"/>
    <w:rsid w:val="00456480"/>
    <w:rsid w:val="00456745"/>
    <w:rsid w:val="00456B32"/>
    <w:rsid w:val="004574C7"/>
    <w:rsid w:val="00457D39"/>
    <w:rsid w:val="00457D56"/>
    <w:rsid w:val="00457DB6"/>
    <w:rsid w:val="00460A3A"/>
    <w:rsid w:val="00461859"/>
    <w:rsid w:val="00461B08"/>
    <w:rsid w:val="00461F17"/>
    <w:rsid w:val="004629FA"/>
    <w:rsid w:val="00462B34"/>
    <w:rsid w:val="00463021"/>
    <w:rsid w:val="004630E2"/>
    <w:rsid w:val="004638FF"/>
    <w:rsid w:val="00464019"/>
    <w:rsid w:val="0046433A"/>
    <w:rsid w:val="00464829"/>
    <w:rsid w:val="00464B98"/>
    <w:rsid w:val="00464DFA"/>
    <w:rsid w:val="0046506C"/>
    <w:rsid w:val="00466578"/>
    <w:rsid w:val="00466B30"/>
    <w:rsid w:val="00466FD1"/>
    <w:rsid w:val="00467629"/>
    <w:rsid w:val="00467B8E"/>
    <w:rsid w:val="00470484"/>
    <w:rsid w:val="004704AA"/>
    <w:rsid w:val="004710CE"/>
    <w:rsid w:val="00471E5D"/>
    <w:rsid w:val="0047333B"/>
    <w:rsid w:val="00473546"/>
    <w:rsid w:val="0047392D"/>
    <w:rsid w:val="00473D41"/>
    <w:rsid w:val="00473F08"/>
    <w:rsid w:val="004740BB"/>
    <w:rsid w:val="00474127"/>
    <w:rsid w:val="00474169"/>
    <w:rsid w:val="00474462"/>
    <w:rsid w:val="00474DD2"/>
    <w:rsid w:val="004751D9"/>
    <w:rsid w:val="00475F0D"/>
    <w:rsid w:val="00476427"/>
    <w:rsid w:val="00476882"/>
    <w:rsid w:val="00477961"/>
    <w:rsid w:val="004810F0"/>
    <w:rsid w:val="00481837"/>
    <w:rsid w:val="00481BEC"/>
    <w:rsid w:val="0048231A"/>
    <w:rsid w:val="00482766"/>
    <w:rsid w:val="00482A58"/>
    <w:rsid w:val="00482F5E"/>
    <w:rsid w:val="00483F78"/>
    <w:rsid w:val="004848F2"/>
    <w:rsid w:val="004851F5"/>
    <w:rsid w:val="0048524F"/>
    <w:rsid w:val="00485887"/>
    <w:rsid w:val="00485BA3"/>
    <w:rsid w:val="00485C46"/>
    <w:rsid w:val="00485CD8"/>
    <w:rsid w:val="00486484"/>
    <w:rsid w:val="004867AE"/>
    <w:rsid w:val="004867E6"/>
    <w:rsid w:val="004868A4"/>
    <w:rsid w:val="00486CBD"/>
    <w:rsid w:val="00486E8B"/>
    <w:rsid w:val="00487258"/>
    <w:rsid w:val="00487344"/>
    <w:rsid w:val="004873C2"/>
    <w:rsid w:val="00487CEE"/>
    <w:rsid w:val="00490575"/>
    <w:rsid w:val="00490877"/>
    <w:rsid w:val="00490C79"/>
    <w:rsid w:val="00491299"/>
    <w:rsid w:val="00491352"/>
    <w:rsid w:val="00491B3C"/>
    <w:rsid w:val="00491B51"/>
    <w:rsid w:val="00491BF7"/>
    <w:rsid w:val="00491D1C"/>
    <w:rsid w:val="004921F6"/>
    <w:rsid w:val="004928BC"/>
    <w:rsid w:val="00492A81"/>
    <w:rsid w:val="00492FAF"/>
    <w:rsid w:val="00493088"/>
    <w:rsid w:val="004934F6"/>
    <w:rsid w:val="00493791"/>
    <w:rsid w:val="00493D18"/>
    <w:rsid w:val="00494AD0"/>
    <w:rsid w:val="00494C32"/>
    <w:rsid w:val="00494D9A"/>
    <w:rsid w:val="00494E6F"/>
    <w:rsid w:val="004951E9"/>
    <w:rsid w:val="00496ABF"/>
    <w:rsid w:val="00497763"/>
    <w:rsid w:val="0049793A"/>
    <w:rsid w:val="00497A86"/>
    <w:rsid w:val="004A0394"/>
    <w:rsid w:val="004A06B4"/>
    <w:rsid w:val="004A0A19"/>
    <w:rsid w:val="004A0A93"/>
    <w:rsid w:val="004A0ACF"/>
    <w:rsid w:val="004A107E"/>
    <w:rsid w:val="004A1BE4"/>
    <w:rsid w:val="004A2080"/>
    <w:rsid w:val="004A218A"/>
    <w:rsid w:val="004A38EE"/>
    <w:rsid w:val="004A4034"/>
    <w:rsid w:val="004A4243"/>
    <w:rsid w:val="004A4F9C"/>
    <w:rsid w:val="004A5808"/>
    <w:rsid w:val="004A5EC0"/>
    <w:rsid w:val="004A5F54"/>
    <w:rsid w:val="004A6259"/>
    <w:rsid w:val="004A6733"/>
    <w:rsid w:val="004A6ACC"/>
    <w:rsid w:val="004A7028"/>
    <w:rsid w:val="004A77F9"/>
    <w:rsid w:val="004A7DBC"/>
    <w:rsid w:val="004B0062"/>
    <w:rsid w:val="004B05F8"/>
    <w:rsid w:val="004B0F74"/>
    <w:rsid w:val="004B1107"/>
    <w:rsid w:val="004B18A9"/>
    <w:rsid w:val="004B1F9D"/>
    <w:rsid w:val="004B2166"/>
    <w:rsid w:val="004B269B"/>
    <w:rsid w:val="004B2EDA"/>
    <w:rsid w:val="004B3433"/>
    <w:rsid w:val="004B36E1"/>
    <w:rsid w:val="004B38DA"/>
    <w:rsid w:val="004B424F"/>
    <w:rsid w:val="004B4ED2"/>
    <w:rsid w:val="004B4FAC"/>
    <w:rsid w:val="004B594A"/>
    <w:rsid w:val="004B5A1B"/>
    <w:rsid w:val="004B664B"/>
    <w:rsid w:val="004B6959"/>
    <w:rsid w:val="004B6BE2"/>
    <w:rsid w:val="004B6D39"/>
    <w:rsid w:val="004B73C6"/>
    <w:rsid w:val="004B7726"/>
    <w:rsid w:val="004C0086"/>
    <w:rsid w:val="004C0502"/>
    <w:rsid w:val="004C0B3A"/>
    <w:rsid w:val="004C0E08"/>
    <w:rsid w:val="004C0E2E"/>
    <w:rsid w:val="004C0F93"/>
    <w:rsid w:val="004C1B60"/>
    <w:rsid w:val="004C20E4"/>
    <w:rsid w:val="004C2150"/>
    <w:rsid w:val="004C25AB"/>
    <w:rsid w:val="004C30A2"/>
    <w:rsid w:val="004C394C"/>
    <w:rsid w:val="004C3A66"/>
    <w:rsid w:val="004C3C2E"/>
    <w:rsid w:val="004C3C3F"/>
    <w:rsid w:val="004C447E"/>
    <w:rsid w:val="004C4791"/>
    <w:rsid w:val="004C4A0D"/>
    <w:rsid w:val="004C51DA"/>
    <w:rsid w:val="004C5685"/>
    <w:rsid w:val="004C5B2C"/>
    <w:rsid w:val="004C62E0"/>
    <w:rsid w:val="004C649D"/>
    <w:rsid w:val="004C6867"/>
    <w:rsid w:val="004C768F"/>
    <w:rsid w:val="004C7815"/>
    <w:rsid w:val="004D068B"/>
    <w:rsid w:val="004D0AA3"/>
    <w:rsid w:val="004D0C59"/>
    <w:rsid w:val="004D13CE"/>
    <w:rsid w:val="004D178B"/>
    <w:rsid w:val="004D180F"/>
    <w:rsid w:val="004D1846"/>
    <w:rsid w:val="004D19BB"/>
    <w:rsid w:val="004D1B7E"/>
    <w:rsid w:val="004D1BF6"/>
    <w:rsid w:val="004D1EAB"/>
    <w:rsid w:val="004D2239"/>
    <w:rsid w:val="004D31E1"/>
    <w:rsid w:val="004D40EA"/>
    <w:rsid w:val="004D4F18"/>
    <w:rsid w:val="004D5001"/>
    <w:rsid w:val="004D5AB2"/>
    <w:rsid w:val="004D5E64"/>
    <w:rsid w:val="004D624F"/>
    <w:rsid w:val="004D755B"/>
    <w:rsid w:val="004D7633"/>
    <w:rsid w:val="004D7D0B"/>
    <w:rsid w:val="004E0262"/>
    <w:rsid w:val="004E03BD"/>
    <w:rsid w:val="004E0638"/>
    <w:rsid w:val="004E0B71"/>
    <w:rsid w:val="004E0B7F"/>
    <w:rsid w:val="004E0E4E"/>
    <w:rsid w:val="004E0F9B"/>
    <w:rsid w:val="004E1295"/>
    <w:rsid w:val="004E15AC"/>
    <w:rsid w:val="004E175C"/>
    <w:rsid w:val="004E2023"/>
    <w:rsid w:val="004E272B"/>
    <w:rsid w:val="004E2B92"/>
    <w:rsid w:val="004E3265"/>
    <w:rsid w:val="004E32B9"/>
    <w:rsid w:val="004E334D"/>
    <w:rsid w:val="004E37CE"/>
    <w:rsid w:val="004E4290"/>
    <w:rsid w:val="004E45A9"/>
    <w:rsid w:val="004E49FD"/>
    <w:rsid w:val="004E4FB1"/>
    <w:rsid w:val="004E56F4"/>
    <w:rsid w:val="004E595A"/>
    <w:rsid w:val="004E650D"/>
    <w:rsid w:val="004E6FAA"/>
    <w:rsid w:val="004E6FAF"/>
    <w:rsid w:val="004E75B6"/>
    <w:rsid w:val="004E78D7"/>
    <w:rsid w:val="004E7ADA"/>
    <w:rsid w:val="004F07D4"/>
    <w:rsid w:val="004F082F"/>
    <w:rsid w:val="004F0CCD"/>
    <w:rsid w:val="004F108E"/>
    <w:rsid w:val="004F2010"/>
    <w:rsid w:val="004F2022"/>
    <w:rsid w:val="004F29B4"/>
    <w:rsid w:val="004F2EFD"/>
    <w:rsid w:val="004F45EA"/>
    <w:rsid w:val="004F46B7"/>
    <w:rsid w:val="004F4B78"/>
    <w:rsid w:val="004F4B88"/>
    <w:rsid w:val="004F5488"/>
    <w:rsid w:val="004F5A4E"/>
    <w:rsid w:val="004F6601"/>
    <w:rsid w:val="004F68D6"/>
    <w:rsid w:val="004F6C76"/>
    <w:rsid w:val="004F7175"/>
    <w:rsid w:val="004F7741"/>
    <w:rsid w:val="004F78C8"/>
    <w:rsid w:val="004F7E28"/>
    <w:rsid w:val="004F7F5F"/>
    <w:rsid w:val="00500449"/>
    <w:rsid w:val="005004EC"/>
    <w:rsid w:val="0050140E"/>
    <w:rsid w:val="00501558"/>
    <w:rsid w:val="005021D3"/>
    <w:rsid w:val="00502B4D"/>
    <w:rsid w:val="005039BA"/>
    <w:rsid w:val="00503A07"/>
    <w:rsid w:val="00503DDB"/>
    <w:rsid w:val="005041AC"/>
    <w:rsid w:val="00504DA9"/>
    <w:rsid w:val="00504E23"/>
    <w:rsid w:val="00505593"/>
    <w:rsid w:val="005058CB"/>
    <w:rsid w:val="0050635F"/>
    <w:rsid w:val="005063B9"/>
    <w:rsid w:val="00506573"/>
    <w:rsid w:val="005079B9"/>
    <w:rsid w:val="00507EC3"/>
    <w:rsid w:val="00511058"/>
    <w:rsid w:val="0051158C"/>
    <w:rsid w:val="005115DA"/>
    <w:rsid w:val="005127EA"/>
    <w:rsid w:val="005129D9"/>
    <w:rsid w:val="00512DAF"/>
    <w:rsid w:val="005142ED"/>
    <w:rsid w:val="005149B8"/>
    <w:rsid w:val="00514B25"/>
    <w:rsid w:val="00515873"/>
    <w:rsid w:val="00515992"/>
    <w:rsid w:val="0051636E"/>
    <w:rsid w:val="005164BB"/>
    <w:rsid w:val="00516BD9"/>
    <w:rsid w:val="00516C2D"/>
    <w:rsid w:val="00516F06"/>
    <w:rsid w:val="005170CA"/>
    <w:rsid w:val="0051758D"/>
    <w:rsid w:val="005175F0"/>
    <w:rsid w:val="005204CA"/>
    <w:rsid w:val="00520DBF"/>
    <w:rsid w:val="005211C1"/>
    <w:rsid w:val="0052141D"/>
    <w:rsid w:val="0052155A"/>
    <w:rsid w:val="00521FC0"/>
    <w:rsid w:val="005223D4"/>
    <w:rsid w:val="0052240F"/>
    <w:rsid w:val="00522467"/>
    <w:rsid w:val="005225AB"/>
    <w:rsid w:val="005237A9"/>
    <w:rsid w:val="005246C9"/>
    <w:rsid w:val="00524A77"/>
    <w:rsid w:val="005250D7"/>
    <w:rsid w:val="00525304"/>
    <w:rsid w:val="00525442"/>
    <w:rsid w:val="00526A45"/>
    <w:rsid w:val="00526BA1"/>
    <w:rsid w:val="00526F9F"/>
    <w:rsid w:val="005279B5"/>
    <w:rsid w:val="00527B2F"/>
    <w:rsid w:val="00527B7D"/>
    <w:rsid w:val="00527BB6"/>
    <w:rsid w:val="00527C8A"/>
    <w:rsid w:val="00527F0C"/>
    <w:rsid w:val="005309DA"/>
    <w:rsid w:val="00530B3D"/>
    <w:rsid w:val="00530D21"/>
    <w:rsid w:val="005310AE"/>
    <w:rsid w:val="00531482"/>
    <w:rsid w:val="00531699"/>
    <w:rsid w:val="00531D46"/>
    <w:rsid w:val="00531FFA"/>
    <w:rsid w:val="0053216D"/>
    <w:rsid w:val="00532647"/>
    <w:rsid w:val="00532D94"/>
    <w:rsid w:val="00532ECE"/>
    <w:rsid w:val="005337A6"/>
    <w:rsid w:val="00533BD3"/>
    <w:rsid w:val="00533C20"/>
    <w:rsid w:val="005341EE"/>
    <w:rsid w:val="00534273"/>
    <w:rsid w:val="00534503"/>
    <w:rsid w:val="005352CF"/>
    <w:rsid w:val="00535558"/>
    <w:rsid w:val="005356DF"/>
    <w:rsid w:val="00535952"/>
    <w:rsid w:val="00536147"/>
    <w:rsid w:val="005362A8"/>
    <w:rsid w:val="005363A6"/>
    <w:rsid w:val="0053764A"/>
    <w:rsid w:val="005378FA"/>
    <w:rsid w:val="00537BCA"/>
    <w:rsid w:val="005414DC"/>
    <w:rsid w:val="00541C3C"/>
    <w:rsid w:val="00542AEB"/>
    <w:rsid w:val="00542D52"/>
    <w:rsid w:val="00542EC6"/>
    <w:rsid w:val="005430D8"/>
    <w:rsid w:val="00543884"/>
    <w:rsid w:val="00543EB3"/>
    <w:rsid w:val="00544390"/>
    <w:rsid w:val="00544C52"/>
    <w:rsid w:val="00544C8B"/>
    <w:rsid w:val="005452B9"/>
    <w:rsid w:val="005453AA"/>
    <w:rsid w:val="0054578E"/>
    <w:rsid w:val="00545854"/>
    <w:rsid w:val="00546504"/>
    <w:rsid w:val="00546A13"/>
    <w:rsid w:val="005470F7"/>
    <w:rsid w:val="00547FE5"/>
    <w:rsid w:val="005517F2"/>
    <w:rsid w:val="005530BF"/>
    <w:rsid w:val="005536C1"/>
    <w:rsid w:val="00553EEB"/>
    <w:rsid w:val="00553FA1"/>
    <w:rsid w:val="00554191"/>
    <w:rsid w:val="005560AA"/>
    <w:rsid w:val="00556711"/>
    <w:rsid w:val="005568EA"/>
    <w:rsid w:val="00556BBA"/>
    <w:rsid w:val="005571BA"/>
    <w:rsid w:val="0055731C"/>
    <w:rsid w:val="00557454"/>
    <w:rsid w:val="005574EB"/>
    <w:rsid w:val="005578FE"/>
    <w:rsid w:val="00557A3D"/>
    <w:rsid w:val="00560932"/>
    <w:rsid w:val="00561174"/>
    <w:rsid w:val="005617A0"/>
    <w:rsid w:val="005619E5"/>
    <w:rsid w:val="00561E9B"/>
    <w:rsid w:val="00561EBE"/>
    <w:rsid w:val="00562E36"/>
    <w:rsid w:val="00562FC6"/>
    <w:rsid w:val="00563150"/>
    <w:rsid w:val="00563222"/>
    <w:rsid w:val="005636B0"/>
    <w:rsid w:val="005636E9"/>
    <w:rsid w:val="005642C2"/>
    <w:rsid w:val="00564486"/>
    <w:rsid w:val="005646CC"/>
    <w:rsid w:val="00564FF8"/>
    <w:rsid w:val="0056630C"/>
    <w:rsid w:val="005668F9"/>
    <w:rsid w:val="00566E1E"/>
    <w:rsid w:val="00567F1E"/>
    <w:rsid w:val="00570263"/>
    <w:rsid w:val="00570764"/>
    <w:rsid w:val="00570FE2"/>
    <w:rsid w:val="00571426"/>
    <w:rsid w:val="005714A8"/>
    <w:rsid w:val="00572157"/>
    <w:rsid w:val="00572FF3"/>
    <w:rsid w:val="00575296"/>
    <w:rsid w:val="005755F6"/>
    <w:rsid w:val="005760A9"/>
    <w:rsid w:val="0057628D"/>
    <w:rsid w:val="00576401"/>
    <w:rsid w:val="005765F7"/>
    <w:rsid w:val="00576716"/>
    <w:rsid w:val="00576846"/>
    <w:rsid w:val="00576EBF"/>
    <w:rsid w:val="00577357"/>
    <w:rsid w:val="005777C8"/>
    <w:rsid w:val="00577F6B"/>
    <w:rsid w:val="00577F98"/>
    <w:rsid w:val="005801BC"/>
    <w:rsid w:val="00580258"/>
    <w:rsid w:val="005806D8"/>
    <w:rsid w:val="0058087E"/>
    <w:rsid w:val="00580A28"/>
    <w:rsid w:val="00581A56"/>
    <w:rsid w:val="0058205D"/>
    <w:rsid w:val="00582135"/>
    <w:rsid w:val="00583CFA"/>
    <w:rsid w:val="005841F7"/>
    <w:rsid w:val="005844BD"/>
    <w:rsid w:val="00584507"/>
    <w:rsid w:val="00585269"/>
    <w:rsid w:val="00586057"/>
    <w:rsid w:val="0058615B"/>
    <w:rsid w:val="0058634C"/>
    <w:rsid w:val="005869C3"/>
    <w:rsid w:val="00586D4B"/>
    <w:rsid w:val="00590458"/>
    <w:rsid w:val="00590ACC"/>
    <w:rsid w:val="00590C22"/>
    <w:rsid w:val="0059142D"/>
    <w:rsid w:val="00591E0A"/>
    <w:rsid w:val="005921B4"/>
    <w:rsid w:val="00592D8E"/>
    <w:rsid w:val="00592DD5"/>
    <w:rsid w:val="00593602"/>
    <w:rsid w:val="00593932"/>
    <w:rsid w:val="00593934"/>
    <w:rsid w:val="00593A46"/>
    <w:rsid w:val="00593CF4"/>
    <w:rsid w:val="00594B36"/>
    <w:rsid w:val="00594F8D"/>
    <w:rsid w:val="00595993"/>
    <w:rsid w:val="005972F7"/>
    <w:rsid w:val="0059750F"/>
    <w:rsid w:val="00597C56"/>
    <w:rsid w:val="005A0144"/>
    <w:rsid w:val="005A08BA"/>
    <w:rsid w:val="005A0E71"/>
    <w:rsid w:val="005A14F3"/>
    <w:rsid w:val="005A171A"/>
    <w:rsid w:val="005A2301"/>
    <w:rsid w:val="005A23AD"/>
    <w:rsid w:val="005A2BCD"/>
    <w:rsid w:val="005A3054"/>
    <w:rsid w:val="005A364C"/>
    <w:rsid w:val="005A403D"/>
    <w:rsid w:val="005A4E2E"/>
    <w:rsid w:val="005A50BF"/>
    <w:rsid w:val="005A5462"/>
    <w:rsid w:val="005A732D"/>
    <w:rsid w:val="005A75F4"/>
    <w:rsid w:val="005A7F5D"/>
    <w:rsid w:val="005B0992"/>
    <w:rsid w:val="005B0A70"/>
    <w:rsid w:val="005B15F0"/>
    <w:rsid w:val="005B1E03"/>
    <w:rsid w:val="005B23B2"/>
    <w:rsid w:val="005B3AED"/>
    <w:rsid w:val="005B3BA3"/>
    <w:rsid w:val="005B4568"/>
    <w:rsid w:val="005B46CA"/>
    <w:rsid w:val="005B4792"/>
    <w:rsid w:val="005B4AC7"/>
    <w:rsid w:val="005B6A52"/>
    <w:rsid w:val="005B6E10"/>
    <w:rsid w:val="005B7F95"/>
    <w:rsid w:val="005C09B4"/>
    <w:rsid w:val="005C0CF1"/>
    <w:rsid w:val="005C11A4"/>
    <w:rsid w:val="005C1B7B"/>
    <w:rsid w:val="005C1CAA"/>
    <w:rsid w:val="005C2301"/>
    <w:rsid w:val="005C23FA"/>
    <w:rsid w:val="005C2622"/>
    <w:rsid w:val="005C2899"/>
    <w:rsid w:val="005C28F3"/>
    <w:rsid w:val="005C2C66"/>
    <w:rsid w:val="005C3E92"/>
    <w:rsid w:val="005C41FB"/>
    <w:rsid w:val="005C4736"/>
    <w:rsid w:val="005C4A09"/>
    <w:rsid w:val="005C5080"/>
    <w:rsid w:val="005C5478"/>
    <w:rsid w:val="005C5520"/>
    <w:rsid w:val="005C5C39"/>
    <w:rsid w:val="005C5C91"/>
    <w:rsid w:val="005C5E30"/>
    <w:rsid w:val="005C5E77"/>
    <w:rsid w:val="005C66CA"/>
    <w:rsid w:val="005C6B20"/>
    <w:rsid w:val="005C6D9C"/>
    <w:rsid w:val="005C6F7D"/>
    <w:rsid w:val="005C7398"/>
    <w:rsid w:val="005C74F3"/>
    <w:rsid w:val="005C7770"/>
    <w:rsid w:val="005C7F97"/>
    <w:rsid w:val="005D0A12"/>
    <w:rsid w:val="005D23A4"/>
    <w:rsid w:val="005D260A"/>
    <w:rsid w:val="005D26EB"/>
    <w:rsid w:val="005D282F"/>
    <w:rsid w:val="005D2A5E"/>
    <w:rsid w:val="005D2A75"/>
    <w:rsid w:val="005D2A79"/>
    <w:rsid w:val="005D3273"/>
    <w:rsid w:val="005D36BF"/>
    <w:rsid w:val="005D373A"/>
    <w:rsid w:val="005D433C"/>
    <w:rsid w:val="005D468B"/>
    <w:rsid w:val="005D468D"/>
    <w:rsid w:val="005D5B7E"/>
    <w:rsid w:val="005D6AAB"/>
    <w:rsid w:val="005D6AE1"/>
    <w:rsid w:val="005D6DD0"/>
    <w:rsid w:val="005D73AE"/>
    <w:rsid w:val="005D7B84"/>
    <w:rsid w:val="005D7E7A"/>
    <w:rsid w:val="005E14B3"/>
    <w:rsid w:val="005E1668"/>
    <w:rsid w:val="005E1B61"/>
    <w:rsid w:val="005E28BA"/>
    <w:rsid w:val="005E3F5D"/>
    <w:rsid w:val="005E450D"/>
    <w:rsid w:val="005E47F5"/>
    <w:rsid w:val="005E4AC6"/>
    <w:rsid w:val="005E4DEB"/>
    <w:rsid w:val="005E5188"/>
    <w:rsid w:val="005E5357"/>
    <w:rsid w:val="005E536A"/>
    <w:rsid w:val="005E55EB"/>
    <w:rsid w:val="005E6125"/>
    <w:rsid w:val="005E665D"/>
    <w:rsid w:val="005E68D0"/>
    <w:rsid w:val="005E69E6"/>
    <w:rsid w:val="005E6FF3"/>
    <w:rsid w:val="005F02C7"/>
    <w:rsid w:val="005F0C3E"/>
    <w:rsid w:val="005F105C"/>
    <w:rsid w:val="005F11F0"/>
    <w:rsid w:val="005F152E"/>
    <w:rsid w:val="005F1C82"/>
    <w:rsid w:val="005F27B6"/>
    <w:rsid w:val="005F295A"/>
    <w:rsid w:val="005F357C"/>
    <w:rsid w:val="005F3D11"/>
    <w:rsid w:val="005F3E09"/>
    <w:rsid w:val="005F40EB"/>
    <w:rsid w:val="005F4F5D"/>
    <w:rsid w:val="005F5299"/>
    <w:rsid w:val="005F5D81"/>
    <w:rsid w:val="005F73DC"/>
    <w:rsid w:val="005F7486"/>
    <w:rsid w:val="005F756D"/>
    <w:rsid w:val="005F779C"/>
    <w:rsid w:val="005F7CF0"/>
    <w:rsid w:val="00600BE3"/>
    <w:rsid w:val="00601BD3"/>
    <w:rsid w:val="0060258E"/>
    <w:rsid w:val="00602A7B"/>
    <w:rsid w:val="0060390D"/>
    <w:rsid w:val="00604216"/>
    <w:rsid w:val="00604D2D"/>
    <w:rsid w:val="00604DAB"/>
    <w:rsid w:val="00604E43"/>
    <w:rsid w:val="00604ECF"/>
    <w:rsid w:val="0060547D"/>
    <w:rsid w:val="00605B1A"/>
    <w:rsid w:val="00605C40"/>
    <w:rsid w:val="00605D08"/>
    <w:rsid w:val="00605EAA"/>
    <w:rsid w:val="006073FB"/>
    <w:rsid w:val="0060740F"/>
    <w:rsid w:val="006075D1"/>
    <w:rsid w:val="00610498"/>
    <w:rsid w:val="006106E5"/>
    <w:rsid w:val="0061074C"/>
    <w:rsid w:val="0061075B"/>
    <w:rsid w:val="00610B9E"/>
    <w:rsid w:val="006111E9"/>
    <w:rsid w:val="00611249"/>
    <w:rsid w:val="00612FEC"/>
    <w:rsid w:val="00613252"/>
    <w:rsid w:val="00613B8A"/>
    <w:rsid w:val="0061402B"/>
    <w:rsid w:val="00614753"/>
    <w:rsid w:val="006148F8"/>
    <w:rsid w:val="00614990"/>
    <w:rsid w:val="006154C8"/>
    <w:rsid w:val="00615902"/>
    <w:rsid w:val="00615DF3"/>
    <w:rsid w:val="00616057"/>
    <w:rsid w:val="006162CF"/>
    <w:rsid w:val="006163B9"/>
    <w:rsid w:val="00616B81"/>
    <w:rsid w:val="00616D82"/>
    <w:rsid w:val="00617B99"/>
    <w:rsid w:val="00620071"/>
    <w:rsid w:val="006205C3"/>
    <w:rsid w:val="006209DB"/>
    <w:rsid w:val="00620E03"/>
    <w:rsid w:val="006212C9"/>
    <w:rsid w:val="00621684"/>
    <w:rsid w:val="006217E6"/>
    <w:rsid w:val="006220F7"/>
    <w:rsid w:val="006231C0"/>
    <w:rsid w:val="00623B54"/>
    <w:rsid w:val="00623D47"/>
    <w:rsid w:val="00624043"/>
    <w:rsid w:val="00624311"/>
    <w:rsid w:val="00624603"/>
    <w:rsid w:val="00624926"/>
    <w:rsid w:val="00624AC3"/>
    <w:rsid w:val="00624B70"/>
    <w:rsid w:val="00625138"/>
    <w:rsid w:val="0062553F"/>
    <w:rsid w:val="0062577D"/>
    <w:rsid w:val="00625D6D"/>
    <w:rsid w:val="006261AB"/>
    <w:rsid w:val="006264BC"/>
    <w:rsid w:val="006267E8"/>
    <w:rsid w:val="00626827"/>
    <w:rsid w:val="00626A73"/>
    <w:rsid w:val="00626B39"/>
    <w:rsid w:val="0062730E"/>
    <w:rsid w:val="00627592"/>
    <w:rsid w:val="00627B34"/>
    <w:rsid w:val="00630B87"/>
    <w:rsid w:val="00630C73"/>
    <w:rsid w:val="00631760"/>
    <w:rsid w:val="00632619"/>
    <w:rsid w:val="00632E11"/>
    <w:rsid w:val="00632ECA"/>
    <w:rsid w:val="00633029"/>
    <w:rsid w:val="00633893"/>
    <w:rsid w:val="006338BF"/>
    <w:rsid w:val="00633C06"/>
    <w:rsid w:val="0063471A"/>
    <w:rsid w:val="00635664"/>
    <w:rsid w:val="00636419"/>
    <w:rsid w:val="0063653C"/>
    <w:rsid w:val="00636A35"/>
    <w:rsid w:val="00636B41"/>
    <w:rsid w:val="00636FBB"/>
    <w:rsid w:val="00637782"/>
    <w:rsid w:val="006378C7"/>
    <w:rsid w:val="006378EF"/>
    <w:rsid w:val="00637B3A"/>
    <w:rsid w:val="006405EE"/>
    <w:rsid w:val="00640E8B"/>
    <w:rsid w:val="006410F7"/>
    <w:rsid w:val="006415A9"/>
    <w:rsid w:val="006416DD"/>
    <w:rsid w:val="00641981"/>
    <w:rsid w:val="00642081"/>
    <w:rsid w:val="00642D65"/>
    <w:rsid w:val="0064330D"/>
    <w:rsid w:val="00643731"/>
    <w:rsid w:val="006439B9"/>
    <w:rsid w:val="00643B67"/>
    <w:rsid w:val="0064483D"/>
    <w:rsid w:val="00644A37"/>
    <w:rsid w:val="00644F02"/>
    <w:rsid w:val="00645384"/>
    <w:rsid w:val="00645A05"/>
    <w:rsid w:val="00645E42"/>
    <w:rsid w:val="00645FB0"/>
    <w:rsid w:val="00646832"/>
    <w:rsid w:val="00646C13"/>
    <w:rsid w:val="00647D24"/>
    <w:rsid w:val="00647FB9"/>
    <w:rsid w:val="006503C5"/>
    <w:rsid w:val="006503D8"/>
    <w:rsid w:val="00651279"/>
    <w:rsid w:val="006512A8"/>
    <w:rsid w:val="00651611"/>
    <w:rsid w:val="00651D9A"/>
    <w:rsid w:val="006527B0"/>
    <w:rsid w:val="00652D28"/>
    <w:rsid w:val="00653029"/>
    <w:rsid w:val="006530BB"/>
    <w:rsid w:val="00653193"/>
    <w:rsid w:val="0065361D"/>
    <w:rsid w:val="00653DA4"/>
    <w:rsid w:val="00653F1D"/>
    <w:rsid w:val="00653FAD"/>
    <w:rsid w:val="00654215"/>
    <w:rsid w:val="00654451"/>
    <w:rsid w:val="0065446F"/>
    <w:rsid w:val="006545D0"/>
    <w:rsid w:val="006549D4"/>
    <w:rsid w:val="00654C64"/>
    <w:rsid w:val="00654ED6"/>
    <w:rsid w:val="006552F5"/>
    <w:rsid w:val="006573F9"/>
    <w:rsid w:val="00657716"/>
    <w:rsid w:val="00657BA1"/>
    <w:rsid w:val="00657BF6"/>
    <w:rsid w:val="006606DF"/>
    <w:rsid w:val="00660902"/>
    <w:rsid w:val="006612DE"/>
    <w:rsid w:val="00661352"/>
    <w:rsid w:val="0066285D"/>
    <w:rsid w:val="00662C02"/>
    <w:rsid w:val="00663BF3"/>
    <w:rsid w:val="00664262"/>
    <w:rsid w:val="00664743"/>
    <w:rsid w:val="00664C8A"/>
    <w:rsid w:val="00664F9C"/>
    <w:rsid w:val="00664FEC"/>
    <w:rsid w:val="00665D2A"/>
    <w:rsid w:val="00665F20"/>
    <w:rsid w:val="006661E8"/>
    <w:rsid w:val="00666901"/>
    <w:rsid w:val="00666F22"/>
    <w:rsid w:val="0066711D"/>
    <w:rsid w:val="006679BE"/>
    <w:rsid w:val="00670021"/>
    <w:rsid w:val="006707A0"/>
    <w:rsid w:val="00671470"/>
    <w:rsid w:val="006724F6"/>
    <w:rsid w:val="00672A0B"/>
    <w:rsid w:val="00672A88"/>
    <w:rsid w:val="006731ED"/>
    <w:rsid w:val="00673910"/>
    <w:rsid w:val="00673B4C"/>
    <w:rsid w:val="00673F56"/>
    <w:rsid w:val="00674029"/>
    <w:rsid w:val="00674197"/>
    <w:rsid w:val="00674CE0"/>
    <w:rsid w:val="006759AF"/>
    <w:rsid w:val="00675DCF"/>
    <w:rsid w:val="00675E00"/>
    <w:rsid w:val="00675EFF"/>
    <w:rsid w:val="00676EEE"/>
    <w:rsid w:val="006771EA"/>
    <w:rsid w:val="006777B9"/>
    <w:rsid w:val="00677BE1"/>
    <w:rsid w:val="006807E9"/>
    <w:rsid w:val="00680D85"/>
    <w:rsid w:val="006824EC"/>
    <w:rsid w:val="0068260E"/>
    <w:rsid w:val="006829AF"/>
    <w:rsid w:val="00683C19"/>
    <w:rsid w:val="00683CCD"/>
    <w:rsid w:val="00683CF6"/>
    <w:rsid w:val="006847EA"/>
    <w:rsid w:val="00684B50"/>
    <w:rsid w:val="006852A0"/>
    <w:rsid w:val="00685553"/>
    <w:rsid w:val="006858D1"/>
    <w:rsid w:val="00686359"/>
    <w:rsid w:val="00686883"/>
    <w:rsid w:val="00687ACF"/>
    <w:rsid w:val="006900AE"/>
    <w:rsid w:val="00691EF5"/>
    <w:rsid w:val="00692E33"/>
    <w:rsid w:val="00693D03"/>
    <w:rsid w:val="00694626"/>
    <w:rsid w:val="00694742"/>
    <w:rsid w:val="00694787"/>
    <w:rsid w:val="006948C5"/>
    <w:rsid w:val="006949C2"/>
    <w:rsid w:val="00694A33"/>
    <w:rsid w:val="00694AA2"/>
    <w:rsid w:val="006954A0"/>
    <w:rsid w:val="00695F9D"/>
    <w:rsid w:val="006960B1"/>
    <w:rsid w:val="00697945"/>
    <w:rsid w:val="006979B4"/>
    <w:rsid w:val="00697C3E"/>
    <w:rsid w:val="006A0296"/>
    <w:rsid w:val="006A0F79"/>
    <w:rsid w:val="006A133E"/>
    <w:rsid w:val="006A1348"/>
    <w:rsid w:val="006A197D"/>
    <w:rsid w:val="006A2781"/>
    <w:rsid w:val="006A2DBF"/>
    <w:rsid w:val="006A3B2E"/>
    <w:rsid w:val="006A3B4F"/>
    <w:rsid w:val="006A4103"/>
    <w:rsid w:val="006A5345"/>
    <w:rsid w:val="006A5713"/>
    <w:rsid w:val="006A6757"/>
    <w:rsid w:val="006A6B23"/>
    <w:rsid w:val="006A724F"/>
    <w:rsid w:val="006A72C7"/>
    <w:rsid w:val="006A7A38"/>
    <w:rsid w:val="006A7FA4"/>
    <w:rsid w:val="006A7FDF"/>
    <w:rsid w:val="006B0631"/>
    <w:rsid w:val="006B064A"/>
    <w:rsid w:val="006B07D2"/>
    <w:rsid w:val="006B0D41"/>
    <w:rsid w:val="006B12ED"/>
    <w:rsid w:val="006B183A"/>
    <w:rsid w:val="006B1CA0"/>
    <w:rsid w:val="006B2007"/>
    <w:rsid w:val="006B221B"/>
    <w:rsid w:val="006B3EF5"/>
    <w:rsid w:val="006B44D4"/>
    <w:rsid w:val="006B48F0"/>
    <w:rsid w:val="006B5248"/>
    <w:rsid w:val="006B5C81"/>
    <w:rsid w:val="006B5E76"/>
    <w:rsid w:val="006B5FD0"/>
    <w:rsid w:val="006B62D4"/>
    <w:rsid w:val="006B62D6"/>
    <w:rsid w:val="006B6788"/>
    <w:rsid w:val="006B76F6"/>
    <w:rsid w:val="006B7C76"/>
    <w:rsid w:val="006C05D8"/>
    <w:rsid w:val="006C06A4"/>
    <w:rsid w:val="006C0FEC"/>
    <w:rsid w:val="006C1223"/>
    <w:rsid w:val="006C12B8"/>
    <w:rsid w:val="006C1861"/>
    <w:rsid w:val="006C1C3E"/>
    <w:rsid w:val="006C219C"/>
    <w:rsid w:val="006C24B8"/>
    <w:rsid w:val="006C2A9B"/>
    <w:rsid w:val="006C3008"/>
    <w:rsid w:val="006C4112"/>
    <w:rsid w:val="006C4915"/>
    <w:rsid w:val="006C4B31"/>
    <w:rsid w:val="006C4CDE"/>
    <w:rsid w:val="006C4E39"/>
    <w:rsid w:val="006C55DB"/>
    <w:rsid w:val="006C5931"/>
    <w:rsid w:val="006C5BAB"/>
    <w:rsid w:val="006C5BB2"/>
    <w:rsid w:val="006C5CAA"/>
    <w:rsid w:val="006C5EBC"/>
    <w:rsid w:val="006C6334"/>
    <w:rsid w:val="006C65B7"/>
    <w:rsid w:val="006C65C1"/>
    <w:rsid w:val="006C699E"/>
    <w:rsid w:val="006C6B7E"/>
    <w:rsid w:val="006C6C59"/>
    <w:rsid w:val="006C6C6A"/>
    <w:rsid w:val="006C6FBB"/>
    <w:rsid w:val="006C7259"/>
    <w:rsid w:val="006C7ABB"/>
    <w:rsid w:val="006C7DA9"/>
    <w:rsid w:val="006C7F23"/>
    <w:rsid w:val="006D07A8"/>
    <w:rsid w:val="006D1209"/>
    <w:rsid w:val="006D1509"/>
    <w:rsid w:val="006D1571"/>
    <w:rsid w:val="006D1617"/>
    <w:rsid w:val="006D1670"/>
    <w:rsid w:val="006D1DA2"/>
    <w:rsid w:val="006D206D"/>
    <w:rsid w:val="006D3038"/>
    <w:rsid w:val="006D3947"/>
    <w:rsid w:val="006D3BB4"/>
    <w:rsid w:val="006D3FAB"/>
    <w:rsid w:val="006D4769"/>
    <w:rsid w:val="006D49C1"/>
    <w:rsid w:val="006D4D2A"/>
    <w:rsid w:val="006D4DFE"/>
    <w:rsid w:val="006D4FFB"/>
    <w:rsid w:val="006D5DEB"/>
    <w:rsid w:val="006D6065"/>
    <w:rsid w:val="006D66CD"/>
    <w:rsid w:val="006D6E5D"/>
    <w:rsid w:val="006D705E"/>
    <w:rsid w:val="006D729E"/>
    <w:rsid w:val="006D7339"/>
    <w:rsid w:val="006D7A25"/>
    <w:rsid w:val="006D7E78"/>
    <w:rsid w:val="006D7F50"/>
    <w:rsid w:val="006E093D"/>
    <w:rsid w:val="006E1006"/>
    <w:rsid w:val="006E1536"/>
    <w:rsid w:val="006E2632"/>
    <w:rsid w:val="006E27D0"/>
    <w:rsid w:val="006E27DF"/>
    <w:rsid w:val="006E28A9"/>
    <w:rsid w:val="006E313B"/>
    <w:rsid w:val="006E357A"/>
    <w:rsid w:val="006E39B7"/>
    <w:rsid w:val="006E3CEE"/>
    <w:rsid w:val="006E3EB0"/>
    <w:rsid w:val="006E4DA5"/>
    <w:rsid w:val="006E5445"/>
    <w:rsid w:val="006E5A9E"/>
    <w:rsid w:val="006E5BBC"/>
    <w:rsid w:val="006E5C37"/>
    <w:rsid w:val="006E5DDD"/>
    <w:rsid w:val="006E68FD"/>
    <w:rsid w:val="006E6FD2"/>
    <w:rsid w:val="006E70C9"/>
    <w:rsid w:val="006E7277"/>
    <w:rsid w:val="006E7548"/>
    <w:rsid w:val="006E76CB"/>
    <w:rsid w:val="006E7B91"/>
    <w:rsid w:val="006E7BEE"/>
    <w:rsid w:val="006E7F94"/>
    <w:rsid w:val="006F093B"/>
    <w:rsid w:val="006F0E06"/>
    <w:rsid w:val="006F12EE"/>
    <w:rsid w:val="006F15A8"/>
    <w:rsid w:val="006F1923"/>
    <w:rsid w:val="006F1A34"/>
    <w:rsid w:val="006F23AD"/>
    <w:rsid w:val="006F26AF"/>
    <w:rsid w:val="006F2D4D"/>
    <w:rsid w:val="006F3396"/>
    <w:rsid w:val="006F3961"/>
    <w:rsid w:val="006F3B5E"/>
    <w:rsid w:val="006F4002"/>
    <w:rsid w:val="006F4388"/>
    <w:rsid w:val="006F4647"/>
    <w:rsid w:val="006F4838"/>
    <w:rsid w:val="006F502E"/>
    <w:rsid w:val="006F5275"/>
    <w:rsid w:val="006F528B"/>
    <w:rsid w:val="006F5393"/>
    <w:rsid w:val="006F54CB"/>
    <w:rsid w:val="006F594E"/>
    <w:rsid w:val="006F5B98"/>
    <w:rsid w:val="006F61A1"/>
    <w:rsid w:val="006F6956"/>
    <w:rsid w:val="006F6A11"/>
    <w:rsid w:val="006F709C"/>
    <w:rsid w:val="006F7C90"/>
    <w:rsid w:val="007003CB"/>
    <w:rsid w:val="00700A4B"/>
    <w:rsid w:val="00700CC3"/>
    <w:rsid w:val="00701154"/>
    <w:rsid w:val="0070116D"/>
    <w:rsid w:val="007011CF"/>
    <w:rsid w:val="00701581"/>
    <w:rsid w:val="007015EF"/>
    <w:rsid w:val="00701FE4"/>
    <w:rsid w:val="00702816"/>
    <w:rsid w:val="0070334C"/>
    <w:rsid w:val="007035C4"/>
    <w:rsid w:val="007036D1"/>
    <w:rsid w:val="00703CA4"/>
    <w:rsid w:val="0070416A"/>
    <w:rsid w:val="007044CD"/>
    <w:rsid w:val="0070461D"/>
    <w:rsid w:val="00704DFE"/>
    <w:rsid w:val="007054A1"/>
    <w:rsid w:val="00705D0B"/>
    <w:rsid w:val="00705DA6"/>
    <w:rsid w:val="00706202"/>
    <w:rsid w:val="00706228"/>
    <w:rsid w:val="00706423"/>
    <w:rsid w:val="00706437"/>
    <w:rsid w:val="00706B9C"/>
    <w:rsid w:val="00706F23"/>
    <w:rsid w:val="00707129"/>
    <w:rsid w:val="00707C06"/>
    <w:rsid w:val="00707E1A"/>
    <w:rsid w:val="00710056"/>
    <w:rsid w:val="00710399"/>
    <w:rsid w:val="00711AEE"/>
    <w:rsid w:val="0071231D"/>
    <w:rsid w:val="00712A4B"/>
    <w:rsid w:val="00713420"/>
    <w:rsid w:val="00713800"/>
    <w:rsid w:val="00713B86"/>
    <w:rsid w:val="00714053"/>
    <w:rsid w:val="00714078"/>
    <w:rsid w:val="0071427A"/>
    <w:rsid w:val="0071434D"/>
    <w:rsid w:val="007147D8"/>
    <w:rsid w:val="00714AAE"/>
    <w:rsid w:val="00714C51"/>
    <w:rsid w:val="00714D55"/>
    <w:rsid w:val="007150AF"/>
    <w:rsid w:val="00716A17"/>
    <w:rsid w:val="007170B1"/>
    <w:rsid w:val="007209C3"/>
    <w:rsid w:val="007209E5"/>
    <w:rsid w:val="00720D56"/>
    <w:rsid w:val="007210D2"/>
    <w:rsid w:val="0072161F"/>
    <w:rsid w:val="00721A07"/>
    <w:rsid w:val="00722394"/>
    <w:rsid w:val="007223A4"/>
    <w:rsid w:val="007224D9"/>
    <w:rsid w:val="0072294B"/>
    <w:rsid w:val="00722B62"/>
    <w:rsid w:val="00723649"/>
    <w:rsid w:val="00723F68"/>
    <w:rsid w:val="00725D41"/>
    <w:rsid w:val="0072649D"/>
    <w:rsid w:val="0072670F"/>
    <w:rsid w:val="00726CD7"/>
    <w:rsid w:val="00726FA8"/>
    <w:rsid w:val="00726FC9"/>
    <w:rsid w:val="00727968"/>
    <w:rsid w:val="00727F6C"/>
    <w:rsid w:val="00730803"/>
    <w:rsid w:val="00731891"/>
    <w:rsid w:val="00732A68"/>
    <w:rsid w:val="00732C62"/>
    <w:rsid w:val="0073323D"/>
    <w:rsid w:val="00733F0E"/>
    <w:rsid w:val="0073409E"/>
    <w:rsid w:val="00734BDA"/>
    <w:rsid w:val="00734C44"/>
    <w:rsid w:val="00735CD9"/>
    <w:rsid w:val="00736262"/>
    <w:rsid w:val="007379DB"/>
    <w:rsid w:val="00740219"/>
    <w:rsid w:val="0074039F"/>
    <w:rsid w:val="00740A9A"/>
    <w:rsid w:val="007410B4"/>
    <w:rsid w:val="00741149"/>
    <w:rsid w:val="007418CF"/>
    <w:rsid w:val="007420B2"/>
    <w:rsid w:val="00742DD2"/>
    <w:rsid w:val="00743B63"/>
    <w:rsid w:val="00743CA9"/>
    <w:rsid w:val="0074437F"/>
    <w:rsid w:val="00744980"/>
    <w:rsid w:val="00744F0E"/>
    <w:rsid w:val="007459FE"/>
    <w:rsid w:val="00745DED"/>
    <w:rsid w:val="0074673C"/>
    <w:rsid w:val="00746FCC"/>
    <w:rsid w:val="0074726E"/>
    <w:rsid w:val="007509F0"/>
    <w:rsid w:val="00750D55"/>
    <w:rsid w:val="00751201"/>
    <w:rsid w:val="00751748"/>
    <w:rsid w:val="0075181A"/>
    <w:rsid w:val="00752C6E"/>
    <w:rsid w:val="00752CFC"/>
    <w:rsid w:val="00752F96"/>
    <w:rsid w:val="007534ED"/>
    <w:rsid w:val="00753813"/>
    <w:rsid w:val="00753D73"/>
    <w:rsid w:val="0075432E"/>
    <w:rsid w:val="0075485E"/>
    <w:rsid w:val="007549B4"/>
    <w:rsid w:val="00754A90"/>
    <w:rsid w:val="00754D62"/>
    <w:rsid w:val="00754F41"/>
    <w:rsid w:val="007558C4"/>
    <w:rsid w:val="00756B9C"/>
    <w:rsid w:val="00756FEE"/>
    <w:rsid w:val="0075728E"/>
    <w:rsid w:val="00760003"/>
    <w:rsid w:val="007602E7"/>
    <w:rsid w:val="007609D9"/>
    <w:rsid w:val="00760ED4"/>
    <w:rsid w:val="00760EF9"/>
    <w:rsid w:val="00761571"/>
    <w:rsid w:val="0076176D"/>
    <w:rsid w:val="00761BEE"/>
    <w:rsid w:val="00761E36"/>
    <w:rsid w:val="0076296F"/>
    <w:rsid w:val="00762EDA"/>
    <w:rsid w:val="00763C4C"/>
    <w:rsid w:val="007640F9"/>
    <w:rsid w:val="0076447E"/>
    <w:rsid w:val="007644B6"/>
    <w:rsid w:val="007644BA"/>
    <w:rsid w:val="0076473A"/>
    <w:rsid w:val="0076598C"/>
    <w:rsid w:val="00766BCD"/>
    <w:rsid w:val="00767672"/>
    <w:rsid w:val="00767EA4"/>
    <w:rsid w:val="007703A8"/>
    <w:rsid w:val="00770B8C"/>
    <w:rsid w:val="00770D75"/>
    <w:rsid w:val="00770DB1"/>
    <w:rsid w:val="00770FCB"/>
    <w:rsid w:val="00771503"/>
    <w:rsid w:val="00771BF8"/>
    <w:rsid w:val="007726DC"/>
    <w:rsid w:val="007727CE"/>
    <w:rsid w:val="007729B1"/>
    <w:rsid w:val="00772E13"/>
    <w:rsid w:val="00772E89"/>
    <w:rsid w:val="007736F4"/>
    <w:rsid w:val="00773BB7"/>
    <w:rsid w:val="00775CEE"/>
    <w:rsid w:val="00776973"/>
    <w:rsid w:val="00776B8B"/>
    <w:rsid w:val="00776EBF"/>
    <w:rsid w:val="007774B7"/>
    <w:rsid w:val="0077761A"/>
    <w:rsid w:val="00777834"/>
    <w:rsid w:val="007806EA"/>
    <w:rsid w:val="0078107D"/>
    <w:rsid w:val="0078124F"/>
    <w:rsid w:val="007818C6"/>
    <w:rsid w:val="00781FA9"/>
    <w:rsid w:val="00782163"/>
    <w:rsid w:val="00782220"/>
    <w:rsid w:val="007822D5"/>
    <w:rsid w:val="0078260F"/>
    <w:rsid w:val="00782760"/>
    <w:rsid w:val="0078298D"/>
    <w:rsid w:val="007829A0"/>
    <w:rsid w:val="00783062"/>
    <w:rsid w:val="00783076"/>
    <w:rsid w:val="00783422"/>
    <w:rsid w:val="00783605"/>
    <w:rsid w:val="007836B6"/>
    <w:rsid w:val="0078386E"/>
    <w:rsid w:val="00783F3D"/>
    <w:rsid w:val="00784071"/>
    <w:rsid w:val="00784179"/>
    <w:rsid w:val="0078481B"/>
    <w:rsid w:val="00784D95"/>
    <w:rsid w:val="00784ED8"/>
    <w:rsid w:val="00785E1F"/>
    <w:rsid w:val="00786954"/>
    <w:rsid w:val="00786AD9"/>
    <w:rsid w:val="007871CE"/>
    <w:rsid w:val="007874BC"/>
    <w:rsid w:val="00787849"/>
    <w:rsid w:val="00787982"/>
    <w:rsid w:val="00787A46"/>
    <w:rsid w:val="00790161"/>
    <w:rsid w:val="00790C21"/>
    <w:rsid w:val="00790CBB"/>
    <w:rsid w:val="00790E61"/>
    <w:rsid w:val="007915F9"/>
    <w:rsid w:val="0079166E"/>
    <w:rsid w:val="007916F2"/>
    <w:rsid w:val="00791C40"/>
    <w:rsid w:val="00792211"/>
    <w:rsid w:val="0079238F"/>
    <w:rsid w:val="007927E6"/>
    <w:rsid w:val="00792C0F"/>
    <w:rsid w:val="0079313D"/>
    <w:rsid w:val="0079317F"/>
    <w:rsid w:val="0079339E"/>
    <w:rsid w:val="00793A56"/>
    <w:rsid w:val="00793BF6"/>
    <w:rsid w:val="00793ED8"/>
    <w:rsid w:val="00793EE9"/>
    <w:rsid w:val="0079455A"/>
    <w:rsid w:val="00794E09"/>
    <w:rsid w:val="00794F7B"/>
    <w:rsid w:val="007952FA"/>
    <w:rsid w:val="0079550B"/>
    <w:rsid w:val="00795DC5"/>
    <w:rsid w:val="00796360"/>
    <w:rsid w:val="0079655A"/>
    <w:rsid w:val="00796888"/>
    <w:rsid w:val="0079725B"/>
    <w:rsid w:val="007976D9"/>
    <w:rsid w:val="007978BF"/>
    <w:rsid w:val="00797BB6"/>
    <w:rsid w:val="00797CA2"/>
    <w:rsid w:val="007A0397"/>
    <w:rsid w:val="007A078F"/>
    <w:rsid w:val="007A1A6C"/>
    <w:rsid w:val="007A1CA1"/>
    <w:rsid w:val="007A1FCB"/>
    <w:rsid w:val="007A25ED"/>
    <w:rsid w:val="007A345F"/>
    <w:rsid w:val="007A3610"/>
    <w:rsid w:val="007A3D29"/>
    <w:rsid w:val="007A489F"/>
    <w:rsid w:val="007A522D"/>
    <w:rsid w:val="007A6329"/>
    <w:rsid w:val="007A648C"/>
    <w:rsid w:val="007A68A7"/>
    <w:rsid w:val="007A6A5C"/>
    <w:rsid w:val="007A7049"/>
    <w:rsid w:val="007A71F7"/>
    <w:rsid w:val="007A79A7"/>
    <w:rsid w:val="007A79E2"/>
    <w:rsid w:val="007B005A"/>
    <w:rsid w:val="007B1140"/>
    <w:rsid w:val="007B133D"/>
    <w:rsid w:val="007B1548"/>
    <w:rsid w:val="007B16A7"/>
    <w:rsid w:val="007B1829"/>
    <w:rsid w:val="007B1CD1"/>
    <w:rsid w:val="007B1DCF"/>
    <w:rsid w:val="007B2208"/>
    <w:rsid w:val="007B26A1"/>
    <w:rsid w:val="007B2D3A"/>
    <w:rsid w:val="007B3299"/>
    <w:rsid w:val="007B37E4"/>
    <w:rsid w:val="007B3BB2"/>
    <w:rsid w:val="007B4891"/>
    <w:rsid w:val="007B4BC6"/>
    <w:rsid w:val="007B4D7A"/>
    <w:rsid w:val="007B4E14"/>
    <w:rsid w:val="007B4E7B"/>
    <w:rsid w:val="007B5104"/>
    <w:rsid w:val="007B5561"/>
    <w:rsid w:val="007B574D"/>
    <w:rsid w:val="007B5B05"/>
    <w:rsid w:val="007B60E5"/>
    <w:rsid w:val="007B7896"/>
    <w:rsid w:val="007B7961"/>
    <w:rsid w:val="007B7B15"/>
    <w:rsid w:val="007B7C83"/>
    <w:rsid w:val="007C01DC"/>
    <w:rsid w:val="007C09CD"/>
    <w:rsid w:val="007C1092"/>
    <w:rsid w:val="007C140B"/>
    <w:rsid w:val="007C2CC4"/>
    <w:rsid w:val="007C3F89"/>
    <w:rsid w:val="007C42AF"/>
    <w:rsid w:val="007C4498"/>
    <w:rsid w:val="007C48F3"/>
    <w:rsid w:val="007C4E8B"/>
    <w:rsid w:val="007C4EF2"/>
    <w:rsid w:val="007C5EB1"/>
    <w:rsid w:val="007C6330"/>
    <w:rsid w:val="007C64D7"/>
    <w:rsid w:val="007C68D8"/>
    <w:rsid w:val="007C7288"/>
    <w:rsid w:val="007C7C02"/>
    <w:rsid w:val="007C7CAE"/>
    <w:rsid w:val="007D0DE0"/>
    <w:rsid w:val="007D0F1E"/>
    <w:rsid w:val="007D24AB"/>
    <w:rsid w:val="007D2E89"/>
    <w:rsid w:val="007D3624"/>
    <w:rsid w:val="007D3D3C"/>
    <w:rsid w:val="007D40A1"/>
    <w:rsid w:val="007D426C"/>
    <w:rsid w:val="007D498D"/>
    <w:rsid w:val="007D4CEC"/>
    <w:rsid w:val="007D4F73"/>
    <w:rsid w:val="007D63F1"/>
    <w:rsid w:val="007D6724"/>
    <w:rsid w:val="007D6EA3"/>
    <w:rsid w:val="007D72A6"/>
    <w:rsid w:val="007D7AC8"/>
    <w:rsid w:val="007E0130"/>
    <w:rsid w:val="007E0559"/>
    <w:rsid w:val="007E07D4"/>
    <w:rsid w:val="007E0BDB"/>
    <w:rsid w:val="007E0E0C"/>
    <w:rsid w:val="007E1551"/>
    <w:rsid w:val="007E1D99"/>
    <w:rsid w:val="007E219C"/>
    <w:rsid w:val="007E2B42"/>
    <w:rsid w:val="007E30A3"/>
    <w:rsid w:val="007E3444"/>
    <w:rsid w:val="007E357C"/>
    <w:rsid w:val="007E385E"/>
    <w:rsid w:val="007E38EF"/>
    <w:rsid w:val="007E3B72"/>
    <w:rsid w:val="007E3FBB"/>
    <w:rsid w:val="007E4666"/>
    <w:rsid w:val="007E500D"/>
    <w:rsid w:val="007E50DD"/>
    <w:rsid w:val="007E5282"/>
    <w:rsid w:val="007E584A"/>
    <w:rsid w:val="007E5CA7"/>
    <w:rsid w:val="007E6755"/>
    <w:rsid w:val="007E6824"/>
    <w:rsid w:val="007E6CD1"/>
    <w:rsid w:val="007E722F"/>
    <w:rsid w:val="007E7DE6"/>
    <w:rsid w:val="007E7FCF"/>
    <w:rsid w:val="007F05B8"/>
    <w:rsid w:val="007F0788"/>
    <w:rsid w:val="007F08BF"/>
    <w:rsid w:val="007F08EA"/>
    <w:rsid w:val="007F0FA9"/>
    <w:rsid w:val="007F12D9"/>
    <w:rsid w:val="007F161E"/>
    <w:rsid w:val="007F1A3D"/>
    <w:rsid w:val="007F2AC8"/>
    <w:rsid w:val="007F328B"/>
    <w:rsid w:val="007F34EE"/>
    <w:rsid w:val="007F3858"/>
    <w:rsid w:val="007F43B7"/>
    <w:rsid w:val="007F4750"/>
    <w:rsid w:val="007F491B"/>
    <w:rsid w:val="007F53F3"/>
    <w:rsid w:val="007F5819"/>
    <w:rsid w:val="007F597A"/>
    <w:rsid w:val="007F5A93"/>
    <w:rsid w:val="007F5BB6"/>
    <w:rsid w:val="007F616F"/>
    <w:rsid w:val="007F647D"/>
    <w:rsid w:val="007F6559"/>
    <w:rsid w:val="007F6597"/>
    <w:rsid w:val="007F6857"/>
    <w:rsid w:val="007F6B23"/>
    <w:rsid w:val="007F7304"/>
    <w:rsid w:val="007F7709"/>
    <w:rsid w:val="00800638"/>
    <w:rsid w:val="00801428"/>
    <w:rsid w:val="0080142F"/>
    <w:rsid w:val="00802282"/>
    <w:rsid w:val="0080241C"/>
    <w:rsid w:val="00802458"/>
    <w:rsid w:val="00802B31"/>
    <w:rsid w:val="008030A0"/>
    <w:rsid w:val="0080312A"/>
    <w:rsid w:val="00803362"/>
    <w:rsid w:val="008044E4"/>
    <w:rsid w:val="008045AA"/>
    <w:rsid w:val="00804950"/>
    <w:rsid w:val="00804F0D"/>
    <w:rsid w:val="008053F2"/>
    <w:rsid w:val="008057F0"/>
    <w:rsid w:val="00805E80"/>
    <w:rsid w:val="00806CAE"/>
    <w:rsid w:val="00806E75"/>
    <w:rsid w:val="0080715D"/>
    <w:rsid w:val="008076E0"/>
    <w:rsid w:val="00807911"/>
    <w:rsid w:val="0080792A"/>
    <w:rsid w:val="00807C12"/>
    <w:rsid w:val="00807FF6"/>
    <w:rsid w:val="008102AB"/>
    <w:rsid w:val="00810598"/>
    <w:rsid w:val="00810958"/>
    <w:rsid w:val="00811846"/>
    <w:rsid w:val="008119B8"/>
    <w:rsid w:val="008120E2"/>
    <w:rsid w:val="008120F1"/>
    <w:rsid w:val="008124CA"/>
    <w:rsid w:val="00813737"/>
    <w:rsid w:val="00813B41"/>
    <w:rsid w:val="00813EFD"/>
    <w:rsid w:val="00813FDA"/>
    <w:rsid w:val="008144EF"/>
    <w:rsid w:val="00814D4F"/>
    <w:rsid w:val="008153D7"/>
    <w:rsid w:val="008155D6"/>
    <w:rsid w:val="008158F4"/>
    <w:rsid w:val="00815B2F"/>
    <w:rsid w:val="00815D0E"/>
    <w:rsid w:val="00816372"/>
    <w:rsid w:val="008167CC"/>
    <w:rsid w:val="00816AC7"/>
    <w:rsid w:val="00817030"/>
    <w:rsid w:val="008174C1"/>
    <w:rsid w:val="0081776D"/>
    <w:rsid w:val="0082020A"/>
    <w:rsid w:val="008203B6"/>
    <w:rsid w:val="00820B5A"/>
    <w:rsid w:val="00821652"/>
    <w:rsid w:val="00822099"/>
    <w:rsid w:val="008231E0"/>
    <w:rsid w:val="0082323B"/>
    <w:rsid w:val="00823658"/>
    <w:rsid w:val="008243A1"/>
    <w:rsid w:val="008243E7"/>
    <w:rsid w:val="00824970"/>
    <w:rsid w:val="0082542B"/>
    <w:rsid w:val="008255C5"/>
    <w:rsid w:val="0082562B"/>
    <w:rsid w:val="00825BC8"/>
    <w:rsid w:val="0082624F"/>
    <w:rsid w:val="00826BF6"/>
    <w:rsid w:val="00826C4B"/>
    <w:rsid w:val="00826F3E"/>
    <w:rsid w:val="008272EA"/>
    <w:rsid w:val="008273C2"/>
    <w:rsid w:val="00830268"/>
    <w:rsid w:val="00830A8D"/>
    <w:rsid w:val="00830CC4"/>
    <w:rsid w:val="00830F50"/>
    <w:rsid w:val="0083116F"/>
    <w:rsid w:val="00831B9B"/>
    <w:rsid w:val="00832045"/>
    <w:rsid w:val="00832090"/>
    <w:rsid w:val="008320B1"/>
    <w:rsid w:val="0083218B"/>
    <w:rsid w:val="008322AD"/>
    <w:rsid w:val="00832836"/>
    <w:rsid w:val="00832B91"/>
    <w:rsid w:val="0083331B"/>
    <w:rsid w:val="00833667"/>
    <w:rsid w:val="0083397C"/>
    <w:rsid w:val="00833F13"/>
    <w:rsid w:val="00834281"/>
    <w:rsid w:val="00834333"/>
    <w:rsid w:val="00834F69"/>
    <w:rsid w:val="00835591"/>
    <w:rsid w:val="008357E3"/>
    <w:rsid w:val="00835AC6"/>
    <w:rsid w:val="00835E7C"/>
    <w:rsid w:val="00835EC5"/>
    <w:rsid w:val="00835FB1"/>
    <w:rsid w:val="008368A8"/>
    <w:rsid w:val="00836EAC"/>
    <w:rsid w:val="008371E2"/>
    <w:rsid w:val="00837442"/>
    <w:rsid w:val="00837B04"/>
    <w:rsid w:val="00840269"/>
    <w:rsid w:val="00840A1A"/>
    <w:rsid w:val="00840C5A"/>
    <w:rsid w:val="00840E4E"/>
    <w:rsid w:val="0084107B"/>
    <w:rsid w:val="0084170E"/>
    <w:rsid w:val="0084182C"/>
    <w:rsid w:val="00841A60"/>
    <w:rsid w:val="00841E78"/>
    <w:rsid w:val="008425A6"/>
    <w:rsid w:val="00842666"/>
    <w:rsid w:val="00842752"/>
    <w:rsid w:val="008439C7"/>
    <w:rsid w:val="00843BE7"/>
    <w:rsid w:val="00844310"/>
    <w:rsid w:val="008450A9"/>
    <w:rsid w:val="00845115"/>
    <w:rsid w:val="00845C6B"/>
    <w:rsid w:val="00846259"/>
    <w:rsid w:val="00847007"/>
    <w:rsid w:val="00847329"/>
    <w:rsid w:val="00847497"/>
    <w:rsid w:val="008477B0"/>
    <w:rsid w:val="008479DA"/>
    <w:rsid w:val="00847B9B"/>
    <w:rsid w:val="00847C65"/>
    <w:rsid w:val="00850013"/>
    <w:rsid w:val="00850218"/>
    <w:rsid w:val="00850400"/>
    <w:rsid w:val="00850624"/>
    <w:rsid w:val="00852829"/>
    <w:rsid w:val="00852CB4"/>
    <w:rsid w:val="008532F5"/>
    <w:rsid w:val="008533AE"/>
    <w:rsid w:val="008534D4"/>
    <w:rsid w:val="00853A5F"/>
    <w:rsid w:val="00853A89"/>
    <w:rsid w:val="00853E26"/>
    <w:rsid w:val="0085426E"/>
    <w:rsid w:val="008546EC"/>
    <w:rsid w:val="00854747"/>
    <w:rsid w:val="00854AC4"/>
    <w:rsid w:val="0085560F"/>
    <w:rsid w:val="00855C8A"/>
    <w:rsid w:val="008560A9"/>
    <w:rsid w:val="0085621F"/>
    <w:rsid w:val="008566A4"/>
    <w:rsid w:val="008569D4"/>
    <w:rsid w:val="00856C5C"/>
    <w:rsid w:val="00856F33"/>
    <w:rsid w:val="00856FD7"/>
    <w:rsid w:val="008572B3"/>
    <w:rsid w:val="008572B7"/>
    <w:rsid w:val="008573E5"/>
    <w:rsid w:val="008577FD"/>
    <w:rsid w:val="00857CF2"/>
    <w:rsid w:val="00857F0B"/>
    <w:rsid w:val="00857F81"/>
    <w:rsid w:val="00860905"/>
    <w:rsid w:val="008610C0"/>
    <w:rsid w:val="00861876"/>
    <w:rsid w:val="00861B70"/>
    <w:rsid w:val="00861C85"/>
    <w:rsid w:val="00861DAA"/>
    <w:rsid w:val="00861FCE"/>
    <w:rsid w:val="00862451"/>
    <w:rsid w:val="00862763"/>
    <w:rsid w:val="00862E5F"/>
    <w:rsid w:val="008630FA"/>
    <w:rsid w:val="0086358B"/>
    <w:rsid w:val="00863A22"/>
    <w:rsid w:val="00863CAC"/>
    <w:rsid w:val="00864615"/>
    <w:rsid w:val="00864941"/>
    <w:rsid w:val="00864E47"/>
    <w:rsid w:val="008652AE"/>
    <w:rsid w:val="00865ACB"/>
    <w:rsid w:val="00865C7F"/>
    <w:rsid w:val="00866607"/>
    <w:rsid w:val="00866752"/>
    <w:rsid w:val="00866D2B"/>
    <w:rsid w:val="00867388"/>
    <w:rsid w:val="00867521"/>
    <w:rsid w:val="008704A3"/>
    <w:rsid w:val="0087051E"/>
    <w:rsid w:val="00870AE3"/>
    <w:rsid w:val="00870CCB"/>
    <w:rsid w:val="00871003"/>
    <w:rsid w:val="008714F5"/>
    <w:rsid w:val="00871B45"/>
    <w:rsid w:val="00871F0C"/>
    <w:rsid w:val="00872194"/>
    <w:rsid w:val="0087224E"/>
    <w:rsid w:val="008729C8"/>
    <w:rsid w:val="00873509"/>
    <w:rsid w:val="00873579"/>
    <w:rsid w:val="0087364B"/>
    <w:rsid w:val="008737FE"/>
    <w:rsid w:val="00873904"/>
    <w:rsid w:val="00873A63"/>
    <w:rsid w:val="008742B6"/>
    <w:rsid w:val="0087434C"/>
    <w:rsid w:val="00874B77"/>
    <w:rsid w:val="00874CAE"/>
    <w:rsid w:val="008754CF"/>
    <w:rsid w:val="0087555E"/>
    <w:rsid w:val="00875BF5"/>
    <w:rsid w:val="00876047"/>
    <w:rsid w:val="00876097"/>
    <w:rsid w:val="008763CF"/>
    <w:rsid w:val="008767F9"/>
    <w:rsid w:val="00876AA3"/>
    <w:rsid w:val="008776D7"/>
    <w:rsid w:val="00877864"/>
    <w:rsid w:val="00880915"/>
    <w:rsid w:val="00880B49"/>
    <w:rsid w:val="008810A8"/>
    <w:rsid w:val="00881684"/>
    <w:rsid w:val="00881759"/>
    <w:rsid w:val="00881A11"/>
    <w:rsid w:val="00881BFE"/>
    <w:rsid w:val="008820F6"/>
    <w:rsid w:val="00882AFE"/>
    <w:rsid w:val="00882EA0"/>
    <w:rsid w:val="008833C7"/>
    <w:rsid w:val="008835C9"/>
    <w:rsid w:val="00884593"/>
    <w:rsid w:val="00884DF1"/>
    <w:rsid w:val="008855A5"/>
    <w:rsid w:val="00885681"/>
    <w:rsid w:val="008857A4"/>
    <w:rsid w:val="00885AA3"/>
    <w:rsid w:val="00885AD9"/>
    <w:rsid w:val="00885E34"/>
    <w:rsid w:val="00885EB7"/>
    <w:rsid w:val="00885FD7"/>
    <w:rsid w:val="008867D2"/>
    <w:rsid w:val="00887A6C"/>
    <w:rsid w:val="00890286"/>
    <w:rsid w:val="008908E2"/>
    <w:rsid w:val="00890929"/>
    <w:rsid w:val="00890B9C"/>
    <w:rsid w:val="00890BC9"/>
    <w:rsid w:val="00890E00"/>
    <w:rsid w:val="008918A7"/>
    <w:rsid w:val="00891CBC"/>
    <w:rsid w:val="00891D21"/>
    <w:rsid w:val="00891D66"/>
    <w:rsid w:val="0089233E"/>
    <w:rsid w:val="0089244C"/>
    <w:rsid w:val="0089257E"/>
    <w:rsid w:val="008928B5"/>
    <w:rsid w:val="0089309B"/>
    <w:rsid w:val="00893249"/>
    <w:rsid w:val="0089356E"/>
    <w:rsid w:val="008939B5"/>
    <w:rsid w:val="008939F0"/>
    <w:rsid w:val="00894A30"/>
    <w:rsid w:val="008951EB"/>
    <w:rsid w:val="008952D8"/>
    <w:rsid w:val="0089548E"/>
    <w:rsid w:val="0089559A"/>
    <w:rsid w:val="00895629"/>
    <w:rsid w:val="00895BB9"/>
    <w:rsid w:val="00895DF7"/>
    <w:rsid w:val="008971D7"/>
    <w:rsid w:val="00897673"/>
    <w:rsid w:val="00897E1D"/>
    <w:rsid w:val="008A06CD"/>
    <w:rsid w:val="008A1041"/>
    <w:rsid w:val="008A1214"/>
    <w:rsid w:val="008A19B6"/>
    <w:rsid w:val="008A20E5"/>
    <w:rsid w:val="008A2538"/>
    <w:rsid w:val="008A3118"/>
    <w:rsid w:val="008A32CC"/>
    <w:rsid w:val="008A3637"/>
    <w:rsid w:val="008A4E6E"/>
    <w:rsid w:val="008A581E"/>
    <w:rsid w:val="008A665A"/>
    <w:rsid w:val="008A6C47"/>
    <w:rsid w:val="008A721A"/>
    <w:rsid w:val="008A7623"/>
    <w:rsid w:val="008A788E"/>
    <w:rsid w:val="008A7A87"/>
    <w:rsid w:val="008B07D3"/>
    <w:rsid w:val="008B0BF0"/>
    <w:rsid w:val="008B1C75"/>
    <w:rsid w:val="008B1D84"/>
    <w:rsid w:val="008B1E56"/>
    <w:rsid w:val="008B234C"/>
    <w:rsid w:val="008B23B5"/>
    <w:rsid w:val="008B2D17"/>
    <w:rsid w:val="008B381A"/>
    <w:rsid w:val="008B3BCF"/>
    <w:rsid w:val="008B3E91"/>
    <w:rsid w:val="008B40E1"/>
    <w:rsid w:val="008B43F4"/>
    <w:rsid w:val="008B4778"/>
    <w:rsid w:val="008B4F80"/>
    <w:rsid w:val="008B5190"/>
    <w:rsid w:val="008B5952"/>
    <w:rsid w:val="008B6154"/>
    <w:rsid w:val="008B65D0"/>
    <w:rsid w:val="008B6A0F"/>
    <w:rsid w:val="008C00ED"/>
    <w:rsid w:val="008C05FD"/>
    <w:rsid w:val="008C0812"/>
    <w:rsid w:val="008C0C8D"/>
    <w:rsid w:val="008C0CE3"/>
    <w:rsid w:val="008C0F2C"/>
    <w:rsid w:val="008C1D34"/>
    <w:rsid w:val="008C20C3"/>
    <w:rsid w:val="008C21A3"/>
    <w:rsid w:val="008C27DA"/>
    <w:rsid w:val="008C2CCF"/>
    <w:rsid w:val="008C3490"/>
    <w:rsid w:val="008C36B5"/>
    <w:rsid w:val="008C3721"/>
    <w:rsid w:val="008C38D8"/>
    <w:rsid w:val="008C3AC3"/>
    <w:rsid w:val="008C3D17"/>
    <w:rsid w:val="008C3F84"/>
    <w:rsid w:val="008C47A3"/>
    <w:rsid w:val="008C47EC"/>
    <w:rsid w:val="008C48E6"/>
    <w:rsid w:val="008C51E3"/>
    <w:rsid w:val="008C51E4"/>
    <w:rsid w:val="008C55B6"/>
    <w:rsid w:val="008C58DB"/>
    <w:rsid w:val="008C5A62"/>
    <w:rsid w:val="008C5C5A"/>
    <w:rsid w:val="008C5DCD"/>
    <w:rsid w:val="008C5FEC"/>
    <w:rsid w:val="008C6C43"/>
    <w:rsid w:val="008C7E18"/>
    <w:rsid w:val="008D021E"/>
    <w:rsid w:val="008D05D8"/>
    <w:rsid w:val="008D0A4A"/>
    <w:rsid w:val="008D0E20"/>
    <w:rsid w:val="008D1436"/>
    <w:rsid w:val="008D2394"/>
    <w:rsid w:val="008D24DB"/>
    <w:rsid w:val="008D2929"/>
    <w:rsid w:val="008D2D1F"/>
    <w:rsid w:val="008D2EFD"/>
    <w:rsid w:val="008D2EFF"/>
    <w:rsid w:val="008D301B"/>
    <w:rsid w:val="008D3707"/>
    <w:rsid w:val="008D3F91"/>
    <w:rsid w:val="008D4AB2"/>
    <w:rsid w:val="008D4B3B"/>
    <w:rsid w:val="008D4B43"/>
    <w:rsid w:val="008D523D"/>
    <w:rsid w:val="008D5A3C"/>
    <w:rsid w:val="008D64D9"/>
    <w:rsid w:val="008D653B"/>
    <w:rsid w:val="008D69DE"/>
    <w:rsid w:val="008D6D1A"/>
    <w:rsid w:val="008D7367"/>
    <w:rsid w:val="008D7778"/>
    <w:rsid w:val="008D7991"/>
    <w:rsid w:val="008E0364"/>
    <w:rsid w:val="008E04E6"/>
    <w:rsid w:val="008E0EB7"/>
    <w:rsid w:val="008E1976"/>
    <w:rsid w:val="008E20CB"/>
    <w:rsid w:val="008E2352"/>
    <w:rsid w:val="008E23C4"/>
    <w:rsid w:val="008E24EE"/>
    <w:rsid w:val="008E2B18"/>
    <w:rsid w:val="008E2BFC"/>
    <w:rsid w:val="008E39FE"/>
    <w:rsid w:val="008E421F"/>
    <w:rsid w:val="008E4D51"/>
    <w:rsid w:val="008E5680"/>
    <w:rsid w:val="008E5772"/>
    <w:rsid w:val="008E6550"/>
    <w:rsid w:val="008E6836"/>
    <w:rsid w:val="008E69BE"/>
    <w:rsid w:val="008E69EE"/>
    <w:rsid w:val="008F013D"/>
    <w:rsid w:val="008F03EC"/>
    <w:rsid w:val="008F0423"/>
    <w:rsid w:val="008F0978"/>
    <w:rsid w:val="008F12D4"/>
    <w:rsid w:val="008F1360"/>
    <w:rsid w:val="008F15B5"/>
    <w:rsid w:val="008F17EB"/>
    <w:rsid w:val="008F1E73"/>
    <w:rsid w:val="008F20A0"/>
    <w:rsid w:val="008F33A8"/>
    <w:rsid w:val="008F3407"/>
    <w:rsid w:val="008F36BF"/>
    <w:rsid w:val="008F3BA0"/>
    <w:rsid w:val="008F4770"/>
    <w:rsid w:val="008F4889"/>
    <w:rsid w:val="008F4FEF"/>
    <w:rsid w:val="008F50D5"/>
    <w:rsid w:val="008F5A57"/>
    <w:rsid w:val="008F6618"/>
    <w:rsid w:val="008F69E4"/>
    <w:rsid w:val="008F6FCE"/>
    <w:rsid w:val="008F7501"/>
    <w:rsid w:val="008F78D9"/>
    <w:rsid w:val="008F7BB1"/>
    <w:rsid w:val="008F7CD2"/>
    <w:rsid w:val="00900CE3"/>
    <w:rsid w:val="0090130C"/>
    <w:rsid w:val="009014FA"/>
    <w:rsid w:val="00901C0A"/>
    <w:rsid w:val="00901FB2"/>
    <w:rsid w:val="00902197"/>
    <w:rsid w:val="009026F9"/>
    <w:rsid w:val="0090291C"/>
    <w:rsid w:val="00902CE1"/>
    <w:rsid w:val="00902DAC"/>
    <w:rsid w:val="00903306"/>
    <w:rsid w:val="009034BB"/>
    <w:rsid w:val="00903A03"/>
    <w:rsid w:val="00903E74"/>
    <w:rsid w:val="00903F9F"/>
    <w:rsid w:val="009043A5"/>
    <w:rsid w:val="0090440E"/>
    <w:rsid w:val="0090456F"/>
    <w:rsid w:val="00904D70"/>
    <w:rsid w:val="00904E41"/>
    <w:rsid w:val="00904F01"/>
    <w:rsid w:val="009050CA"/>
    <w:rsid w:val="0090663C"/>
    <w:rsid w:val="009066DE"/>
    <w:rsid w:val="00906B26"/>
    <w:rsid w:val="009072C6"/>
    <w:rsid w:val="009076A5"/>
    <w:rsid w:val="0090788F"/>
    <w:rsid w:val="0091061A"/>
    <w:rsid w:val="00910AB2"/>
    <w:rsid w:val="00910FDF"/>
    <w:rsid w:val="0091128C"/>
    <w:rsid w:val="00911764"/>
    <w:rsid w:val="009126C2"/>
    <w:rsid w:val="00912B60"/>
    <w:rsid w:val="009130D6"/>
    <w:rsid w:val="009133F6"/>
    <w:rsid w:val="0091351A"/>
    <w:rsid w:val="00914013"/>
    <w:rsid w:val="0091411C"/>
    <w:rsid w:val="009141CA"/>
    <w:rsid w:val="009142D7"/>
    <w:rsid w:val="00914E58"/>
    <w:rsid w:val="0091583A"/>
    <w:rsid w:val="00915FBC"/>
    <w:rsid w:val="009165CF"/>
    <w:rsid w:val="00916A7A"/>
    <w:rsid w:val="0091724C"/>
    <w:rsid w:val="0091738D"/>
    <w:rsid w:val="009179AF"/>
    <w:rsid w:val="0092029E"/>
    <w:rsid w:val="00920512"/>
    <w:rsid w:val="00920AB0"/>
    <w:rsid w:val="00920B56"/>
    <w:rsid w:val="00921475"/>
    <w:rsid w:val="00921D0D"/>
    <w:rsid w:val="0092221F"/>
    <w:rsid w:val="00922302"/>
    <w:rsid w:val="0092237B"/>
    <w:rsid w:val="00922ADB"/>
    <w:rsid w:val="00922CC2"/>
    <w:rsid w:val="009230AC"/>
    <w:rsid w:val="00923408"/>
    <w:rsid w:val="00923709"/>
    <w:rsid w:val="00923974"/>
    <w:rsid w:val="009242B7"/>
    <w:rsid w:val="00924689"/>
    <w:rsid w:val="0092494B"/>
    <w:rsid w:val="00925553"/>
    <w:rsid w:val="009257B7"/>
    <w:rsid w:val="00925E8D"/>
    <w:rsid w:val="00926621"/>
    <w:rsid w:val="00926674"/>
    <w:rsid w:val="00926C86"/>
    <w:rsid w:val="009276DC"/>
    <w:rsid w:val="009276F7"/>
    <w:rsid w:val="009277E1"/>
    <w:rsid w:val="00930344"/>
    <w:rsid w:val="0093097C"/>
    <w:rsid w:val="00930CAE"/>
    <w:rsid w:val="00931351"/>
    <w:rsid w:val="009314E2"/>
    <w:rsid w:val="0093218C"/>
    <w:rsid w:val="00932283"/>
    <w:rsid w:val="00932320"/>
    <w:rsid w:val="00932520"/>
    <w:rsid w:val="00932F54"/>
    <w:rsid w:val="00932F56"/>
    <w:rsid w:val="00933933"/>
    <w:rsid w:val="00934760"/>
    <w:rsid w:val="00934D8A"/>
    <w:rsid w:val="0093518F"/>
    <w:rsid w:val="009356AD"/>
    <w:rsid w:val="009364DD"/>
    <w:rsid w:val="00936F59"/>
    <w:rsid w:val="009370BA"/>
    <w:rsid w:val="0093726E"/>
    <w:rsid w:val="00937408"/>
    <w:rsid w:val="0093756B"/>
    <w:rsid w:val="00937D1E"/>
    <w:rsid w:val="00937EC6"/>
    <w:rsid w:val="0094020C"/>
    <w:rsid w:val="009402B0"/>
    <w:rsid w:val="00940784"/>
    <w:rsid w:val="0094092F"/>
    <w:rsid w:val="009409A0"/>
    <w:rsid w:val="00941536"/>
    <w:rsid w:val="00941ACE"/>
    <w:rsid w:val="00941BD7"/>
    <w:rsid w:val="00942331"/>
    <w:rsid w:val="009427FD"/>
    <w:rsid w:val="00942971"/>
    <w:rsid w:val="00942D14"/>
    <w:rsid w:val="00942ECF"/>
    <w:rsid w:val="0094318A"/>
    <w:rsid w:val="009441EE"/>
    <w:rsid w:val="009447AB"/>
    <w:rsid w:val="00944CE1"/>
    <w:rsid w:val="0094519F"/>
    <w:rsid w:val="009451F3"/>
    <w:rsid w:val="00945F9C"/>
    <w:rsid w:val="00946146"/>
    <w:rsid w:val="00946524"/>
    <w:rsid w:val="009477ED"/>
    <w:rsid w:val="00947C49"/>
    <w:rsid w:val="009502BC"/>
    <w:rsid w:val="009505B8"/>
    <w:rsid w:val="0095064D"/>
    <w:rsid w:val="00950F2D"/>
    <w:rsid w:val="009510F8"/>
    <w:rsid w:val="009512BE"/>
    <w:rsid w:val="009518AD"/>
    <w:rsid w:val="00951A34"/>
    <w:rsid w:val="00951F94"/>
    <w:rsid w:val="009524E2"/>
    <w:rsid w:val="009528F5"/>
    <w:rsid w:val="00952F21"/>
    <w:rsid w:val="00953074"/>
    <w:rsid w:val="00953638"/>
    <w:rsid w:val="009536D4"/>
    <w:rsid w:val="00953744"/>
    <w:rsid w:val="00954058"/>
    <w:rsid w:val="0095426E"/>
    <w:rsid w:val="009545A9"/>
    <w:rsid w:val="00954F8E"/>
    <w:rsid w:val="00955CCF"/>
    <w:rsid w:val="0095637C"/>
    <w:rsid w:val="0095753D"/>
    <w:rsid w:val="00957785"/>
    <w:rsid w:val="00960749"/>
    <w:rsid w:val="00960862"/>
    <w:rsid w:val="00961045"/>
    <w:rsid w:val="009611E1"/>
    <w:rsid w:val="00961586"/>
    <w:rsid w:val="009617C7"/>
    <w:rsid w:val="00961A7F"/>
    <w:rsid w:val="00962126"/>
    <w:rsid w:val="009628AC"/>
    <w:rsid w:val="00962B07"/>
    <w:rsid w:val="00962FC9"/>
    <w:rsid w:val="00964147"/>
    <w:rsid w:val="00964191"/>
    <w:rsid w:val="009643CE"/>
    <w:rsid w:val="0096449C"/>
    <w:rsid w:val="00964584"/>
    <w:rsid w:val="009645DD"/>
    <w:rsid w:val="00965498"/>
    <w:rsid w:val="00965EA8"/>
    <w:rsid w:val="009679EC"/>
    <w:rsid w:val="00967B0B"/>
    <w:rsid w:val="00967B7D"/>
    <w:rsid w:val="00967BD7"/>
    <w:rsid w:val="00970CB2"/>
    <w:rsid w:val="0097153D"/>
    <w:rsid w:val="0097153F"/>
    <w:rsid w:val="00971FE8"/>
    <w:rsid w:val="009720ED"/>
    <w:rsid w:val="00972329"/>
    <w:rsid w:val="00972748"/>
    <w:rsid w:val="00973BD8"/>
    <w:rsid w:val="00973E89"/>
    <w:rsid w:val="009747A7"/>
    <w:rsid w:val="00974DEE"/>
    <w:rsid w:val="00974E2F"/>
    <w:rsid w:val="00974E62"/>
    <w:rsid w:val="00974EF5"/>
    <w:rsid w:val="009756BC"/>
    <w:rsid w:val="00975A1D"/>
    <w:rsid w:val="00975CF5"/>
    <w:rsid w:val="00975DB3"/>
    <w:rsid w:val="00975FE7"/>
    <w:rsid w:val="0097627B"/>
    <w:rsid w:val="009765D1"/>
    <w:rsid w:val="0097691D"/>
    <w:rsid w:val="00976C91"/>
    <w:rsid w:val="00976D0D"/>
    <w:rsid w:val="00976DE2"/>
    <w:rsid w:val="0098060F"/>
    <w:rsid w:val="00980C60"/>
    <w:rsid w:val="00980FEC"/>
    <w:rsid w:val="00980FF5"/>
    <w:rsid w:val="0098140A"/>
    <w:rsid w:val="00982457"/>
    <w:rsid w:val="00982599"/>
    <w:rsid w:val="00982A42"/>
    <w:rsid w:val="00982CCE"/>
    <w:rsid w:val="00982ED1"/>
    <w:rsid w:val="00983509"/>
    <w:rsid w:val="00983707"/>
    <w:rsid w:val="00984A0E"/>
    <w:rsid w:val="00984C13"/>
    <w:rsid w:val="00984DB4"/>
    <w:rsid w:val="00985D3C"/>
    <w:rsid w:val="00986136"/>
    <w:rsid w:val="009863E6"/>
    <w:rsid w:val="00986521"/>
    <w:rsid w:val="009867CD"/>
    <w:rsid w:val="00986827"/>
    <w:rsid w:val="00987502"/>
    <w:rsid w:val="00987D95"/>
    <w:rsid w:val="00987F0C"/>
    <w:rsid w:val="00990253"/>
    <w:rsid w:val="00990C55"/>
    <w:rsid w:val="00991E39"/>
    <w:rsid w:val="00992926"/>
    <w:rsid w:val="009939E9"/>
    <w:rsid w:val="00993F94"/>
    <w:rsid w:val="009940F3"/>
    <w:rsid w:val="009946FA"/>
    <w:rsid w:val="00994AC6"/>
    <w:rsid w:val="00994FA9"/>
    <w:rsid w:val="00995488"/>
    <w:rsid w:val="00995797"/>
    <w:rsid w:val="00995BCB"/>
    <w:rsid w:val="00995D2B"/>
    <w:rsid w:val="009960C4"/>
    <w:rsid w:val="00996470"/>
    <w:rsid w:val="009964CD"/>
    <w:rsid w:val="009965C5"/>
    <w:rsid w:val="00996D87"/>
    <w:rsid w:val="00997302"/>
    <w:rsid w:val="009975D6"/>
    <w:rsid w:val="00997E62"/>
    <w:rsid w:val="009A01CA"/>
    <w:rsid w:val="009A0321"/>
    <w:rsid w:val="009A0A85"/>
    <w:rsid w:val="009A0FF7"/>
    <w:rsid w:val="009A12CD"/>
    <w:rsid w:val="009A142A"/>
    <w:rsid w:val="009A1778"/>
    <w:rsid w:val="009A2634"/>
    <w:rsid w:val="009A285A"/>
    <w:rsid w:val="009A3B46"/>
    <w:rsid w:val="009A4822"/>
    <w:rsid w:val="009A490C"/>
    <w:rsid w:val="009A4DAA"/>
    <w:rsid w:val="009A5198"/>
    <w:rsid w:val="009A55D7"/>
    <w:rsid w:val="009A5A52"/>
    <w:rsid w:val="009A5EAE"/>
    <w:rsid w:val="009A6C00"/>
    <w:rsid w:val="009A6C7D"/>
    <w:rsid w:val="009A75B8"/>
    <w:rsid w:val="009A78CD"/>
    <w:rsid w:val="009A7B1B"/>
    <w:rsid w:val="009B12EF"/>
    <w:rsid w:val="009B36EF"/>
    <w:rsid w:val="009B3B91"/>
    <w:rsid w:val="009B3D83"/>
    <w:rsid w:val="009B3FF6"/>
    <w:rsid w:val="009B402A"/>
    <w:rsid w:val="009B48A6"/>
    <w:rsid w:val="009B4962"/>
    <w:rsid w:val="009B4B15"/>
    <w:rsid w:val="009B4B73"/>
    <w:rsid w:val="009B52B8"/>
    <w:rsid w:val="009B583A"/>
    <w:rsid w:val="009B5A93"/>
    <w:rsid w:val="009B60F0"/>
    <w:rsid w:val="009B63A1"/>
    <w:rsid w:val="009B675F"/>
    <w:rsid w:val="009B6897"/>
    <w:rsid w:val="009B6A9E"/>
    <w:rsid w:val="009B6AA6"/>
    <w:rsid w:val="009B7859"/>
    <w:rsid w:val="009B78AC"/>
    <w:rsid w:val="009B79DD"/>
    <w:rsid w:val="009C0408"/>
    <w:rsid w:val="009C0415"/>
    <w:rsid w:val="009C0431"/>
    <w:rsid w:val="009C050D"/>
    <w:rsid w:val="009C09A4"/>
    <w:rsid w:val="009C21B4"/>
    <w:rsid w:val="009C22DC"/>
    <w:rsid w:val="009C2413"/>
    <w:rsid w:val="009C29ED"/>
    <w:rsid w:val="009C2BC5"/>
    <w:rsid w:val="009C2E2D"/>
    <w:rsid w:val="009C30F0"/>
    <w:rsid w:val="009C3496"/>
    <w:rsid w:val="009C37E1"/>
    <w:rsid w:val="009C386D"/>
    <w:rsid w:val="009C3A9E"/>
    <w:rsid w:val="009C3E81"/>
    <w:rsid w:val="009C3FD2"/>
    <w:rsid w:val="009C4147"/>
    <w:rsid w:val="009C5464"/>
    <w:rsid w:val="009C5600"/>
    <w:rsid w:val="009C5A25"/>
    <w:rsid w:val="009C5AD3"/>
    <w:rsid w:val="009C6918"/>
    <w:rsid w:val="009C6A7E"/>
    <w:rsid w:val="009C6EC6"/>
    <w:rsid w:val="009C737B"/>
    <w:rsid w:val="009C73CC"/>
    <w:rsid w:val="009C761E"/>
    <w:rsid w:val="009C7676"/>
    <w:rsid w:val="009C7A06"/>
    <w:rsid w:val="009D0390"/>
    <w:rsid w:val="009D0D95"/>
    <w:rsid w:val="009D16FB"/>
    <w:rsid w:val="009D1F17"/>
    <w:rsid w:val="009D25DE"/>
    <w:rsid w:val="009D2625"/>
    <w:rsid w:val="009D272A"/>
    <w:rsid w:val="009D296A"/>
    <w:rsid w:val="009D2C24"/>
    <w:rsid w:val="009D2D94"/>
    <w:rsid w:val="009D2F12"/>
    <w:rsid w:val="009D31F4"/>
    <w:rsid w:val="009D3A51"/>
    <w:rsid w:val="009D5103"/>
    <w:rsid w:val="009D5227"/>
    <w:rsid w:val="009D629A"/>
    <w:rsid w:val="009D675F"/>
    <w:rsid w:val="009D7513"/>
    <w:rsid w:val="009D76BD"/>
    <w:rsid w:val="009D78E2"/>
    <w:rsid w:val="009D7A86"/>
    <w:rsid w:val="009E03FD"/>
    <w:rsid w:val="009E0649"/>
    <w:rsid w:val="009E0949"/>
    <w:rsid w:val="009E0B9F"/>
    <w:rsid w:val="009E1BCD"/>
    <w:rsid w:val="009E1DAD"/>
    <w:rsid w:val="009E1FF8"/>
    <w:rsid w:val="009E2022"/>
    <w:rsid w:val="009E2756"/>
    <w:rsid w:val="009E2D07"/>
    <w:rsid w:val="009E33D2"/>
    <w:rsid w:val="009E3481"/>
    <w:rsid w:val="009E353C"/>
    <w:rsid w:val="009E3855"/>
    <w:rsid w:val="009E3CEE"/>
    <w:rsid w:val="009E3CF3"/>
    <w:rsid w:val="009E3DE2"/>
    <w:rsid w:val="009E3F51"/>
    <w:rsid w:val="009E41A9"/>
    <w:rsid w:val="009E432B"/>
    <w:rsid w:val="009E44B7"/>
    <w:rsid w:val="009E4EA1"/>
    <w:rsid w:val="009E5119"/>
    <w:rsid w:val="009E5259"/>
    <w:rsid w:val="009E55D8"/>
    <w:rsid w:val="009E5DA5"/>
    <w:rsid w:val="009E5E7B"/>
    <w:rsid w:val="009E696E"/>
    <w:rsid w:val="009E6F65"/>
    <w:rsid w:val="009E6FDC"/>
    <w:rsid w:val="009E71C2"/>
    <w:rsid w:val="009E7AA6"/>
    <w:rsid w:val="009E7CFA"/>
    <w:rsid w:val="009E7E3D"/>
    <w:rsid w:val="009F0444"/>
    <w:rsid w:val="009F106E"/>
    <w:rsid w:val="009F158D"/>
    <w:rsid w:val="009F1691"/>
    <w:rsid w:val="009F1D45"/>
    <w:rsid w:val="009F1F01"/>
    <w:rsid w:val="009F230B"/>
    <w:rsid w:val="009F266E"/>
    <w:rsid w:val="009F2B80"/>
    <w:rsid w:val="009F3039"/>
    <w:rsid w:val="009F310C"/>
    <w:rsid w:val="009F32F6"/>
    <w:rsid w:val="009F3903"/>
    <w:rsid w:val="009F4521"/>
    <w:rsid w:val="009F46C7"/>
    <w:rsid w:val="009F4C45"/>
    <w:rsid w:val="009F52C8"/>
    <w:rsid w:val="009F6185"/>
    <w:rsid w:val="009F6308"/>
    <w:rsid w:val="009F6C55"/>
    <w:rsid w:val="009F7537"/>
    <w:rsid w:val="00A00045"/>
    <w:rsid w:val="00A00896"/>
    <w:rsid w:val="00A00ABD"/>
    <w:rsid w:val="00A00DE4"/>
    <w:rsid w:val="00A00EF8"/>
    <w:rsid w:val="00A011D6"/>
    <w:rsid w:val="00A01E91"/>
    <w:rsid w:val="00A02044"/>
    <w:rsid w:val="00A02939"/>
    <w:rsid w:val="00A02B00"/>
    <w:rsid w:val="00A0327A"/>
    <w:rsid w:val="00A03487"/>
    <w:rsid w:val="00A034AE"/>
    <w:rsid w:val="00A03C5C"/>
    <w:rsid w:val="00A03E15"/>
    <w:rsid w:val="00A0407C"/>
    <w:rsid w:val="00A04E08"/>
    <w:rsid w:val="00A0666F"/>
    <w:rsid w:val="00A06A02"/>
    <w:rsid w:val="00A06D33"/>
    <w:rsid w:val="00A06FF3"/>
    <w:rsid w:val="00A07526"/>
    <w:rsid w:val="00A076C7"/>
    <w:rsid w:val="00A0773C"/>
    <w:rsid w:val="00A07F23"/>
    <w:rsid w:val="00A10073"/>
    <w:rsid w:val="00A10944"/>
    <w:rsid w:val="00A1096E"/>
    <w:rsid w:val="00A10C9A"/>
    <w:rsid w:val="00A10F42"/>
    <w:rsid w:val="00A111B3"/>
    <w:rsid w:val="00A111E7"/>
    <w:rsid w:val="00A1161B"/>
    <w:rsid w:val="00A11891"/>
    <w:rsid w:val="00A12302"/>
    <w:rsid w:val="00A1299A"/>
    <w:rsid w:val="00A12A70"/>
    <w:rsid w:val="00A12F1B"/>
    <w:rsid w:val="00A130B0"/>
    <w:rsid w:val="00A13E84"/>
    <w:rsid w:val="00A1450E"/>
    <w:rsid w:val="00A14513"/>
    <w:rsid w:val="00A1476A"/>
    <w:rsid w:val="00A1499A"/>
    <w:rsid w:val="00A14CE9"/>
    <w:rsid w:val="00A156ED"/>
    <w:rsid w:val="00A15732"/>
    <w:rsid w:val="00A15EAD"/>
    <w:rsid w:val="00A16457"/>
    <w:rsid w:val="00A20866"/>
    <w:rsid w:val="00A208EA"/>
    <w:rsid w:val="00A20B30"/>
    <w:rsid w:val="00A20B56"/>
    <w:rsid w:val="00A20BAE"/>
    <w:rsid w:val="00A20C03"/>
    <w:rsid w:val="00A21917"/>
    <w:rsid w:val="00A21C34"/>
    <w:rsid w:val="00A21C50"/>
    <w:rsid w:val="00A22D52"/>
    <w:rsid w:val="00A22E67"/>
    <w:rsid w:val="00A23403"/>
    <w:rsid w:val="00A2365B"/>
    <w:rsid w:val="00A236BE"/>
    <w:rsid w:val="00A23862"/>
    <w:rsid w:val="00A23DAC"/>
    <w:rsid w:val="00A2415E"/>
    <w:rsid w:val="00A24185"/>
    <w:rsid w:val="00A24288"/>
    <w:rsid w:val="00A24DE6"/>
    <w:rsid w:val="00A25023"/>
    <w:rsid w:val="00A264EA"/>
    <w:rsid w:val="00A2683E"/>
    <w:rsid w:val="00A26984"/>
    <w:rsid w:val="00A26A91"/>
    <w:rsid w:val="00A26B33"/>
    <w:rsid w:val="00A26BA2"/>
    <w:rsid w:val="00A303D8"/>
    <w:rsid w:val="00A30918"/>
    <w:rsid w:val="00A31396"/>
    <w:rsid w:val="00A31504"/>
    <w:rsid w:val="00A315D7"/>
    <w:rsid w:val="00A31F46"/>
    <w:rsid w:val="00A3200A"/>
    <w:rsid w:val="00A32370"/>
    <w:rsid w:val="00A32765"/>
    <w:rsid w:val="00A32B4A"/>
    <w:rsid w:val="00A33186"/>
    <w:rsid w:val="00A33504"/>
    <w:rsid w:val="00A33580"/>
    <w:rsid w:val="00A33A97"/>
    <w:rsid w:val="00A352AE"/>
    <w:rsid w:val="00A35E10"/>
    <w:rsid w:val="00A360FB"/>
    <w:rsid w:val="00A36A9C"/>
    <w:rsid w:val="00A36EBA"/>
    <w:rsid w:val="00A37288"/>
    <w:rsid w:val="00A37A88"/>
    <w:rsid w:val="00A40171"/>
    <w:rsid w:val="00A4067A"/>
    <w:rsid w:val="00A411F1"/>
    <w:rsid w:val="00A414B3"/>
    <w:rsid w:val="00A41920"/>
    <w:rsid w:val="00A41967"/>
    <w:rsid w:val="00A41E1A"/>
    <w:rsid w:val="00A4211C"/>
    <w:rsid w:val="00A42C18"/>
    <w:rsid w:val="00A433CB"/>
    <w:rsid w:val="00A43AAB"/>
    <w:rsid w:val="00A4483C"/>
    <w:rsid w:val="00A44B1B"/>
    <w:rsid w:val="00A44F07"/>
    <w:rsid w:val="00A44F75"/>
    <w:rsid w:val="00A44FAF"/>
    <w:rsid w:val="00A457BE"/>
    <w:rsid w:val="00A458E6"/>
    <w:rsid w:val="00A45E87"/>
    <w:rsid w:val="00A45F84"/>
    <w:rsid w:val="00A46B34"/>
    <w:rsid w:val="00A46D17"/>
    <w:rsid w:val="00A46D9A"/>
    <w:rsid w:val="00A46FA2"/>
    <w:rsid w:val="00A477D2"/>
    <w:rsid w:val="00A47BD3"/>
    <w:rsid w:val="00A514E2"/>
    <w:rsid w:val="00A5198D"/>
    <w:rsid w:val="00A51DF7"/>
    <w:rsid w:val="00A5240D"/>
    <w:rsid w:val="00A526B7"/>
    <w:rsid w:val="00A529F7"/>
    <w:rsid w:val="00A529FA"/>
    <w:rsid w:val="00A52FC9"/>
    <w:rsid w:val="00A530AE"/>
    <w:rsid w:val="00A53386"/>
    <w:rsid w:val="00A534D1"/>
    <w:rsid w:val="00A53A2B"/>
    <w:rsid w:val="00A53A3A"/>
    <w:rsid w:val="00A53E6F"/>
    <w:rsid w:val="00A5499A"/>
    <w:rsid w:val="00A554C3"/>
    <w:rsid w:val="00A55A4F"/>
    <w:rsid w:val="00A56D46"/>
    <w:rsid w:val="00A56FFE"/>
    <w:rsid w:val="00A57C59"/>
    <w:rsid w:val="00A57C75"/>
    <w:rsid w:val="00A6071E"/>
    <w:rsid w:val="00A610E1"/>
    <w:rsid w:val="00A61F53"/>
    <w:rsid w:val="00A61FA4"/>
    <w:rsid w:val="00A6327D"/>
    <w:rsid w:val="00A636D7"/>
    <w:rsid w:val="00A638B5"/>
    <w:rsid w:val="00A64507"/>
    <w:rsid w:val="00A64814"/>
    <w:rsid w:val="00A6486C"/>
    <w:rsid w:val="00A64E74"/>
    <w:rsid w:val="00A65E8D"/>
    <w:rsid w:val="00A66717"/>
    <w:rsid w:val="00A6702A"/>
    <w:rsid w:val="00A67F30"/>
    <w:rsid w:val="00A701E2"/>
    <w:rsid w:val="00A7027D"/>
    <w:rsid w:val="00A70917"/>
    <w:rsid w:val="00A70CF6"/>
    <w:rsid w:val="00A71070"/>
    <w:rsid w:val="00A7108D"/>
    <w:rsid w:val="00A71226"/>
    <w:rsid w:val="00A71A6A"/>
    <w:rsid w:val="00A71B34"/>
    <w:rsid w:val="00A72141"/>
    <w:rsid w:val="00A725D7"/>
    <w:rsid w:val="00A72849"/>
    <w:rsid w:val="00A72CCA"/>
    <w:rsid w:val="00A72E83"/>
    <w:rsid w:val="00A73CA2"/>
    <w:rsid w:val="00A73D22"/>
    <w:rsid w:val="00A73E8A"/>
    <w:rsid w:val="00A74166"/>
    <w:rsid w:val="00A745A7"/>
    <w:rsid w:val="00A74B4F"/>
    <w:rsid w:val="00A74BD1"/>
    <w:rsid w:val="00A74EB7"/>
    <w:rsid w:val="00A75AA7"/>
    <w:rsid w:val="00A760E1"/>
    <w:rsid w:val="00A761E5"/>
    <w:rsid w:val="00A762C1"/>
    <w:rsid w:val="00A76C3D"/>
    <w:rsid w:val="00A77DC9"/>
    <w:rsid w:val="00A77E0D"/>
    <w:rsid w:val="00A80610"/>
    <w:rsid w:val="00A807B8"/>
    <w:rsid w:val="00A80D01"/>
    <w:rsid w:val="00A80E2D"/>
    <w:rsid w:val="00A80EAC"/>
    <w:rsid w:val="00A8141E"/>
    <w:rsid w:val="00A817EF"/>
    <w:rsid w:val="00A8297A"/>
    <w:rsid w:val="00A82C00"/>
    <w:rsid w:val="00A83780"/>
    <w:rsid w:val="00A8379A"/>
    <w:rsid w:val="00A83DB6"/>
    <w:rsid w:val="00A84186"/>
    <w:rsid w:val="00A847A9"/>
    <w:rsid w:val="00A85157"/>
    <w:rsid w:val="00A859CA"/>
    <w:rsid w:val="00A86083"/>
    <w:rsid w:val="00A86143"/>
    <w:rsid w:val="00A867A5"/>
    <w:rsid w:val="00A877C1"/>
    <w:rsid w:val="00A87F43"/>
    <w:rsid w:val="00A9055F"/>
    <w:rsid w:val="00A90F96"/>
    <w:rsid w:val="00A91384"/>
    <w:rsid w:val="00A9148B"/>
    <w:rsid w:val="00A91501"/>
    <w:rsid w:val="00A916C3"/>
    <w:rsid w:val="00A920BE"/>
    <w:rsid w:val="00A92DB3"/>
    <w:rsid w:val="00A92F6E"/>
    <w:rsid w:val="00A9309D"/>
    <w:rsid w:val="00A94712"/>
    <w:rsid w:val="00A94BBD"/>
    <w:rsid w:val="00A94DF8"/>
    <w:rsid w:val="00A95F33"/>
    <w:rsid w:val="00A9625F"/>
    <w:rsid w:val="00A9647D"/>
    <w:rsid w:val="00A9674E"/>
    <w:rsid w:val="00A978A3"/>
    <w:rsid w:val="00A979A9"/>
    <w:rsid w:val="00AA0006"/>
    <w:rsid w:val="00AA0D45"/>
    <w:rsid w:val="00AA0EA4"/>
    <w:rsid w:val="00AA111F"/>
    <w:rsid w:val="00AA1903"/>
    <w:rsid w:val="00AA1A54"/>
    <w:rsid w:val="00AA1E2D"/>
    <w:rsid w:val="00AA20D7"/>
    <w:rsid w:val="00AA2191"/>
    <w:rsid w:val="00AA2520"/>
    <w:rsid w:val="00AA27FA"/>
    <w:rsid w:val="00AA298E"/>
    <w:rsid w:val="00AA29B6"/>
    <w:rsid w:val="00AA341F"/>
    <w:rsid w:val="00AA402B"/>
    <w:rsid w:val="00AA4103"/>
    <w:rsid w:val="00AA48E2"/>
    <w:rsid w:val="00AA5222"/>
    <w:rsid w:val="00AA56BE"/>
    <w:rsid w:val="00AA5709"/>
    <w:rsid w:val="00AA58BC"/>
    <w:rsid w:val="00AA5C1A"/>
    <w:rsid w:val="00AA5F80"/>
    <w:rsid w:val="00AA62F7"/>
    <w:rsid w:val="00AA6CAD"/>
    <w:rsid w:val="00AA7530"/>
    <w:rsid w:val="00AA778D"/>
    <w:rsid w:val="00AA77D6"/>
    <w:rsid w:val="00AA7E1E"/>
    <w:rsid w:val="00AB0333"/>
    <w:rsid w:val="00AB0608"/>
    <w:rsid w:val="00AB08D1"/>
    <w:rsid w:val="00AB0EE0"/>
    <w:rsid w:val="00AB1115"/>
    <w:rsid w:val="00AB13DE"/>
    <w:rsid w:val="00AB14CB"/>
    <w:rsid w:val="00AB2FB8"/>
    <w:rsid w:val="00AB35CD"/>
    <w:rsid w:val="00AB36DA"/>
    <w:rsid w:val="00AB3CDC"/>
    <w:rsid w:val="00AB492B"/>
    <w:rsid w:val="00AB4DC5"/>
    <w:rsid w:val="00AB50F7"/>
    <w:rsid w:val="00AB57E1"/>
    <w:rsid w:val="00AB5925"/>
    <w:rsid w:val="00AB63B7"/>
    <w:rsid w:val="00AB67DC"/>
    <w:rsid w:val="00AB7D3E"/>
    <w:rsid w:val="00AB7F45"/>
    <w:rsid w:val="00AC032E"/>
    <w:rsid w:val="00AC07FA"/>
    <w:rsid w:val="00AC0953"/>
    <w:rsid w:val="00AC0E3B"/>
    <w:rsid w:val="00AC148B"/>
    <w:rsid w:val="00AC16CF"/>
    <w:rsid w:val="00AC1ECE"/>
    <w:rsid w:val="00AC22C0"/>
    <w:rsid w:val="00AC29E4"/>
    <w:rsid w:val="00AC3DC6"/>
    <w:rsid w:val="00AC45AF"/>
    <w:rsid w:val="00AC4710"/>
    <w:rsid w:val="00AC4B42"/>
    <w:rsid w:val="00AC57A0"/>
    <w:rsid w:val="00AC5923"/>
    <w:rsid w:val="00AC5D43"/>
    <w:rsid w:val="00AC7612"/>
    <w:rsid w:val="00AD1647"/>
    <w:rsid w:val="00AD271F"/>
    <w:rsid w:val="00AD28C2"/>
    <w:rsid w:val="00AD2EB6"/>
    <w:rsid w:val="00AD3151"/>
    <w:rsid w:val="00AD3A7F"/>
    <w:rsid w:val="00AD3C19"/>
    <w:rsid w:val="00AD3CEC"/>
    <w:rsid w:val="00AD3D4D"/>
    <w:rsid w:val="00AD4AC6"/>
    <w:rsid w:val="00AD4F0D"/>
    <w:rsid w:val="00AD519B"/>
    <w:rsid w:val="00AD57A3"/>
    <w:rsid w:val="00AD57B5"/>
    <w:rsid w:val="00AD6022"/>
    <w:rsid w:val="00AD6112"/>
    <w:rsid w:val="00AD62F0"/>
    <w:rsid w:val="00AD6A6A"/>
    <w:rsid w:val="00AD6D2F"/>
    <w:rsid w:val="00AD72FF"/>
    <w:rsid w:val="00AD7B0D"/>
    <w:rsid w:val="00AD7C79"/>
    <w:rsid w:val="00AE0E88"/>
    <w:rsid w:val="00AE13E2"/>
    <w:rsid w:val="00AE1686"/>
    <w:rsid w:val="00AE1730"/>
    <w:rsid w:val="00AE20CD"/>
    <w:rsid w:val="00AE29B5"/>
    <w:rsid w:val="00AE2C47"/>
    <w:rsid w:val="00AE4265"/>
    <w:rsid w:val="00AE4444"/>
    <w:rsid w:val="00AE47DB"/>
    <w:rsid w:val="00AE4DCE"/>
    <w:rsid w:val="00AE5178"/>
    <w:rsid w:val="00AE5AE2"/>
    <w:rsid w:val="00AE5DB2"/>
    <w:rsid w:val="00AE6878"/>
    <w:rsid w:val="00AE687B"/>
    <w:rsid w:val="00AE6B2A"/>
    <w:rsid w:val="00AE7280"/>
    <w:rsid w:val="00AE74AB"/>
    <w:rsid w:val="00AE7577"/>
    <w:rsid w:val="00AE7861"/>
    <w:rsid w:val="00AE7CC8"/>
    <w:rsid w:val="00AF002B"/>
    <w:rsid w:val="00AF0669"/>
    <w:rsid w:val="00AF0680"/>
    <w:rsid w:val="00AF0BE6"/>
    <w:rsid w:val="00AF1350"/>
    <w:rsid w:val="00AF21E1"/>
    <w:rsid w:val="00AF223B"/>
    <w:rsid w:val="00AF26F1"/>
    <w:rsid w:val="00AF300F"/>
    <w:rsid w:val="00AF348A"/>
    <w:rsid w:val="00AF34C8"/>
    <w:rsid w:val="00AF34E3"/>
    <w:rsid w:val="00AF3BC5"/>
    <w:rsid w:val="00AF46C7"/>
    <w:rsid w:val="00AF5152"/>
    <w:rsid w:val="00AF5939"/>
    <w:rsid w:val="00AF5A6E"/>
    <w:rsid w:val="00AF5AD4"/>
    <w:rsid w:val="00AF671C"/>
    <w:rsid w:val="00AF6E99"/>
    <w:rsid w:val="00AF785E"/>
    <w:rsid w:val="00B0035F"/>
    <w:rsid w:val="00B0055B"/>
    <w:rsid w:val="00B00E46"/>
    <w:rsid w:val="00B01C96"/>
    <w:rsid w:val="00B01D78"/>
    <w:rsid w:val="00B01FC5"/>
    <w:rsid w:val="00B02376"/>
    <w:rsid w:val="00B03B91"/>
    <w:rsid w:val="00B04268"/>
    <w:rsid w:val="00B042CD"/>
    <w:rsid w:val="00B04445"/>
    <w:rsid w:val="00B04641"/>
    <w:rsid w:val="00B049EF"/>
    <w:rsid w:val="00B04B6A"/>
    <w:rsid w:val="00B04E2C"/>
    <w:rsid w:val="00B05286"/>
    <w:rsid w:val="00B05338"/>
    <w:rsid w:val="00B05A32"/>
    <w:rsid w:val="00B05CD4"/>
    <w:rsid w:val="00B06154"/>
    <w:rsid w:val="00B07B85"/>
    <w:rsid w:val="00B07C98"/>
    <w:rsid w:val="00B10F8D"/>
    <w:rsid w:val="00B110A2"/>
    <w:rsid w:val="00B11348"/>
    <w:rsid w:val="00B114EC"/>
    <w:rsid w:val="00B11924"/>
    <w:rsid w:val="00B12481"/>
    <w:rsid w:val="00B128D4"/>
    <w:rsid w:val="00B12B30"/>
    <w:rsid w:val="00B1331E"/>
    <w:rsid w:val="00B133CE"/>
    <w:rsid w:val="00B1359D"/>
    <w:rsid w:val="00B14054"/>
    <w:rsid w:val="00B14670"/>
    <w:rsid w:val="00B149A7"/>
    <w:rsid w:val="00B14D3D"/>
    <w:rsid w:val="00B14E24"/>
    <w:rsid w:val="00B14FB4"/>
    <w:rsid w:val="00B1511B"/>
    <w:rsid w:val="00B15E0D"/>
    <w:rsid w:val="00B1649C"/>
    <w:rsid w:val="00B16949"/>
    <w:rsid w:val="00B17303"/>
    <w:rsid w:val="00B20615"/>
    <w:rsid w:val="00B20859"/>
    <w:rsid w:val="00B216B4"/>
    <w:rsid w:val="00B2177D"/>
    <w:rsid w:val="00B218AD"/>
    <w:rsid w:val="00B21B66"/>
    <w:rsid w:val="00B2239D"/>
    <w:rsid w:val="00B22534"/>
    <w:rsid w:val="00B2254F"/>
    <w:rsid w:val="00B225A2"/>
    <w:rsid w:val="00B23237"/>
    <w:rsid w:val="00B23CA3"/>
    <w:rsid w:val="00B24937"/>
    <w:rsid w:val="00B249A8"/>
    <w:rsid w:val="00B2584C"/>
    <w:rsid w:val="00B25940"/>
    <w:rsid w:val="00B269B1"/>
    <w:rsid w:val="00B274D3"/>
    <w:rsid w:val="00B275B2"/>
    <w:rsid w:val="00B27A31"/>
    <w:rsid w:val="00B27B31"/>
    <w:rsid w:val="00B30532"/>
    <w:rsid w:val="00B305A6"/>
    <w:rsid w:val="00B324E4"/>
    <w:rsid w:val="00B327D9"/>
    <w:rsid w:val="00B32E1E"/>
    <w:rsid w:val="00B3364F"/>
    <w:rsid w:val="00B33848"/>
    <w:rsid w:val="00B3384A"/>
    <w:rsid w:val="00B3391C"/>
    <w:rsid w:val="00B33C12"/>
    <w:rsid w:val="00B341D1"/>
    <w:rsid w:val="00B34E64"/>
    <w:rsid w:val="00B34EA6"/>
    <w:rsid w:val="00B35101"/>
    <w:rsid w:val="00B352D8"/>
    <w:rsid w:val="00B359F6"/>
    <w:rsid w:val="00B35F32"/>
    <w:rsid w:val="00B36194"/>
    <w:rsid w:val="00B36301"/>
    <w:rsid w:val="00B372C6"/>
    <w:rsid w:val="00B3754D"/>
    <w:rsid w:val="00B3798E"/>
    <w:rsid w:val="00B37AB6"/>
    <w:rsid w:val="00B37BA9"/>
    <w:rsid w:val="00B37DD4"/>
    <w:rsid w:val="00B40504"/>
    <w:rsid w:val="00B40ACA"/>
    <w:rsid w:val="00B40F52"/>
    <w:rsid w:val="00B41B4C"/>
    <w:rsid w:val="00B41EEB"/>
    <w:rsid w:val="00B42168"/>
    <w:rsid w:val="00B42184"/>
    <w:rsid w:val="00B42882"/>
    <w:rsid w:val="00B42DAD"/>
    <w:rsid w:val="00B42DF9"/>
    <w:rsid w:val="00B43480"/>
    <w:rsid w:val="00B44413"/>
    <w:rsid w:val="00B447C2"/>
    <w:rsid w:val="00B44D55"/>
    <w:rsid w:val="00B44FDE"/>
    <w:rsid w:val="00B45044"/>
    <w:rsid w:val="00B45B18"/>
    <w:rsid w:val="00B45D03"/>
    <w:rsid w:val="00B463A2"/>
    <w:rsid w:val="00B463B4"/>
    <w:rsid w:val="00B46732"/>
    <w:rsid w:val="00B46A92"/>
    <w:rsid w:val="00B474F3"/>
    <w:rsid w:val="00B4761E"/>
    <w:rsid w:val="00B506C1"/>
    <w:rsid w:val="00B5071C"/>
    <w:rsid w:val="00B5105E"/>
    <w:rsid w:val="00B51112"/>
    <w:rsid w:val="00B51188"/>
    <w:rsid w:val="00B52313"/>
    <w:rsid w:val="00B52A3D"/>
    <w:rsid w:val="00B534DD"/>
    <w:rsid w:val="00B5353C"/>
    <w:rsid w:val="00B53676"/>
    <w:rsid w:val="00B5372F"/>
    <w:rsid w:val="00B538A4"/>
    <w:rsid w:val="00B5421D"/>
    <w:rsid w:val="00B54495"/>
    <w:rsid w:val="00B546DA"/>
    <w:rsid w:val="00B553D6"/>
    <w:rsid w:val="00B558DD"/>
    <w:rsid w:val="00B55A69"/>
    <w:rsid w:val="00B560DF"/>
    <w:rsid w:val="00B56890"/>
    <w:rsid w:val="00B568F0"/>
    <w:rsid w:val="00B56FC6"/>
    <w:rsid w:val="00B5701F"/>
    <w:rsid w:val="00B571F3"/>
    <w:rsid w:val="00B57237"/>
    <w:rsid w:val="00B575D5"/>
    <w:rsid w:val="00B57F13"/>
    <w:rsid w:val="00B57F2F"/>
    <w:rsid w:val="00B6002F"/>
    <w:rsid w:val="00B60328"/>
    <w:rsid w:val="00B60634"/>
    <w:rsid w:val="00B608B7"/>
    <w:rsid w:val="00B60A96"/>
    <w:rsid w:val="00B60C01"/>
    <w:rsid w:val="00B6130A"/>
    <w:rsid w:val="00B615A6"/>
    <w:rsid w:val="00B6174F"/>
    <w:rsid w:val="00B618E0"/>
    <w:rsid w:val="00B62BE4"/>
    <w:rsid w:val="00B62E74"/>
    <w:rsid w:val="00B639AA"/>
    <w:rsid w:val="00B64869"/>
    <w:rsid w:val="00B6495E"/>
    <w:rsid w:val="00B64B07"/>
    <w:rsid w:val="00B64F38"/>
    <w:rsid w:val="00B65DB1"/>
    <w:rsid w:val="00B6612C"/>
    <w:rsid w:val="00B66C7D"/>
    <w:rsid w:val="00B66CB9"/>
    <w:rsid w:val="00B66D9F"/>
    <w:rsid w:val="00B66E1D"/>
    <w:rsid w:val="00B674CE"/>
    <w:rsid w:val="00B67ADB"/>
    <w:rsid w:val="00B70436"/>
    <w:rsid w:val="00B70493"/>
    <w:rsid w:val="00B707D7"/>
    <w:rsid w:val="00B708E6"/>
    <w:rsid w:val="00B70938"/>
    <w:rsid w:val="00B715AA"/>
    <w:rsid w:val="00B72BE1"/>
    <w:rsid w:val="00B732B0"/>
    <w:rsid w:val="00B73B22"/>
    <w:rsid w:val="00B73D78"/>
    <w:rsid w:val="00B73D80"/>
    <w:rsid w:val="00B7409A"/>
    <w:rsid w:val="00B74541"/>
    <w:rsid w:val="00B74696"/>
    <w:rsid w:val="00B74B71"/>
    <w:rsid w:val="00B74EE4"/>
    <w:rsid w:val="00B7518F"/>
    <w:rsid w:val="00B75275"/>
    <w:rsid w:val="00B75E4C"/>
    <w:rsid w:val="00B7665D"/>
    <w:rsid w:val="00B768F4"/>
    <w:rsid w:val="00B76D8B"/>
    <w:rsid w:val="00B76DBE"/>
    <w:rsid w:val="00B772B3"/>
    <w:rsid w:val="00B773A5"/>
    <w:rsid w:val="00B7763E"/>
    <w:rsid w:val="00B779C6"/>
    <w:rsid w:val="00B77C7C"/>
    <w:rsid w:val="00B77ED4"/>
    <w:rsid w:val="00B802C2"/>
    <w:rsid w:val="00B806D9"/>
    <w:rsid w:val="00B8120E"/>
    <w:rsid w:val="00B815AA"/>
    <w:rsid w:val="00B819A3"/>
    <w:rsid w:val="00B81DEF"/>
    <w:rsid w:val="00B82B6C"/>
    <w:rsid w:val="00B83433"/>
    <w:rsid w:val="00B83453"/>
    <w:rsid w:val="00B83D2A"/>
    <w:rsid w:val="00B84754"/>
    <w:rsid w:val="00B851D8"/>
    <w:rsid w:val="00B854ED"/>
    <w:rsid w:val="00B85B0D"/>
    <w:rsid w:val="00B85F48"/>
    <w:rsid w:val="00B8646F"/>
    <w:rsid w:val="00B86894"/>
    <w:rsid w:val="00B86BB0"/>
    <w:rsid w:val="00B87BD4"/>
    <w:rsid w:val="00B87FC3"/>
    <w:rsid w:val="00B90055"/>
    <w:rsid w:val="00B9051A"/>
    <w:rsid w:val="00B90D1A"/>
    <w:rsid w:val="00B90DDF"/>
    <w:rsid w:val="00B91DCD"/>
    <w:rsid w:val="00B9241F"/>
    <w:rsid w:val="00B92473"/>
    <w:rsid w:val="00B92540"/>
    <w:rsid w:val="00B926C0"/>
    <w:rsid w:val="00B93DAC"/>
    <w:rsid w:val="00B94113"/>
    <w:rsid w:val="00B9439A"/>
    <w:rsid w:val="00B94A97"/>
    <w:rsid w:val="00B94D8C"/>
    <w:rsid w:val="00B95412"/>
    <w:rsid w:val="00B9541C"/>
    <w:rsid w:val="00B95543"/>
    <w:rsid w:val="00B958B6"/>
    <w:rsid w:val="00B95CCE"/>
    <w:rsid w:val="00B964D0"/>
    <w:rsid w:val="00B964D7"/>
    <w:rsid w:val="00B96BF6"/>
    <w:rsid w:val="00B96EAF"/>
    <w:rsid w:val="00B97401"/>
    <w:rsid w:val="00B97828"/>
    <w:rsid w:val="00B97F5E"/>
    <w:rsid w:val="00BA01A8"/>
    <w:rsid w:val="00BA0BA7"/>
    <w:rsid w:val="00BA10F1"/>
    <w:rsid w:val="00BA2414"/>
    <w:rsid w:val="00BA2479"/>
    <w:rsid w:val="00BA2713"/>
    <w:rsid w:val="00BA27E7"/>
    <w:rsid w:val="00BA2A62"/>
    <w:rsid w:val="00BA2E82"/>
    <w:rsid w:val="00BA31F6"/>
    <w:rsid w:val="00BA329C"/>
    <w:rsid w:val="00BA3C8D"/>
    <w:rsid w:val="00BA4328"/>
    <w:rsid w:val="00BA479D"/>
    <w:rsid w:val="00BA4920"/>
    <w:rsid w:val="00BA4924"/>
    <w:rsid w:val="00BA4A8A"/>
    <w:rsid w:val="00BA4B5E"/>
    <w:rsid w:val="00BA4D8C"/>
    <w:rsid w:val="00BA5453"/>
    <w:rsid w:val="00BA5825"/>
    <w:rsid w:val="00BA5B7C"/>
    <w:rsid w:val="00BA5C1C"/>
    <w:rsid w:val="00BA5E83"/>
    <w:rsid w:val="00BA6353"/>
    <w:rsid w:val="00BA670C"/>
    <w:rsid w:val="00BA6967"/>
    <w:rsid w:val="00BA6F19"/>
    <w:rsid w:val="00BA77C8"/>
    <w:rsid w:val="00BA78AC"/>
    <w:rsid w:val="00BA7BA3"/>
    <w:rsid w:val="00BA7E40"/>
    <w:rsid w:val="00BB0F7E"/>
    <w:rsid w:val="00BB1613"/>
    <w:rsid w:val="00BB1A7C"/>
    <w:rsid w:val="00BB1D39"/>
    <w:rsid w:val="00BB2663"/>
    <w:rsid w:val="00BB29BE"/>
    <w:rsid w:val="00BB2B1F"/>
    <w:rsid w:val="00BB304F"/>
    <w:rsid w:val="00BB3900"/>
    <w:rsid w:val="00BB494A"/>
    <w:rsid w:val="00BB4B42"/>
    <w:rsid w:val="00BB5C6C"/>
    <w:rsid w:val="00BB62CF"/>
    <w:rsid w:val="00BB6AD2"/>
    <w:rsid w:val="00BB6BA0"/>
    <w:rsid w:val="00BB6DF1"/>
    <w:rsid w:val="00BB6E11"/>
    <w:rsid w:val="00BB7B07"/>
    <w:rsid w:val="00BC0331"/>
    <w:rsid w:val="00BC098C"/>
    <w:rsid w:val="00BC0D3B"/>
    <w:rsid w:val="00BC1297"/>
    <w:rsid w:val="00BC1D2E"/>
    <w:rsid w:val="00BC2456"/>
    <w:rsid w:val="00BC269B"/>
    <w:rsid w:val="00BC26D0"/>
    <w:rsid w:val="00BC27A2"/>
    <w:rsid w:val="00BC27EA"/>
    <w:rsid w:val="00BC2E92"/>
    <w:rsid w:val="00BC2EE8"/>
    <w:rsid w:val="00BC3D6A"/>
    <w:rsid w:val="00BC3D99"/>
    <w:rsid w:val="00BC3F95"/>
    <w:rsid w:val="00BC4012"/>
    <w:rsid w:val="00BC4972"/>
    <w:rsid w:val="00BC4C6B"/>
    <w:rsid w:val="00BC5022"/>
    <w:rsid w:val="00BC5829"/>
    <w:rsid w:val="00BC5D7D"/>
    <w:rsid w:val="00BC6514"/>
    <w:rsid w:val="00BC6A99"/>
    <w:rsid w:val="00BC6CF5"/>
    <w:rsid w:val="00BC6F21"/>
    <w:rsid w:val="00BC78BA"/>
    <w:rsid w:val="00BC7F0C"/>
    <w:rsid w:val="00BC7F98"/>
    <w:rsid w:val="00BD0364"/>
    <w:rsid w:val="00BD04FE"/>
    <w:rsid w:val="00BD051F"/>
    <w:rsid w:val="00BD0CDC"/>
    <w:rsid w:val="00BD0D3D"/>
    <w:rsid w:val="00BD0F57"/>
    <w:rsid w:val="00BD176E"/>
    <w:rsid w:val="00BD2145"/>
    <w:rsid w:val="00BD25E5"/>
    <w:rsid w:val="00BD286D"/>
    <w:rsid w:val="00BD3FA0"/>
    <w:rsid w:val="00BD46B0"/>
    <w:rsid w:val="00BD475F"/>
    <w:rsid w:val="00BD49EE"/>
    <w:rsid w:val="00BD4C99"/>
    <w:rsid w:val="00BD4CD0"/>
    <w:rsid w:val="00BD4F76"/>
    <w:rsid w:val="00BD528E"/>
    <w:rsid w:val="00BD55B1"/>
    <w:rsid w:val="00BD59C5"/>
    <w:rsid w:val="00BD6084"/>
    <w:rsid w:val="00BD61BB"/>
    <w:rsid w:val="00BD6812"/>
    <w:rsid w:val="00BD693A"/>
    <w:rsid w:val="00BD719A"/>
    <w:rsid w:val="00BD7349"/>
    <w:rsid w:val="00BD77CA"/>
    <w:rsid w:val="00BD7A23"/>
    <w:rsid w:val="00BD7E77"/>
    <w:rsid w:val="00BD7ED3"/>
    <w:rsid w:val="00BE0057"/>
    <w:rsid w:val="00BE0370"/>
    <w:rsid w:val="00BE04DD"/>
    <w:rsid w:val="00BE078F"/>
    <w:rsid w:val="00BE0F3F"/>
    <w:rsid w:val="00BE14F3"/>
    <w:rsid w:val="00BE1516"/>
    <w:rsid w:val="00BE232B"/>
    <w:rsid w:val="00BE2493"/>
    <w:rsid w:val="00BE2703"/>
    <w:rsid w:val="00BE3128"/>
    <w:rsid w:val="00BE36C3"/>
    <w:rsid w:val="00BE3752"/>
    <w:rsid w:val="00BE44CA"/>
    <w:rsid w:val="00BE5391"/>
    <w:rsid w:val="00BE5945"/>
    <w:rsid w:val="00BE5CE4"/>
    <w:rsid w:val="00BE5DBC"/>
    <w:rsid w:val="00BE6566"/>
    <w:rsid w:val="00BE685C"/>
    <w:rsid w:val="00BE6921"/>
    <w:rsid w:val="00BE698E"/>
    <w:rsid w:val="00BE6BFC"/>
    <w:rsid w:val="00BE734B"/>
    <w:rsid w:val="00BE7B4F"/>
    <w:rsid w:val="00BF0366"/>
    <w:rsid w:val="00BF0610"/>
    <w:rsid w:val="00BF0715"/>
    <w:rsid w:val="00BF0AF1"/>
    <w:rsid w:val="00BF0CF8"/>
    <w:rsid w:val="00BF0CFF"/>
    <w:rsid w:val="00BF0FAF"/>
    <w:rsid w:val="00BF0FFE"/>
    <w:rsid w:val="00BF1513"/>
    <w:rsid w:val="00BF156E"/>
    <w:rsid w:val="00BF1DD0"/>
    <w:rsid w:val="00BF1EA9"/>
    <w:rsid w:val="00BF21DF"/>
    <w:rsid w:val="00BF2D86"/>
    <w:rsid w:val="00BF2FC6"/>
    <w:rsid w:val="00BF3CD5"/>
    <w:rsid w:val="00BF3E3A"/>
    <w:rsid w:val="00BF3F3D"/>
    <w:rsid w:val="00BF441D"/>
    <w:rsid w:val="00BF49B8"/>
    <w:rsid w:val="00BF4AFF"/>
    <w:rsid w:val="00BF54CE"/>
    <w:rsid w:val="00BF5701"/>
    <w:rsid w:val="00BF6A9E"/>
    <w:rsid w:val="00BF6B5E"/>
    <w:rsid w:val="00BF6B99"/>
    <w:rsid w:val="00BF710F"/>
    <w:rsid w:val="00BF7178"/>
    <w:rsid w:val="00BF73B5"/>
    <w:rsid w:val="00BF7B2C"/>
    <w:rsid w:val="00BF7CE9"/>
    <w:rsid w:val="00BF7D5C"/>
    <w:rsid w:val="00C00846"/>
    <w:rsid w:val="00C00E9A"/>
    <w:rsid w:val="00C01686"/>
    <w:rsid w:val="00C0254A"/>
    <w:rsid w:val="00C025B2"/>
    <w:rsid w:val="00C02B2D"/>
    <w:rsid w:val="00C02BA7"/>
    <w:rsid w:val="00C03486"/>
    <w:rsid w:val="00C03CDE"/>
    <w:rsid w:val="00C048D8"/>
    <w:rsid w:val="00C04A81"/>
    <w:rsid w:val="00C04D2C"/>
    <w:rsid w:val="00C0553C"/>
    <w:rsid w:val="00C05745"/>
    <w:rsid w:val="00C05769"/>
    <w:rsid w:val="00C059A9"/>
    <w:rsid w:val="00C05DCB"/>
    <w:rsid w:val="00C06994"/>
    <w:rsid w:val="00C06F2F"/>
    <w:rsid w:val="00C103C6"/>
    <w:rsid w:val="00C1083A"/>
    <w:rsid w:val="00C10896"/>
    <w:rsid w:val="00C11676"/>
    <w:rsid w:val="00C11A4F"/>
    <w:rsid w:val="00C127ED"/>
    <w:rsid w:val="00C12D83"/>
    <w:rsid w:val="00C12ED3"/>
    <w:rsid w:val="00C13BD4"/>
    <w:rsid w:val="00C1400B"/>
    <w:rsid w:val="00C1434E"/>
    <w:rsid w:val="00C15791"/>
    <w:rsid w:val="00C157BB"/>
    <w:rsid w:val="00C1633D"/>
    <w:rsid w:val="00C179BC"/>
    <w:rsid w:val="00C20C05"/>
    <w:rsid w:val="00C20D78"/>
    <w:rsid w:val="00C2156A"/>
    <w:rsid w:val="00C21CB2"/>
    <w:rsid w:val="00C2250B"/>
    <w:rsid w:val="00C238A8"/>
    <w:rsid w:val="00C23DA2"/>
    <w:rsid w:val="00C23E79"/>
    <w:rsid w:val="00C24193"/>
    <w:rsid w:val="00C2426E"/>
    <w:rsid w:val="00C24409"/>
    <w:rsid w:val="00C2525D"/>
    <w:rsid w:val="00C260E0"/>
    <w:rsid w:val="00C26414"/>
    <w:rsid w:val="00C2699A"/>
    <w:rsid w:val="00C26A30"/>
    <w:rsid w:val="00C27ADC"/>
    <w:rsid w:val="00C300D9"/>
    <w:rsid w:val="00C3085A"/>
    <w:rsid w:val="00C314DA"/>
    <w:rsid w:val="00C31798"/>
    <w:rsid w:val="00C319A6"/>
    <w:rsid w:val="00C31BE7"/>
    <w:rsid w:val="00C32427"/>
    <w:rsid w:val="00C3277D"/>
    <w:rsid w:val="00C329AC"/>
    <w:rsid w:val="00C32AB3"/>
    <w:rsid w:val="00C330DF"/>
    <w:rsid w:val="00C33129"/>
    <w:rsid w:val="00C33427"/>
    <w:rsid w:val="00C341DF"/>
    <w:rsid w:val="00C343D4"/>
    <w:rsid w:val="00C349A3"/>
    <w:rsid w:val="00C34E31"/>
    <w:rsid w:val="00C35E9F"/>
    <w:rsid w:val="00C36121"/>
    <w:rsid w:val="00C36278"/>
    <w:rsid w:val="00C3759D"/>
    <w:rsid w:val="00C37841"/>
    <w:rsid w:val="00C40BAB"/>
    <w:rsid w:val="00C413FD"/>
    <w:rsid w:val="00C4140C"/>
    <w:rsid w:val="00C416EE"/>
    <w:rsid w:val="00C42675"/>
    <w:rsid w:val="00C42F1D"/>
    <w:rsid w:val="00C43D2B"/>
    <w:rsid w:val="00C444D0"/>
    <w:rsid w:val="00C446F0"/>
    <w:rsid w:val="00C4482E"/>
    <w:rsid w:val="00C44914"/>
    <w:rsid w:val="00C44ACB"/>
    <w:rsid w:val="00C4507E"/>
    <w:rsid w:val="00C45329"/>
    <w:rsid w:val="00C4533E"/>
    <w:rsid w:val="00C45398"/>
    <w:rsid w:val="00C45694"/>
    <w:rsid w:val="00C457B1"/>
    <w:rsid w:val="00C467F4"/>
    <w:rsid w:val="00C469C9"/>
    <w:rsid w:val="00C474CD"/>
    <w:rsid w:val="00C47F7F"/>
    <w:rsid w:val="00C50702"/>
    <w:rsid w:val="00C50B90"/>
    <w:rsid w:val="00C50BC6"/>
    <w:rsid w:val="00C51B41"/>
    <w:rsid w:val="00C51FD0"/>
    <w:rsid w:val="00C530C8"/>
    <w:rsid w:val="00C530E2"/>
    <w:rsid w:val="00C532BD"/>
    <w:rsid w:val="00C53477"/>
    <w:rsid w:val="00C53E70"/>
    <w:rsid w:val="00C543B4"/>
    <w:rsid w:val="00C5479B"/>
    <w:rsid w:val="00C5482F"/>
    <w:rsid w:val="00C54BAF"/>
    <w:rsid w:val="00C5520F"/>
    <w:rsid w:val="00C552AD"/>
    <w:rsid w:val="00C55DB2"/>
    <w:rsid w:val="00C55F42"/>
    <w:rsid w:val="00C56395"/>
    <w:rsid w:val="00C563AB"/>
    <w:rsid w:val="00C565B2"/>
    <w:rsid w:val="00C56D93"/>
    <w:rsid w:val="00C56FCB"/>
    <w:rsid w:val="00C5701B"/>
    <w:rsid w:val="00C5782B"/>
    <w:rsid w:val="00C579FF"/>
    <w:rsid w:val="00C57C15"/>
    <w:rsid w:val="00C57D28"/>
    <w:rsid w:val="00C603A8"/>
    <w:rsid w:val="00C603D6"/>
    <w:rsid w:val="00C60788"/>
    <w:rsid w:val="00C60E85"/>
    <w:rsid w:val="00C6153C"/>
    <w:rsid w:val="00C63224"/>
    <w:rsid w:val="00C63597"/>
    <w:rsid w:val="00C638AF"/>
    <w:rsid w:val="00C64506"/>
    <w:rsid w:val="00C64CCF"/>
    <w:rsid w:val="00C64F97"/>
    <w:rsid w:val="00C65490"/>
    <w:rsid w:val="00C65573"/>
    <w:rsid w:val="00C65ECE"/>
    <w:rsid w:val="00C6630D"/>
    <w:rsid w:val="00C665E1"/>
    <w:rsid w:val="00C666C4"/>
    <w:rsid w:val="00C6708C"/>
    <w:rsid w:val="00C67453"/>
    <w:rsid w:val="00C70610"/>
    <w:rsid w:val="00C70AC5"/>
    <w:rsid w:val="00C70D91"/>
    <w:rsid w:val="00C71075"/>
    <w:rsid w:val="00C714AE"/>
    <w:rsid w:val="00C71819"/>
    <w:rsid w:val="00C71AF4"/>
    <w:rsid w:val="00C72BF2"/>
    <w:rsid w:val="00C731C7"/>
    <w:rsid w:val="00C732D7"/>
    <w:rsid w:val="00C73AC2"/>
    <w:rsid w:val="00C74866"/>
    <w:rsid w:val="00C74C3E"/>
    <w:rsid w:val="00C7524B"/>
    <w:rsid w:val="00C75382"/>
    <w:rsid w:val="00C753B5"/>
    <w:rsid w:val="00C755A7"/>
    <w:rsid w:val="00C75BFF"/>
    <w:rsid w:val="00C76679"/>
    <w:rsid w:val="00C76898"/>
    <w:rsid w:val="00C801C1"/>
    <w:rsid w:val="00C802C2"/>
    <w:rsid w:val="00C815CB"/>
    <w:rsid w:val="00C81AFD"/>
    <w:rsid w:val="00C82119"/>
    <w:rsid w:val="00C82E64"/>
    <w:rsid w:val="00C82F2B"/>
    <w:rsid w:val="00C84123"/>
    <w:rsid w:val="00C8454F"/>
    <w:rsid w:val="00C84717"/>
    <w:rsid w:val="00C84B5B"/>
    <w:rsid w:val="00C85E67"/>
    <w:rsid w:val="00C860FB"/>
    <w:rsid w:val="00C862F5"/>
    <w:rsid w:val="00C8630F"/>
    <w:rsid w:val="00C864E1"/>
    <w:rsid w:val="00C87731"/>
    <w:rsid w:val="00C90443"/>
    <w:rsid w:val="00C9071E"/>
    <w:rsid w:val="00C909DA"/>
    <w:rsid w:val="00C90D5B"/>
    <w:rsid w:val="00C90DCE"/>
    <w:rsid w:val="00C91133"/>
    <w:rsid w:val="00C91206"/>
    <w:rsid w:val="00C9175C"/>
    <w:rsid w:val="00C92141"/>
    <w:rsid w:val="00C923C5"/>
    <w:rsid w:val="00C9247A"/>
    <w:rsid w:val="00C9312F"/>
    <w:rsid w:val="00C932DB"/>
    <w:rsid w:val="00C9336B"/>
    <w:rsid w:val="00C935B9"/>
    <w:rsid w:val="00C940D0"/>
    <w:rsid w:val="00C943D0"/>
    <w:rsid w:val="00C947CE"/>
    <w:rsid w:val="00C94DCC"/>
    <w:rsid w:val="00C95639"/>
    <w:rsid w:val="00C9568C"/>
    <w:rsid w:val="00C95911"/>
    <w:rsid w:val="00C96308"/>
    <w:rsid w:val="00C96545"/>
    <w:rsid w:val="00C968E4"/>
    <w:rsid w:val="00C970EB"/>
    <w:rsid w:val="00C97352"/>
    <w:rsid w:val="00C977F0"/>
    <w:rsid w:val="00C97B75"/>
    <w:rsid w:val="00CA0EBB"/>
    <w:rsid w:val="00CA1313"/>
    <w:rsid w:val="00CA1733"/>
    <w:rsid w:val="00CA1883"/>
    <w:rsid w:val="00CA2605"/>
    <w:rsid w:val="00CA28A5"/>
    <w:rsid w:val="00CA2B13"/>
    <w:rsid w:val="00CA2B5A"/>
    <w:rsid w:val="00CA2B78"/>
    <w:rsid w:val="00CA2E36"/>
    <w:rsid w:val="00CA3594"/>
    <w:rsid w:val="00CA3A55"/>
    <w:rsid w:val="00CA43A6"/>
    <w:rsid w:val="00CA4B3E"/>
    <w:rsid w:val="00CA4B7D"/>
    <w:rsid w:val="00CA4C37"/>
    <w:rsid w:val="00CA4FCB"/>
    <w:rsid w:val="00CA5043"/>
    <w:rsid w:val="00CA5251"/>
    <w:rsid w:val="00CA60DA"/>
    <w:rsid w:val="00CA6237"/>
    <w:rsid w:val="00CA7218"/>
    <w:rsid w:val="00CA761D"/>
    <w:rsid w:val="00CA7777"/>
    <w:rsid w:val="00CA7C43"/>
    <w:rsid w:val="00CB0016"/>
    <w:rsid w:val="00CB0177"/>
    <w:rsid w:val="00CB03BE"/>
    <w:rsid w:val="00CB03D9"/>
    <w:rsid w:val="00CB0928"/>
    <w:rsid w:val="00CB1F71"/>
    <w:rsid w:val="00CB2792"/>
    <w:rsid w:val="00CB3766"/>
    <w:rsid w:val="00CB3A86"/>
    <w:rsid w:val="00CB3E35"/>
    <w:rsid w:val="00CB3E87"/>
    <w:rsid w:val="00CB3FA1"/>
    <w:rsid w:val="00CB40F1"/>
    <w:rsid w:val="00CB45C2"/>
    <w:rsid w:val="00CB5A8C"/>
    <w:rsid w:val="00CB5F5C"/>
    <w:rsid w:val="00CB6793"/>
    <w:rsid w:val="00CB6801"/>
    <w:rsid w:val="00CB6931"/>
    <w:rsid w:val="00CB792F"/>
    <w:rsid w:val="00CB7E31"/>
    <w:rsid w:val="00CC01B5"/>
    <w:rsid w:val="00CC0222"/>
    <w:rsid w:val="00CC06E7"/>
    <w:rsid w:val="00CC06FB"/>
    <w:rsid w:val="00CC0C99"/>
    <w:rsid w:val="00CC14C3"/>
    <w:rsid w:val="00CC19AF"/>
    <w:rsid w:val="00CC22E7"/>
    <w:rsid w:val="00CC275A"/>
    <w:rsid w:val="00CC27DD"/>
    <w:rsid w:val="00CC2B88"/>
    <w:rsid w:val="00CC2B9C"/>
    <w:rsid w:val="00CC2C38"/>
    <w:rsid w:val="00CC2FA1"/>
    <w:rsid w:val="00CC3758"/>
    <w:rsid w:val="00CC3A6B"/>
    <w:rsid w:val="00CC3BE3"/>
    <w:rsid w:val="00CC3EE8"/>
    <w:rsid w:val="00CC4382"/>
    <w:rsid w:val="00CC4468"/>
    <w:rsid w:val="00CC54C0"/>
    <w:rsid w:val="00CC6051"/>
    <w:rsid w:val="00CC6A8A"/>
    <w:rsid w:val="00CC7201"/>
    <w:rsid w:val="00CC7277"/>
    <w:rsid w:val="00CC745E"/>
    <w:rsid w:val="00CC756C"/>
    <w:rsid w:val="00CC763E"/>
    <w:rsid w:val="00CC7A8E"/>
    <w:rsid w:val="00CC7F40"/>
    <w:rsid w:val="00CD0604"/>
    <w:rsid w:val="00CD1BED"/>
    <w:rsid w:val="00CD1E49"/>
    <w:rsid w:val="00CD22EF"/>
    <w:rsid w:val="00CD2625"/>
    <w:rsid w:val="00CD2802"/>
    <w:rsid w:val="00CD28BD"/>
    <w:rsid w:val="00CD293D"/>
    <w:rsid w:val="00CD2C5B"/>
    <w:rsid w:val="00CD324B"/>
    <w:rsid w:val="00CD3557"/>
    <w:rsid w:val="00CD36E4"/>
    <w:rsid w:val="00CD3772"/>
    <w:rsid w:val="00CD3AFB"/>
    <w:rsid w:val="00CD3B0E"/>
    <w:rsid w:val="00CD4337"/>
    <w:rsid w:val="00CD43C1"/>
    <w:rsid w:val="00CD4BBF"/>
    <w:rsid w:val="00CD5310"/>
    <w:rsid w:val="00CD6476"/>
    <w:rsid w:val="00CD6651"/>
    <w:rsid w:val="00CD6A89"/>
    <w:rsid w:val="00CD6B7D"/>
    <w:rsid w:val="00CD6D49"/>
    <w:rsid w:val="00CD71A1"/>
    <w:rsid w:val="00CD7241"/>
    <w:rsid w:val="00CD73A5"/>
    <w:rsid w:val="00CD7962"/>
    <w:rsid w:val="00CD7F82"/>
    <w:rsid w:val="00CE01F6"/>
    <w:rsid w:val="00CE0484"/>
    <w:rsid w:val="00CE0688"/>
    <w:rsid w:val="00CE0978"/>
    <w:rsid w:val="00CE13D8"/>
    <w:rsid w:val="00CE1472"/>
    <w:rsid w:val="00CE175A"/>
    <w:rsid w:val="00CE19EB"/>
    <w:rsid w:val="00CE2454"/>
    <w:rsid w:val="00CE343E"/>
    <w:rsid w:val="00CE3B1C"/>
    <w:rsid w:val="00CE415C"/>
    <w:rsid w:val="00CE456B"/>
    <w:rsid w:val="00CE46ED"/>
    <w:rsid w:val="00CE4C50"/>
    <w:rsid w:val="00CE52DE"/>
    <w:rsid w:val="00CE56AC"/>
    <w:rsid w:val="00CE5961"/>
    <w:rsid w:val="00CE5A86"/>
    <w:rsid w:val="00CE6439"/>
    <w:rsid w:val="00CE6E9B"/>
    <w:rsid w:val="00CE6FA3"/>
    <w:rsid w:val="00CE71C2"/>
    <w:rsid w:val="00CE787C"/>
    <w:rsid w:val="00CF214F"/>
    <w:rsid w:val="00CF237E"/>
    <w:rsid w:val="00CF23CB"/>
    <w:rsid w:val="00CF38AA"/>
    <w:rsid w:val="00CF3BBD"/>
    <w:rsid w:val="00CF3EBE"/>
    <w:rsid w:val="00CF4E5A"/>
    <w:rsid w:val="00CF543E"/>
    <w:rsid w:val="00CF5DB9"/>
    <w:rsid w:val="00CF5FD2"/>
    <w:rsid w:val="00CF6093"/>
    <w:rsid w:val="00CF6118"/>
    <w:rsid w:val="00CF6807"/>
    <w:rsid w:val="00CF6886"/>
    <w:rsid w:val="00CF693C"/>
    <w:rsid w:val="00CF6FDD"/>
    <w:rsid w:val="00CF7265"/>
    <w:rsid w:val="00CF7D85"/>
    <w:rsid w:val="00D00085"/>
    <w:rsid w:val="00D0034B"/>
    <w:rsid w:val="00D004BC"/>
    <w:rsid w:val="00D00B21"/>
    <w:rsid w:val="00D00E20"/>
    <w:rsid w:val="00D0103F"/>
    <w:rsid w:val="00D0108C"/>
    <w:rsid w:val="00D018AF"/>
    <w:rsid w:val="00D01B39"/>
    <w:rsid w:val="00D01D7E"/>
    <w:rsid w:val="00D01E1F"/>
    <w:rsid w:val="00D01E33"/>
    <w:rsid w:val="00D01F3C"/>
    <w:rsid w:val="00D026C1"/>
    <w:rsid w:val="00D03056"/>
    <w:rsid w:val="00D0328C"/>
    <w:rsid w:val="00D0373E"/>
    <w:rsid w:val="00D04577"/>
    <w:rsid w:val="00D048B5"/>
    <w:rsid w:val="00D048D2"/>
    <w:rsid w:val="00D04C4C"/>
    <w:rsid w:val="00D04E93"/>
    <w:rsid w:val="00D052E3"/>
    <w:rsid w:val="00D0551A"/>
    <w:rsid w:val="00D05619"/>
    <w:rsid w:val="00D06C9E"/>
    <w:rsid w:val="00D07606"/>
    <w:rsid w:val="00D07615"/>
    <w:rsid w:val="00D079DF"/>
    <w:rsid w:val="00D1048D"/>
    <w:rsid w:val="00D1094A"/>
    <w:rsid w:val="00D10ECB"/>
    <w:rsid w:val="00D11044"/>
    <w:rsid w:val="00D11138"/>
    <w:rsid w:val="00D11194"/>
    <w:rsid w:val="00D113BB"/>
    <w:rsid w:val="00D11D00"/>
    <w:rsid w:val="00D1254A"/>
    <w:rsid w:val="00D13A54"/>
    <w:rsid w:val="00D13A9A"/>
    <w:rsid w:val="00D146F0"/>
    <w:rsid w:val="00D1472A"/>
    <w:rsid w:val="00D14D97"/>
    <w:rsid w:val="00D14E0B"/>
    <w:rsid w:val="00D1566E"/>
    <w:rsid w:val="00D169B0"/>
    <w:rsid w:val="00D16B8F"/>
    <w:rsid w:val="00D16D23"/>
    <w:rsid w:val="00D1726C"/>
    <w:rsid w:val="00D17852"/>
    <w:rsid w:val="00D2069F"/>
    <w:rsid w:val="00D214F9"/>
    <w:rsid w:val="00D216F1"/>
    <w:rsid w:val="00D21898"/>
    <w:rsid w:val="00D21902"/>
    <w:rsid w:val="00D21D24"/>
    <w:rsid w:val="00D21EA6"/>
    <w:rsid w:val="00D224CA"/>
    <w:rsid w:val="00D22875"/>
    <w:rsid w:val="00D22E91"/>
    <w:rsid w:val="00D23B4D"/>
    <w:rsid w:val="00D23F63"/>
    <w:rsid w:val="00D24013"/>
    <w:rsid w:val="00D240FC"/>
    <w:rsid w:val="00D24A67"/>
    <w:rsid w:val="00D24C18"/>
    <w:rsid w:val="00D24DC9"/>
    <w:rsid w:val="00D25034"/>
    <w:rsid w:val="00D25EFB"/>
    <w:rsid w:val="00D26390"/>
    <w:rsid w:val="00D2694F"/>
    <w:rsid w:val="00D26D60"/>
    <w:rsid w:val="00D26FC3"/>
    <w:rsid w:val="00D277DB"/>
    <w:rsid w:val="00D30237"/>
    <w:rsid w:val="00D30700"/>
    <w:rsid w:val="00D30A95"/>
    <w:rsid w:val="00D30E99"/>
    <w:rsid w:val="00D31745"/>
    <w:rsid w:val="00D318B5"/>
    <w:rsid w:val="00D31958"/>
    <w:rsid w:val="00D31D19"/>
    <w:rsid w:val="00D31D9F"/>
    <w:rsid w:val="00D32B07"/>
    <w:rsid w:val="00D32CE7"/>
    <w:rsid w:val="00D32EDB"/>
    <w:rsid w:val="00D32FAE"/>
    <w:rsid w:val="00D337F4"/>
    <w:rsid w:val="00D33A2F"/>
    <w:rsid w:val="00D33A37"/>
    <w:rsid w:val="00D33ABF"/>
    <w:rsid w:val="00D346C0"/>
    <w:rsid w:val="00D348B2"/>
    <w:rsid w:val="00D348CB"/>
    <w:rsid w:val="00D34AAE"/>
    <w:rsid w:val="00D34C01"/>
    <w:rsid w:val="00D34CAA"/>
    <w:rsid w:val="00D34CE2"/>
    <w:rsid w:val="00D35228"/>
    <w:rsid w:val="00D35285"/>
    <w:rsid w:val="00D3556B"/>
    <w:rsid w:val="00D35D18"/>
    <w:rsid w:val="00D36173"/>
    <w:rsid w:val="00D364F9"/>
    <w:rsid w:val="00D36765"/>
    <w:rsid w:val="00D36969"/>
    <w:rsid w:val="00D36A2E"/>
    <w:rsid w:val="00D37229"/>
    <w:rsid w:val="00D3748B"/>
    <w:rsid w:val="00D37497"/>
    <w:rsid w:val="00D37586"/>
    <w:rsid w:val="00D37A7B"/>
    <w:rsid w:val="00D40127"/>
    <w:rsid w:val="00D40C18"/>
    <w:rsid w:val="00D40E72"/>
    <w:rsid w:val="00D41020"/>
    <w:rsid w:val="00D412E7"/>
    <w:rsid w:val="00D4163E"/>
    <w:rsid w:val="00D41783"/>
    <w:rsid w:val="00D418F4"/>
    <w:rsid w:val="00D42EDC"/>
    <w:rsid w:val="00D42FA3"/>
    <w:rsid w:val="00D43A41"/>
    <w:rsid w:val="00D4484E"/>
    <w:rsid w:val="00D4531B"/>
    <w:rsid w:val="00D453DC"/>
    <w:rsid w:val="00D45476"/>
    <w:rsid w:val="00D458BA"/>
    <w:rsid w:val="00D45D81"/>
    <w:rsid w:val="00D460CD"/>
    <w:rsid w:val="00D4665E"/>
    <w:rsid w:val="00D46C27"/>
    <w:rsid w:val="00D47277"/>
    <w:rsid w:val="00D47740"/>
    <w:rsid w:val="00D47A8B"/>
    <w:rsid w:val="00D50140"/>
    <w:rsid w:val="00D50937"/>
    <w:rsid w:val="00D50F3C"/>
    <w:rsid w:val="00D51E07"/>
    <w:rsid w:val="00D51EB5"/>
    <w:rsid w:val="00D51FC9"/>
    <w:rsid w:val="00D520E7"/>
    <w:rsid w:val="00D52146"/>
    <w:rsid w:val="00D52628"/>
    <w:rsid w:val="00D529E1"/>
    <w:rsid w:val="00D52F3F"/>
    <w:rsid w:val="00D53590"/>
    <w:rsid w:val="00D53674"/>
    <w:rsid w:val="00D538A2"/>
    <w:rsid w:val="00D53A96"/>
    <w:rsid w:val="00D53E03"/>
    <w:rsid w:val="00D54167"/>
    <w:rsid w:val="00D54513"/>
    <w:rsid w:val="00D5464C"/>
    <w:rsid w:val="00D54F00"/>
    <w:rsid w:val="00D55966"/>
    <w:rsid w:val="00D55AF2"/>
    <w:rsid w:val="00D56172"/>
    <w:rsid w:val="00D56359"/>
    <w:rsid w:val="00D57006"/>
    <w:rsid w:val="00D57870"/>
    <w:rsid w:val="00D60678"/>
    <w:rsid w:val="00D60AFA"/>
    <w:rsid w:val="00D61B32"/>
    <w:rsid w:val="00D61BA9"/>
    <w:rsid w:val="00D61C4E"/>
    <w:rsid w:val="00D61C54"/>
    <w:rsid w:val="00D62C9F"/>
    <w:rsid w:val="00D62EA2"/>
    <w:rsid w:val="00D63010"/>
    <w:rsid w:val="00D64154"/>
    <w:rsid w:val="00D64D24"/>
    <w:rsid w:val="00D650AD"/>
    <w:rsid w:val="00D655E1"/>
    <w:rsid w:val="00D65B15"/>
    <w:rsid w:val="00D65BF2"/>
    <w:rsid w:val="00D65BF8"/>
    <w:rsid w:val="00D6629A"/>
    <w:rsid w:val="00D66373"/>
    <w:rsid w:val="00D66771"/>
    <w:rsid w:val="00D66A92"/>
    <w:rsid w:val="00D67372"/>
    <w:rsid w:val="00D67509"/>
    <w:rsid w:val="00D6753C"/>
    <w:rsid w:val="00D679E2"/>
    <w:rsid w:val="00D67FC3"/>
    <w:rsid w:val="00D70184"/>
    <w:rsid w:val="00D7081D"/>
    <w:rsid w:val="00D70AC8"/>
    <w:rsid w:val="00D70BA0"/>
    <w:rsid w:val="00D70F0A"/>
    <w:rsid w:val="00D71389"/>
    <w:rsid w:val="00D7170F"/>
    <w:rsid w:val="00D71781"/>
    <w:rsid w:val="00D7205F"/>
    <w:rsid w:val="00D72450"/>
    <w:rsid w:val="00D726EB"/>
    <w:rsid w:val="00D72AE3"/>
    <w:rsid w:val="00D731F6"/>
    <w:rsid w:val="00D73696"/>
    <w:rsid w:val="00D73DB0"/>
    <w:rsid w:val="00D74161"/>
    <w:rsid w:val="00D741FF"/>
    <w:rsid w:val="00D749FF"/>
    <w:rsid w:val="00D752F2"/>
    <w:rsid w:val="00D75788"/>
    <w:rsid w:val="00D75D3F"/>
    <w:rsid w:val="00D7610D"/>
    <w:rsid w:val="00D76591"/>
    <w:rsid w:val="00D771C4"/>
    <w:rsid w:val="00D77818"/>
    <w:rsid w:val="00D77869"/>
    <w:rsid w:val="00D778F0"/>
    <w:rsid w:val="00D806E0"/>
    <w:rsid w:val="00D80A00"/>
    <w:rsid w:val="00D80A6A"/>
    <w:rsid w:val="00D80B9A"/>
    <w:rsid w:val="00D80FFE"/>
    <w:rsid w:val="00D81153"/>
    <w:rsid w:val="00D81377"/>
    <w:rsid w:val="00D81756"/>
    <w:rsid w:val="00D82760"/>
    <w:rsid w:val="00D82840"/>
    <w:rsid w:val="00D82E9A"/>
    <w:rsid w:val="00D82FA8"/>
    <w:rsid w:val="00D8344C"/>
    <w:rsid w:val="00D838F4"/>
    <w:rsid w:val="00D83BB6"/>
    <w:rsid w:val="00D84194"/>
    <w:rsid w:val="00D84E62"/>
    <w:rsid w:val="00D85B39"/>
    <w:rsid w:val="00D8662C"/>
    <w:rsid w:val="00D867A6"/>
    <w:rsid w:val="00D87305"/>
    <w:rsid w:val="00D8791E"/>
    <w:rsid w:val="00D90651"/>
    <w:rsid w:val="00D909F3"/>
    <w:rsid w:val="00D91870"/>
    <w:rsid w:val="00D920A3"/>
    <w:rsid w:val="00D920C1"/>
    <w:rsid w:val="00D931CD"/>
    <w:rsid w:val="00D9342A"/>
    <w:rsid w:val="00D93C0B"/>
    <w:rsid w:val="00D9477A"/>
    <w:rsid w:val="00D9494E"/>
    <w:rsid w:val="00D949B6"/>
    <w:rsid w:val="00D94DFE"/>
    <w:rsid w:val="00D94EAF"/>
    <w:rsid w:val="00D957C3"/>
    <w:rsid w:val="00D958A4"/>
    <w:rsid w:val="00D96820"/>
    <w:rsid w:val="00D96AAC"/>
    <w:rsid w:val="00D96C48"/>
    <w:rsid w:val="00D96F98"/>
    <w:rsid w:val="00D977C1"/>
    <w:rsid w:val="00D97912"/>
    <w:rsid w:val="00DA0B4E"/>
    <w:rsid w:val="00DA1857"/>
    <w:rsid w:val="00DA25D9"/>
    <w:rsid w:val="00DA2715"/>
    <w:rsid w:val="00DA2978"/>
    <w:rsid w:val="00DA2BF2"/>
    <w:rsid w:val="00DA2DE6"/>
    <w:rsid w:val="00DA321A"/>
    <w:rsid w:val="00DA3312"/>
    <w:rsid w:val="00DA35BC"/>
    <w:rsid w:val="00DA35E1"/>
    <w:rsid w:val="00DA39BA"/>
    <w:rsid w:val="00DA4576"/>
    <w:rsid w:val="00DA555D"/>
    <w:rsid w:val="00DA56D5"/>
    <w:rsid w:val="00DA5802"/>
    <w:rsid w:val="00DA587C"/>
    <w:rsid w:val="00DA6AA8"/>
    <w:rsid w:val="00DA6B28"/>
    <w:rsid w:val="00DA723F"/>
    <w:rsid w:val="00DA7463"/>
    <w:rsid w:val="00DA766E"/>
    <w:rsid w:val="00DA79FF"/>
    <w:rsid w:val="00DB00DF"/>
    <w:rsid w:val="00DB04FF"/>
    <w:rsid w:val="00DB0664"/>
    <w:rsid w:val="00DB08B5"/>
    <w:rsid w:val="00DB12CF"/>
    <w:rsid w:val="00DB1675"/>
    <w:rsid w:val="00DB190B"/>
    <w:rsid w:val="00DB2615"/>
    <w:rsid w:val="00DB264F"/>
    <w:rsid w:val="00DB28FB"/>
    <w:rsid w:val="00DB39EF"/>
    <w:rsid w:val="00DB3B41"/>
    <w:rsid w:val="00DB3E56"/>
    <w:rsid w:val="00DB3E5B"/>
    <w:rsid w:val="00DB44EB"/>
    <w:rsid w:val="00DB4CC3"/>
    <w:rsid w:val="00DB50CC"/>
    <w:rsid w:val="00DB59E3"/>
    <w:rsid w:val="00DB6383"/>
    <w:rsid w:val="00DB66BC"/>
    <w:rsid w:val="00DB6955"/>
    <w:rsid w:val="00DB69FB"/>
    <w:rsid w:val="00DB6C17"/>
    <w:rsid w:val="00DB6D9E"/>
    <w:rsid w:val="00DB6DC7"/>
    <w:rsid w:val="00DB7493"/>
    <w:rsid w:val="00DB78AF"/>
    <w:rsid w:val="00DC008F"/>
    <w:rsid w:val="00DC01C0"/>
    <w:rsid w:val="00DC08B3"/>
    <w:rsid w:val="00DC08BB"/>
    <w:rsid w:val="00DC0D01"/>
    <w:rsid w:val="00DC0E27"/>
    <w:rsid w:val="00DC1A24"/>
    <w:rsid w:val="00DC2E6F"/>
    <w:rsid w:val="00DC3577"/>
    <w:rsid w:val="00DC38E7"/>
    <w:rsid w:val="00DC40DB"/>
    <w:rsid w:val="00DC4159"/>
    <w:rsid w:val="00DC4211"/>
    <w:rsid w:val="00DC4393"/>
    <w:rsid w:val="00DC4E86"/>
    <w:rsid w:val="00DC51A7"/>
    <w:rsid w:val="00DC529B"/>
    <w:rsid w:val="00DC55EF"/>
    <w:rsid w:val="00DC5C25"/>
    <w:rsid w:val="00DC5E03"/>
    <w:rsid w:val="00DC64F9"/>
    <w:rsid w:val="00DC69F8"/>
    <w:rsid w:val="00DC6CF3"/>
    <w:rsid w:val="00DC7703"/>
    <w:rsid w:val="00DC7D7B"/>
    <w:rsid w:val="00DC7EE7"/>
    <w:rsid w:val="00DD043C"/>
    <w:rsid w:val="00DD04C0"/>
    <w:rsid w:val="00DD15E3"/>
    <w:rsid w:val="00DD1892"/>
    <w:rsid w:val="00DD19FE"/>
    <w:rsid w:val="00DD2A3A"/>
    <w:rsid w:val="00DD2B6C"/>
    <w:rsid w:val="00DD35C7"/>
    <w:rsid w:val="00DD37C3"/>
    <w:rsid w:val="00DD3A1C"/>
    <w:rsid w:val="00DD3A39"/>
    <w:rsid w:val="00DD3E80"/>
    <w:rsid w:val="00DD40E1"/>
    <w:rsid w:val="00DD4AC4"/>
    <w:rsid w:val="00DD4BDD"/>
    <w:rsid w:val="00DD4DDE"/>
    <w:rsid w:val="00DD4E7C"/>
    <w:rsid w:val="00DD4FE6"/>
    <w:rsid w:val="00DD5247"/>
    <w:rsid w:val="00DD53AF"/>
    <w:rsid w:val="00DD54CF"/>
    <w:rsid w:val="00DD5770"/>
    <w:rsid w:val="00DD584A"/>
    <w:rsid w:val="00DD5B3B"/>
    <w:rsid w:val="00DD65F1"/>
    <w:rsid w:val="00DD6C3C"/>
    <w:rsid w:val="00DE04DF"/>
    <w:rsid w:val="00DE05A1"/>
    <w:rsid w:val="00DE0C25"/>
    <w:rsid w:val="00DE1183"/>
    <w:rsid w:val="00DE1540"/>
    <w:rsid w:val="00DE15D4"/>
    <w:rsid w:val="00DE1A3E"/>
    <w:rsid w:val="00DE1A4A"/>
    <w:rsid w:val="00DE1F7D"/>
    <w:rsid w:val="00DE21DD"/>
    <w:rsid w:val="00DE2683"/>
    <w:rsid w:val="00DE2D16"/>
    <w:rsid w:val="00DE2DAE"/>
    <w:rsid w:val="00DE2EBC"/>
    <w:rsid w:val="00DE3054"/>
    <w:rsid w:val="00DE31CC"/>
    <w:rsid w:val="00DE3AFD"/>
    <w:rsid w:val="00DE4091"/>
    <w:rsid w:val="00DE50EE"/>
    <w:rsid w:val="00DE571D"/>
    <w:rsid w:val="00DE5FC6"/>
    <w:rsid w:val="00DE7512"/>
    <w:rsid w:val="00DE7574"/>
    <w:rsid w:val="00DE7C8E"/>
    <w:rsid w:val="00DE7DED"/>
    <w:rsid w:val="00DF035E"/>
    <w:rsid w:val="00DF0B15"/>
    <w:rsid w:val="00DF0F27"/>
    <w:rsid w:val="00DF0FCD"/>
    <w:rsid w:val="00DF1236"/>
    <w:rsid w:val="00DF1731"/>
    <w:rsid w:val="00DF1C16"/>
    <w:rsid w:val="00DF302A"/>
    <w:rsid w:val="00DF3DDD"/>
    <w:rsid w:val="00DF42FC"/>
    <w:rsid w:val="00DF4B82"/>
    <w:rsid w:val="00DF4B84"/>
    <w:rsid w:val="00DF4EC2"/>
    <w:rsid w:val="00DF54CD"/>
    <w:rsid w:val="00DF64A7"/>
    <w:rsid w:val="00DF6AF7"/>
    <w:rsid w:val="00DF73B1"/>
    <w:rsid w:val="00DF73D8"/>
    <w:rsid w:val="00E008A1"/>
    <w:rsid w:val="00E00D0E"/>
    <w:rsid w:val="00E0142B"/>
    <w:rsid w:val="00E0165C"/>
    <w:rsid w:val="00E019FA"/>
    <w:rsid w:val="00E02132"/>
    <w:rsid w:val="00E02475"/>
    <w:rsid w:val="00E0251A"/>
    <w:rsid w:val="00E02FED"/>
    <w:rsid w:val="00E031AF"/>
    <w:rsid w:val="00E03EAA"/>
    <w:rsid w:val="00E04542"/>
    <w:rsid w:val="00E04560"/>
    <w:rsid w:val="00E04663"/>
    <w:rsid w:val="00E0513F"/>
    <w:rsid w:val="00E068FB"/>
    <w:rsid w:val="00E06E9D"/>
    <w:rsid w:val="00E06FDF"/>
    <w:rsid w:val="00E070E5"/>
    <w:rsid w:val="00E075C6"/>
    <w:rsid w:val="00E0779D"/>
    <w:rsid w:val="00E106AE"/>
    <w:rsid w:val="00E11687"/>
    <w:rsid w:val="00E11DB4"/>
    <w:rsid w:val="00E11EE8"/>
    <w:rsid w:val="00E133F2"/>
    <w:rsid w:val="00E13B30"/>
    <w:rsid w:val="00E142C8"/>
    <w:rsid w:val="00E14437"/>
    <w:rsid w:val="00E14B97"/>
    <w:rsid w:val="00E15404"/>
    <w:rsid w:val="00E159E7"/>
    <w:rsid w:val="00E15B8C"/>
    <w:rsid w:val="00E15D91"/>
    <w:rsid w:val="00E16630"/>
    <w:rsid w:val="00E16640"/>
    <w:rsid w:val="00E166C3"/>
    <w:rsid w:val="00E16F32"/>
    <w:rsid w:val="00E17833"/>
    <w:rsid w:val="00E179E4"/>
    <w:rsid w:val="00E206DE"/>
    <w:rsid w:val="00E207DD"/>
    <w:rsid w:val="00E20A06"/>
    <w:rsid w:val="00E212E7"/>
    <w:rsid w:val="00E21795"/>
    <w:rsid w:val="00E21DCD"/>
    <w:rsid w:val="00E226BB"/>
    <w:rsid w:val="00E22A84"/>
    <w:rsid w:val="00E22B66"/>
    <w:rsid w:val="00E22FC1"/>
    <w:rsid w:val="00E231AF"/>
    <w:rsid w:val="00E232D3"/>
    <w:rsid w:val="00E23C12"/>
    <w:rsid w:val="00E23DF5"/>
    <w:rsid w:val="00E24071"/>
    <w:rsid w:val="00E2540E"/>
    <w:rsid w:val="00E25534"/>
    <w:rsid w:val="00E25825"/>
    <w:rsid w:val="00E272BE"/>
    <w:rsid w:val="00E27C14"/>
    <w:rsid w:val="00E3068C"/>
    <w:rsid w:val="00E30FF9"/>
    <w:rsid w:val="00E31363"/>
    <w:rsid w:val="00E31938"/>
    <w:rsid w:val="00E3370E"/>
    <w:rsid w:val="00E33CF5"/>
    <w:rsid w:val="00E3446E"/>
    <w:rsid w:val="00E34668"/>
    <w:rsid w:val="00E34981"/>
    <w:rsid w:val="00E350DD"/>
    <w:rsid w:val="00E35210"/>
    <w:rsid w:val="00E35A1F"/>
    <w:rsid w:val="00E35E61"/>
    <w:rsid w:val="00E3607E"/>
    <w:rsid w:val="00E36BA5"/>
    <w:rsid w:val="00E36D92"/>
    <w:rsid w:val="00E37020"/>
    <w:rsid w:val="00E37B02"/>
    <w:rsid w:val="00E37C08"/>
    <w:rsid w:val="00E37CC6"/>
    <w:rsid w:val="00E4022F"/>
    <w:rsid w:val="00E40931"/>
    <w:rsid w:val="00E40BFF"/>
    <w:rsid w:val="00E41101"/>
    <w:rsid w:val="00E419A0"/>
    <w:rsid w:val="00E41B52"/>
    <w:rsid w:val="00E42323"/>
    <w:rsid w:val="00E4295A"/>
    <w:rsid w:val="00E43788"/>
    <w:rsid w:val="00E43FB7"/>
    <w:rsid w:val="00E44CF2"/>
    <w:rsid w:val="00E44FFA"/>
    <w:rsid w:val="00E45601"/>
    <w:rsid w:val="00E47085"/>
    <w:rsid w:val="00E47259"/>
    <w:rsid w:val="00E472E7"/>
    <w:rsid w:val="00E47D79"/>
    <w:rsid w:val="00E504A9"/>
    <w:rsid w:val="00E50A63"/>
    <w:rsid w:val="00E50DD3"/>
    <w:rsid w:val="00E5256D"/>
    <w:rsid w:val="00E52EBB"/>
    <w:rsid w:val="00E5398D"/>
    <w:rsid w:val="00E53C34"/>
    <w:rsid w:val="00E55C9C"/>
    <w:rsid w:val="00E55E78"/>
    <w:rsid w:val="00E55E8A"/>
    <w:rsid w:val="00E56B88"/>
    <w:rsid w:val="00E56FE5"/>
    <w:rsid w:val="00E57362"/>
    <w:rsid w:val="00E57600"/>
    <w:rsid w:val="00E57C2F"/>
    <w:rsid w:val="00E601DA"/>
    <w:rsid w:val="00E6054B"/>
    <w:rsid w:val="00E61AE4"/>
    <w:rsid w:val="00E61AF2"/>
    <w:rsid w:val="00E62107"/>
    <w:rsid w:val="00E622F7"/>
    <w:rsid w:val="00E6253D"/>
    <w:rsid w:val="00E62588"/>
    <w:rsid w:val="00E6262D"/>
    <w:rsid w:val="00E6262E"/>
    <w:rsid w:val="00E62671"/>
    <w:rsid w:val="00E62947"/>
    <w:rsid w:val="00E629D5"/>
    <w:rsid w:val="00E63402"/>
    <w:rsid w:val="00E63853"/>
    <w:rsid w:val="00E63A16"/>
    <w:rsid w:val="00E63E2E"/>
    <w:rsid w:val="00E63F56"/>
    <w:rsid w:val="00E64EDB"/>
    <w:rsid w:val="00E65284"/>
    <w:rsid w:val="00E6581E"/>
    <w:rsid w:val="00E65DA3"/>
    <w:rsid w:val="00E65F5E"/>
    <w:rsid w:val="00E66488"/>
    <w:rsid w:val="00E66DCD"/>
    <w:rsid w:val="00E6768D"/>
    <w:rsid w:val="00E70146"/>
    <w:rsid w:val="00E70542"/>
    <w:rsid w:val="00E70A50"/>
    <w:rsid w:val="00E70C51"/>
    <w:rsid w:val="00E71147"/>
    <w:rsid w:val="00E7136A"/>
    <w:rsid w:val="00E72402"/>
    <w:rsid w:val="00E7261B"/>
    <w:rsid w:val="00E72F9C"/>
    <w:rsid w:val="00E7338D"/>
    <w:rsid w:val="00E733AB"/>
    <w:rsid w:val="00E734D5"/>
    <w:rsid w:val="00E73530"/>
    <w:rsid w:val="00E7378A"/>
    <w:rsid w:val="00E737E8"/>
    <w:rsid w:val="00E74CA9"/>
    <w:rsid w:val="00E754A6"/>
    <w:rsid w:val="00E754C6"/>
    <w:rsid w:val="00E75BE9"/>
    <w:rsid w:val="00E763B0"/>
    <w:rsid w:val="00E76432"/>
    <w:rsid w:val="00E76794"/>
    <w:rsid w:val="00E768CC"/>
    <w:rsid w:val="00E773D7"/>
    <w:rsid w:val="00E7795A"/>
    <w:rsid w:val="00E77BE5"/>
    <w:rsid w:val="00E77E82"/>
    <w:rsid w:val="00E77F82"/>
    <w:rsid w:val="00E8009C"/>
    <w:rsid w:val="00E80254"/>
    <w:rsid w:val="00E803AE"/>
    <w:rsid w:val="00E806A8"/>
    <w:rsid w:val="00E8070F"/>
    <w:rsid w:val="00E81161"/>
    <w:rsid w:val="00E81B3E"/>
    <w:rsid w:val="00E834C5"/>
    <w:rsid w:val="00E83525"/>
    <w:rsid w:val="00E83BC4"/>
    <w:rsid w:val="00E83BE1"/>
    <w:rsid w:val="00E845BF"/>
    <w:rsid w:val="00E84774"/>
    <w:rsid w:val="00E84D46"/>
    <w:rsid w:val="00E85438"/>
    <w:rsid w:val="00E85F87"/>
    <w:rsid w:val="00E85FC3"/>
    <w:rsid w:val="00E86C76"/>
    <w:rsid w:val="00E86CA4"/>
    <w:rsid w:val="00E8721C"/>
    <w:rsid w:val="00E902B9"/>
    <w:rsid w:val="00E9052E"/>
    <w:rsid w:val="00E90A48"/>
    <w:rsid w:val="00E90E73"/>
    <w:rsid w:val="00E910AF"/>
    <w:rsid w:val="00E919A1"/>
    <w:rsid w:val="00E919B3"/>
    <w:rsid w:val="00E91CB6"/>
    <w:rsid w:val="00E92555"/>
    <w:rsid w:val="00E92912"/>
    <w:rsid w:val="00E93636"/>
    <w:rsid w:val="00E93851"/>
    <w:rsid w:val="00E9470A"/>
    <w:rsid w:val="00E9514A"/>
    <w:rsid w:val="00E9569F"/>
    <w:rsid w:val="00E95992"/>
    <w:rsid w:val="00E961B5"/>
    <w:rsid w:val="00E9640C"/>
    <w:rsid w:val="00E964D9"/>
    <w:rsid w:val="00E9689A"/>
    <w:rsid w:val="00E96994"/>
    <w:rsid w:val="00E97B0B"/>
    <w:rsid w:val="00EA01C5"/>
    <w:rsid w:val="00EA021B"/>
    <w:rsid w:val="00EA0ADB"/>
    <w:rsid w:val="00EA1147"/>
    <w:rsid w:val="00EA1273"/>
    <w:rsid w:val="00EA15ED"/>
    <w:rsid w:val="00EA193D"/>
    <w:rsid w:val="00EA1EDB"/>
    <w:rsid w:val="00EA1FA8"/>
    <w:rsid w:val="00EA29EA"/>
    <w:rsid w:val="00EA344F"/>
    <w:rsid w:val="00EA4AD6"/>
    <w:rsid w:val="00EA532C"/>
    <w:rsid w:val="00EA58C6"/>
    <w:rsid w:val="00EA5B6A"/>
    <w:rsid w:val="00EA5B9C"/>
    <w:rsid w:val="00EA6250"/>
    <w:rsid w:val="00EA7004"/>
    <w:rsid w:val="00EA7EAB"/>
    <w:rsid w:val="00EB019E"/>
    <w:rsid w:val="00EB01E3"/>
    <w:rsid w:val="00EB06E4"/>
    <w:rsid w:val="00EB0D96"/>
    <w:rsid w:val="00EB0F01"/>
    <w:rsid w:val="00EB111C"/>
    <w:rsid w:val="00EB1C8B"/>
    <w:rsid w:val="00EB2302"/>
    <w:rsid w:val="00EB274D"/>
    <w:rsid w:val="00EB3573"/>
    <w:rsid w:val="00EB3ABF"/>
    <w:rsid w:val="00EB4394"/>
    <w:rsid w:val="00EB439B"/>
    <w:rsid w:val="00EB4E0E"/>
    <w:rsid w:val="00EB53B9"/>
    <w:rsid w:val="00EB5BEE"/>
    <w:rsid w:val="00EB5C29"/>
    <w:rsid w:val="00EB5D97"/>
    <w:rsid w:val="00EB6684"/>
    <w:rsid w:val="00EB6AC7"/>
    <w:rsid w:val="00EB75D8"/>
    <w:rsid w:val="00EB7981"/>
    <w:rsid w:val="00EB7A4D"/>
    <w:rsid w:val="00EB7B09"/>
    <w:rsid w:val="00EC00D6"/>
    <w:rsid w:val="00EC0437"/>
    <w:rsid w:val="00EC062A"/>
    <w:rsid w:val="00EC07DA"/>
    <w:rsid w:val="00EC1F1A"/>
    <w:rsid w:val="00EC2725"/>
    <w:rsid w:val="00EC2820"/>
    <w:rsid w:val="00EC2DA1"/>
    <w:rsid w:val="00EC3794"/>
    <w:rsid w:val="00EC3A56"/>
    <w:rsid w:val="00EC5060"/>
    <w:rsid w:val="00EC54D0"/>
    <w:rsid w:val="00EC5D18"/>
    <w:rsid w:val="00EC6E38"/>
    <w:rsid w:val="00EC7532"/>
    <w:rsid w:val="00EC7796"/>
    <w:rsid w:val="00EC796D"/>
    <w:rsid w:val="00EC7A5E"/>
    <w:rsid w:val="00ED1684"/>
    <w:rsid w:val="00ED265D"/>
    <w:rsid w:val="00ED339D"/>
    <w:rsid w:val="00ED347C"/>
    <w:rsid w:val="00ED3C0B"/>
    <w:rsid w:val="00ED4026"/>
    <w:rsid w:val="00ED471C"/>
    <w:rsid w:val="00ED4BDC"/>
    <w:rsid w:val="00ED5078"/>
    <w:rsid w:val="00ED5169"/>
    <w:rsid w:val="00ED5BB8"/>
    <w:rsid w:val="00ED6E80"/>
    <w:rsid w:val="00EE020D"/>
    <w:rsid w:val="00EE057F"/>
    <w:rsid w:val="00EE09D3"/>
    <w:rsid w:val="00EE0BB3"/>
    <w:rsid w:val="00EE13D1"/>
    <w:rsid w:val="00EE1F17"/>
    <w:rsid w:val="00EE24EE"/>
    <w:rsid w:val="00EE24EF"/>
    <w:rsid w:val="00EE26B4"/>
    <w:rsid w:val="00EE2B2C"/>
    <w:rsid w:val="00EE34B3"/>
    <w:rsid w:val="00EE3619"/>
    <w:rsid w:val="00EE383E"/>
    <w:rsid w:val="00EE3B46"/>
    <w:rsid w:val="00EE44D2"/>
    <w:rsid w:val="00EE46BB"/>
    <w:rsid w:val="00EE49FA"/>
    <w:rsid w:val="00EE518A"/>
    <w:rsid w:val="00EE5374"/>
    <w:rsid w:val="00EE5830"/>
    <w:rsid w:val="00EE64D8"/>
    <w:rsid w:val="00EE6924"/>
    <w:rsid w:val="00EE6C1B"/>
    <w:rsid w:val="00EE7379"/>
    <w:rsid w:val="00EE78AD"/>
    <w:rsid w:val="00EF055F"/>
    <w:rsid w:val="00EF0F84"/>
    <w:rsid w:val="00EF1112"/>
    <w:rsid w:val="00EF16C4"/>
    <w:rsid w:val="00EF187B"/>
    <w:rsid w:val="00EF1A15"/>
    <w:rsid w:val="00EF1FC7"/>
    <w:rsid w:val="00EF28AA"/>
    <w:rsid w:val="00EF297A"/>
    <w:rsid w:val="00EF324B"/>
    <w:rsid w:val="00EF33AD"/>
    <w:rsid w:val="00EF39B2"/>
    <w:rsid w:val="00EF4856"/>
    <w:rsid w:val="00EF4B74"/>
    <w:rsid w:val="00EF4C9A"/>
    <w:rsid w:val="00EF4F93"/>
    <w:rsid w:val="00EF5C36"/>
    <w:rsid w:val="00EF680D"/>
    <w:rsid w:val="00EF6D57"/>
    <w:rsid w:val="00EF6DC7"/>
    <w:rsid w:val="00EF6F6D"/>
    <w:rsid w:val="00EF6F86"/>
    <w:rsid w:val="00EF77BA"/>
    <w:rsid w:val="00EF7D13"/>
    <w:rsid w:val="00F002CE"/>
    <w:rsid w:val="00F006C0"/>
    <w:rsid w:val="00F01248"/>
    <w:rsid w:val="00F015FA"/>
    <w:rsid w:val="00F01CE7"/>
    <w:rsid w:val="00F01EEE"/>
    <w:rsid w:val="00F02376"/>
    <w:rsid w:val="00F024FA"/>
    <w:rsid w:val="00F028CF"/>
    <w:rsid w:val="00F02A7F"/>
    <w:rsid w:val="00F02C36"/>
    <w:rsid w:val="00F02DCB"/>
    <w:rsid w:val="00F02EE8"/>
    <w:rsid w:val="00F03CBF"/>
    <w:rsid w:val="00F0404A"/>
    <w:rsid w:val="00F040FA"/>
    <w:rsid w:val="00F052E6"/>
    <w:rsid w:val="00F05ABA"/>
    <w:rsid w:val="00F05F2E"/>
    <w:rsid w:val="00F06507"/>
    <w:rsid w:val="00F0661D"/>
    <w:rsid w:val="00F068C1"/>
    <w:rsid w:val="00F06EB8"/>
    <w:rsid w:val="00F1051D"/>
    <w:rsid w:val="00F105D7"/>
    <w:rsid w:val="00F10A29"/>
    <w:rsid w:val="00F10FC2"/>
    <w:rsid w:val="00F118A7"/>
    <w:rsid w:val="00F11A6C"/>
    <w:rsid w:val="00F12008"/>
    <w:rsid w:val="00F12070"/>
    <w:rsid w:val="00F1298C"/>
    <w:rsid w:val="00F12FD4"/>
    <w:rsid w:val="00F13189"/>
    <w:rsid w:val="00F13351"/>
    <w:rsid w:val="00F13E8B"/>
    <w:rsid w:val="00F14653"/>
    <w:rsid w:val="00F14B68"/>
    <w:rsid w:val="00F1505C"/>
    <w:rsid w:val="00F1578E"/>
    <w:rsid w:val="00F179D5"/>
    <w:rsid w:val="00F17D54"/>
    <w:rsid w:val="00F17E8F"/>
    <w:rsid w:val="00F17FC4"/>
    <w:rsid w:val="00F201B2"/>
    <w:rsid w:val="00F202A3"/>
    <w:rsid w:val="00F20F84"/>
    <w:rsid w:val="00F20FDD"/>
    <w:rsid w:val="00F21044"/>
    <w:rsid w:val="00F21098"/>
    <w:rsid w:val="00F21E6D"/>
    <w:rsid w:val="00F223EF"/>
    <w:rsid w:val="00F230E2"/>
    <w:rsid w:val="00F232C5"/>
    <w:rsid w:val="00F2331D"/>
    <w:rsid w:val="00F2418C"/>
    <w:rsid w:val="00F24524"/>
    <w:rsid w:val="00F24592"/>
    <w:rsid w:val="00F24628"/>
    <w:rsid w:val="00F24F96"/>
    <w:rsid w:val="00F25372"/>
    <w:rsid w:val="00F255FF"/>
    <w:rsid w:val="00F27003"/>
    <w:rsid w:val="00F270E5"/>
    <w:rsid w:val="00F2711C"/>
    <w:rsid w:val="00F271D9"/>
    <w:rsid w:val="00F2767A"/>
    <w:rsid w:val="00F27ED2"/>
    <w:rsid w:val="00F30EBC"/>
    <w:rsid w:val="00F310E1"/>
    <w:rsid w:val="00F31189"/>
    <w:rsid w:val="00F31BEC"/>
    <w:rsid w:val="00F31EC9"/>
    <w:rsid w:val="00F32070"/>
    <w:rsid w:val="00F3366C"/>
    <w:rsid w:val="00F33EBF"/>
    <w:rsid w:val="00F3428C"/>
    <w:rsid w:val="00F346C3"/>
    <w:rsid w:val="00F34AD8"/>
    <w:rsid w:val="00F3572F"/>
    <w:rsid w:val="00F35F12"/>
    <w:rsid w:val="00F35F66"/>
    <w:rsid w:val="00F36043"/>
    <w:rsid w:val="00F366F2"/>
    <w:rsid w:val="00F367F9"/>
    <w:rsid w:val="00F36C15"/>
    <w:rsid w:val="00F36F7A"/>
    <w:rsid w:val="00F37191"/>
    <w:rsid w:val="00F378AD"/>
    <w:rsid w:val="00F37A60"/>
    <w:rsid w:val="00F40386"/>
    <w:rsid w:val="00F40DAF"/>
    <w:rsid w:val="00F40FE4"/>
    <w:rsid w:val="00F41A6A"/>
    <w:rsid w:val="00F41C8C"/>
    <w:rsid w:val="00F41D8D"/>
    <w:rsid w:val="00F42135"/>
    <w:rsid w:val="00F423F3"/>
    <w:rsid w:val="00F42727"/>
    <w:rsid w:val="00F42AD4"/>
    <w:rsid w:val="00F43BC2"/>
    <w:rsid w:val="00F43C6F"/>
    <w:rsid w:val="00F441F5"/>
    <w:rsid w:val="00F442F9"/>
    <w:rsid w:val="00F4438E"/>
    <w:rsid w:val="00F44403"/>
    <w:rsid w:val="00F447AE"/>
    <w:rsid w:val="00F44ADB"/>
    <w:rsid w:val="00F44FCF"/>
    <w:rsid w:val="00F451BD"/>
    <w:rsid w:val="00F452C5"/>
    <w:rsid w:val="00F457CF"/>
    <w:rsid w:val="00F460C7"/>
    <w:rsid w:val="00F463AE"/>
    <w:rsid w:val="00F468C0"/>
    <w:rsid w:val="00F46F26"/>
    <w:rsid w:val="00F4725F"/>
    <w:rsid w:val="00F479FF"/>
    <w:rsid w:val="00F47D3F"/>
    <w:rsid w:val="00F503C3"/>
    <w:rsid w:val="00F5045A"/>
    <w:rsid w:val="00F50554"/>
    <w:rsid w:val="00F512D5"/>
    <w:rsid w:val="00F51DC5"/>
    <w:rsid w:val="00F52040"/>
    <w:rsid w:val="00F520F8"/>
    <w:rsid w:val="00F52243"/>
    <w:rsid w:val="00F52418"/>
    <w:rsid w:val="00F52579"/>
    <w:rsid w:val="00F52AC7"/>
    <w:rsid w:val="00F52E78"/>
    <w:rsid w:val="00F5314E"/>
    <w:rsid w:val="00F535CC"/>
    <w:rsid w:val="00F53DF9"/>
    <w:rsid w:val="00F53F92"/>
    <w:rsid w:val="00F54405"/>
    <w:rsid w:val="00F548D0"/>
    <w:rsid w:val="00F549B1"/>
    <w:rsid w:val="00F54A31"/>
    <w:rsid w:val="00F54BBF"/>
    <w:rsid w:val="00F54D22"/>
    <w:rsid w:val="00F54D96"/>
    <w:rsid w:val="00F54FCA"/>
    <w:rsid w:val="00F5554E"/>
    <w:rsid w:val="00F55C79"/>
    <w:rsid w:val="00F5675A"/>
    <w:rsid w:val="00F567A7"/>
    <w:rsid w:val="00F572E0"/>
    <w:rsid w:val="00F57680"/>
    <w:rsid w:val="00F57D9C"/>
    <w:rsid w:val="00F57E45"/>
    <w:rsid w:val="00F60095"/>
    <w:rsid w:val="00F60ADD"/>
    <w:rsid w:val="00F613F0"/>
    <w:rsid w:val="00F615B3"/>
    <w:rsid w:val="00F61865"/>
    <w:rsid w:val="00F622B1"/>
    <w:rsid w:val="00F62690"/>
    <w:rsid w:val="00F627AB"/>
    <w:rsid w:val="00F62A43"/>
    <w:rsid w:val="00F62ACB"/>
    <w:rsid w:val="00F62ADD"/>
    <w:rsid w:val="00F62BDA"/>
    <w:rsid w:val="00F62CA9"/>
    <w:rsid w:val="00F630CC"/>
    <w:rsid w:val="00F63421"/>
    <w:rsid w:val="00F643F6"/>
    <w:rsid w:val="00F64458"/>
    <w:rsid w:val="00F649E1"/>
    <w:rsid w:val="00F64C05"/>
    <w:rsid w:val="00F64C32"/>
    <w:rsid w:val="00F654DF"/>
    <w:rsid w:val="00F6602B"/>
    <w:rsid w:val="00F672C6"/>
    <w:rsid w:val="00F6774D"/>
    <w:rsid w:val="00F7003B"/>
    <w:rsid w:val="00F707AF"/>
    <w:rsid w:val="00F708AE"/>
    <w:rsid w:val="00F712E0"/>
    <w:rsid w:val="00F719F2"/>
    <w:rsid w:val="00F71B67"/>
    <w:rsid w:val="00F72251"/>
    <w:rsid w:val="00F722B9"/>
    <w:rsid w:val="00F72AC1"/>
    <w:rsid w:val="00F72B59"/>
    <w:rsid w:val="00F73161"/>
    <w:rsid w:val="00F73B39"/>
    <w:rsid w:val="00F73BBF"/>
    <w:rsid w:val="00F740CC"/>
    <w:rsid w:val="00F743BD"/>
    <w:rsid w:val="00F74814"/>
    <w:rsid w:val="00F749C0"/>
    <w:rsid w:val="00F75453"/>
    <w:rsid w:val="00F75B3A"/>
    <w:rsid w:val="00F76AD7"/>
    <w:rsid w:val="00F7727D"/>
    <w:rsid w:val="00F8116A"/>
    <w:rsid w:val="00F814A6"/>
    <w:rsid w:val="00F819CC"/>
    <w:rsid w:val="00F824CE"/>
    <w:rsid w:val="00F82D80"/>
    <w:rsid w:val="00F82DBC"/>
    <w:rsid w:val="00F830EF"/>
    <w:rsid w:val="00F831E8"/>
    <w:rsid w:val="00F838CB"/>
    <w:rsid w:val="00F83CF6"/>
    <w:rsid w:val="00F83E49"/>
    <w:rsid w:val="00F847E5"/>
    <w:rsid w:val="00F848F7"/>
    <w:rsid w:val="00F84A8D"/>
    <w:rsid w:val="00F85378"/>
    <w:rsid w:val="00F855C0"/>
    <w:rsid w:val="00F85C96"/>
    <w:rsid w:val="00F86367"/>
    <w:rsid w:val="00F86509"/>
    <w:rsid w:val="00F86704"/>
    <w:rsid w:val="00F86C7D"/>
    <w:rsid w:val="00F8732A"/>
    <w:rsid w:val="00F87616"/>
    <w:rsid w:val="00F87903"/>
    <w:rsid w:val="00F87F15"/>
    <w:rsid w:val="00F90030"/>
    <w:rsid w:val="00F900DB"/>
    <w:rsid w:val="00F901AA"/>
    <w:rsid w:val="00F90B4B"/>
    <w:rsid w:val="00F90E77"/>
    <w:rsid w:val="00F91A13"/>
    <w:rsid w:val="00F9256C"/>
    <w:rsid w:val="00F9269A"/>
    <w:rsid w:val="00F927CC"/>
    <w:rsid w:val="00F92CB2"/>
    <w:rsid w:val="00F92D09"/>
    <w:rsid w:val="00F92DFC"/>
    <w:rsid w:val="00F92F67"/>
    <w:rsid w:val="00F92FDF"/>
    <w:rsid w:val="00F932F5"/>
    <w:rsid w:val="00F93FF5"/>
    <w:rsid w:val="00F94076"/>
    <w:rsid w:val="00F94534"/>
    <w:rsid w:val="00F9532A"/>
    <w:rsid w:val="00F95495"/>
    <w:rsid w:val="00F95F58"/>
    <w:rsid w:val="00F962D6"/>
    <w:rsid w:val="00F97AE0"/>
    <w:rsid w:val="00F97BB1"/>
    <w:rsid w:val="00FA02EF"/>
    <w:rsid w:val="00FA074D"/>
    <w:rsid w:val="00FA0883"/>
    <w:rsid w:val="00FA08EF"/>
    <w:rsid w:val="00FA0A67"/>
    <w:rsid w:val="00FA0B07"/>
    <w:rsid w:val="00FA0B12"/>
    <w:rsid w:val="00FA0E93"/>
    <w:rsid w:val="00FA0F10"/>
    <w:rsid w:val="00FA178C"/>
    <w:rsid w:val="00FA1F0F"/>
    <w:rsid w:val="00FA213B"/>
    <w:rsid w:val="00FA2623"/>
    <w:rsid w:val="00FA2E13"/>
    <w:rsid w:val="00FA3838"/>
    <w:rsid w:val="00FA3A50"/>
    <w:rsid w:val="00FA4527"/>
    <w:rsid w:val="00FA4A12"/>
    <w:rsid w:val="00FA5140"/>
    <w:rsid w:val="00FA55E4"/>
    <w:rsid w:val="00FA664B"/>
    <w:rsid w:val="00FA6C8A"/>
    <w:rsid w:val="00FA7970"/>
    <w:rsid w:val="00FB0367"/>
    <w:rsid w:val="00FB0397"/>
    <w:rsid w:val="00FB0517"/>
    <w:rsid w:val="00FB081A"/>
    <w:rsid w:val="00FB0A51"/>
    <w:rsid w:val="00FB1281"/>
    <w:rsid w:val="00FB13FC"/>
    <w:rsid w:val="00FB18CA"/>
    <w:rsid w:val="00FB2330"/>
    <w:rsid w:val="00FB2BC0"/>
    <w:rsid w:val="00FB3227"/>
    <w:rsid w:val="00FB3234"/>
    <w:rsid w:val="00FB32E1"/>
    <w:rsid w:val="00FB33D6"/>
    <w:rsid w:val="00FB3517"/>
    <w:rsid w:val="00FB35E9"/>
    <w:rsid w:val="00FB384E"/>
    <w:rsid w:val="00FB45F5"/>
    <w:rsid w:val="00FB46BB"/>
    <w:rsid w:val="00FB4811"/>
    <w:rsid w:val="00FB4B5A"/>
    <w:rsid w:val="00FB5341"/>
    <w:rsid w:val="00FB58DC"/>
    <w:rsid w:val="00FB5A11"/>
    <w:rsid w:val="00FB5ADA"/>
    <w:rsid w:val="00FB60CD"/>
    <w:rsid w:val="00FB61C1"/>
    <w:rsid w:val="00FB6400"/>
    <w:rsid w:val="00FB642F"/>
    <w:rsid w:val="00FB6A6C"/>
    <w:rsid w:val="00FB771E"/>
    <w:rsid w:val="00FC05C5"/>
    <w:rsid w:val="00FC0D93"/>
    <w:rsid w:val="00FC176B"/>
    <w:rsid w:val="00FC1932"/>
    <w:rsid w:val="00FC1F50"/>
    <w:rsid w:val="00FC2299"/>
    <w:rsid w:val="00FC25D9"/>
    <w:rsid w:val="00FC2CC7"/>
    <w:rsid w:val="00FC3412"/>
    <w:rsid w:val="00FC3B0B"/>
    <w:rsid w:val="00FC3C20"/>
    <w:rsid w:val="00FC43F8"/>
    <w:rsid w:val="00FC4818"/>
    <w:rsid w:val="00FC4C2D"/>
    <w:rsid w:val="00FC512B"/>
    <w:rsid w:val="00FC5712"/>
    <w:rsid w:val="00FC5750"/>
    <w:rsid w:val="00FC5898"/>
    <w:rsid w:val="00FC5917"/>
    <w:rsid w:val="00FC5D4A"/>
    <w:rsid w:val="00FC5DAD"/>
    <w:rsid w:val="00FC6829"/>
    <w:rsid w:val="00FC6FC4"/>
    <w:rsid w:val="00FC7447"/>
    <w:rsid w:val="00FC79E3"/>
    <w:rsid w:val="00FC7B77"/>
    <w:rsid w:val="00FD02E5"/>
    <w:rsid w:val="00FD056D"/>
    <w:rsid w:val="00FD0D87"/>
    <w:rsid w:val="00FD112F"/>
    <w:rsid w:val="00FD1B25"/>
    <w:rsid w:val="00FD1FC0"/>
    <w:rsid w:val="00FD215D"/>
    <w:rsid w:val="00FD2683"/>
    <w:rsid w:val="00FD269E"/>
    <w:rsid w:val="00FD2A5F"/>
    <w:rsid w:val="00FD2CA7"/>
    <w:rsid w:val="00FD2CEC"/>
    <w:rsid w:val="00FD33CA"/>
    <w:rsid w:val="00FD386B"/>
    <w:rsid w:val="00FD3DEF"/>
    <w:rsid w:val="00FD44A7"/>
    <w:rsid w:val="00FD45D4"/>
    <w:rsid w:val="00FD47AB"/>
    <w:rsid w:val="00FD47F8"/>
    <w:rsid w:val="00FD5DDC"/>
    <w:rsid w:val="00FD6090"/>
    <w:rsid w:val="00FD660A"/>
    <w:rsid w:val="00FD71E6"/>
    <w:rsid w:val="00FD7227"/>
    <w:rsid w:val="00FD7339"/>
    <w:rsid w:val="00FE0078"/>
    <w:rsid w:val="00FE04A7"/>
    <w:rsid w:val="00FE0F45"/>
    <w:rsid w:val="00FE0F9A"/>
    <w:rsid w:val="00FE1095"/>
    <w:rsid w:val="00FE222D"/>
    <w:rsid w:val="00FE2413"/>
    <w:rsid w:val="00FE25B4"/>
    <w:rsid w:val="00FE2A0C"/>
    <w:rsid w:val="00FE2B46"/>
    <w:rsid w:val="00FE3232"/>
    <w:rsid w:val="00FE35E2"/>
    <w:rsid w:val="00FE3D97"/>
    <w:rsid w:val="00FE4568"/>
    <w:rsid w:val="00FE48A5"/>
    <w:rsid w:val="00FE553C"/>
    <w:rsid w:val="00FE5B09"/>
    <w:rsid w:val="00FE6526"/>
    <w:rsid w:val="00FE68ED"/>
    <w:rsid w:val="00FE6B93"/>
    <w:rsid w:val="00FE6F8D"/>
    <w:rsid w:val="00FE739A"/>
    <w:rsid w:val="00FE7A1C"/>
    <w:rsid w:val="00FE7CF9"/>
    <w:rsid w:val="00FE7FD1"/>
    <w:rsid w:val="00FF0508"/>
    <w:rsid w:val="00FF062C"/>
    <w:rsid w:val="00FF0A64"/>
    <w:rsid w:val="00FF0FDD"/>
    <w:rsid w:val="00FF1091"/>
    <w:rsid w:val="00FF190C"/>
    <w:rsid w:val="00FF1DD1"/>
    <w:rsid w:val="00FF2A9A"/>
    <w:rsid w:val="00FF2FD0"/>
    <w:rsid w:val="00FF31DC"/>
    <w:rsid w:val="00FF31E0"/>
    <w:rsid w:val="00FF5617"/>
    <w:rsid w:val="00FF575C"/>
    <w:rsid w:val="00FF5FEB"/>
    <w:rsid w:val="00FF619F"/>
    <w:rsid w:val="00FF6679"/>
    <w:rsid w:val="00FF68C7"/>
    <w:rsid w:val="00FF6917"/>
    <w:rsid w:val="00FF69CD"/>
    <w:rsid w:val="00FF72E4"/>
    <w:rsid w:val="00FF734A"/>
    <w:rsid w:val="00FF7831"/>
    <w:rsid w:val="0297580A"/>
    <w:rsid w:val="066D667A"/>
    <w:rsid w:val="08FD1B8A"/>
    <w:rsid w:val="09E105B7"/>
    <w:rsid w:val="0DD315FA"/>
    <w:rsid w:val="134B3255"/>
    <w:rsid w:val="152E7FB3"/>
    <w:rsid w:val="16FD1956"/>
    <w:rsid w:val="16FD44F1"/>
    <w:rsid w:val="19411ED6"/>
    <w:rsid w:val="19E667A4"/>
    <w:rsid w:val="20630E80"/>
    <w:rsid w:val="20D35C1C"/>
    <w:rsid w:val="27E62317"/>
    <w:rsid w:val="28445059"/>
    <w:rsid w:val="2F5B10DC"/>
    <w:rsid w:val="3420346A"/>
    <w:rsid w:val="37265097"/>
    <w:rsid w:val="39E66F8A"/>
    <w:rsid w:val="419F3E2B"/>
    <w:rsid w:val="42BA67E7"/>
    <w:rsid w:val="46ED48B4"/>
    <w:rsid w:val="46F9360F"/>
    <w:rsid w:val="48307578"/>
    <w:rsid w:val="48BA2FBD"/>
    <w:rsid w:val="4C6B4983"/>
    <w:rsid w:val="4EB10B16"/>
    <w:rsid w:val="524E2F7D"/>
    <w:rsid w:val="532F210E"/>
    <w:rsid w:val="557A551C"/>
    <w:rsid w:val="594230B8"/>
    <w:rsid w:val="5B132ECE"/>
    <w:rsid w:val="5CFB73E7"/>
    <w:rsid w:val="650D1C51"/>
    <w:rsid w:val="65A77F6E"/>
    <w:rsid w:val="661C22C0"/>
    <w:rsid w:val="66FB1A91"/>
    <w:rsid w:val="66FC08C1"/>
    <w:rsid w:val="6CD30C65"/>
    <w:rsid w:val="6D6C6142"/>
    <w:rsid w:val="71334C35"/>
    <w:rsid w:val="73F85017"/>
    <w:rsid w:val="7DE73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heme="minorBidi"/>
      <w:kern w:val="2"/>
      <w:sz w:val="24"/>
      <w:szCs w:val="22"/>
      <w:lang w:val="en-US" w:eastAsia="zh-CN" w:bidi="ar-SA"/>
    </w:rPr>
  </w:style>
  <w:style w:type="paragraph" w:styleId="2">
    <w:name w:val="heading 1"/>
    <w:basedOn w:val="1"/>
    <w:next w:val="1"/>
    <w:link w:val="37"/>
    <w:qFormat/>
    <w:uiPriority w:val="9"/>
    <w:pPr>
      <w:keepNext/>
      <w:keepLines/>
      <w:outlineLvl w:val="0"/>
    </w:pPr>
    <w:rPr>
      <w:rFonts w:eastAsia="黑体" w:cs="Times New Roman"/>
      <w:b/>
      <w:bCs/>
      <w:kern w:val="44"/>
      <w:sz w:val="32"/>
      <w:szCs w:val="44"/>
    </w:rPr>
  </w:style>
  <w:style w:type="paragraph" w:styleId="3">
    <w:name w:val="heading 2"/>
    <w:basedOn w:val="1"/>
    <w:next w:val="1"/>
    <w:link w:val="38"/>
    <w:unhideWhenUsed/>
    <w:qFormat/>
    <w:uiPriority w:val="9"/>
    <w:pPr>
      <w:keepNext/>
      <w:keepLines/>
      <w:ind w:firstLine="0" w:firstLineChars="0"/>
      <w:jc w:val="left"/>
      <w:outlineLvl w:val="1"/>
    </w:pPr>
    <w:rPr>
      <w:rFonts w:eastAsia="楷体" w:cstheme="majorBidi"/>
      <w:b/>
      <w:bCs/>
      <w:szCs w:val="32"/>
    </w:rPr>
  </w:style>
  <w:style w:type="paragraph" w:styleId="4">
    <w:name w:val="heading 3"/>
    <w:basedOn w:val="1"/>
    <w:next w:val="1"/>
    <w:link w:val="39"/>
    <w:unhideWhenUsed/>
    <w:qFormat/>
    <w:uiPriority w:val="9"/>
    <w:pPr>
      <w:keepNext/>
      <w:keepLines/>
      <w:numPr>
        <w:ilvl w:val="0"/>
        <w:numId w:val="1"/>
      </w:numPr>
      <w:ind w:firstLine="0" w:firstLineChars="0"/>
      <w:outlineLvl w:val="2"/>
    </w:pPr>
    <w:rPr>
      <w:rFonts w:cs="Times New Roman"/>
      <w:b/>
      <w:bCs/>
      <w:szCs w:val="32"/>
    </w:rPr>
  </w:style>
  <w:style w:type="paragraph" w:styleId="5">
    <w:name w:val="heading 4"/>
    <w:basedOn w:val="1"/>
    <w:next w:val="1"/>
    <w:link w:val="40"/>
    <w:unhideWhenUsed/>
    <w:qFormat/>
    <w:uiPriority w:val="9"/>
    <w:pPr>
      <w:keepNext/>
      <w:keepLines/>
      <w:numPr>
        <w:ilvl w:val="3"/>
        <w:numId w:val="2"/>
      </w:numPr>
      <w:ind w:firstLine="0" w:firstLineChars="0"/>
      <w:jc w:val="left"/>
      <w:outlineLvl w:val="3"/>
    </w:pPr>
    <w:rPr>
      <w:rFonts w:eastAsiaTheme="majorEastAsia" w:cstheme="majorBidi"/>
      <w:b/>
      <w:bCs/>
      <w:szCs w:val="28"/>
    </w:rPr>
  </w:style>
  <w:style w:type="paragraph" w:styleId="6">
    <w:name w:val="heading 5"/>
    <w:basedOn w:val="1"/>
    <w:next w:val="1"/>
    <w:link w:val="41"/>
    <w:unhideWhenUsed/>
    <w:qFormat/>
    <w:uiPriority w:val="9"/>
    <w:pPr>
      <w:keepNext/>
      <w:keepLines/>
      <w:outlineLvl w:val="4"/>
    </w:pPr>
    <w:rPr>
      <w:b/>
      <w:bCs/>
      <w:szCs w:val="28"/>
    </w:rPr>
  </w:style>
  <w:style w:type="paragraph" w:styleId="7">
    <w:name w:val="heading 6"/>
    <w:basedOn w:val="1"/>
    <w:next w:val="1"/>
    <w:link w:val="42"/>
    <w:unhideWhenUsed/>
    <w:qFormat/>
    <w:uiPriority w:val="9"/>
    <w:pPr>
      <w:keepNext/>
      <w:keepLines/>
      <w:spacing w:before="240" w:after="64" w:line="320" w:lineRule="auto"/>
      <w:outlineLvl w:val="5"/>
    </w:pPr>
    <w:rPr>
      <w:rFonts w:asciiTheme="majorHAnsi" w:hAnsiTheme="majorHAnsi" w:eastAsiaTheme="majorEastAsia" w:cstheme="majorBidi"/>
      <w:b/>
      <w:bCs/>
      <w:szCs w:val="24"/>
    </w:rPr>
  </w:style>
  <w:style w:type="paragraph" w:styleId="8">
    <w:name w:val="heading 7"/>
    <w:basedOn w:val="1"/>
    <w:next w:val="1"/>
    <w:link w:val="43"/>
    <w:unhideWhenUsed/>
    <w:qFormat/>
    <w:uiPriority w:val="0"/>
    <w:pPr>
      <w:keepNext/>
      <w:keepLines/>
      <w:spacing w:before="240" w:after="64" w:line="320" w:lineRule="auto"/>
      <w:ind w:left="1296" w:firstLine="0" w:firstLineChars="0"/>
      <w:outlineLvl w:val="6"/>
    </w:pPr>
    <w:rPr>
      <w:b/>
      <w:bCs/>
      <w:szCs w:val="24"/>
    </w:rPr>
  </w:style>
  <w:style w:type="paragraph" w:styleId="9">
    <w:name w:val="heading 8"/>
    <w:basedOn w:val="1"/>
    <w:next w:val="1"/>
    <w:link w:val="44"/>
    <w:unhideWhenUsed/>
    <w:qFormat/>
    <w:uiPriority w:val="0"/>
    <w:pPr>
      <w:keepNext/>
      <w:keepLines/>
      <w:spacing w:before="240" w:after="64" w:line="320" w:lineRule="auto"/>
      <w:ind w:left="1440" w:firstLine="0" w:firstLineChars="0"/>
      <w:outlineLvl w:val="7"/>
    </w:pPr>
    <w:rPr>
      <w:rFonts w:asciiTheme="majorHAnsi" w:hAnsiTheme="majorHAnsi" w:eastAsiaTheme="majorEastAsia" w:cstheme="majorBidi"/>
      <w:szCs w:val="24"/>
    </w:rPr>
  </w:style>
  <w:style w:type="paragraph" w:styleId="10">
    <w:name w:val="heading 9"/>
    <w:basedOn w:val="1"/>
    <w:next w:val="1"/>
    <w:link w:val="45"/>
    <w:unhideWhenUsed/>
    <w:qFormat/>
    <w:uiPriority w:val="0"/>
    <w:pPr>
      <w:keepNext/>
      <w:keepLines/>
      <w:spacing w:before="240" w:after="64" w:line="320" w:lineRule="auto"/>
      <w:ind w:left="1584" w:firstLine="0" w:firstLineChars="0"/>
      <w:outlineLvl w:val="8"/>
    </w:pPr>
    <w:rPr>
      <w:rFonts w:asciiTheme="majorHAnsi" w:hAnsiTheme="majorHAnsi" w:eastAsiaTheme="majorEastAsia" w:cstheme="majorBidi"/>
      <w:sz w:val="21"/>
      <w:szCs w:val="21"/>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line="240" w:lineRule="auto"/>
      <w:ind w:left="2520" w:leftChars="1200" w:firstLine="0" w:firstLineChars="0"/>
    </w:pPr>
    <w:rPr>
      <w:rFonts w:asciiTheme="minorHAnsi" w:hAnsiTheme="minorHAnsi" w:eastAsiaTheme="minorEastAsia"/>
      <w:sz w:val="21"/>
    </w:rPr>
  </w:style>
  <w:style w:type="paragraph" w:styleId="12">
    <w:name w:val="caption"/>
    <w:basedOn w:val="1"/>
    <w:next w:val="1"/>
    <w:link w:val="46"/>
    <w:unhideWhenUsed/>
    <w:qFormat/>
    <w:uiPriority w:val="35"/>
    <w:rPr>
      <w:rFonts w:eastAsia="黑体" w:asciiTheme="majorHAnsi" w:hAnsiTheme="majorHAnsi" w:cstheme="majorBidi"/>
      <w:sz w:val="20"/>
      <w:szCs w:val="20"/>
    </w:rPr>
  </w:style>
  <w:style w:type="paragraph" w:styleId="13">
    <w:name w:val="Document Map"/>
    <w:basedOn w:val="1"/>
    <w:link w:val="47"/>
    <w:semiHidden/>
    <w:qFormat/>
    <w:uiPriority w:val="0"/>
    <w:pPr>
      <w:spacing w:line="240" w:lineRule="auto"/>
      <w:ind w:firstLine="0" w:firstLineChars="0"/>
    </w:pPr>
    <w:rPr>
      <w:rFonts w:ascii="宋体" w:cs="Times New Roman"/>
      <w:kern w:val="0"/>
      <w:sz w:val="18"/>
      <w:szCs w:val="20"/>
    </w:rPr>
  </w:style>
  <w:style w:type="paragraph" w:styleId="14">
    <w:name w:val="annotation text"/>
    <w:basedOn w:val="1"/>
    <w:link w:val="48"/>
    <w:semiHidden/>
    <w:unhideWhenUsed/>
    <w:qFormat/>
    <w:uiPriority w:val="99"/>
    <w:pPr>
      <w:jc w:val="left"/>
    </w:pPr>
  </w:style>
  <w:style w:type="paragraph" w:styleId="15">
    <w:name w:val="toc 5"/>
    <w:basedOn w:val="1"/>
    <w:next w:val="1"/>
    <w:unhideWhenUsed/>
    <w:qFormat/>
    <w:uiPriority w:val="39"/>
    <w:pPr>
      <w:spacing w:line="240" w:lineRule="auto"/>
      <w:ind w:left="1680" w:leftChars="800" w:firstLine="0" w:firstLineChars="0"/>
    </w:pPr>
    <w:rPr>
      <w:rFonts w:asciiTheme="minorHAnsi" w:hAnsiTheme="minorHAnsi" w:eastAsiaTheme="minorEastAsia"/>
      <w:sz w:val="21"/>
    </w:rPr>
  </w:style>
  <w:style w:type="paragraph" w:styleId="16">
    <w:name w:val="toc 3"/>
    <w:basedOn w:val="1"/>
    <w:next w:val="1"/>
    <w:unhideWhenUsed/>
    <w:qFormat/>
    <w:uiPriority w:val="39"/>
    <w:pPr>
      <w:widowControl/>
      <w:spacing w:after="100" w:line="259" w:lineRule="auto"/>
      <w:ind w:left="440" w:firstLine="0" w:firstLineChars="0"/>
      <w:jc w:val="left"/>
    </w:pPr>
    <w:rPr>
      <w:rFonts w:cs="Times New Roman" w:asciiTheme="minorHAnsi" w:hAnsiTheme="minorHAnsi" w:eastAsiaTheme="minorEastAsia"/>
      <w:kern w:val="0"/>
      <w:sz w:val="22"/>
    </w:rPr>
  </w:style>
  <w:style w:type="paragraph" w:styleId="17">
    <w:name w:val="toc 8"/>
    <w:basedOn w:val="1"/>
    <w:next w:val="1"/>
    <w:unhideWhenUsed/>
    <w:qFormat/>
    <w:uiPriority w:val="39"/>
    <w:pPr>
      <w:spacing w:line="240" w:lineRule="auto"/>
      <w:ind w:left="2940" w:leftChars="1400" w:firstLine="0" w:firstLineChars="0"/>
    </w:pPr>
    <w:rPr>
      <w:rFonts w:asciiTheme="minorHAnsi" w:hAnsiTheme="minorHAnsi" w:eastAsiaTheme="minorEastAsia"/>
      <w:sz w:val="21"/>
    </w:rPr>
  </w:style>
  <w:style w:type="paragraph" w:styleId="18">
    <w:name w:val="Date"/>
    <w:basedOn w:val="1"/>
    <w:next w:val="1"/>
    <w:link w:val="140"/>
    <w:semiHidden/>
    <w:unhideWhenUsed/>
    <w:uiPriority w:val="99"/>
    <w:pPr>
      <w:ind w:left="100" w:leftChars="2500"/>
    </w:pPr>
  </w:style>
  <w:style w:type="paragraph" w:styleId="19">
    <w:name w:val="Balloon Text"/>
    <w:basedOn w:val="1"/>
    <w:link w:val="49"/>
    <w:semiHidden/>
    <w:unhideWhenUsed/>
    <w:qFormat/>
    <w:uiPriority w:val="99"/>
    <w:pPr>
      <w:spacing w:line="240" w:lineRule="auto"/>
    </w:pPr>
    <w:rPr>
      <w:sz w:val="18"/>
      <w:szCs w:val="18"/>
    </w:rPr>
  </w:style>
  <w:style w:type="paragraph" w:styleId="20">
    <w:name w:val="footer"/>
    <w:basedOn w:val="1"/>
    <w:link w:val="50"/>
    <w:unhideWhenUsed/>
    <w:qFormat/>
    <w:uiPriority w:val="99"/>
    <w:pPr>
      <w:tabs>
        <w:tab w:val="center" w:pos="4153"/>
        <w:tab w:val="right" w:pos="8306"/>
      </w:tabs>
      <w:snapToGrid w:val="0"/>
      <w:spacing w:line="240" w:lineRule="auto"/>
      <w:jc w:val="left"/>
    </w:pPr>
    <w:rPr>
      <w:sz w:val="18"/>
      <w:szCs w:val="18"/>
    </w:rPr>
  </w:style>
  <w:style w:type="paragraph" w:styleId="21">
    <w:name w:val="header"/>
    <w:basedOn w:val="1"/>
    <w:link w:val="5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2">
    <w:name w:val="toc 1"/>
    <w:basedOn w:val="1"/>
    <w:next w:val="1"/>
    <w:link w:val="52"/>
    <w:unhideWhenUsed/>
    <w:qFormat/>
    <w:uiPriority w:val="39"/>
    <w:rPr>
      <w:rFonts w:eastAsiaTheme="minorEastAsia"/>
    </w:rPr>
  </w:style>
  <w:style w:type="paragraph" w:styleId="23">
    <w:name w:val="toc 4"/>
    <w:basedOn w:val="1"/>
    <w:next w:val="1"/>
    <w:unhideWhenUsed/>
    <w:qFormat/>
    <w:uiPriority w:val="39"/>
    <w:pPr>
      <w:spacing w:line="240" w:lineRule="auto"/>
      <w:ind w:left="1260" w:leftChars="600" w:firstLine="0" w:firstLineChars="0"/>
    </w:pPr>
    <w:rPr>
      <w:rFonts w:asciiTheme="minorHAnsi" w:hAnsiTheme="minorHAnsi" w:eastAsiaTheme="minorEastAsia"/>
      <w:sz w:val="21"/>
    </w:rPr>
  </w:style>
  <w:style w:type="paragraph" w:styleId="24">
    <w:name w:val="Subtitle"/>
    <w:basedOn w:val="1"/>
    <w:next w:val="1"/>
    <w:link w:val="143"/>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25">
    <w:name w:val="toc 6"/>
    <w:basedOn w:val="1"/>
    <w:next w:val="1"/>
    <w:unhideWhenUsed/>
    <w:qFormat/>
    <w:uiPriority w:val="39"/>
    <w:pPr>
      <w:spacing w:line="240" w:lineRule="auto"/>
      <w:ind w:left="2100" w:leftChars="1000" w:firstLine="0" w:firstLineChars="0"/>
    </w:pPr>
    <w:rPr>
      <w:rFonts w:asciiTheme="minorHAnsi" w:hAnsiTheme="minorHAnsi" w:eastAsiaTheme="minorEastAsia"/>
      <w:sz w:val="21"/>
    </w:rPr>
  </w:style>
  <w:style w:type="paragraph" w:styleId="26">
    <w:name w:val="toc 2"/>
    <w:basedOn w:val="1"/>
    <w:next w:val="1"/>
    <w:unhideWhenUsed/>
    <w:qFormat/>
    <w:uiPriority w:val="39"/>
    <w:pPr>
      <w:widowControl/>
      <w:spacing w:after="100" w:line="259" w:lineRule="auto"/>
      <w:ind w:left="220" w:firstLine="0" w:firstLineChars="0"/>
      <w:jc w:val="left"/>
    </w:pPr>
    <w:rPr>
      <w:rFonts w:cs="Times New Roman" w:asciiTheme="minorHAnsi" w:hAnsiTheme="minorHAnsi" w:eastAsiaTheme="minorEastAsia"/>
      <w:kern w:val="0"/>
      <w:sz w:val="22"/>
    </w:rPr>
  </w:style>
  <w:style w:type="paragraph" w:styleId="27">
    <w:name w:val="toc 9"/>
    <w:basedOn w:val="1"/>
    <w:next w:val="1"/>
    <w:unhideWhenUsed/>
    <w:qFormat/>
    <w:uiPriority w:val="39"/>
    <w:pPr>
      <w:spacing w:line="240" w:lineRule="auto"/>
      <w:ind w:left="3360" w:leftChars="1600" w:firstLine="0" w:firstLineChars="0"/>
    </w:pPr>
    <w:rPr>
      <w:rFonts w:asciiTheme="minorHAnsi" w:hAnsiTheme="minorHAnsi" w:eastAsiaTheme="minorEastAsia"/>
      <w:sz w:val="21"/>
    </w:rPr>
  </w:style>
  <w:style w:type="paragraph" w:styleId="28">
    <w:name w:val="Normal (Web)"/>
    <w:basedOn w:val="1"/>
    <w:unhideWhenUsed/>
    <w:qFormat/>
    <w:uiPriority w:val="99"/>
    <w:pPr>
      <w:widowControl/>
      <w:spacing w:before="100" w:beforeAutospacing="1" w:after="100" w:afterAutospacing="1"/>
      <w:jc w:val="left"/>
    </w:pPr>
    <w:rPr>
      <w:rFonts w:ascii="宋体" w:hAnsi="宋体" w:cs="宋体"/>
      <w:kern w:val="0"/>
      <w:szCs w:val="24"/>
    </w:rPr>
  </w:style>
  <w:style w:type="paragraph" w:styleId="29">
    <w:name w:val="annotation subject"/>
    <w:basedOn w:val="14"/>
    <w:next w:val="14"/>
    <w:link w:val="53"/>
    <w:semiHidden/>
    <w:unhideWhenUsed/>
    <w:qFormat/>
    <w:uiPriority w:val="99"/>
    <w:rPr>
      <w:b/>
      <w:bCs/>
    </w:r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99"/>
    <w:rPr>
      <w:b/>
    </w:rPr>
  </w:style>
  <w:style w:type="character" w:styleId="34">
    <w:name w:val="FollowedHyperlink"/>
    <w:basedOn w:val="32"/>
    <w:semiHidden/>
    <w:unhideWhenUsed/>
    <w:qFormat/>
    <w:uiPriority w:val="99"/>
    <w:rPr>
      <w:color w:val="954F72" w:themeColor="followedHyperlink"/>
      <w:u w:val="single"/>
      <w14:textFill>
        <w14:solidFill>
          <w14:schemeClr w14:val="folHlink"/>
        </w14:solidFill>
      </w14:textFill>
    </w:rPr>
  </w:style>
  <w:style w:type="character" w:styleId="35">
    <w:name w:val="Hyperlink"/>
    <w:basedOn w:val="32"/>
    <w:unhideWhenUsed/>
    <w:qFormat/>
    <w:uiPriority w:val="99"/>
    <w:rPr>
      <w:color w:val="0563C1" w:themeColor="hyperlink"/>
      <w:u w:val="single"/>
      <w14:textFill>
        <w14:solidFill>
          <w14:schemeClr w14:val="hlink"/>
        </w14:solidFill>
      </w14:textFill>
    </w:rPr>
  </w:style>
  <w:style w:type="character" w:styleId="36">
    <w:name w:val="annotation reference"/>
    <w:basedOn w:val="32"/>
    <w:semiHidden/>
    <w:unhideWhenUsed/>
    <w:qFormat/>
    <w:uiPriority w:val="99"/>
    <w:rPr>
      <w:sz w:val="21"/>
      <w:szCs w:val="21"/>
    </w:rPr>
  </w:style>
  <w:style w:type="character" w:customStyle="1" w:styleId="37">
    <w:name w:val="标题 1 字符"/>
    <w:basedOn w:val="32"/>
    <w:link w:val="2"/>
    <w:qFormat/>
    <w:uiPriority w:val="9"/>
    <w:rPr>
      <w:rFonts w:eastAsia="黑体"/>
      <w:b/>
      <w:bCs/>
      <w:kern w:val="44"/>
      <w:sz w:val="32"/>
      <w:szCs w:val="44"/>
    </w:rPr>
  </w:style>
  <w:style w:type="character" w:customStyle="1" w:styleId="38">
    <w:name w:val="标题 2 字符"/>
    <w:basedOn w:val="32"/>
    <w:link w:val="3"/>
    <w:qFormat/>
    <w:uiPriority w:val="9"/>
    <w:rPr>
      <w:rFonts w:eastAsia="楷体" w:cstheme="majorBidi"/>
      <w:b/>
      <w:bCs/>
      <w:kern w:val="2"/>
      <w:sz w:val="24"/>
      <w:szCs w:val="32"/>
    </w:rPr>
  </w:style>
  <w:style w:type="character" w:customStyle="1" w:styleId="39">
    <w:name w:val="标题 3 字符"/>
    <w:basedOn w:val="32"/>
    <w:link w:val="4"/>
    <w:qFormat/>
    <w:uiPriority w:val="9"/>
    <w:rPr>
      <w:b/>
      <w:bCs/>
      <w:kern w:val="2"/>
      <w:sz w:val="24"/>
      <w:szCs w:val="32"/>
    </w:rPr>
  </w:style>
  <w:style w:type="character" w:customStyle="1" w:styleId="40">
    <w:name w:val="标题 4 字符"/>
    <w:basedOn w:val="32"/>
    <w:link w:val="5"/>
    <w:qFormat/>
    <w:uiPriority w:val="9"/>
    <w:rPr>
      <w:rFonts w:eastAsiaTheme="majorEastAsia" w:cstheme="majorBidi"/>
      <w:b/>
      <w:bCs/>
      <w:kern w:val="2"/>
      <w:sz w:val="24"/>
      <w:szCs w:val="28"/>
    </w:rPr>
  </w:style>
  <w:style w:type="character" w:customStyle="1" w:styleId="41">
    <w:name w:val="标题 5 字符"/>
    <w:basedOn w:val="32"/>
    <w:link w:val="6"/>
    <w:qFormat/>
    <w:uiPriority w:val="9"/>
    <w:rPr>
      <w:rFonts w:cstheme="minorBidi"/>
      <w:b/>
      <w:bCs/>
      <w:kern w:val="2"/>
      <w:sz w:val="24"/>
      <w:szCs w:val="28"/>
    </w:rPr>
  </w:style>
  <w:style w:type="character" w:customStyle="1" w:styleId="42">
    <w:name w:val="标题 6 字符"/>
    <w:basedOn w:val="32"/>
    <w:link w:val="7"/>
    <w:qFormat/>
    <w:uiPriority w:val="9"/>
    <w:rPr>
      <w:rFonts w:asciiTheme="majorHAnsi" w:hAnsiTheme="majorHAnsi" w:eastAsiaTheme="majorEastAsia" w:cstheme="majorBidi"/>
      <w:b/>
      <w:bCs/>
      <w:kern w:val="2"/>
      <w:sz w:val="24"/>
      <w:szCs w:val="24"/>
    </w:rPr>
  </w:style>
  <w:style w:type="character" w:customStyle="1" w:styleId="43">
    <w:name w:val="标题 7 字符"/>
    <w:basedOn w:val="32"/>
    <w:link w:val="8"/>
    <w:qFormat/>
    <w:uiPriority w:val="0"/>
    <w:rPr>
      <w:rFonts w:cstheme="minorBidi"/>
      <w:b/>
      <w:bCs/>
      <w:kern w:val="2"/>
      <w:sz w:val="24"/>
      <w:szCs w:val="24"/>
    </w:rPr>
  </w:style>
  <w:style w:type="character" w:customStyle="1" w:styleId="44">
    <w:name w:val="标题 8 字符"/>
    <w:basedOn w:val="32"/>
    <w:link w:val="9"/>
    <w:qFormat/>
    <w:uiPriority w:val="0"/>
    <w:rPr>
      <w:rFonts w:asciiTheme="majorHAnsi" w:hAnsiTheme="majorHAnsi" w:eastAsiaTheme="majorEastAsia" w:cstheme="majorBidi"/>
      <w:kern w:val="2"/>
      <w:sz w:val="24"/>
      <w:szCs w:val="24"/>
    </w:rPr>
  </w:style>
  <w:style w:type="character" w:customStyle="1" w:styleId="45">
    <w:name w:val="标题 9 字符"/>
    <w:basedOn w:val="32"/>
    <w:link w:val="10"/>
    <w:qFormat/>
    <w:uiPriority w:val="0"/>
    <w:rPr>
      <w:rFonts w:asciiTheme="majorHAnsi" w:hAnsiTheme="majorHAnsi" w:eastAsiaTheme="majorEastAsia" w:cstheme="majorBidi"/>
      <w:kern w:val="2"/>
      <w:sz w:val="21"/>
      <w:szCs w:val="21"/>
    </w:rPr>
  </w:style>
  <w:style w:type="character" w:customStyle="1" w:styleId="46">
    <w:name w:val="题注 字符"/>
    <w:link w:val="12"/>
    <w:qFormat/>
    <w:locked/>
    <w:uiPriority w:val="35"/>
    <w:rPr>
      <w:rFonts w:eastAsia="黑体" w:asciiTheme="majorHAnsi" w:hAnsiTheme="majorHAnsi" w:cstheme="majorBidi"/>
      <w:sz w:val="20"/>
      <w:szCs w:val="20"/>
    </w:rPr>
  </w:style>
  <w:style w:type="character" w:customStyle="1" w:styleId="47">
    <w:name w:val="文档结构图 字符"/>
    <w:basedOn w:val="32"/>
    <w:link w:val="13"/>
    <w:semiHidden/>
    <w:qFormat/>
    <w:uiPriority w:val="0"/>
    <w:rPr>
      <w:rFonts w:ascii="宋体" w:hAnsi="Times New Roman" w:eastAsia="宋体" w:cs="Times New Roman"/>
      <w:kern w:val="0"/>
      <w:sz w:val="18"/>
      <w:szCs w:val="20"/>
    </w:rPr>
  </w:style>
  <w:style w:type="character" w:customStyle="1" w:styleId="48">
    <w:name w:val="批注文字 字符"/>
    <w:basedOn w:val="32"/>
    <w:link w:val="14"/>
    <w:semiHidden/>
    <w:qFormat/>
    <w:uiPriority w:val="99"/>
    <w:rPr>
      <w:rFonts w:ascii="Times New Roman" w:hAnsi="Times New Roman" w:eastAsia="宋体"/>
      <w:sz w:val="24"/>
    </w:rPr>
  </w:style>
  <w:style w:type="character" w:customStyle="1" w:styleId="49">
    <w:name w:val="批注框文本 字符"/>
    <w:basedOn w:val="32"/>
    <w:link w:val="19"/>
    <w:semiHidden/>
    <w:qFormat/>
    <w:uiPriority w:val="99"/>
    <w:rPr>
      <w:rFonts w:ascii="Times New Roman" w:hAnsi="Times New Roman" w:eastAsia="宋体"/>
      <w:sz w:val="18"/>
      <w:szCs w:val="18"/>
    </w:rPr>
  </w:style>
  <w:style w:type="character" w:customStyle="1" w:styleId="50">
    <w:name w:val="页脚 字符"/>
    <w:basedOn w:val="32"/>
    <w:link w:val="20"/>
    <w:qFormat/>
    <w:uiPriority w:val="99"/>
    <w:rPr>
      <w:rFonts w:ascii="Times New Roman" w:hAnsi="Times New Roman" w:eastAsia="宋体"/>
      <w:sz w:val="18"/>
      <w:szCs w:val="18"/>
    </w:rPr>
  </w:style>
  <w:style w:type="character" w:customStyle="1" w:styleId="51">
    <w:name w:val="页眉 字符"/>
    <w:basedOn w:val="32"/>
    <w:link w:val="21"/>
    <w:qFormat/>
    <w:uiPriority w:val="99"/>
    <w:rPr>
      <w:rFonts w:ascii="Times New Roman" w:hAnsi="Times New Roman" w:eastAsia="宋体"/>
      <w:sz w:val="18"/>
      <w:szCs w:val="18"/>
    </w:rPr>
  </w:style>
  <w:style w:type="character" w:customStyle="1" w:styleId="52">
    <w:name w:val="TOC 1 字符"/>
    <w:link w:val="22"/>
    <w:qFormat/>
    <w:uiPriority w:val="39"/>
    <w:rPr>
      <w:rFonts w:ascii="Times New Roman" w:hAnsi="Times New Roman"/>
      <w:sz w:val="24"/>
    </w:rPr>
  </w:style>
  <w:style w:type="character" w:customStyle="1" w:styleId="53">
    <w:name w:val="批注主题 字符"/>
    <w:basedOn w:val="48"/>
    <w:link w:val="29"/>
    <w:semiHidden/>
    <w:qFormat/>
    <w:uiPriority w:val="99"/>
    <w:rPr>
      <w:rFonts w:ascii="Times New Roman" w:hAnsi="Times New Roman" w:eastAsia="宋体"/>
      <w:b/>
      <w:bCs/>
      <w:sz w:val="24"/>
    </w:rPr>
  </w:style>
  <w:style w:type="character" w:customStyle="1" w:styleId="54">
    <w:name w:val="fontstyle01"/>
    <w:basedOn w:val="32"/>
    <w:qFormat/>
    <w:uiPriority w:val="0"/>
    <w:rPr>
      <w:rFonts w:hint="eastAsia" w:ascii="宋体" w:hAnsi="宋体" w:eastAsia="宋体"/>
      <w:color w:val="000000"/>
      <w:sz w:val="22"/>
      <w:szCs w:val="22"/>
    </w:rPr>
  </w:style>
  <w:style w:type="paragraph" w:customStyle="1" w:styleId="55">
    <w:name w:val="TOC 标题1"/>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E75B6" w:themeColor="accent1" w:themeShade="BF"/>
      <w:kern w:val="0"/>
      <w:szCs w:val="32"/>
    </w:rPr>
  </w:style>
  <w:style w:type="character" w:customStyle="1" w:styleId="56">
    <w:name w:val="未处理的提及1"/>
    <w:basedOn w:val="32"/>
    <w:semiHidden/>
    <w:unhideWhenUsed/>
    <w:qFormat/>
    <w:uiPriority w:val="99"/>
    <w:rPr>
      <w:color w:val="605E5C"/>
      <w:shd w:val="clear" w:color="auto" w:fill="E1DFDD"/>
    </w:rPr>
  </w:style>
  <w:style w:type="paragraph" w:styleId="57">
    <w:name w:val="No Spacing"/>
    <w:qFormat/>
    <w:uiPriority w:val="1"/>
    <w:pPr>
      <w:widowControl w:val="0"/>
      <w:jc w:val="center"/>
    </w:pPr>
    <w:rPr>
      <w:rFonts w:ascii="Times New Roman" w:hAnsi="Times New Roman" w:eastAsia="宋体" w:cstheme="minorBidi"/>
      <w:kern w:val="2"/>
      <w:sz w:val="21"/>
      <w:szCs w:val="22"/>
      <w:lang w:val="en-US" w:eastAsia="zh-CN" w:bidi="ar-SA"/>
    </w:rPr>
  </w:style>
  <w:style w:type="paragraph" w:styleId="58">
    <w:name w:val="List Paragraph"/>
    <w:basedOn w:val="1"/>
    <w:link w:val="59"/>
    <w:qFormat/>
    <w:uiPriority w:val="34"/>
    <w:pPr>
      <w:spacing w:line="560" w:lineRule="exact"/>
      <w:ind w:firstLine="420"/>
    </w:pPr>
    <w:rPr>
      <w:rFonts w:eastAsia="仿宋" w:asciiTheme="minorHAnsi" w:hAnsiTheme="minorHAnsi"/>
    </w:rPr>
  </w:style>
  <w:style w:type="character" w:customStyle="1" w:styleId="59">
    <w:name w:val="列表段落 字符"/>
    <w:link w:val="58"/>
    <w:qFormat/>
    <w:locked/>
    <w:uiPriority w:val="34"/>
    <w:rPr>
      <w:rFonts w:eastAsia="仿宋" w:asciiTheme="minorHAnsi" w:hAnsiTheme="minorHAnsi" w:cstheme="minorBidi"/>
      <w:kern w:val="2"/>
      <w:sz w:val="24"/>
      <w:szCs w:val="22"/>
    </w:rPr>
  </w:style>
  <w:style w:type="character" w:customStyle="1" w:styleId="60">
    <w:name w:val="图表标题 Char"/>
    <w:link w:val="61"/>
    <w:qFormat/>
    <w:uiPriority w:val="0"/>
    <w:rPr>
      <w:rFonts w:ascii="Times New Roman" w:hAnsi="Times New Roman" w:eastAsia="宋体"/>
      <w:b/>
      <w:szCs w:val="21"/>
    </w:rPr>
  </w:style>
  <w:style w:type="paragraph" w:customStyle="1" w:styleId="61">
    <w:name w:val="图表标题"/>
    <w:basedOn w:val="1"/>
    <w:link w:val="60"/>
    <w:qFormat/>
    <w:uiPriority w:val="0"/>
    <w:pPr>
      <w:ind w:firstLine="0" w:firstLineChars="0"/>
      <w:jc w:val="center"/>
    </w:pPr>
    <w:rPr>
      <w:b/>
      <w:sz w:val="21"/>
      <w:szCs w:val="21"/>
    </w:rPr>
  </w:style>
  <w:style w:type="paragraph" w:customStyle="1" w:styleId="62">
    <w:name w:val="表格"/>
    <w:basedOn w:val="1"/>
    <w:link w:val="63"/>
    <w:qFormat/>
    <w:uiPriority w:val="1"/>
    <w:pPr>
      <w:spacing w:line="240" w:lineRule="auto"/>
      <w:ind w:firstLine="0" w:firstLineChars="0"/>
      <w:jc w:val="center"/>
    </w:pPr>
    <w:rPr>
      <w:rFonts w:cs="Times New Roman"/>
      <w:color w:val="000000" w:themeColor="text1"/>
      <w:sz w:val="21"/>
      <w:szCs w:val="24"/>
      <w:lang w:val="zh-CN"/>
      <w14:textFill>
        <w14:solidFill>
          <w14:schemeClr w14:val="tx1"/>
        </w14:solidFill>
      </w14:textFill>
    </w:rPr>
  </w:style>
  <w:style w:type="character" w:customStyle="1" w:styleId="63">
    <w:name w:val="表格 Char"/>
    <w:basedOn w:val="32"/>
    <w:link w:val="62"/>
    <w:qFormat/>
    <w:uiPriority w:val="1"/>
    <w:rPr>
      <w:rFonts w:ascii="Times New Roman" w:hAnsi="Times New Roman" w:eastAsia="宋体" w:cs="Times New Roman"/>
      <w:color w:val="000000" w:themeColor="text1"/>
      <w:szCs w:val="24"/>
      <w:lang w:val="zh-CN"/>
      <w14:textFill>
        <w14:solidFill>
          <w14:schemeClr w14:val="tx1"/>
        </w14:solidFill>
      </w14:textFill>
    </w:rPr>
  </w:style>
  <w:style w:type="paragraph" w:customStyle="1" w:styleId="64">
    <w:name w:val="修订1"/>
    <w:hidden/>
    <w:semiHidden/>
    <w:qFormat/>
    <w:uiPriority w:val="99"/>
    <w:rPr>
      <w:rFonts w:ascii="Times New Roman" w:hAnsi="Times New Roman" w:eastAsia="宋体" w:cstheme="minorBidi"/>
      <w:kern w:val="2"/>
      <w:sz w:val="24"/>
      <w:szCs w:val="22"/>
      <w:lang w:val="en-US" w:eastAsia="zh-CN" w:bidi="ar-SA"/>
    </w:rPr>
  </w:style>
  <w:style w:type="table" w:customStyle="1" w:styleId="65">
    <w:name w:val="网格型1"/>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6">
    <w:name w:val="TOC 标题2"/>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E75B6" w:themeColor="accent1" w:themeShade="BF"/>
      <w:kern w:val="0"/>
      <w:szCs w:val="32"/>
    </w:rPr>
  </w:style>
  <w:style w:type="paragraph" w:customStyle="1" w:styleId="67">
    <w:name w:val="修订2"/>
    <w:hidden/>
    <w:semiHidden/>
    <w:qFormat/>
    <w:uiPriority w:val="99"/>
    <w:rPr>
      <w:rFonts w:ascii="Times New Roman" w:hAnsi="Times New Roman" w:eastAsia="宋体" w:cstheme="minorBidi"/>
      <w:kern w:val="2"/>
      <w:sz w:val="24"/>
      <w:szCs w:val="22"/>
      <w:lang w:val="en-US" w:eastAsia="zh-CN" w:bidi="ar-SA"/>
    </w:rPr>
  </w:style>
  <w:style w:type="paragraph" w:customStyle="1" w:styleId="68">
    <w:name w:val="fa正文"/>
    <w:basedOn w:val="1"/>
    <w:qFormat/>
    <w:uiPriority w:val="0"/>
    <w:pPr>
      <w:spacing w:line="560" w:lineRule="exact"/>
    </w:pPr>
  </w:style>
  <w:style w:type="paragraph" w:customStyle="1" w:styleId="69">
    <w:name w:val="msonormal"/>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70">
    <w:name w:val="font0"/>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71">
    <w:name w:val="font1"/>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72">
    <w:name w:val="font2"/>
    <w:basedOn w:val="1"/>
    <w:qFormat/>
    <w:uiPriority w:val="0"/>
    <w:pPr>
      <w:widowControl/>
      <w:spacing w:before="100" w:beforeAutospacing="1" w:after="100" w:afterAutospacing="1" w:line="240" w:lineRule="auto"/>
      <w:ind w:firstLine="0" w:firstLineChars="0"/>
      <w:jc w:val="left"/>
    </w:pPr>
    <w:rPr>
      <w:rFonts w:ascii="宋体" w:hAnsi="宋体" w:cs="宋体"/>
      <w:b/>
      <w:bCs/>
      <w:color w:val="000000"/>
      <w:kern w:val="0"/>
      <w:sz w:val="18"/>
      <w:szCs w:val="18"/>
    </w:rPr>
  </w:style>
  <w:style w:type="paragraph" w:customStyle="1" w:styleId="73">
    <w:name w:val="font3"/>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74">
    <w:name w:val="font4"/>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75">
    <w:name w:val="font5"/>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76">
    <w:name w:val="font6"/>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77">
    <w:name w:val="font7"/>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78">
    <w:name w:val="font8"/>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79">
    <w:name w:val="font9"/>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80">
    <w:name w:val="font10"/>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22"/>
    </w:rPr>
  </w:style>
  <w:style w:type="paragraph" w:customStyle="1" w:styleId="81">
    <w:name w:val="et9"/>
    <w:basedOn w:val="1"/>
    <w:qFormat/>
    <w:uiPriority w:val="0"/>
    <w:pPr>
      <w:widowControl/>
      <w:pBdr>
        <w:top w:val="single" w:color="000000" w:sz="4" w:space="0"/>
        <w:left w:val="single" w:color="000000" w:sz="4" w:space="0"/>
        <w:right w:val="single" w:color="000000" w:sz="4" w:space="0"/>
      </w:pBdr>
      <w:spacing w:before="100" w:beforeAutospacing="1" w:after="100" w:afterAutospacing="1" w:line="240" w:lineRule="auto"/>
      <w:ind w:firstLine="0" w:firstLineChars="0"/>
      <w:jc w:val="center"/>
    </w:pPr>
    <w:rPr>
      <w:rFonts w:ascii="宋体" w:hAnsi="宋体" w:cs="宋体"/>
      <w:b/>
      <w:bCs/>
      <w:kern w:val="0"/>
      <w:sz w:val="18"/>
      <w:szCs w:val="18"/>
    </w:rPr>
  </w:style>
  <w:style w:type="paragraph" w:customStyle="1" w:styleId="82">
    <w:name w:val="et10"/>
    <w:basedOn w:val="1"/>
    <w:qFormat/>
    <w:uiPriority w:val="0"/>
    <w:pPr>
      <w:widowControl/>
      <w:pBdr>
        <w:top w:val="single" w:color="000000" w:sz="4" w:space="0"/>
        <w:left w:val="single" w:color="000000" w:sz="4" w:space="0"/>
      </w:pBdr>
      <w:spacing w:before="100" w:beforeAutospacing="1" w:after="100" w:afterAutospacing="1" w:line="240" w:lineRule="auto"/>
      <w:ind w:firstLine="0" w:firstLineChars="0"/>
      <w:jc w:val="center"/>
    </w:pPr>
    <w:rPr>
      <w:rFonts w:ascii="宋体" w:hAnsi="宋体" w:cs="宋体"/>
      <w:b/>
      <w:bCs/>
      <w:kern w:val="0"/>
      <w:sz w:val="18"/>
      <w:szCs w:val="18"/>
    </w:rPr>
  </w:style>
  <w:style w:type="paragraph" w:customStyle="1" w:styleId="83">
    <w:name w:val="et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cs="宋体"/>
      <w:kern w:val="0"/>
      <w:sz w:val="18"/>
      <w:szCs w:val="18"/>
    </w:rPr>
  </w:style>
  <w:style w:type="paragraph" w:customStyle="1" w:styleId="84">
    <w:name w:val="et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cs="宋体"/>
      <w:color w:val="000000"/>
      <w:kern w:val="0"/>
      <w:sz w:val="18"/>
      <w:szCs w:val="18"/>
    </w:rPr>
  </w:style>
  <w:style w:type="paragraph" w:customStyle="1" w:styleId="85">
    <w:name w:val="et13"/>
    <w:basedOn w:val="1"/>
    <w:qFormat/>
    <w:uiPriority w:val="0"/>
    <w:pPr>
      <w:widowControl/>
      <w:pBdr>
        <w:top w:val="single" w:color="000000" w:sz="4" w:space="0"/>
        <w:left w:val="single" w:color="000000" w:sz="4" w:space="0"/>
        <w:bottom w:val="single" w:color="000000" w:sz="4" w:space="0"/>
      </w:pBdr>
      <w:spacing w:before="100" w:beforeAutospacing="1" w:after="100" w:afterAutospacing="1" w:line="240" w:lineRule="auto"/>
      <w:ind w:firstLine="0" w:firstLineChars="0"/>
      <w:jc w:val="center"/>
    </w:pPr>
    <w:rPr>
      <w:rFonts w:ascii="宋体" w:hAnsi="宋体" w:cs="宋体"/>
      <w:color w:val="000000"/>
      <w:kern w:val="0"/>
      <w:sz w:val="18"/>
      <w:szCs w:val="18"/>
    </w:rPr>
  </w:style>
  <w:style w:type="paragraph" w:customStyle="1" w:styleId="86">
    <w:name w:val="et1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87">
    <w:name w:val="et15"/>
    <w:basedOn w:val="1"/>
    <w:qFormat/>
    <w:uiPriority w:val="0"/>
    <w:pPr>
      <w:widowControl/>
      <w:pBdr>
        <w:top w:val="single" w:color="000000" w:sz="4" w:space="0"/>
        <w:left w:val="single" w:color="000000" w:sz="4" w:space="0"/>
        <w:bottom w:val="single" w:color="000000" w:sz="4" w:space="0"/>
      </w:pBdr>
      <w:spacing w:before="100" w:beforeAutospacing="1" w:after="100" w:afterAutospacing="1" w:line="240" w:lineRule="auto"/>
      <w:ind w:firstLine="0" w:firstLineChars="0"/>
      <w:jc w:val="center"/>
    </w:pPr>
    <w:rPr>
      <w:rFonts w:ascii="宋体" w:hAnsi="宋体" w:cs="宋体"/>
      <w:kern w:val="0"/>
      <w:sz w:val="18"/>
      <w:szCs w:val="18"/>
    </w:rPr>
  </w:style>
  <w:style w:type="paragraph" w:customStyle="1" w:styleId="88">
    <w:name w:val="et16"/>
    <w:basedOn w:val="1"/>
    <w:qFormat/>
    <w:uiPriority w:val="0"/>
    <w:pPr>
      <w:widowControl/>
      <w:pBdr>
        <w:top w:val="single" w:color="000000" w:sz="4" w:space="0"/>
        <w:left w:val="single" w:color="000000" w:sz="4" w:space="0"/>
        <w:right w:val="single" w:color="000000" w:sz="4" w:space="0"/>
      </w:pBdr>
      <w:spacing w:before="100" w:beforeAutospacing="1" w:after="100" w:afterAutospacing="1" w:line="240" w:lineRule="auto"/>
      <w:ind w:firstLine="0" w:firstLineChars="0"/>
      <w:jc w:val="center"/>
    </w:pPr>
    <w:rPr>
      <w:rFonts w:ascii="宋体" w:hAnsi="宋体" w:cs="宋体"/>
      <w:color w:val="000000"/>
      <w:kern w:val="0"/>
      <w:sz w:val="18"/>
      <w:szCs w:val="18"/>
    </w:rPr>
  </w:style>
  <w:style w:type="paragraph" w:customStyle="1" w:styleId="89">
    <w:name w:val="et17"/>
    <w:basedOn w:val="1"/>
    <w:qFormat/>
    <w:uiPriority w:val="0"/>
    <w:pPr>
      <w:widowControl/>
      <w:pBdr>
        <w:top w:val="single" w:color="000000" w:sz="4" w:space="0"/>
        <w:left w:val="single" w:color="000000" w:sz="4" w:space="0"/>
      </w:pBdr>
      <w:spacing w:before="100" w:beforeAutospacing="1" w:after="100" w:afterAutospacing="1" w:line="240" w:lineRule="auto"/>
      <w:ind w:firstLine="0" w:firstLineChars="0"/>
      <w:jc w:val="center"/>
    </w:pPr>
    <w:rPr>
      <w:rFonts w:ascii="宋体" w:hAnsi="宋体" w:cs="宋体"/>
      <w:color w:val="000000"/>
      <w:kern w:val="0"/>
      <w:sz w:val="18"/>
      <w:szCs w:val="18"/>
    </w:rPr>
  </w:style>
  <w:style w:type="paragraph" w:customStyle="1" w:styleId="90">
    <w:name w:val="et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cs="宋体"/>
      <w:color w:val="000000"/>
      <w:kern w:val="0"/>
      <w:sz w:val="18"/>
      <w:szCs w:val="18"/>
    </w:rPr>
  </w:style>
  <w:style w:type="paragraph" w:customStyle="1" w:styleId="91">
    <w:name w:val="et19"/>
    <w:basedOn w:val="1"/>
    <w:qFormat/>
    <w:uiPriority w:val="0"/>
    <w:pPr>
      <w:widowControl/>
      <w:pBdr>
        <w:top w:val="single" w:color="000000" w:sz="4" w:space="0"/>
        <w:left w:val="single" w:color="000000" w:sz="4" w:space="0"/>
        <w:right w:val="single" w:color="000000" w:sz="4" w:space="0"/>
      </w:pBdr>
      <w:spacing w:before="100" w:beforeAutospacing="1" w:after="100" w:afterAutospacing="1" w:line="240" w:lineRule="auto"/>
      <w:ind w:firstLine="0" w:firstLineChars="0"/>
      <w:jc w:val="center"/>
    </w:pPr>
    <w:rPr>
      <w:rFonts w:ascii="宋体" w:hAnsi="宋体" w:cs="宋体"/>
      <w:kern w:val="0"/>
      <w:sz w:val="18"/>
      <w:szCs w:val="18"/>
    </w:rPr>
  </w:style>
  <w:style w:type="paragraph" w:customStyle="1" w:styleId="92">
    <w:name w:val="et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cs="宋体"/>
      <w:kern w:val="0"/>
      <w:sz w:val="18"/>
      <w:szCs w:val="18"/>
    </w:rPr>
  </w:style>
  <w:style w:type="paragraph" w:customStyle="1" w:styleId="93">
    <w:name w:val="et2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cs="宋体"/>
      <w:kern w:val="0"/>
      <w:sz w:val="18"/>
      <w:szCs w:val="18"/>
    </w:rPr>
  </w:style>
  <w:style w:type="paragraph" w:customStyle="1" w:styleId="94">
    <w:name w:val="et2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cs="宋体"/>
      <w:kern w:val="0"/>
      <w:sz w:val="18"/>
      <w:szCs w:val="18"/>
    </w:rPr>
  </w:style>
  <w:style w:type="paragraph" w:customStyle="1" w:styleId="95">
    <w:name w:val="et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cs="宋体"/>
      <w:color w:val="000000"/>
      <w:kern w:val="0"/>
      <w:sz w:val="18"/>
      <w:szCs w:val="18"/>
    </w:rPr>
  </w:style>
  <w:style w:type="paragraph" w:customStyle="1" w:styleId="96">
    <w:name w:val="et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cs="宋体"/>
      <w:color w:val="000000"/>
      <w:kern w:val="0"/>
      <w:sz w:val="18"/>
      <w:szCs w:val="18"/>
    </w:rPr>
  </w:style>
  <w:style w:type="paragraph" w:customStyle="1" w:styleId="97">
    <w:name w:val="et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98">
    <w:name w:val="et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cs="宋体"/>
      <w:color w:val="000000"/>
      <w:kern w:val="0"/>
      <w:sz w:val="18"/>
      <w:szCs w:val="18"/>
    </w:rPr>
  </w:style>
  <w:style w:type="paragraph" w:customStyle="1" w:styleId="99">
    <w:name w:val="et30"/>
    <w:basedOn w:val="1"/>
    <w:qFormat/>
    <w:uiPriority w:val="0"/>
    <w:pPr>
      <w:widowControl/>
      <w:pBdr>
        <w:top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cs="宋体"/>
      <w:kern w:val="0"/>
      <w:sz w:val="18"/>
      <w:szCs w:val="18"/>
    </w:rPr>
  </w:style>
  <w:style w:type="paragraph" w:customStyle="1" w:styleId="100">
    <w:name w:val="et31"/>
    <w:basedOn w:val="1"/>
    <w:qFormat/>
    <w:uiPriority w:val="0"/>
    <w:pPr>
      <w:widowControl/>
      <w:pBdr>
        <w:top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cs="宋体"/>
      <w:color w:val="000000"/>
      <w:kern w:val="0"/>
      <w:sz w:val="18"/>
      <w:szCs w:val="18"/>
    </w:rPr>
  </w:style>
  <w:style w:type="paragraph" w:customStyle="1" w:styleId="101">
    <w:name w:val="et32"/>
    <w:basedOn w:val="1"/>
    <w:qFormat/>
    <w:uiPriority w:val="0"/>
    <w:pPr>
      <w:widowControl/>
      <w:pBdr>
        <w:top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cs="宋体"/>
      <w:color w:val="000000"/>
      <w:kern w:val="0"/>
      <w:sz w:val="18"/>
      <w:szCs w:val="18"/>
    </w:rPr>
  </w:style>
  <w:style w:type="paragraph" w:customStyle="1" w:styleId="102">
    <w:name w:val="et33"/>
    <w:basedOn w:val="1"/>
    <w:qFormat/>
    <w:uiPriority w:val="0"/>
    <w:pPr>
      <w:widowControl/>
      <w:pBdr>
        <w:top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cs="宋体"/>
      <w:color w:val="000000"/>
      <w:kern w:val="0"/>
      <w:sz w:val="18"/>
      <w:szCs w:val="18"/>
    </w:rPr>
  </w:style>
  <w:style w:type="paragraph" w:customStyle="1" w:styleId="103">
    <w:name w:val="et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cs="宋体"/>
      <w:color w:val="000000"/>
      <w:kern w:val="0"/>
      <w:sz w:val="18"/>
      <w:szCs w:val="18"/>
    </w:rPr>
  </w:style>
  <w:style w:type="paragraph" w:customStyle="1" w:styleId="104">
    <w:name w:val="et35"/>
    <w:basedOn w:val="1"/>
    <w:qFormat/>
    <w:uiPriority w:val="0"/>
    <w:pPr>
      <w:widowControl/>
      <w:pBdr>
        <w:top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cs="宋体"/>
      <w:color w:val="000000"/>
      <w:kern w:val="0"/>
      <w:sz w:val="18"/>
      <w:szCs w:val="18"/>
    </w:rPr>
  </w:style>
  <w:style w:type="paragraph" w:customStyle="1" w:styleId="105">
    <w:name w:val="et36"/>
    <w:basedOn w:val="1"/>
    <w:qFormat/>
    <w:uiPriority w:val="0"/>
    <w:pPr>
      <w:widowControl/>
      <w:pBdr>
        <w:top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cs="宋体"/>
      <w:kern w:val="0"/>
      <w:sz w:val="18"/>
      <w:szCs w:val="18"/>
    </w:rPr>
  </w:style>
  <w:style w:type="paragraph" w:customStyle="1" w:styleId="106">
    <w:name w:val="et3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cs="宋体"/>
      <w:kern w:val="0"/>
      <w:sz w:val="18"/>
      <w:szCs w:val="18"/>
    </w:rPr>
  </w:style>
  <w:style w:type="paragraph" w:customStyle="1" w:styleId="107">
    <w:name w:val="et38"/>
    <w:basedOn w:val="1"/>
    <w:qFormat/>
    <w:uiPriority w:val="0"/>
    <w:pPr>
      <w:widowControl/>
      <w:pBdr>
        <w:top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cs="宋体"/>
      <w:color w:val="000000"/>
      <w:kern w:val="0"/>
      <w:sz w:val="18"/>
      <w:szCs w:val="18"/>
    </w:rPr>
  </w:style>
  <w:style w:type="paragraph" w:customStyle="1" w:styleId="108">
    <w:name w:val="et40"/>
    <w:basedOn w:val="1"/>
    <w:qFormat/>
    <w:uiPriority w:val="0"/>
    <w:pPr>
      <w:widowControl/>
      <w:pBdr>
        <w:top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cs="宋体"/>
      <w:kern w:val="0"/>
      <w:sz w:val="18"/>
      <w:szCs w:val="18"/>
    </w:rPr>
  </w:style>
  <w:style w:type="paragraph" w:customStyle="1" w:styleId="109">
    <w:name w:val="et4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cs="宋体"/>
      <w:kern w:val="0"/>
      <w:sz w:val="18"/>
      <w:szCs w:val="18"/>
    </w:rPr>
  </w:style>
  <w:style w:type="paragraph" w:customStyle="1" w:styleId="110">
    <w:name w:val="et42"/>
    <w:basedOn w:val="1"/>
    <w:qFormat/>
    <w:uiPriority w:val="0"/>
    <w:pPr>
      <w:widowControl/>
      <w:pBdr>
        <w:top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cs="宋体"/>
      <w:kern w:val="0"/>
      <w:sz w:val="18"/>
      <w:szCs w:val="18"/>
    </w:rPr>
  </w:style>
  <w:style w:type="paragraph" w:customStyle="1" w:styleId="111">
    <w:name w:val="et4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cs="宋体"/>
      <w:color w:val="000000"/>
      <w:kern w:val="0"/>
      <w:sz w:val="18"/>
      <w:szCs w:val="18"/>
    </w:rPr>
  </w:style>
  <w:style w:type="paragraph" w:customStyle="1" w:styleId="112">
    <w:name w:val="et4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cs="宋体"/>
      <w:kern w:val="0"/>
      <w:sz w:val="18"/>
      <w:szCs w:val="18"/>
    </w:rPr>
  </w:style>
  <w:style w:type="character" w:customStyle="1" w:styleId="113">
    <w:name w:val="font51"/>
    <w:basedOn w:val="32"/>
    <w:qFormat/>
    <w:uiPriority w:val="0"/>
    <w:rPr>
      <w:rFonts w:hint="eastAsia" w:ascii="宋体" w:hAnsi="宋体" w:eastAsia="宋体"/>
      <w:color w:val="000000"/>
      <w:sz w:val="18"/>
      <w:szCs w:val="18"/>
      <w:u w:val="none"/>
    </w:rPr>
  </w:style>
  <w:style w:type="character" w:customStyle="1" w:styleId="114">
    <w:name w:val="font01"/>
    <w:basedOn w:val="32"/>
    <w:qFormat/>
    <w:uiPriority w:val="0"/>
    <w:rPr>
      <w:rFonts w:hint="eastAsia" w:ascii="宋体" w:hAnsi="宋体" w:eastAsia="宋体"/>
      <w:color w:val="000000"/>
      <w:sz w:val="18"/>
      <w:szCs w:val="18"/>
      <w:u w:val="none"/>
    </w:rPr>
  </w:style>
  <w:style w:type="character" w:customStyle="1" w:styleId="115">
    <w:name w:val="font21"/>
    <w:basedOn w:val="32"/>
    <w:qFormat/>
    <w:uiPriority w:val="0"/>
    <w:rPr>
      <w:rFonts w:hint="default" w:ascii="Times New Roman" w:hAnsi="Times New Roman" w:cs="Times New Roman"/>
      <w:color w:val="000000"/>
      <w:sz w:val="20"/>
      <w:szCs w:val="20"/>
      <w:u w:val="none"/>
    </w:rPr>
  </w:style>
  <w:style w:type="character" w:customStyle="1" w:styleId="116">
    <w:name w:val="font11"/>
    <w:basedOn w:val="32"/>
    <w:qFormat/>
    <w:uiPriority w:val="0"/>
    <w:rPr>
      <w:rFonts w:hint="eastAsia" w:ascii="宋体" w:hAnsi="宋体" w:eastAsia="宋体"/>
      <w:color w:val="000000"/>
      <w:sz w:val="20"/>
      <w:szCs w:val="20"/>
      <w:u w:val="none"/>
    </w:rPr>
  </w:style>
  <w:style w:type="character" w:customStyle="1" w:styleId="117">
    <w:name w:val="font41"/>
    <w:basedOn w:val="32"/>
    <w:qFormat/>
    <w:uiPriority w:val="0"/>
    <w:rPr>
      <w:rFonts w:hint="eastAsia" w:ascii="宋体" w:hAnsi="宋体" w:eastAsia="宋体"/>
      <w:color w:val="000000"/>
      <w:sz w:val="20"/>
      <w:szCs w:val="20"/>
      <w:u w:val="none"/>
    </w:rPr>
  </w:style>
  <w:style w:type="character" w:customStyle="1" w:styleId="118">
    <w:name w:val="font31"/>
    <w:basedOn w:val="32"/>
    <w:qFormat/>
    <w:uiPriority w:val="0"/>
    <w:rPr>
      <w:rFonts w:hint="default" w:ascii="Times New Roman" w:hAnsi="Times New Roman" w:cs="Times New Roman"/>
      <w:color w:val="000000"/>
      <w:sz w:val="20"/>
      <w:szCs w:val="20"/>
      <w:u w:val="none"/>
    </w:rPr>
  </w:style>
  <w:style w:type="paragraph" w:customStyle="1" w:styleId="119">
    <w:name w:val="et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C0C0C0"/>
      <w:spacing w:before="100" w:beforeAutospacing="1" w:after="100" w:afterAutospacing="1" w:line="240" w:lineRule="auto"/>
      <w:ind w:firstLine="0" w:firstLineChars="0"/>
      <w:jc w:val="center"/>
    </w:pPr>
    <w:rPr>
      <w:rFonts w:ascii="黑体" w:hAnsi="黑体" w:eastAsia="黑体" w:cs="宋体"/>
      <w:b/>
      <w:bCs/>
      <w:color w:val="000000"/>
      <w:kern w:val="0"/>
      <w:sz w:val="20"/>
      <w:szCs w:val="20"/>
    </w:rPr>
  </w:style>
  <w:style w:type="paragraph" w:customStyle="1" w:styleId="120">
    <w:name w:val="et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仿宋" w:hAnsi="仿宋" w:eastAsia="仿宋" w:cs="宋体"/>
      <w:color w:val="000000"/>
      <w:kern w:val="0"/>
      <w:sz w:val="18"/>
      <w:szCs w:val="18"/>
    </w:rPr>
  </w:style>
  <w:style w:type="paragraph" w:customStyle="1" w:styleId="121">
    <w:name w:val="et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left"/>
    </w:pPr>
    <w:rPr>
      <w:rFonts w:ascii="仿宋" w:hAnsi="仿宋" w:eastAsia="仿宋" w:cs="宋体"/>
      <w:color w:val="000000"/>
      <w:kern w:val="0"/>
      <w:sz w:val="18"/>
      <w:szCs w:val="18"/>
    </w:rPr>
  </w:style>
  <w:style w:type="paragraph" w:customStyle="1" w:styleId="122">
    <w:name w:val="et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仿宋" w:hAnsi="仿宋" w:eastAsia="仿宋" w:cs="宋体"/>
      <w:color w:val="000000"/>
      <w:kern w:val="0"/>
      <w:sz w:val="18"/>
      <w:szCs w:val="18"/>
    </w:rPr>
  </w:style>
  <w:style w:type="paragraph" w:customStyle="1" w:styleId="123">
    <w:name w:val="et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left"/>
    </w:pPr>
    <w:rPr>
      <w:rFonts w:ascii="仿宋" w:hAnsi="仿宋" w:eastAsia="仿宋" w:cs="宋体"/>
      <w:color w:val="000000"/>
      <w:kern w:val="0"/>
      <w:sz w:val="18"/>
      <w:szCs w:val="18"/>
    </w:rPr>
  </w:style>
  <w:style w:type="paragraph" w:customStyle="1" w:styleId="124">
    <w:name w:val="et6"/>
    <w:basedOn w:val="1"/>
    <w:uiPriority w:val="0"/>
    <w:pPr>
      <w:widowControl/>
      <w:pBdr>
        <w:bottom w:val="single" w:color="000000" w:sz="8" w:space="0"/>
        <w:right w:val="single" w:color="000000" w:sz="8" w:space="0"/>
      </w:pBdr>
      <w:spacing w:before="100" w:beforeAutospacing="1" w:after="100" w:afterAutospacing="1" w:line="240" w:lineRule="auto"/>
      <w:ind w:firstLine="0" w:firstLineChars="0"/>
      <w:jc w:val="center"/>
    </w:pPr>
    <w:rPr>
      <w:rFonts w:ascii="宋体" w:hAnsi="宋体" w:cs="宋体"/>
      <w:color w:val="000000"/>
      <w:kern w:val="0"/>
      <w:sz w:val="21"/>
      <w:szCs w:val="21"/>
    </w:rPr>
  </w:style>
  <w:style w:type="character" w:customStyle="1" w:styleId="125">
    <w:name w:val="未处理的提及2"/>
    <w:basedOn w:val="32"/>
    <w:semiHidden/>
    <w:unhideWhenUsed/>
    <w:uiPriority w:val="99"/>
    <w:rPr>
      <w:color w:val="605E5C"/>
      <w:shd w:val="clear" w:color="auto" w:fill="E1DFDD"/>
    </w:rPr>
  </w:style>
  <w:style w:type="paragraph" w:customStyle="1" w:styleId="126">
    <w:name w:val="xl65"/>
    <w:basedOn w:val="1"/>
    <w:uiPriority w:val="0"/>
    <w:pPr>
      <w:widowControl/>
      <w:spacing w:before="100" w:beforeAutospacing="1" w:after="100" w:afterAutospacing="1" w:line="240" w:lineRule="auto"/>
      <w:ind w:firstLine="0" w:firstLineChars="0"/>
      <w:jc w:val="left"/>
    </w:pPr>
    <w:rPr>
      <w:rFonts w:cs="Times New Roman"/>
      <w:color w:val="000000"/>
      <w:kern w:val="0"/>
      <w:sz w:val="20"/>
      <w:szCs w:val="20"/>
    </w:rPr>
  </w:style>
  <w:style w:type="paragraph" w:customStyle="1" w:styleId="127">
    <w:name w:val="xl66"/>
    <w:basedOn w:val="1"/>
    <w:uiPriority w:val="0"/>
    <w:pPr>
      <w:widowControl/>
      <w:spacing w:before="100" w:beforeAutospacing="1" w:after="100" w:afterAutospacing="1" w:line="240" w:lineRule="auto"/>
      <w:ind w:firstLine="0" w:firstLineChars="0"/>
      <w:jc w:val="left"/>
    </w:pPr>
    <w:rPr>
      <w:rFonts w:cs="Times New Roman"/>
      <w:color w:val="000000"/>
      <w:kern w:val="0"/>
      <w:sz w:val="20"/>
      <w:szCs w:val="20"/>
    </w:rPr>
  </w:style>
  <w:style w:type="paragraph" w:customStyle="1" w:styleId="128">
    <w:name w:val="xl67"/>
    <w:basedOn w:val="1"/>
    <w:uiPriority w:val="0"/>
    <w:pPr>
      <w:widowControl/>
      <w:spacing w:before="100" w:beforeAutospacing="1" w:after="100" w:afterAutospacing="1" w:line="240" w:lineRule="auto"/>
      <w:ind w:firstLine="0" w:firstLineChars="0"/>
      <w:jc w:val="center"/>
    </w:pPr>
    <w:rPr>
      <w:rFonts w:ascii="等线" w:hAnsi="等线" w:eastAsia="等线" w:cs="宋体"/>
      <w:color w:val="000000"/>
      <w:kern w:val="0"/>
      <w:sz w:val="20"/>
      <w:szCs w:val="20"/>
    </w:rPr>
  </w:style>
  <w:style w:type="paragraph" w:customStyle="1" w:styleId="129">
    <w:name w:val="xl68"/>
    <w:basedOn w:val="1"/>
    <w:uiPriority w:val="0"/>
    <w:pPr>
      <w:widowControl/>
      <w:spacing w:before="100" w:beforeAutospacing="1" w:after="100" w:afterAutospacing="1" w:line="240" w:lineRule="auto"/>
      <w:ind w:firstLine="0" w:firstLineChars="0"/>
      <w:jc w:val="center"/>
    </w:pPr>
    <w:rPr>
      <w:rFonts w:cs="Times New Roman"/>
      <w:color w:val="000000"/>
      <w:kern w:val="0"/>
      <w:sz w:val="20"/>
      <w:szCs w:val="20"/>
    </w:rPr>
  </w:style>
  <w:style w:type="paragraph" w:customStyle="1" w:styleId="130">
    <w:name w:val="xl69"/>
    <w:basedOn w:val="1"/>
    <w:uiPriority w:val="0"/>
    <w:pPr>
      <w:widowControl/>
      <w:spacing w:before="100" w:beforeAutospacing="1" w:after="100" w:afterAutospacing="1" w:line="240" w:lineRule="auto"/>
      <w:ind w:firstLine="0" w:firstLineChars="0"/>
      <w:jc w:val="center"/>
    </w:pPr>
    <w:rPr>
      <w:rFonts w:cs="Times New Roman"/>
      <w:color w:val="000000"/>
      <w:kern w:val="0"/>
      <w:sz w:val="20"/>
      <w:szCs w:val="20"/>
    </w:rPr>
  </w:style>
  <w:style w:type="paragraph" w:customStyle="1" w:styleId="131">
    <w:name w:val="xl70"/>
    <w:basedOn w:val="1"/>
    <w:uiPriority w:val="0"/>
    <w:pPr>
      <w:widowControl/>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32">
    <w:name w:val="xl71"/>
    <w:basedOn w:val="1"/>
    <w:uiPriority w:val="0"/>
    <w:pPr>
      <w:widowControl/>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33">
    <w:name w:val="xl72"/>
    <w:basedOn w:val="1"/>
    <w:uiPriority w:val="0"/>
    <w:pPr>
      <w:widowControl/>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134">
    <w:name w:val="xl73"/>
    <w:basedOn w:val="1"/>
    <w:uiPriority w:val="0"/>
    <w:pPr>
      <w:widowControl/>
      <w:spacing w:before="100" w:beforeAutospacing="1" w:after="100" w:afterAutospacing="1" w:line="240" w:lineRule="auto"/>
      <w:ind w:firstLine="0" w:firstLineChars="0"/>
      <w:jc w:val="center"/>
    </w:pPr>
    <w:rPr>
      <w:rFonts w:ascii="宋体" w:hAnsi="宋体" w:cs="宋体"/>
      <w:color w:val="000000"/>
      <w:kern w:val="0"/>
      <w:sz w:val="20"/>
      <w:szCs w:val="20"/>
    </w:rPr>
  </w:style>
  <w:style w:type="character" w:customStyle="1" w:styleId="135">
    <w:name w:val="15"/>
    <w:basedOn w:val="32"/>
    <w:uiPriority w:val="0"/>
    <w:rPr>
      <w:rFonts w:hint="default" w:ascii="Calibri" w:hAnsi="Calibri"/>
    </w:rPr>
  </w:style>
  <w:style w:type="character" w:customStyle="1" w:styleId="136">
    <w:name w:val="未处理的提及3"/>
    <w:basedOn w:val="32"/>
    <w:semiHidden/>
    <w:unhideWhenUsed/>
    <w:uiPriority w:val="99"/>
    <w:rPr>
      <w:color w:val="605E5C"/>
      <w:shd w:val="clear" w:color="auto" w:fill="E1DFDD"/>
    </w:rPr>
  </w:style>
  <w:style w:type="character" w:customStyle="1" w:styleId="137">
    <w:name w:val="未处理的提及4"/>
    <w:basedOn w:val="32"/>
    <w:semiHidden/>
    <w:unhideWhenUsed/>
    <w:uiPriority w:val="99"/>
    <w:rPr>
      <w:color w:val="605E5C"/>
      <w:shd w:val="clear" w:color="auto" w:fill="E1DFDD"/>
    </w:rPr>
  </w:style>
  <w:style w:type="character" w:customStyle="1" w:styleId="138">
    <w:name w:val="0.正文 Char"/>
    <w:link w:val="139"/>
    <w:qFormat/>
    <w:locked/>
    <w:uiPriority w:val="0"/>
    <w:rPr>
      <w:rFonts w:ascii="方正仿宋简体" w:eastAsia="方正仿宋简体"/>
      <w:sz w:val="28"/>
      <w:szCs w:val="28"/>
    </w:rPr>
  </w:style>
  <w:style w:type="paragraph" w:customStyle="1" w:styleId="139">
    <w:name w:val="0.正文"/>
    <w:basedOn w:val="1"/>
    <w:link w:val="138"/>
    <w:qFormat/>
    <w:uiPriority w:val="0"/>
    <w:pPr>
      <w:spacing w:line="520" w:lineRule="exact"/>
    </w:pPr>
    <w:rPr>
      <w:rFonts w:ascii="方正仿宋简体" w:eastAsia="方正仿宋简体" w:cs="Times New Roman"/>
      <w:kern w:val="0"/>
      <w:sz w:val="28"/>
      <w:szCs w:val="28"/>
    </w:rPr>
  </w:style>
  <w:style w:type="character" w:customStyle="1" w:styleId="140">
    <w:name w:val="日期 字符"/>
    <w:basedOn w:val="32"/>
    <w:link w:val="18"/>
    <w:semiHidden/>
    <w:uiPriority w:val="99"/>
    <w:rPr>
      <w:rFonts w:cstheme="minorBidi"/>
      <w:kern w:val="2"/>
      <w:sz w:val="24"/>
      <w:szCs w:val="22"/>
    </w:rPr>
  </w:style>
  <w:style w:type="paragraph" w:customStyle="1" w:styleId="141">
    <w:name w:val="TOC Heading"/>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E75B6" w:themeColor="accent1" w:themeShade="BF"/>
      <w:kern w:val="0"/>
      <w:szCs w:val="32"/>
    </w:rPr>
  </w:style>
  <w:style w:type="paragraph" w:customStyle="1" w:styleId="142">
    <w:name w:val="Revision"/>
    <w:hidden/>
    <w:semiHidden/>
    <w:uiPriority w:val="99"/>
    <w:rPr>
      <w:rFonts w:ascii="Times New Roman" w:hAnsi="Times New Roman" w:eastAsia="宋体" w:cstheme="minorBidi"/>
      <w:kern w:val="2"/>
      <w:sz w:val="24"/>
      <w:szCs w:val="22"/>
      <w:lang w:val="en-US" w:eastAsia="zh-CN" w:bidi="ar-SA"/>
    </w:rPr>
  </w:style>
  <w:style w:type="character" w:customStyle="1" w:styleId="143">
    <w:name w:val="副标题 字符"/>
    <w:basedOn w:val="32"/>
    <w:link w:val="24"/>
    <w:uiPriority w:val="11"/>
    <w:rPr>
      <w:rFonts w:asciiTheme="majorHAnsi" w:hAnsiTheme="majorHAnsi" w:cstheme="majorBidi"/>
      <w:b/>
      <w:bCs/>
      <w:kern w:val="28"/>
      <w:sz w:val="32"/>
      <w:szCs w:val="32"/>
    </w:rPr>
  </w:style>
  <w:style w:type="character" w:customStyle="1" w:styleId="144">
    <w:name w:val="未处理的提及41"/>
    <w:basedOn w:val="32"/>
    <w:semiHidden/>
    <w:unhideWhenUsed/>
    <w:uiPriority w:val="99"/>
    <w:rPr>
      <w:color w:val="605E5C"/>
      <w:shd w:val="clear" w:color="auto" w:fill="E1DFDD"/>
    </w:rPr>
  </w:style>
  <w:style w:type="character" w:customStyle="1" w:styleId="145">
    <w:name w:val="font61"/>
    <w:basedOn w:val="32"/>
    <w:uiPriority w:val="0"/>
    <w:rPr>
      <w:rFonts w:hint="default" w:ascii="Times New Roman" w:hAnsi="Times New Roman" w:cs="Times New Roman"/>
      <w:color w:val="000000"/>
      <w:sz w:val="20"/>
      <w:szCs w:val="20"/>
      <w:u w:val="none"/>
    </w:rPr>
  </w:style>
  <w:style w:type="character" w:customStyle="1" w:styleId="146">
    <w:name w:val="Unresolved Mention"/>
    <w:basedOn w:val="32"/>
    <w:semiHidden/>
    <w:unhideWhenUsed/>
    <w:uiPriority w:val="99"/>
    <w:rPr>
      <w:color w:val="605E5C"/>
      <w:shd w:val="clear" w:color="auto" w:fill="E1DFDD"/>
    </w:rPr>
  </w:style>
  <w:style w:type="table" w:customStyle="1" w:styleId="147">
    <w:name w:val="网格型2"/>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8">
    <w:name w:val="font12"/>
    <w:basedOn w:val="32"/>
    <w:qFormat/>
    <w:uiPriority w:val="0"/>
    <w:rPr>
      <w:rFonts w:ascii="Cambria Math" w:hAnsi="Cambria Math" w:eastAsia="Cambria Math" w:cs="Cambria Math"/>
      <w:b/>
      <w:color w:val="000000"/>
      <w:sz w:val="21"/>
      <w:szCs w:val="21"/>
      <w:u w:val="none"/>
      <w:vertAlign w:val="subscript"/>
    </w:rPr>
  </w:style>
  <w:style w:type="character" w:customStyle="1" w:styleId="149">
    <w:name w:val="未处理的提及11"/>
    <w:basedOn w:val="3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DA394B-11CE-4CE2-9D7E-E3CE00849DA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60</Pages>
  <Words>5664</Words>
  <Characters>32289</Characters>
  <Lines>269</Lines>
  <Paragraphs>75</Paragraphs>
  <TotalTime>2</TotalTime>
  <ScaleCrop>false</ScaleCrop>
  <LinksUpToDate>false</LinksUpToDate>
  <CharactersWithSpaces>37878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2020-06-05T06:23:00Z</dcterms:created>
  <dc:creator>DELL</dc:creator>
  <cp:lastModifiedBy>欢哥</cp:lastModifiedBy>
  <cp:lastPrinted>2020-07-07T11:11:00Z</cp:lastPrinted>
  <dcterms:modified xsi:type="dcterms:W3CDTF">2020-07-23T08:29:48Z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