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2021年度</w:t>
      </w:r>
    </w:p>
    <w:p>
      <w:pPr>
        <w:pStyle w:val="12"/>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永州市人力资源和社会保障局</w:t>
      </w:r>
    </w:p>
    <w:p>
      <w:pPr>
        <w:pStyle w:val="12"/>
        <w:jc w:val="center"/>
        <w:rPr>
          <w:sz w:val="84"/>
          <w:szCs w:val="84"/>
        </w:rPr>
      </w:pPr>
      <w:r>
        <w:rPr>
          <w:rFonts w:hint="eastAsia" w:ascii="方正小标宋_GBK" w:hAnsi="方正小标宋_GBK" w:eastAsia="方正小标宋_GBK" w:cs="方正小标宋_GBK"/>
          <w:sz w:val="72"/>
          <w:szCs w:val="72"/>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center"/>
        <w:rPr>
          <w:b/>
          <w:bCs w:val="0"/>
          <w:sz w:val="36"/>
          <w:szCs w:val="28"/>
        </w:rPr>
      </w:pPr>
      <w:r>
        <w:rPr>
          <w:rFonts w:hint="eastAsia"/>
          <w:b/>
          <w:bCs w:val="0"/>
          <w:sz w:val="36"/>
          <w:szCs w:val="28"/>
        </w:rPr>
        <w:t>目</w:t>
      </w:r>
      <w:r>
        <w:rPr>
          <w:rFonts w:hint="eastAsia"/>
          <w:b/>
          <w:bCs w:val="0"/>
          <w:sz w:val="36"/>
          <w:szCs w:val="28"/>
          <w:lang w:val="en-US" w:eastAsia="zh-CN"/>
        </w:rPr>
        <w:t xml:space="preserve">  </w:t>
      </w:r>
      <w:r>
        <w:rPr>
          <w:rFonts w:hint="eastAsia"/>
          <w:b/>
          <w:bCs w:val="0"/>
          <w:sz w:val="36"/>
          <w:szCs w:val="28"/>
        </w:rPr>
        <w:t>录</w:t>
      </w:r>
    </w:p>
    <w:p>
      <w:pPr>
        <w:pStyle w:val="12"/>
        <w:spacing w:line="500" w:lineRule="exac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第一部分</w:t>
      </w:r>
      <w:r>
        <w:rPr>
          <w:rFonts w:hint="eastAsia" w:ascii="楷体_GB2312" w:hAnsi="楷体_GB2312" w:eastAsia="楷体_GB2312" w:cs="楷体_GB2312"/>
          <w:b/>
          <w:sz w:val="32"/>
          <w:szCs w:val="32"/>
          <w:lang w:val="en-US" w:eastAsia="zh-CN"/>
        </w:rPr>
        <w:t xml:space="preserve"> 永州市人力资源和社会保障局</w:t>
      </w:r>
      <w:r>
        <w:rPr>
          <w:rFonts w:hint="eastAsia" w:ascii="楷体_GB2312" w:hAnsi="楷体_GB2312" w:eastAsia="楷体_GB2312" w:cs="楷体_GB2312"/>
          <w:b/>
          <w:sz w:val="32"/>
          <w:szCs w:val="32"/>
        </w:rPr>
        <w:t>概况</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12"/>
        <w:spacing w:line="500" w:lineRule="exac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第二部分</w:t>
      </w:r>
      <w:r>
        <w:rPr>
          <w:rFonts w:hint="eastAsia" w:ascii="楷体_GB2312" w:hAnsi="楷体_GB2312" w:eastAsia="楷体_GB2312" w:cs="楷体_GB2312"/>
          <w:b/>
          <w:sz w:val="32"/>
          <w:szCs w:val="32"/>
          <w:lang w:val="en-US" w:eastAsia="zh-CN"/>
        </w:rPr>
        <w:t xml:space="preserve"> </w:t>
      </w:r>
      <w:r>
        <w:rPr>
          <w:rFonts w:hint="eastAsia" w:ascii="楷体_GB2312" w:hAnsi="楷体_GB2312" w:eastAsia="楷体_GB2312" w:cs="楷体_GB2312"/>
          <w:b/>
          <w:sz w:val="32"/>
          <w:szCs w:val="32"/>
        </w:rPr>
        <w:t>2021年度部门决算表</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六、一般公共预算财政拨款基本支出决算明细表</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pStyle w:val="12"/>
        <w:spacing w:line="500" w:lineRule="exac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第三部分</w:t>
      </w:r>
      <w:r>
        <w:rPr>
          <w:rFonts w:hint="eastAsia" w:ascii="楷体_GB2312" w:hAnsi="楷体_GB2312" w:eastAsia="楷体_GB2312" w:cs="楷体_GB2312"/>
          <w:b/>
          <w:sz w:val="32"/>
          <w:szCs w:val="32"/>
          <w:lang w:val="en-US" w:eastAsia="zh-CN"/>
        </w:rPr>
        <w:t xml:space="preserve"> </w:t>
      </w:r>
      <w:r>
        <w:rPr>
          <w:rFonts w:hint="eastAsia" w:ascii="楷体_GB2312" w:hAnsi="楷体_GB2312" w:eastAsia="楷体_GB2312" w:cs="楷体_GB2312"/>
          <w:b/>
          <w:sz w:val="32"/>
          <w:szCs w:val="32"/>
        </w:rPr>
        <w:t>2021年度部门决算情况说明</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八、政府性基金预算收入支出决算情况</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九、机关运行经费支出说明</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十、一般性支出情况说明</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十一、政府采购支出说明</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十二、国有资产占用情况说明</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十三、2021年度预算绩效情况说明</w:t>
      </w:r>
    </w:p>
    <w:p>
      <w:pPr>
        <w:pStyle w:val="12"/>
        <w:spacing w:line="500" w:lineRule="exac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第四部分</w:t>
      </w:r>
      <w:r>
        <w:rPr>
          <w:rFonts w:hint="eastAsia" w:ascii="楷体_GB2312" w:hAnsi="楷体_GB2312" w:eastAsia="楷体_GB2312" w:cs="楷体_GB2312"/>
          <w:b/>
          <w:sz w:val="32"/>
          <w:szCs w:val="32"/>
          <w:lang w:val="en-US" w:eastAsia="zh-CN"/>
        </w:rPr>
        <w:t xml:space="preserve"> </w:t>
      </w:r>
      <w:r>
        <w:rPr>
          <w:rFonts w:hint="eastAsia" w:ascii="楷体_GB2312" w:hAnsi="楷体_GB2312" w:eastAsia="楷体_GB2312" w:cs="楷体_GB2312"/>
          <w:b/>
          <w:sz w:val="32"/>
          <w:szCs w:val="32"/>
        </w:rPr>
        <w:t>名词解释</w:t>
      </w:r>
    </w:p>
    <w:p>
      <w:pPr>
        <w:pStyle w:val="12"/>
        <w:spacing w:line="500" w:lineRule="exac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第五部分</w:t>
      </w:r>
      <w:r>
        <w:rPr>
          <w:rFonts w:hint="eastAsia" w:ascii="楷体_GB2312" w:hAnsi="楷体_GB2312" w:eastAsia="楷体_GB2312" w:cs="楷体_GB2312"/>
          <w:b/>
          <w:sz w:val="32"/>
          <w:szCs w:val="32"/>
          <w:lang w:val="en-US" w:eastAsia="zh-CN"/>
        </w:rPr>
        <w:t xml:space="preserve"> </w:t>
      </w:r>
      <w:r>
        <w:rPr>
          <w:rFonts w:hint="eastAsia" w:ascii="楷体_GB2312" w:hAnsi="楷体_GB2312" w:eastAsia="楷体_GB2312" w:cs="楷体_GB2312"/>
          <w:b/>
          <w:sz w:val="32"/>
          <w:szCs w:val="32"/>
        </w:rPr>
        <w:t>附件</w:t>
      </w:r>
    </w:p>
    <w:p>
      <w:pPr>
        <w:jc w:val="center"/>
        <w:rPr>
          <w:sz w:val="72"/>
          <w:szCs w:val="72"/>
        </w:rPr>
      </w:pPr>
    </w:p>
    <w:p>
      <w:pPr>
        <w:jc w:val="both"/>
        <w:rPr>
          <w:sz w:val="72"/>
          <w:szCs w:val="72"/>
        </w:rPr>
      </w:pPr>
    </w:p>
    <w:p>
      <w:pPr>
        <w:jc w:val="center"/>
        <w:rPr>
          <w:sz w:val="72"/>
          <w:szCs w:val="72"/>
        </w:rPr>
      </w:pPr>
    </w:p>
    <w:p>
      <w:pPr>
        <w:jc w:val="center"/>
        <w:rPr>
          <w:sz w:val="72"/>
          <w:szCs w:val="72"/>
        </w:rPr>
      </w:pPr>
    </w:p>
    <w:p>
      <w:pPr>
        <w:rPr>
          <w:rFonts w:hint="eastAsia" w:eastAsiaTheme="minorEastAsia"/>
          <w:sz w:val="72"/>
          <w:szCs w:val="72"/>
          <w:lang w:eastAsia="zh-CN"/>
        </w:rPr>
      </w:pPr>
    </w:p>
    <w:p>
      <w:pPr>
        <w:pStyle w:val="2"/>
        <w:rPr>
          <w:rFonts w:hint="eastAsia"/>
          <w:lang w:eastAsia="zh-CN"/>
        </w:rPr>
      </w:pPr>
    </w:p>
    <w:p>
      <w:pPr>
        <w:pStyle w:val="2"/>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第一部分 </w:t>
      </w:r>
    </w:p>
    <w:p>
      <w:pPr>
        <w:pStyle w:val="12"/>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永州市人力资源和社会保障局</w:t>
      </w:r>
    </w:p>
    <w:p>
      <w:pPr>
        <w:pStyle w:val="12"/>
        <w:jc w:val="center"/>
        <w:rPr>
          <w:sz w:val="84"/>
          <w:szCs w:val="84"/>
        </w:rPr>
      </w:pPr>
      <w:r>
        <w:rPr>
          <w:rFonts w:hint="eastAsia" w:ascii="方正小标宋_GBK" w:hAnsi="方正小标宋_GBK" w:eastAsia="方正小标宋_GBK" w:cs="方正小标宋_GBK"/>
          <w:sz w:val="72"/>
          <w:szCs w:val="72"/>
        </w:rPr>
        <w:t>概况</w:t>
      </w:r>
    </w:p>
    <w:p>
      <w:pPr>
        <w:jc w:val="center"/>
        <w:rPr>
          <w:sz w:val="72"/>
          <w:szCs w:val="72"/>
        </w:rPr>
      </w:pPr>
    </w:p>
    <w:p>
      <w:pPr>
        <w:jc w:val="center"/>
        <w:rPr>
          <w:sz w:val="72"/>
          <w:szCs w:val="72"/>
        </w:rPr>
      </w:pPr>
    </w:p>
    <w:p>
      <w:pPr>
        <w:jc w:val="center"/>
        <w:rPr>
          <w:sz w:val="72"/>
          <w:szCs w:val="72"/>
        </w:rPr>
      </w:pPr>
    </w:p>
    <w:p>
      <w:pPr>
        <w:pStyle w:val="2"/>
        <w:rPr>
          <w:sz w:val="72"/>
          <w:szCs w:val="72"/>
        </w:rPr>
      </w:pPr>
    </w:p>
    <w:p>
      <w:pPr>
        <w:pStyle w:val="2"/>
        <w:rPr>
          <w:sz w:val="72"/>
          <w:szCs w:val="72"/>
        </w:rPr>
      </w:pPr>
    </w:p>
    <w:p>
      <w:pPr>
        <w:jc w:val="center"/>
        <w:rPr>
          <w:sz w:val="72"/>
          <w:szCs w:val="72"/>
        </w:rPr>
      </w:pPr>
    </w:p>
    <w:p>
      <w:pPr>
        <w:pStyle w:val="13"/>
        <w:numPr>
          <w:ilvl w:val="0"/>
          <w:numId w:val="0"/>
        </w:numPr>
        <w:ind w:leftChars="300"/>
        <w:jc w:val="left"/>
        <w:rPr>
          <w:rFonts w:hint="eastAsia" w:ascii="黑体" w:hAnsi="黑体" w:eastAsia="黑体" w:cs="黑体"/>
          <w:b w:val="0"/>
          <w:bCs w:val="0"/>
          <w:sz w:val="32"/>
          <w:szCs w:val="32"/>
          <w:lang w:eastAsia="zh-CN"/>
        </w:rPr>
      </w:pPr>
    </w:p>
    <w:p>
      <w:pPr>
        <w:pStyle w:val="13"/>
        <w:numPr>
          <w:ilvl w:val="0"/>
          <w:numId w:val="0"/>
        </w:numPr>
        <w:ind w:leftChars="300"/>
        <w:jc w:val="left"/>
        <w:rPr>
          <w:rFonts w:hint="eastAsia" w:ascii="仿宋" w:hAnsi="仿宋" w:eastAsia="仿宋" w:cs="仿宋"/>
          <w:i w:val="0"/>
          <w:iCs w:val="0"/>
          <w:caps w:val="0"/>
          <w:color w:val="525252"/>
          <w:spacing w:val="0"/>
          <w:sz w:val="32"/>
          <w:szCs w:val="32"/>
          <w:shd w:val="clear" w:fill="FFFFFF"/>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一）贯彻落实国家、省关于人力资源和社会保障的法律、法规和方针、政策，结合实际，拟订全市人力资源和社会保障配套政策和实施办法，拟订全市人力资源和社会保障事业发展规划、措施，拟订市政府有关人力资源和社会保障方面的规范性文件草案，并组织实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二）拟订全市人力资源市场发展规划和人力资源流动实施办法并组织实施，建立统一规范的人力资源市场并负责监督管理；审批并监管全市人力资源中介机构，指导全市人力资源市场建设，监管各类人员的人事代理工作；促进人力资源合理流动、有效配置，加强区域人才开发与合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三）负责全市促进就业工作。拟订统筹城乡的就业发展规划并组织实施。负责全市大中专毕业生就业指导工作，完善公共就业服务体系，拟订年度就业再就业专项资金使用计划，拟订就业援助制度，推动创业带动就业。负责全市就业、失业、失业保险基金预测预警和信息引导工作，拟订应对预案，实施预防、调节和控制，保持全市就业形势稳定和失业保险基金总体收支平衡。负责全市人力资源和社会保障信息化建设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四）统筹建立覆盖全市城乡的社会保障体系。管理全市养老、工伤、失业和农村社会保险工作，拟订全市社会保险发展中长期规划和年度计划，拟订全市社会保险具体实施办法并组织实施。统筹拟订全市城乡社会保险及其补充保险、企业年金办法和措施并组织实施，拟订全市统一的社会保险关系转续实施办法，积极做好全市职工基本养老保险省级统筹工作，会同有关部门拟订全市社会保险及其补充保险基金管理与监督制度并监督管理，负责拟订中央转移支付社会保险资金和省级专项资金及调剂金的分配方案，编制全市社会保险基金预决算草案并组织基金预算的执行，承担参加养老保险退休人员的社会化管理服务工作。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五）负责全市职业能力建设工作。统筹建立面向全体劳动者的职业培训制度，统筹建立专业技术人员继续教育制度，拟订管理人才、专业技术人才、高技能人才、农村实用人才培养和激励办法并组织实施，制定全市职业分类、职业技能标准具体实施办法，负责全市职业技能鉴定工作，负责全市民办培训机构的资格认定及技工学校、民办培训机构的监督管理，完善职业资格制度，组织实施劳动预备制度。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六）负责全市企事业单位人员结构的调整、工资收入分配、福利和离退休政策的落实，负责综合管理企事业单位工作人员的工资、津贴、补贴、离休退休、退职等工作，承办全市企事业单位人员工资正常增长和支付保障工作，监督检查企业劳动标准政策和劳动定额标准实施情况。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七）负责全市事业单位人员综合管理工作。会同有关部门拟订全市事业单位综合配套改革总体方案并指导实施，会同有关部门加强全市事业单位人员宏观管理，指导协调全市事业单位人事制度改革工作，建立科学化、规范化的事业单位人事管理制度。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八）负责专业技术人员队伍建设。承办全市有突出贡献中青年专家和享受国家、省政府、市政府特殊津贴专家、乡土拔尖人才的选拔申报及管理服务工作，负责博士后产业基地、博士后工作站管理服务工作，负责全市专业技术职务综合管理和高技能人才队伍建设工作，会同有关部门组织引进海外高层次急需人才，负责全市专业技术资格、职(执)业资格考试工作的监督与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（九）综合管理全市人才资源的开发利用工作，会同有关部门做好全市机关和事业单位工作人员、企业专业技术人员和管理人员流动调配工作，负责事业单位公开招聘工作并办理相关手续。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（十）负责全市农民工工作相关政策的落实，会同相关部门拟订农民工工作规划，协调解决重点难点问题，维护农民工合法权益。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十一）负责劳动关系法律、法规和政策的落实，建立健全劳动关系协调机制。组织执行全市劳动合同、集体合同制度，负责市区企业劳动合同鉴证，集体合同审核，拟订全市劳动人事争议仲裁制度并组织实施，依法处理市管劳动人事争议案件。主管全市劳动保障监察工作，依法对中央、省属在永单位实施监察，组织查处重大案件，维护劳动者合法权益。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（十二）负责本局对外交流与合作，开发和管理国际国内援助、贷款项目。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（十三）承办上级交办的其他事项。</w:t>
      </w:r>
    </w:p>
    <w:p>
      <w:pPr>
        <w:widowControl/>
        <w:spacing w:line="60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lang w:val="en-US" w:eastAsia="zh-CN" w:bidi="ar-SA"/>
        </w:rPr>
        <w:t>二、机构设置及决算单位构成</w:t>
      </w:r>
    </w:p>
    <w:p>
      <w:pPr>
        <w:widowControl/>
        <w:spacing w:line="600" w:lineRule="exact"/>
        <w:ind w:firstLine="642" w:firstLineChars="200"/>
        <w:rPr>
          <w:rFonts w:hint="default" w:ascii="仿宋_GB2312" w:hAnsi="仿宋_GB2312" w:eastAsia="仿宋_GB2312" w:cs="仿宋_GB2312"/>
          <w:bCs/>
          <w:kern w:val="0"/>
          <w:sz w:val="32"/>
          <w:szCs w:val="32"/>
          <w:lang w:val="en-US" w:eastAsia="zh-CN"/>
        </w:rPr>
      </w:pPr>
      <w:r>
        <w:rPr>
          <w:rFonts w:hint="eastAsia" w:ascii="楷体_GB2312" w:hAnsi="楷体_GB2312" w:eastAsia="楷体_GB2312" w:cs="楷体_GB2312"/>
          <w:b/>
          <w:bCs w:val="0"/>
          <w:kern w:val="0"/>
          <w:sz w:val="32"/>
          <w:szCs w:val="32"/>
        </w:rPr>
        <w:t>（一）内设机构设置。</w:t>
      </w:r>
      <w:r>
        <w:rPr>
          <w:rFonts w:hint="eastAsia" w:ascii="仿宋_GB2312" w:hAnsi="仿宋_GB2312" w:eastAsia="仿宋_GB2312" w:cs="仿宋_GB2312"/>
          <w:bCs/>
          <w:kern w:val="0"/>
          <w:sz w:val="32"/>
          <w:szCs w:val="32"/>
          <w:lang w:val="en-US" w:eastAsia="zh-CN"/>
        </w:rPr>
        <w:t>永州市人力资源和社会保障局单位内设机构包括：内设科室17个，所属事业单位10个。</w:t>
      </w:r>
    </w:p>
    <w:p>
      <w:pPr>
        <w:widowControl/>
        <w:spacing w:line="60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内设科室分别是：办公室（综合调研室）、法规信访科、规划财务科、就业促进与失业保险科（扶贫工作办公室）、人力资源流动管理科、职业能力建设科、专业技术人员管理科、事业单位人事管理科、农民工工作科、劳动关系科、工资福利科、养老保险科、工伤保险科（市劳动能力鉴定委员会办公室）、社会保险</w:t>
      </w:r>
      <w:bookmarkStart w:id="0" w:name="_GoBack"/>
      <w:bookmarkEnd w:id="0"/>
      <w:r>
        <w:rPr>
          <w:rFonts w:hint="eastAsia" w:ascii="仿宋_GB2312" w:hAnsi="仿宋_GB2312" w:eastAsia="仿宋_GB2312" w:cs="仿宋_GB2312"/>
          <w:bCs/>
          <w:kern w:val="0"/>
          <w:sz w:val="32"/>
          <w:szCs w:val="32"/>
          <w:lang w:val="en-US" w:eastAsia="zh-CN"/>
        </w:rPr>
        <w:t>基金监督科、行政审批科、绩效考核和表彰奖励科、人事教育科。另设机关党委、离退休人员服务科。</w:t>
      </w:r>
    </w:p>
    <w:p>
      <w:pPr>
        <w:widowControl/>
        <w:spacing w:line="600" w:lineRule="exact"/>
        <w:ind w:firstLine="640" w:firstLineChars="200"/>
        <w:rPr>
          <w:rFonts w:hint="eastAsia"/>
          <w:lang w:val="en-US" w:eastAsia="zh-CN"/>
        </w:rPr>
      </w:pPr>
      <w:r>
        <w:rPr>
          <w:rFonts w:hint="eastAsia" w:ascii="仿宋_GB2312" w:hAnsi="仿宋_GB2312" w:eastAsia="仿宋_GB2312" w:cs="仿宋_GB2312"/>
          <w:bCs/>
          <w:kern w:val="0"/>
          <w:sz w:val="32"/>
          <w:szCs w:val="32"/>
          <w:lang w:val="en-US" w:eastAsia="zh-CN"/>
        </w:rPr>
        <w:t>所属事业单位分别为：永州市劳动保障监察支队、永州市就业服务中心、永州市社会保险服务中心、永州市城乡居民养老保险服务中心、永州市工伤保险服务中心、永州市劳动人事争议仲裁院、永州市人事考试院、市人力资源服务中心、永州市人力资源和社会保障统计信息中心、永州市职业能力鉴定中心。2021年底，以上单位合计编制为177名，其中行政编122名，事业编55名，工勤2名；实有在编人数123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Cs/>
          <w:kern w:val="0"/>
          <w:sz w:val="32"/>
          <w:szCs w:val="32"/>
          <w:lang w:val="en-US" w:eastAsia="zh-CN"/>
        </w:rPr>
      </w:pPr>
      <w:r>
        <w:rPr>
          <w:rFonts w:hint="eastAsia" w:ascii="楷体_GB2312" w:hAnsi="楷体_GB2312" w:eastAsia="楷体_GB2312" w:cs="楷体_GB2312"/>
          <w:b/>
          <w:bCs w:val="0"/>
          <w:kern w:val="0"/>
          <w:sz w:val="32"/>
          <w:szCs w:val="32"/>
        </w:rPr>
        <w:t>（二）决算单位构成。</w:t>
      </w:r>
      <w:r>
        <w:rPr>
          <w:rFonts w:hint="eastAsia" w:ascii="仿宋_GB2312" w:hAnsi="仿宋_GB2312" w:eastAsia="仿宋_GB2312" w:cs="仿宋_GB2312"/>
          <w:bCs/>
          <w:kern w:val="0"/>
          <w:sz w:val="32"/>
          <w:szCs w:val="32"/>
          <w:lang w:val="en-US" w:eastAsia="zh-CN"/>
        </w:rPr>
        <w:t>永州市人力资源和社会保障局2021年部门决算汇总公开单位构成包括：永州市人力资源和社会保障局本级、永州市劳动保障监察支队、永州市城乡居民养老保险服务中心、永州市劳动人事争议仲裁院、永州市人事考试院、永州市人力资源和社会保障统计信息中心、永州市职业能力鉴定中心。</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center"/>
        <w:rPr>
          <w:sz w:val="72"/>
          <w:szCs w:val="72"/>
        </w:rPr>
      </w:pPr>
    </w:p>
    <w:p>
      <w:pPr>
        <w:jc w:val="both"/>
        <w:rPr>
          <w:rFonts w:hint="eastAsia" w:ascii="方正小标宋_GBK" w:hAnsi="方正小标宋_GBK" w:eastAsia="方正小标宋_GBK" w:cs="方正小标宋_GBK"/>
          <w:color w:val="000000"/>
          <w:kern w:val="0"/>
          <w:sz w:val="72"/>
          <w:szCs w:val="72"/>
          <w:lang w:val="en-US" w:eastAsia="zh-CN" w:bidi="ar-SA"/>
        </w:rPr>
      </w:pPr>
    </w:p>
    <w:p>
      <w:pPr>
        <w:jc w:val="center"/>
        <w:rPr>
          <w:rFonts w:hint="eastAsia" w:ascii="方正小标宋_GBK" w:hAnsi="方正小标宋_GBK" w:eastAsia="方正小标宋_GBK" w:cs="方正小标宋_GBK"/>
          <w:color w:val="000000"/>
          <w:kern w:val="0"/>
          <w:sz w:val="72"/>
          <w:szCs w:val="72"/>
          <w:lang w:val="en-US" w:eastAsia="zh-CN" w:bidi="ar-SA"/>
        </w:rPr>
      </w:pPr>
      <w:r>
        <w:rPr>
          <w:rFonts w:hint="eastAsia" w:ascii="方正小标宋_GBK" w:hAnsi="方正小标宋_GBK" w:eastAsia="方正小标宋_GBK" w:cs="方正小标宋_GBK"/>
          <w:color w:val="000000"/>
          <w:kern w:val="0"/>
          <w:sz w:val="72"/>
          <w:szCs w:val="72"/>
          <w:lang w:val="en-US" w:eastAsia="zh-CN" w:bidi="ar-SA"/>
        </w:rPr>
        <w:t>第二部分</w:t>
      </w:r>
    </w:p>
    <w:p>
      <w:pPr>
        <w:jc w:val="center"/>
        <w:rPr>
          <w:rFonts w:hint="eastAsia" w:ascii="方正小标宋_GBK" w:hAnsi="方正小标宋_GBK" w:eastAsia="方正小标宋_GBK" w:cs="方正小标宋_GBK"/>
          <w:color w:val="000000"/>
          <w:kern w:val="0"/>
          <w:sz w:val="72"/>
          <w:szCs w:val="72"/>
          <w:lang w:val="en-US" w:eastAsia="zh-CN" w:bidi="ar-SA"/>
        </w:rPr>
      </w:pPr>
      <w:r>
        <w:rPr>
          <w:rFonts w:hint="eastAsia" w:ascii="方正小标宋_GBK" w:hAnsi="方正小标宋_GBK" w:eastAsia="方正小标宋_GBK" w:cs="方正小标宋_GBK"/>
          <w:color w:val="000000"/>
          <w:kern w:val="0"/>
          <w:sz w:val="72"/>
          <w:szCs w:val="72"/>
          <w:lang w:val="en-US" w:eastAsia="zh-CN" w:bidi="ar-SA"/>
        </w:rPr>
        <w:t>2021年度部门决算表</w:t>
      </w:r>
    </w:p>
    <w:p>
      <w:pPr>
        <w:pStyle w:val="2"/>
        <w:ind w:firstLine="3360" w:firstLineChars="700"/>
        <w:jc w:val="both"/>
        <w:rPr>
          <w:rFonts w:hint="eastAsia"/>
          <w:sz w:val="48"/>
          <w:szCs w:val="48"/>
          <w:lang w:val="en-US" w:eastAsia="zh-CN"/>
        </w:rPr>
      </w:pPr>
      <w:r>
        <w:rPr>
          <w:rFonts w:hint="eastAsia" w:ascii="方正小标宋_GBK" w:hAnsi="方正小标宋_GBK" w:eastAsia="方正小标宋_GBK" w:cs="方正小标宋_GBK"/>
          <w:color w:val="000000"/>
          <w:kern w:val="0"/>
          <w:sz w:val="48"/>
          <w:szCs w:val="48"/>
          <w:lang w:val="en-US" w:eastAsia="zh-CN" w:bidi="ar-SA"/>
        </w:rPr>
        <w:t>（详见附表）</w:t>
      </w:r>
    </w:p>
    <w:p>
      <w:pPr>
        <w:jc w:val="center"/>
        <w:rPr>
          <w:rFonts w:hint="eastAsia" w:ascii="仿宋_GB2312" w:hAnsi="仿宋_GB2312" w:eastAsia="仿宋_GB2312" w:cs="仿宋_GB2312"/>
          <w:b w:val="0"/>
          <w:bCs w:val="0"/>
          <w:color w:val="000000"/>
          <w:kern w:val="0"/>
          <w:sz w:val="44"/>
          <w:szCs w:val="44"/>
          <w:lang w:val="en-US" w:eastAsia="zh-CN" w:bidi="ar-SA"/>
        </w:rPr>
      </w:pPr>
    </w:p>
    <w:p>
      <w:pPr>
        <w:jc w:val="center"/>
        <w:rPr>
          <w:rFonts w:hint="eastAsia" w:ascii="仿宋_GB2312" w:hAnsi="仿宋_GB2312" w:eastAsia="仿宋_GB2312" w:cs="仿宋_GB2312"/>
          <w:b/>
          <w:bCs/>
          <w:color w:val="000000"/>
          <w:kern w:val="0"/>
          <w:sz w:val="36"/>
          <w:szCs w:val="36"/>
          <w:lang w:val="en-US" w:eastAsia="zh-CN" w:bidi="ar-SA"/>
        </w:rPr>
      </w:pPr>
    </w:p>
    <w:p>
      <w:pPr>
        <w:jc w:val="center"/>
        <w:rPr>
          <w:rFonts w:hint="eastAsia" w:ascii="仿宋_GB2312" w:hAnsi="仿宋_GB2312" w:eastAsia="仿宋_GB2312" w:cs="仿宋_GB2312"/>
          <w:b/>
          <w:bCs/>
          <w:color w:val="000000"/>
          <w:kern w:val="0"/>
          <w:sz w:val="36"/>
          <w:szCs w:val="36"/>
          <w:lang w:val="en-US" w:eastAsia="zh-CN" w:bidi="ar-SA"/>
        </w:rPr>
      </w:pPr>
    </w:p>
    <w:p>
      <w:pPr>
        <w:jc w:val="center"/>
        <w:rPr>
          <w:sz w:val="72"/>
          <w:szCs w:val="72"/>
        </w:rPr>
      </w:pPr>
    </w:p>
    <w:p>
      <w:pPr>
        <w:jc w:val="left"/>
        <w:rPr>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sz w:val="70"/>
          <w:szCs w:val="70"/>
        </w:rPr>
      </w:pPr>
      <w:r>
        <w:rPr>
          <w:rFonts w:hint="eastAsia" w:ascii="方正小标宋_GBK" w:hAnsi="方正小标宋_GBK" w:eastAsia="方正小标宋_GBK" w:cs="方正小标宋_GBK"/>
          <w:sz w:val="72"/>
          <w:szCs w:val="72"/>
        </w:rPr>
        <w:t>2021年度部门决算情况说明</w:t>
      </w:r>
    </w:p>
    <w:p>
      <w:pPr>
        <w:widowControl/>
        <w:jc w:val="left"/>
        <w:rPr>
          <w:rFonts w:ascii="黑体" w:eastAsia="黑体" w:cs="黑体"/>
          <w:color w:val="000000"/>
          <w:kern w:val="0"/>
          <w:sz w:val="70"/>
          <w:szCs w:val="70"/>
        </w:rPr>
      </w:pPr>
      <w:r>
        <w:rPr>
          <w:sz w:val="70"/>
          <w:szCs w:val="70"/>
        </w:rPr>
        <w:br w:type="page"/>
      </w:r>
    </w:p>
    <w:p>
      <w:pPr>
        <w:pStyle w:val="12"/>
        <w:ind w:firstLine="640" w:firstLineChars="200"/>
        <w:rPr>
          <w:rFonts w:hAnsi="黑体"/>
          <w:b w:val="0"/>
          <w:bCs/>
          <w:sz w:val="32"/>
          <w:szCs w:val="32"/>
        </w:rPr>
      </w:pPr>
      <w:r>
        <w:rPr>
          <w:rFonts w:hint="eastAsia" w:hAnsi="黑体"/>
          <w:b w:val="0"/>
          <w:bCs/>
          <w:sz w:val="32"/>
          <w:szCs w:val="32"/>
        </w:rPr>
        <w:t>一、收入支出决算总体情况说明</w:t>
      </w:r>
    </w:p>
    <w:p>
      <w:pPr>
        <w:pStyle w:val="1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2021年度收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2276.26</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450.26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16.51%</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zh-CN" w:eastAsia="zh-CN"/>
        </w:rPr>
        <w:t>一般商品和服务支出收入、专项支出收入</w:t>
      </w:r>
      <w:r>
        <w:rPr>
          <w:rFonts w:hint="eastAsia" w:ascii="仿宋_GB2312" w:hAnsi="仿宋_GB2312" w:eastAsia="仿宋_GB2312" w:cs="仿宋_GB2312"/>
          <w:sz w:val="32"/>
          <w:szCs w:val="32"/>
          <w:lang w:eastAsia="zh-CN"/>
        </w:rPr>
        <w:t>较上年度大幅减少。</w:t>
      </w:r>
    </w:p>
    <w:p>
      <w:pPr>
        <w:pStyle w:val="12"/>
        <w:ind w:firstLine="640" w:firstLineChars="200"/>
        <w:rPr>
          <w:rFonts w:hint="eastAsia" w:asciiTheme="minorEastAsia" w:hAnsiTheme="minorEastAsia" w:eastAsiaTheme="minorEastAsia"/>
          <w:sz w:val="32"/>
          <w:szCs w:val="32"/>
          <w:lang w:eastAsia="zh-CN"/>
        </w:rPr>
      </w:pPr>
      <w:r>
        <w:rPr>
          <w:rFonts w:hint="eastAsia" w:ascii="仿宋_GB2312" w:hAnsi="仿宋_GB2312" w:eastAsia="仿宋_GB2312" w:cs="仿宋_GB2312"/>
          <w:sz w:val="32"/>
          <w:szCs w:val="32"/>
        </w:rPr>
        <w:t>2021年度</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2276.26</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450.26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16.51</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zh-CN" w:eastAsia="zh-CN"/>
        </w:rPr>
        <w:t>一般商品和服务支出、专项支出</w:t>
      </w:r>
      <w:r>
        <w:rPr>
          <w:rFonts w:hint="eastAsia" w:ascii="仿宋_GB2312" w:hAnsi="仿宋_GB2312" w:eastAsia="仿宋_GB2312" w:cs="仿宋_GB2312"/>
          <w:sz w:val="32"/>
          <w:szCs w:val="32"/>
          <w:lang w:eastAsia="zh-CN"/>
        </w:rPr>
        <w:t>较上年度大幅减少</w:t>
      </w:r>
      <w:r>
        <w:rPr>
          <w:rFonts w:hint="eastAsia" w:ascii="仿宋_GB2312" w:hAnsi="仿宋_GB2312" w:eastAsia="仿宋_GB2312" w:cs="仿宋_GB2312"/>
          <w:sz w:val="32"/>
          <w:szCs w:val="32"/>
          <w:lang w:val="en-US" w:eastAsia="zh-CN"/>
        </w:rPr>
        <w:t>。</w:t>
      </w:r>
    </w:p>
    <w:p>
      <w:pPr>
        <w:pStyle w:val="12"/>
        <w:ind w:firstLine="640" w:firstLineChars="200"/>
        <w:rPr>
          <w:rFonts w:hAnsi="黑体"/>
          <w:b w:val="0"/>
          <w:bCs/>
          <w:sz w:val="32"/>
          <w:szCs w:val="32"/>
        </w:rPr>
      </w:pPr>
      <w:r>
        <w:rPr>
          <w:rFonts w:hint="eastAsia" w:hAnsi="黑体"/>
          <w:b w:val="0"/>
          <w:bCs/>
          <w:sz w:val="32"/>
          <w:szCs w:val="32"/>
        </w:rPr>
        <w:t>二、收入决算情况说明</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2021年度</w:t>
      </w:r>
      <w:r>
        <w:rPr>
          <w:rFonts w:hint="eastAsia" w:ascii="仿宋_GB2312" w:hAnsi="仿宋_GB2312" w:eastAsia="仿宋_GB2312" w:cs="仿宋_GB2312"/>
          <w:b w:val="0"/>
          <w:bCs w:val="0"/>
          <w:sz w:val="32"/>
          <w:szCs w:val="32"/>
          <w:lang w:eastAsia="zh-CN"/>
        </w:rPr>
        <w:t>本年</w:t>
      </w:r>
      <w:r>
        <w:rPr>
          <w:rFonts w:hint="eastAsia" w:ascii="仿宋_GB2312" w:hAnsi="仿宋_GB2312" w:eastAsia="仿宋_GB2312" w:cs="仿宋_GB2312"/>
          <w:b w:val="0"/>
          <w:bCs w:val="0"/>
          <w:sz w:val="32"/>
          <w:szCs w:val="32"/>
        </w:rPr>
        <w:t>收入合计</w:t>
      </w:r>
      <w:r>
        <w:rPr>
          <w:rFonts w:hint="eastAsia" w:ascii="仿宋_GB2312" w:hAnsi="仿宋_GB2312" w:eastAsia="仿宋_GB2312" w:cs="仿宋_GB2312"/>
          <w:b w:val="0"/>
          <w:bCs w:val="0"/>
          <w:sz w:val="32"/>
          <w:szCs w:val="32"/>
          <w:lang w:val="en-US" w:eastAsia="zh-CN"/>
        </w:rPr>
        <w:t>2276.26</w:t>
      </w:r>
      <w:r>
        <w:rPr>
          <w:rFonts w:hint="eastAsia" w:ascii="仿宋_GB2312" w:hAnsi="仿宋_GB2312" w:eastAsia="仿宋_GB2312" w:cs="仿宋_GB2312"/>
          <w:b w:val="0"/>
          <w:bCs w:val="0"/>
          <w:sz w:val="32"/>
          <w:szCs w:val="32"/>
        </w:rPr>
        <w:t>万元，其中：财政拨款收入</w:t>
      </w:r>
      <w:r>
        <w:rPr>
          <w:rFonts w:hint="eastAsia" w:ascii="仿宋_GB2312" w:hAnsi="仿宋_GB2312" w:eastAsia="仿宋_GB2312" w:cs="仿宋_GB2312"/>
          <w:b w:val="0"/>
          <w:bCs w:val="0"/>
          <w:sz w:val="32"/>
          <w:szCs w:val="32"/>
          <w:lang w:val="en-US" w:eastAsia="zh-CN"/>
        </w:rPr>
        <w:t>2276.26</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%；上级补助收入</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%；事业收入</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%；经营收入</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%；附属单位上缴收入</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%；其他收入</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w:t>
      </w:r>
    </w:p>
    <w:p>
      <w:pPr>
        <w:pStyle w:val="12"/>
        <w:ind w:firstLine="640" w:firstLineChars="200"/>
        <w:rPr>
          <w:rFonts w:hAnsi="黑体"/>
          <w:b w:val="0"/>
          <w:bCs/>
          <w:sz w:val="32"/>
          <w:szCs w:val="32"/>
        </w:rPr>
      </w:pPr>
      <w:r>
        <w:rPr>
          <w:rFonts w:hint="eastAsia" w:hAnsi="黑体"/>
          <w:b w:val="0"/>
          <w:bCs/>
          <w:sz w:val="32"/>
          <w:szCs w:val="32"/>
        </w:rPr>
        <w:t>三、支出决算情况说明</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2021年度</w:t>
      </w:r>
      <w:r>
        <w:rPr>
          <w:rFonts w:hint="eastAsia" w:ascii="仿宋_GB2312" w:hAnsi="仿宋_GB2312" w:eastAsia="仿宋_GB2312" w:cs="仿宋_GB2312"/>
          <w:b w:val="0"/>
          <w:bCs w:val="0"/>
          <w:sz w:val="32"/>
          <w:szCs w:val="32"/>
          <w:lang w:eastAsia="zh-CN"/>
        </w:rPr>
        <w:t>本年</w:t>
      </w:r>
      <w:r>
        <w:rPr>
          <w:rFonts w:hint="eastAsia" w:ascii="仿宋_GB2312" w:hAnsi="仿宋_GB2312" w:eastAsia="仿宋_GB2312" w:cs="仿宋_GB2312"/>
          <w:b w:val="0"/>
          <w:bCs w:val="0"/>
          <w:sz w:val="32"/>
          <w:szCs w:val="32"/>
        </w:rPr>
        <w:t>支出合计</w:t>
      </w:r>
      <w:r>
        <w:rPr>
          <w:rFonts w:hint="eastAsia" w:ascii="仿宋_GB2312" w:hAnsi="仿宋_GB2312" w:eastAsia="仿宋_GB2312" w:cs="仿宋_GB2312"/>
          <w:b w:val="0"/>
          <w:bCs w:val="0"/>
          <w:sz w:val="32"/>
          <w:szCs w:val="32"/>
          <w:lang w:val="en-US" w:eastAsia="zh-CN"/>
        </w:rPr>
        <w:t>2276.26</w:t>
      </w:r>
      <w:r>
        <w:rPr>
          <w:rFonts w:hint="eastAsia" w:ascii="仿宋_GB2312" w:hAnsi="仿宋_GB2312" w:eastAsia="仿宋_GB2312" w:cs="仿宋_GB2312"/>
          <w:b w:val="0"/>
          <w:bCs w:val="0"/>
          <w:sz w:val="32"/>
          <w:szCs w:val="32"/>
        </w:rPr>
        <w:t>万元，其中：基本支出</w:t>
      </w:r>
      <w:r>
        <w:rPr>
          <w:rFonts w:hint="eastAsia" w:ascii="仿宋_GB2312" w:hAnsi="仿宋_GB2312" w:eastAsia="仿宋_GB2312" w:cs="仿宋_GB2312"/>
          <w:b w:val="0"/>
          <w:bCs w:val="0"/>
          <w:sz w:val="32"/>
          <w:szCs w:val="32"/>
          <w:lang w:val="en-US" w:eastAsia="zh-CN"/>
        </w:rPr>
        <w:t>2144.35</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94.2</w:t>
      </w:r>
      <w:r>
        <w:rPr>
          <w:rFonts w:hint="eastAsia" w:ascii="仿宋_GB2312" w:hAnsi="仿宋_GB2312" w:eastAsia="仿宋_GB2312" w:cs="仿宋_GB2312"/>
          <w:b w:val="0"/>
          <w:bCs w:val="0"/>
          <w:sz w:val="32"/>
          <w:szCs w:val="32"/>
        </w:rPr>
        <w:t>%；项目支出</w:t>
      </w:r>
      <w:r>
        <w:rPr>
          <w:rFonts w:hint="eastAsia" w:ascii="仿宋_GB2312" w:hAnsi="仿宋_GB2312" w:eastAsia="仿宋_GB2312" w:cs="仿宋_GB2312"/>
          <w:b w:val="0"/>
          <w:bCs w:val="0"/>
          <w:sz w:val="32"/>
          <w:szCs w:val="32"/>
          <w:lang w:val="en-US" w:eastAsia="zh-CN"/>
        </w:rPr>
        <w:t>131.91</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5.8</w:t>
      </w:r>
      <w:r>
        <w:rPr>
          <w:rFonts w:hint="eastAsia" w:ascii="仿宋_GB2312" w:hAnsi="仿宋_GB2312" w:eastAsia="仿宋_GB2312" w:cs="仿宋_GB2312"/>
          <w:b w:val="0"/>
          <w:bCs w:val="0"/>
          <w:sz w:val="32"/>
          <w:szCs w:val="32"/>
        </w:rPr>
        <w:t>%；上缴上级支出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%；经营支出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%；对附属单位补助支出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w:t>
      </w:r>
    </w:p>
    <w:p>
      <w:pPr>
        <w:pStyle w:val="12"/>
        <w:ind w:firstLine="640" w:firstLineChars="200"/>
        <w:rPr>
          <w:rFonts w:hAnsi="黑体"/>
          <w:b w:val="0"/>
          <w:bCs/>
          <w:sz w:val="32"/>
          <w:szCs w:val="32"/>
        </w:rPr>
      </w:pPr>
      <w:r>
        <w:rPr>
          <w:rFonts w:hint="eastAsia" w:hAnsi="黑体"/>
          <w:b w:val="0"/>
          <w:bCs/>
          <w:sz w:val="32"/>
          <w:szCs w:val="32"/>
        </w:rPr>
        <w:t>四、财政拨款收入支出决算总体情况说明</w:t>
      </w:r>
    </w:p>
    <w:p>
      <w:pPr>
        <w:pStyle w:val="12"/>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2021年度财政拨款收</w:t>
      </w:r>
      <w:r>
        <w:rPr>
          <w:rFonts w:hint="eastAsia" w:ascii="仿宋_GB2312" w:hAnsi="仿宋_GB2312" w:eastAsia="仿宋_GB2312" w:cs="仿宋_GB2312"/>
          <w:b w:val="0"/>
          <w:bCs w:val="0"/>
          <w:sz w:val="32"/>
          <w:szCs w:val="32"/>
          <w:lang w:eastAsia="zh-CN"/>
        </w:rPr>
        <w:t>入</w:t>
      </w:r>
      <w:r>
        <w:rPr>
          <w:rFonts w:hint="eastAsia" w:ascii="仿宋_GB2312" w:hAnsi="仿宋_GB2312" w:eastAsia="仿宋_GB2312" w:cs="仿宋_GB2312"/>
          <w:b w:val="0"/>
          <w:bCs w:val="0"/>
          <w:sz w:val="32"/>
          <w:szCs w:val="32"/>
        </w:rPr>
        <w:t>总计</w:t>
      </w:r>
      <w:r>
        <w:rPr>
          <w:rFonts w:hint="eastAsia" w:ascii="仿宋_GB2312" w:hAnsi="仿宋_GB2312" w:eastAsia="仿宋_GB2312" w:cs="仿宋_GB2312"/>
          <w:b w:val="0"/>
          <w:bCs w:val="0"/>
          <w:sz w:val="32"/>
          <w:szCs w:val="32"/>
          <w:lang w:val="en-US" w:eastAsia="zh-CN"/>
        </w:rPr>
        <w:t>2276.26</w:t>
      </w:r>
      <w:r>
        <w:rPr>
          <w:rFonts w:hint="eastAsia" w:ascii="仿宋_GB2312" w:hAnsi="仿宋_GB2312" w:eastAsia="仿宋_GB2312" w:cs="仿宋_GB2312"/>
          <w:b w:val="0"/>
          <w:bCs w:val="0"/>
          <w:sz w:val="32"/>
          <w:szCs w:val="32"/>
        </w:rPr>
        <w:t>万元，与上年相比，减少</w:t>
      </w:r>
      <w:r>
        <w:rPr>
          <w:rFonts w:hint="eastAsia" w:ascii="仿宋_GB2312" w:hAnsi="仿宋_GB2312" w:eastAsia="仿宋_GB2312" w:cs="仿宋_GB2312"/>
          <w:b w:val="0"/>
          <w:bCs w:val="0"/>
          <w:sz w:val="32"/>
          <w:szCs w:val="32"/>
          <w:lang w:val="en-US" w:eastAsia="zh-CN"/>
        </w:rPr>
        <w:t>450.26</w:t>
      </w:r>
      <w:r>
        <w:rPr>
          <w:rFonts w:hint="eastAsia" w:ascii="仿宋_GB2312" w:hAnsi="仿宋_GB2312" w:eastAsia="仿宋_GB2312" w:cs="仿宋_GB2312"/>
          <w:b w:val="0"/>
          <w:bCs w:val="0"/>
          <w:sz w:val="32"/>
          <w:szCs w:val="32"/>
        </w:rPr>
        <w:t>万元,减少</w:t>
      </w:r>
      <w:r>
        <w:rPr>
          <w:rFonts w:hint="eastAsia" w:ascii="仿宋_GB2312" w:hAnsi="仿宋_GB2312" w:eastAsia="仿宋_GB2312" w:cs="仿宋_GB2312"/>
          <w:b w:val="0"/>
          <w:bCs w:val="0"/>
          <w:sz w:val="32"/>
          <w:szCs w:val="32"/>
          <w:lang w:val="en-US" w:eastAsia="zh-CN"/>
        </w:rPr>
        <w:t>16.51</w:t>
      </w:r>
      <w:r>
        <w:rPr>
          <w:rFonts w:hint="eastAsia" w:ascii="仿宋_GB2312" w:hAnsi="仿宋_GB2312" w:eastAsia="仿宋_GB2312" w:cs="仿宋_GB2312"/>
          <w:b w:val="0"/>
          <w:bCs w:val="0"/>
          <w:sz w:val="32"/>
          <w:szCs w:val="32"/>
        </w:rPr>
        <w:t>%，主要是因为</w:t>
      </w:r>
      <w:r>
        <w:rPr>
          <w:rFonts w:hint="eastAsia" w:ascii="仿宋_GB2312" w:hAnsi="仿宋_GB2312" w:eastAsia="仿宋_GB2312" w:cs="仿宋_GB2312"/>
          <w:sz w:val="32"/>
          <w:szCs w:val="32"/>
          <w:lang w:val="zh-CN" w:eastAsia="zh-CN"/>
        </w:rPr>
        <w:t>一般商品和服务支出收入、专项支出收入</w:t>
      </w:r>
      <w:r>
        <w:rPr>
          <w:rFonts w:hint="eastAsia" w:ascii="仿宋_GB2312" w:hAnsi="仿宋_GB2312" w:eastAsia="仿宋_GB2312" w:cs="仿宋_GB2312"/>
          <w:sz w:val="32"/>
          <w:szCs w:val="32"/>
          <w:lang w:eastAsia="zh-CN"/>
        </w:rPr>
        <w:t>较上年度大幅减少</w:t>
      </w:r>
      <w:r>
        <w:rPr>
          <w:rFonts w:hint="eastAsia" w:ascii="仿宋_GB2312" w:hAnsi="仿宋_GB2312" w:eastAsia="仿宋_GB2312" w:cs="仿宋_GB2312"/>
          <w:b w:val="0"/>
          <w:bCs w:val="0"/>
          <w:sz w:val="32"/>
          <w:szCs w:val="32"/>
          <w:lang w:eastAsia="zh-CN"/>
        </w:rPr>
        <w:t>。</w:t>
      </w:r>
    </w:p>
    <w:p>
      <w:pPr>
        <w:pStyle w:val="12"/>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2021年度财政拨款</w:t>
      </w:r>
      <w:r>
        <w:rPr>
          <w:rFonts w:hint="eastAsia" w:ascii="仿宋_GB2312" w:hAnsi="仿宋_GB2312" w:eastAsia="仿宋_GB2312" w:cs="仿宋_GB2312"/>
          <w:b w:val="0"/>
          <w:bCs w:val="0"/>
          <w:sz w:val="32"/>
          <w:szCs w:val="32"/>
          <w:lang w:eastAsia="zh-CN"/>
        </w:rPr>
        <w:t>支出</w:t>
      </w:r>
      <w:r>
        <w:rPr>
          <w:rFonts w:hint="eastAsia" w:ascii="仿宋_GB2312" w:hAnsi="仿宋_GB2312" w:eastAsia="仿宋_GB2312" w:cs="仿宋_GB2312"/>
          <w:b w:val="0"/>
          <w:bCs w:val="0"/>
          <w:sz w:val="32"/>
          <w:szCs w:val="32"/>
        </w:rPr>
        <w:t>总计</w:t>
      </w:r>
      <w:r>
        <w:rPr>
          <w:rFonts w:hint="eastAsia" w:ascii="仿宋_GB2312" w:hAnsi="仿宋_GB2312" w:eastAsia="仿宋_GB2312" w:cs="仿宋_GB2312"/>
          <w:b w:val="0"/>
          <w:bCs w:val="0"/>
          <w:sz w:val="32"/>
          <w:szCs w:val="32"/>
          <w:lang w:val="en-US" w:eastAsia="zh-CN"/>
        </w:rPr>
        <w:t>2276.26</w:t>
      </w:r>
      <w:r>
        <w:rPr>
          <w:rFonts w:hint="eastAsia" w:ascii="仿宋_GB2312" w:hAnsi="仿宋_GB2312" w:eastAsia="仿宋_GB2312" w:cs="仿宋_GB2312"/>
          <w:b w:val="0"/>
          <w:bCs w:val="0"/>
          <w:sz w:val="32"/>
          <w:szCs w:val="32"/>
        </w:rPr>
        <w:t>万元，与上年相比，减少</w:t>
      </w:r>
      <w:r>
        <w:rPr>
          <w:rFonts w:hint="eastAsia" w:ascii="仿宋_GB2312" w:hAnsi="仿宋_GB2312" w:eastAsia="仿宋_GB2312" w:cs="仿宋_GB2312"/>
          <w:b w:val="0"/>
          <w:bCs w:val="0"/>
          <w:sz w:val="32"/>
          <w:szCs w:val="32"/>
          <w:lang w:val="en-US" w:eastAsia="zh-CN"/>
        </w:rPr>
        <w:t>450.26</w:t>
      </w:r>
      <w:r>
        <w:rPr>
          <w:rFonts w:hint="eastAsia" w:ascii="仿宋_GB2312" w:hAnsi="仿宋_GB2312" w:eastAsia="仿宋_GB2312" w:cs="仿宋_GB2312"/>
          <w:b w:val="0"/>
          <w:bCs w:val="0"/>
          <w:sz w:val="32"/>
          <w:szCs w:val="32"/>
        </w:rPr>
        <w:t>万元,减少</w:t>
      </w:r>
      <w:r>
        <w:rPr>
          <w:rFonts w:hint="eastAsia" w:ascii="仿宋_GB2312" w:hAnsi="仿宋_GB2312" w:eastAsia="仿宋_GB2312" w:cs="仿宋_GB2312"/>
          <w:b w:val="0"/>
          <w:bCs w:val="0"/>
          <w:sz w:val="32"/>
          <w:szCs w:val="32"/>
          <w:lang w:val="en-US" w:eastAsia="zh-CN"/>
        </w:rPr>
        <w:t>16.51</w:t>
      </w:r>
      <w:r>
        <w:rPr>
          <w:rFonts w:hint="eastAsia" w:ascii="仿宋_GB2312" w:hAnsi="仿宋_GB2312" w:eastAsia="仿宋_GB2312" w:cs="仿宋_GB2312"/>
          <w:b w:val="0"/>
          <w:bCs w:val="0"/>
          <w:sz w:val="32"/>
          <w:szCs w:val="32"/>
        </w:rPr>
        <w:t>%，主要是因为</w:t>
      </w:r>
      <w:r>
        <w:rPr>
          <w:rFonts w:hint="eastAsia" w:ascii="仿宋_GB2312" w:hAnsi="仿宋_GB2312" w:eastAsia="仿宋_GB2312" w:cs="仿宋_GB2312"/>
          <w:sz w:val="32"/>
          <w:szCs w:val="32"/>
          <w:lang w:val="zh-CN" w:eastAsia="zh-CN"/>
        </w:rPr>
        <w:t>一般商品和服务支出、专项支出</w:t>
      </w:r>
      <w:r>
        <w:rPr>
          <w:rFonts w:hint="eastAsia" w:ascii="仿宋_GB2312" w:hAnsi="仿宋_GB2312" w:eastAsia="仿宋_GB2312" w:cs="仿宋_GB2312"/>
          <w:sz w:val="32"/>
          <w:szCs w:val="32"/>
          <w:lang w:eastAsia="zh-CN"/>
        </w:rPr>
        <w:t>较上年度大幅减少</w:t>
      </w:r>
      <w:r>
        <w:rPr>
          <w:rFonts w:hint="eastAsia" w:ascii="仿宋_GB2312" w:hAnsi="仿宋_GB2312" w:eastAsia="仿宋_GB2312" w:cs="仿宋_GB2312"/>
          <w:b w:val="0"/>
          <w:bCs w:val="0"/>
          <w:sz w:val="32"/>
          <w:szCs w:val="32"/>
          <w:lang w:eastAsia="zh-CN"/>
        </w:rPr>
        <w:t>。</w:t>
      </w:r>
    </w:p>
    <w:p>
      <w:pPr>
        <w:pStyle w:val="12"/>
        <w:numPr>
          <w:ilvl w:val="0"/>
          <w:numId w:val="0"/>
        </w:numPr>
        <w:ind w:firstLine="640" w:firstLineChars="200"/>
        <w:rPr>
          <w:rFonts w:hint="eastAsia" w:hAnsi="黑体"/>
          <w:b w:val="0"/>
          <w:bCs/>
          <w:sz w:val="32"/>
          <w:szCs w:val="32"/>
        </w:rPr>
      </w:pPr>
      <w:r>
        <w:rPr>
          <w:rFonts w:hint="eastAsia" w:hAnsi="黑体"/>
          <w:b w:val="0"/>
          <w:bCs/>
          <w:sz w:val="32"/>
          <w:szCs w:val="32"/>
          <w:lang w:val="en-US" w:eastAsia="zh-CN"/>
        </w:rPr>
        <w:t>五、</w:t>
      </w:r>
      <w:r>
        <w:rPr>
          <w:rFonts w:hint="eastAsia" w:hAnsi="黑体"/>
          <w:b w:val="0"/>
          <w:bCs/>
          <w:sz w:val="32"/>
          <w:szCs w:val="32"/>
        </w:rPr>
        <w:t>一般公共预算财政拨款支出决算情况说明</w:t>
      </w:r>
    </w:p>
    <w:p>
      <w:pPr>
        <w:pStyle w:val="12"/>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bCs w:val="0"/>
          <w:sz w:val="32"/>
          <w:szCs w:val="32"/>
        </w:rPr>
        <w:t>（一）财政拨款支出决算总体情况</w:t>
      </w:r>
    </w:p>
    <w:p>
      <w:pPr>
        <w:pStyle w:val="12"/>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2021年度财政拨款支出</w:t>
      </w:r>
      <w:r>
        <w:rPr>
          <w:rFonts w:hint="eastAsia" w:ascii="仿宋_GB2312" w:hAnsi="仿宋_GB2312" w:eastAsia="仿宋_GB2312" w:cs="仿宋_GB2312"/>
          <w:b w:val="0"/>
          <w:bCs w:val="0"/>
          <w:sz w:val="32"/>
          <w:szCs w:val="32"/>
          <w:lang w:val="en-US" w:eastAsia="zh-CN"/>
        </w:rPr>
        <w:t>2276.26</w:t>
      </w:r>
      <w:r>
        <w:rPr>
          <w:rFonts w:hint="eastAsia" w:ascii="仿宋_GB2312" w:hAnsi="仿宋_GB2312" w:eastAsia="仿宋_GB2312" w:cs="仿宋_GB2312"/>
          <w:b w:val="0"/>
          <w:bCs w:val="0"/>
          <w:sz w:val="32"/>
          <w:szCs w:val="32"/>
        </w:rPr>
        <w:t>万元，占本年支出合计的</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%，与上年相比，财政拨款支出减少</w:t>
      </w:r>
      <w:r>
        <w:rPr>
          <w:rFonts w:hint="eastAsia" w:ascii="仿宋_GB2312" w:hAnsi="仿宋_GB2312" w:eastAsia="仿宋_GB2312" w:cs="仿宋_GB2312"/>
          <w:b w:val="0"/>
          <w:bCs w:val="0"/>
          <w:sz w:val="32"/>
          <w:szCs w:val="32"/>
          <w:lang w:val="en-US" w:eastAsia="zh-CN"/>
        </w:rPr>
        <w:t>450.26</w:t>
      </w:r>
      <w:r>
        <w:rPr>
          <w:rFonts w:hint="eastAsia" w:ascii="仿宋_GB2312" w:hAnsi="仿宋_GB2312" w:eastAsia="仿宋_GB2312" w:cs="仿宋_GB2312"/>
          <w:b w:val="0"/>
          <w:bCs w:val="0"/>
          <w:sz w:val="32"/>
          <w:szCs w:val="32"/>
        </w:rPr>
        <w:t>万元，减少</w:t>
      </w:r>
      <w:r>
        <w:rPr>
          <w:rFonts w:hint="eastAsia" w:ascii="仿宋_GB2312" w:hAnsi="仿宋_GB2312" w:eastAsia="仿宋_GB2312" w:cs="仿宋_GB2312"/>
          <w:b w:val="0"/>
          <w:bCs w:val="0"/>
          <w:sz w:val="32"/>
          <w:szCs w:val="32"/>
          <w:lang w:val="en-US" w:eastAsia="zh-CN"/>
        </w:rPr>
        <w:t>16.51</w:t>
      </w:r>
      <w:r>
        <w:rPr>
          <w:rFonts w:hint="eastAsia" w:ascii="仿宋_GB2312" w:hAnsi="仿宋_GB2312" w:eastAsia="仿宋_GB2312" w:cs="仿宋_GB2312"/>
          <w:b w:val="0"/>
          <w:bCs w:val="0"/>
          <w:sz w:val="32"/>
          <w:szCs w:val="32"/>
        </w:rPr>
        <w:t>%，主要是因为</w:t>
      </w:r>
      <w:r>
        <w:rPr>
          <w:rFonts w:hint="eastAsia" w:ascii="仿宋_GB2312" w:hAnsi="仿宋_GB2312" w:eastAsia="仿宋_GB2312" w:cs="仿宋_GB2312"/>
          <w:sz w:val="32"/>
          <w:szCs w:val="32"/>
          <w:lang w:val="zh-CN" w:eastAsia="zh-CN"/>
        </w:rPr>
        <w:t>一般商品和服务支出收入、专项支出收入</w:t>
      </w:r>
      <w:r>
        <w:rPr>
          <w:rFonts w:hint="eastAsia" w:ascii="仿宋_GB2312" w:hAnsi="仿宋_GB2312" w:eastAsia="仿宋_GB2312" w:cs="仿宋_GB2312"/>
          <w:sz w:val="32"/>
          <w:szCs w:val="32"/>
          <w:lang w:eastAsia="zh-CN"/>
        </w:rPr>
        <w:t>较上年度大幅减少</w:t>
      </w:r>
      <w:r>
        <w:rPr>
          <w:rFonts w:hint="eastAsia" w:ascii="仿宋_GB2312" w:hAnsi="仿宋_GB2312" w:eastAsia="仿宋_GB2312" w:cs="仿宋_GB2312"/>
          <w:b w:val="0"/>
          <w:bCs w:val="0"/>
          <w:sz w:val="32"/>
          <w:szCs w:val="32"/>
          <w:lang w:eastAsia="zh-CN"/>
        </w:rPr>
        <w:t>。</w:t>
      </w:r>
    </w:p>
    <w:p>
      <w:pPr>
        <w:pStyle w:val="12"/>
        <w:ind w:firstLine="640"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（二）财政拨款支出决算结构情况</w:t>
      </w:r>
    </w:p>
    <w:p>
      <w:pPr>
        <w:pStyle w:val="1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2021年度财政拨款支出</w:t>
      </w:r>
      <w:r>
        <w:rPr>
          <w:rFonts w:hint="eastAsia" w:ascii="仿宋_GB2312" w:hAnsi="仿宋_GB2312" w:eastAsia="仿宋_GB2312" w:cs="仿宋_GB2312"/>
          <w:b w:val="0"/>
          <w:bCs w:val="0"/>
          <w:sz w:val="32"/>
          <w:szCs w:val="32"/>
          <w:lang w:val="en-US" w:eastAsia="zh-CN"/>
        </w:rPr>
        <w:t>2276.26</w:t>
      </w:r>
      <w:r>
        <w:rPr>
          <w:rFonts w:hint="eastAsia" w:ascii="仿宋_GB2312" w:hAnsi="仿宋_GB2312" w:eastAsia="仿宋_GB2312" w:cs="仿宋_GB2312"/>
          <w:b w:val="0"/>
          <w:bCs w:val="0"/>
          <w:sz w:val="32"/>
          <w:szCs w:val="32"/>
        </w:rPr>
        <w:t>万元，主要用于以下方面：一般公共服务支出</w:t>
      </w:r>
      <w:r>
        <w:rPr>
          <w:rFonts w:hint="eastAsia" w:ascii="仿宋_GB2312" w:hAnsi="仿宋_GB2312" w:eastAsia="仿宋_GB2312" w:cs="仿宋_GB2312"/>
          <w:b w:val="0"/>
          <w:bCs w:val="0"/>
          <w:sz w:val="32"/>
          <w:szCs w:val="32"/>
          <w:lang w:val="en-US" w:eastAsia="zh-CN"/>
        </w:rPr>
        <w:t>28.02</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1.23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科学技术支出</w:t>
      </w:r>
      <w:r>
        <w:rPr>
          <w:rFonts w:hint="eastAsia" w:ascii="仿宋_GB2312" w:hAnsi="仿宋_GB2312" w:eastAsia="仿宋_GB2312" w:cs="仿宋_GB2312"/>
          <w:b w:val="0"/>
          <w:bCs w:val="0"/>
          <w:sz w:val="32"/>
          <w:szCs w:val="32"/>
          <w:lang w:val="en-US" w:eastAsia="zh-CN"/>
        </w:rPr>
        <w:t>78万元</w:t>
      </w:r>
      <w:r>
        <w:rPr>
          <w:rFonts w:hint="eastAsia" w:ascii="仿宋_GB2312" w:hAnsi="仿宋_GB2312" w:eastAsia="仿宋_GB2312" w:cs="仿宋_GB2312"/>
          <w:b w:val="0"/>
          <w:bCs w:val="0"/>
          <w:sz w:val="32"/>
          <w:szCs w:val="32"/>
        </w:rPr>
        <w:t>，占</w:t>
      </w:r>
      <w:r>
        <w:rPr>
          <w:rFonts w:hint="eastAsia" w:ascii="仿宋_GB2312" w:hAnsi="仿宋_GB2312" w:eastAsia="仿宋_GB2312" w:cs="仿宋_GB2312"/>
          <w:b w:val="0"/>
          <w:bCs w:val="0"/>
          <w:sz w:val="32"/>
          <w:szCs w:val="32"/>
          <w:lang w:val="en-US" w:eastAsia="zh-CN"/>
        </w:rPr>
        <w:t>3.43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；社会保障和就业支出2096.17万元</w:t>
      </w:r>
      <w:r>
        <w:rPr>
          <w:rFonts w:hint="eastAsia" w:ascii="仿宋_GB2312" w:hAnsi="仿宋_GB2312" w:eastAsia="仿宋_GB2312" w:cs="仿宋_GB2312"/>
          <w:b w:val="0"/>
          <w:bCs w:val="0"/>
          <w:sz w:val="32"/>
          <w:szCs w:val="32"/>
        </w:rPr>
        <w:t>，占</w:t>
      </w:r>
      <w:r>
        <w:rPr>
          <w:rFonts w:hint="eastAsia" w:ascii="仿宋_GB2312" w:hAnsi="仿宋_GB2312" w:eastAsia="仿宋_GB2312" w:cs="仿宋_GB2312"/>
          <w:b w:val="0"/>
          <w:bCs w:val="0"/>
          <w:sz w:val="32"/>
          <w:szCs w:val="32"/>
          <w:lang w:val="en-US" w:eastAsia="zh-CN"/>
        </w:rPr>
        <w:t>92.09</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；卫生健康支出74.06万元</w:t>
      </w:r>
      <w:r>
        <w:rPr>
          <w:rFonts w:hint="eastAsia" w:ascii="仿宋_GB2312" w:hAnsi="仿宋_GB2312" w:eastAsia="仿宋_GB2312" w:cs="仿宋_GB2312"/>
          <w:b w:val="0"/>
          <w:bCs w:val="0"/>
          <w:sz w:val="32"/>
          <w:szCs w:val="32"/>
        </w:rPr>
        <w:t>，占</w:t>
      </w:r>
      <w:r>
        <w:rPr>
          <w:rFonts w:hint="eastAsia" w:ascii="仿宋_GB2312" w:hAnsi="仿宋_GB2312" w:eastAsia="仿宋_GB2312" w:cs="仿宋_GB2312"/>
          <w:b w:val="0"/>
          <w:bCs w:val="0"/>
          <w:sz w:val="32"/>
          <w:szCs w:val="32"/>
          <w:lang w:val="en-US" w:eastAsia="zh-CN"/>
        </w:rPr>
        <w:t>3.25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w:t>
      </w:r>
    </w:p>
    <w:p>
      <w:pPr>
        <w:pStyle w:val="12"/>
        <w:ind w:firstLine="640"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（三）财政拨款支出决算具体情况</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2021年度财政拨款支出年初预算数为</w:t>
      </w:r>
      <w:r>
        <w:rPr>
          <w:rFonts w:hint="eastAsia" w:ascii="仿宋_GB2312" w:hAnsi="仿宋_GB2312" w:eastAsia="仿宋_GB2312" w:cs="仿宋_GB2312"/>
          <w:b w:val="0"/>
          <w:bCs w:val="0"/>
          <w:sz w:val="32"/>
          <w:szCs w:val="32"/>
          <w:lang w:val="en-US" w:eastAsia="zh-CN"/>
        </w:rPr>
        <w:t>1594.95</w:t>
      </w:r>
      <w:r>
        <w:rPr>
          <w:rFonts w:hint="eastAsia" w:ascii="仿宋_GB2312" w:hAnsi="仿宋_GB2312" w:eastAsia="仿宋_GB2312" w:cs="仿宋_GB2312"/>
          <w:b w:val="0"/>
          <w:bCs w:val="0"/>
          <w:sz w:val="32"/>
          <w:szCs w:val="32"/>
        </w:rPr>
        <w:t>万元，支出决算数为</w:t>
      </w:r>
      <w:r>
        <w:rPr>
          <w:rFonts w:hint="eastAsia" w:ascii="仿宋_GB2312" w:hAnsi="仿宋_GB2312" w:eastAsia="仿宋_GB2312" w:cs="仿宋_GB2312"/>
          <w:b w:val="0"/>
          <w:bCs w:val="0"/>
          <w:sz w:val="32"/>
          <w:szCs w:val="32"/>
          <w:lang w:val="en-US" w:eastAsia="zh-CN"/>
        </w:rPr>
        <w:t>2276.26</w:t>
      </w:r>
      <w:r>
        <w:rPr>
          <w:rFonts w:hint="eastAsia" w:ascii="仿宋_GB2312" w:hAnsi="仿宋_GB2312" w:eastAsia="仿宋_GB2312" w:cs="仿宋_GB2312"/>
          <w:b w:val="0"/>
          <w:bCs w:val="0"/>
          <w:sz w:val="32"/>
          <w:szCs w:val="32"/>
        </w:rPr>
        <w:t>万元，完成年初预算的</w:t>
      </w:r>
      <w:r>
        <w:rPr>
          <w:rFonts w:hint="eastAsia" w:ascii="仿宋_GB2312" w:hAnsi="仿宋_GB2312" w:eastAsia="仿宋_GB2312" w:cs="仿宋_GB2312"/>
          <w:b w:val="0"/>
          <w:bCs w:val="0"/>
          <w:sz w:val="32"/>
          <w:szCs w:val="32"/>
          <w:lang w:val="en-US" w:eastAsia="zh-CN"/>
        </w:rPr>
        <w:t>142.72</w:t>
      </w:r>
      <w:r>
        <w:rPr>
          <w:rFonts w:hint="eastAsia" w:ascii="仿宋_GB2312" w:hAnsi="仿宋_GB2312" w:eastAsia="仿宋_GB2312" w:cs="仿宋_GB2312"/>
          <w:b w:val="0"/>
          <w:bCs w:val="0"/>
          <w:sz w:val="32"/>
          <w:szCs w:val="32"/>
        </w:rPr>
        <w:t>%，其中：</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1、一般公共服务支出（类）</w:t>
      </w:r>
      <w:r>
        <w:rPr>
          <w:rFonts w:hint="eastAsia" w:ascii="仿宋_GB2312" w:hAnsi="仿宋_GB2312" w:eastAsia="仿宋_GB2312" w:cs="仿宋_GB2312"/>
          <w:b w:val="0"/>
          <w:bCs w:val="0"/>
          <w:sz w:val="32"/>
          <w:szCs w:val="32"/>
          <w:lang w:eastAsia="zh-CN"/>
        </w:rPr>
        <w:t>组织事务</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z w:val="32"/>
          <w:szCs w:val="32"/>
          <w:lang w:eastAsia="zh-CN"/>
        </w:rPr>
        <w:t>其他组织事务支出</w:t>
      </w:r>
      <w:r>
        <w:rPr>
          <w:rFonts w:hint="eastAsia" w:ascii="仿宋_GB2312" w:hAnsi="仿宋_GB2312" w:eastAsia="仿宋_GB2312" w:cs="仿宋_GB2312"/>
          <w:b w:val="0"/>
          <w:bCs w:val="0"/>
          <w:sz w:val="32"/>
          <w:szCs w:val="32"/>
        </w:rPr>
        <w:t>（项）。</w:t>
      </w:r>
    </w:p>
    <w:p>
      <w:pPr>
        <w:pStyle w:val="12"/>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28.02</w:t>
      </w:r>
      <w:r>
        <w:rPr>
          <w:rFonts w:hint="eastAsia" w:ascii="仿宋_GB2312" w:hAnsi="仿宋_GB2312" w:eastAsia="仿宋_GB2312" w:cs="仿宋_GB2312"/>
          <w:b w:val="0"/>
          <w:bCs w:val="0"/>
          <w:sz w:val="32"/>
          <w:szCs w:val="32"/>
        </w:rPr>
        <w:t>万元，决算数大于年初预算数的主要原因是：</w:t>
      </w:r>
      <w:r>
        <w:rPr>
          <w:rFonts w:hint="eastAsia" w:ascii="仿宋_GB2312" w:hAnsi="仿宋_GB2312" w:eastAsia="仿宋_GB2312" w:cs="仿宋_GB2312"/>
          <w:b w:val="0"/>
          <w:bCs w:val="0"/>
          <w:sz w:val="32"/>
          <w:szCs w:val="32"/>
          <w:lang w:val="en-US" w:eastAsia="zh-CN"/>
        </w:rPr>
        <w:t>年初预算未安排，为年中追加安排的</w:t>
      </w:r>
      <w:r>
        <w:rPr>
          <w:rFonts w:hint="eastAsia" w:ascii="仿宋_GB2312" w:hAnsi="仿宋_GB2312" w:eastAsia="仿宋_GB2312" w:cs="仿宋_GB2312"/>
          <w:b w:val="0"/>
          <w:bCs w:val="0"/>
          <w:sz w:val="32"/>
          <w:szCs w:val="32"/>
          <w:lang w:eastAsia="zh-CN"/>
        </w:rPr>
        <w:t>2020年高校毕业生“三支一扶”计划补助资金、人事考试工作目标奖。</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2、一般公共服务支出（类）</w:t>
      </w:r>
      <w:r>
        <w:rPr>
          <w:rFonts w:hint="eastAsia" w:ascii="仿宋_GB2312" w:hAnsi="仿宋_GB2312" w:eastAsia="仿宋_GB2312" w:cs="仿宋_GB2312"/>
          <w:b w:val="0"/>
          <w:bCs w:val="0"/>
          <w:sz w:val="32"/>
          <w:szCs w:val="32"/>
          <w:lang w:eastAsia="zh-CN"/>
        </w:rPr>
        <w:t>科学技术支出</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z w:val="32"/>
          <w:szCs w:val="32"/>
          <w:lang w:eastAsia="zh-CN"/>
        </w:rPr>
        <w:t>其他科学技术支出</w:t>
      </w:r>
      <w:r>
        <w:rPr>
          <w:rFonts w:hint="eastAsia" w:ascii="仿宋_GB2312" w:hAnsi="仿宋_GB2312" w:eastAsia="仿宋_GB2312" w:cs="仿宋_GB2312"/>
          <w:b w:val="0"/>
          <w:bCs w:val="0"/>
          <w:sz w:val="32"/>
          <w:szCs w:val="32"/>
        </w:rPr>
        <w:t>（项）。</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78</w:t>
      </w:r>
      <w:r>
        <w:rPr>
          <w:rFonts w:hint="eastAsia" w:ascii="仿宋_GB2312" w:hAnsi="仿宋_GB2312" w:eastAsia="仿宋_GB2312" w:cs="仿宋_GB2312"/>
          <w:b w:val="0"/>
          <w:bCs w:val="0"/>
          <w:sz w:val="32"/>
          <w:szCs w:val="32"/>
        </w:rPr>
        <w:t>万元，决算数大于年初预算数的主要原因是：</w:t>
      </w:r>
      <w:r>
        <w:rPr>
          <w:rFonts w:hint="eastAsia" w:ascii="仿宋_GB2312" w:hAnsi="仿宋_GB2312" w:eastAsia="仿宋_GB2312" w:cs="仿宋_GB2312"/>
          <w:b w:val="0"/>
          <w:bCs w:val="0"/>
          <w:sz w:val="32"/>
          <w:szCs w:val="32"/>
          <w:lang w:val="en-US" w:eastAsia="zh-CN"/>
        </w:rPr>
        <w:t>年初预算未安排，为年中追加安排的2020年度引进100个科技创新人才奖补资金、2020年度引进科技创新人才第一期市州配套奖补资金。</w:t>
      </w:r>
    </w:p>
    <w:p>
      <w:pPr>
        <w:pStyle w:val="12"/>
        <w:numPr>
          <w:ilvl w:val="0"/>
          <w:numId w:val="1"/>
        </w:numPr>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社会保障和就业支出（类）人力资源和社会保障管理事务（款）行政运行（项）。</w:t>
      </w:r>
    </w:p>
    <w:p>
      <w:pPr>
        <w:pStyle w:val="12"/>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1279.55</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1469.81</w:t>
      </w:r>
      <w:r>
        <w:rPr>
          <w:rFonts w:hint="eastAsia" w:ascii="仿宋_GB2312" w:hAnsi="仿宋_GB2312" w:eastAsia="仿宋_GB2312" w:cs="仿宋_GB2312"/>
          <w:b w:val="0"/>
          <w:bCs w:val="0"/>
          <w:sz w:val="32"/>
          <w:szCs w:val="32"/>
        </w:rPr>
        <w:t>万元，完成年初预算的</w:t>
      </w:r>
      <w:r>
        <w:rPr>
          <w:rFonts w:hint="eastAsia" w:ascii="仿宋_GB2312" w:hAnsi="仿宋_GB2312" w:eastAsia="仿宋_GB2312" w:cs="仿宋_GB2312"/>
          <w:b w:val="0"/>
          <w:bCs w:val="0"/>
          <w:sz w:val="32"/>
          <w:szCs w:val="32"/>
          <w:lang w:val="en-US" w:eastAsia="zh-CN"/>
        </w:rPr>
        <w:t>114.87</w:t>
      </w:r>
      <w:r>
        <w:rPr>
          <w:rFonts w:hint="eastAsia" w:ascii="仿宋_GB2312" w:hAnsi="仿宋_GB2312" w:eastAsia="仿宋_GB2312" w:cs="仿宋_GB2312"/>
          <w:b w:val="0"/>
          <w:bCs w:val="0"/>
          <w:sz w:val="32"/>
          <w:szCs w:val="32"/>
        </w:rPr>
        <w:t>%，决算数大于年初预算数的主要原因是：</w:t>
      </w:r>
      <w:r>
        <w:rPr>
          <w:rFonts w:hint="eastAsia" w:ascii="仿宋_GB2312" w:hAnsi="仿宋_GB2312" w:eastAsia="仿宋_GB2312" w:cs="仿宋_GB2312"/>
          <w:b w:val="0"/>
          <w:bCs w:val="0"/>
          <w:sz w:val="32"/>
          <w:szCs w:val="32"/>
          <w:lang w:val="zh-CN" w:eastAsia="zh-CN"/>
        </w:rPr>
        <w:t>年中追加安排增人增资、国务院特殊津贴、人事考试面试经费、永州享受政府津贴专家和永州工匠表彰奖、</w:t>
      </w:r>
      <w:r>
        <w:rPr>
          <w:rFonts w:hint="eastAsia" w:ascii="仿宋_GB2312" w:hAnsi="仿宋_GB2312" w:eastAsia="仿宋_GB2312" w:cs="仿宋_GB2312"/>
          <w:b w:val="0"/>
          <w:bCs w:val="0"/>
          <w:sz w:val="32"/>
          <w:szCs w:val="32"/>
          <w:lang w:val="en-US" w:eastAsia="zh-CN"/>
        </w:rPr>
        <w:t>2020年非税超收资金等资金。</w:t>
      </w:r>
    </w:p>
    <w:p>
      <w:pPr>
        <w:pStyle w:val="12"/>
        <w:numPr>
          <w:ilvl w:val="0"/>
          <w:numId w:val="1"/>
        </w:numPr>
        <w:ind w:left="0" w:leftChars="0"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社会保障和就业支出（类）人力资源和社会保障管理事务（款）综合业务管理（项）。</w:t>
      </w:r>
    </w:p>
    <w:p>
      <w:pPr>
        <w:pStyle w:val="12"/>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万元，完成年初预算的</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，决算数等于年初预算数。</w:t>
      </w:r>
    </w:p>
    <w:p>
      <w:pPr>
        <w:pStyle w:val="12"/>
        <w:numPr>
          <w:ilvl w:val="0"/>
          <w:numId w:val="1"/>
        </w:numPr>
        <w:ind w:left="0" w:leftChars="0"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社会保障和就业支出（类）人力资源和社会保障管理事务（款）信息化建设（项）。</w:t>
      </w:r>
    </w:p>
    <w:p>
      <w:pPr>
        <w:pStyle w:val="12"/>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142.4</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131.91</w:t>
      </w:r>
      <w:r>
        <w:rPr>
          <w:rFonts w:hint="eastAsia" w:ascii="仿宋_GB2312" w:hAnsi="仿宋_GB2312" w:eastAsia="仿宋_GB2312" w:cs="仿宋_GB2312"/>
          <w:b w:val="0"/>
          <w:bCs w:val="0"/>
          <w:sz w:val="32"/>
          <w:szCs w:val="32"/>
        </w:rPr>
        <w:t>万元，完成年初预算的</w:t>
      </w:r>
      <w:r>
        <w:rPr>
          <w:rFonts w:hint="eastAsia" w:ascii="仿宋_GB2312" w:hAnsi="仿宋_GB2312" w:eastAsia="仿宋_GB2312" w:cs="仿宋_GB2312"/>
          <w:b w:val="0"/>
          <w:bCs w:val="0"/>
          <w:sz w:val="32"/>
          <w:szCs w:val="32"/>
          <w:lang w:val="en-US" w:eastAsia="zh-CN"/>
        </w:rPr>
        <w:t>92.63</w:t>
      </w:r>
      <w:r>
        <w:rPr>
          <w:rFonts w:hint="eastAsia" w:ascii="仿宋_GB2312" w:hAnsi="仿宋_GB2312" w:eastAsia="仿宋_GB2312" w:cs="仿宋_GB2312"/>
          <w:b w:val="0"/>
          <w:bCs w:val="0"/>
          <w:sz w:val="32"/>
          <w:szCs w:val="32"/>
        </w:rPr>
        <w:t>%，决算数小于年初预算数的主要原因是：</w:t>
      </w:r>
      <w:r>
        <w:rPr>
          <w:rFonts w:hint="eastAsia" w:ascii="仿宋_GB2312" w:hAnsi="仿宋_GB2312" w:eastAsia="仿宋_GB2312" w:cs="仿宋_GB2312"/>
          <w:b w:val="0"/>
          <w:bCs w:val="0"/>
          <w:sz w:val="32"/>
          <w:szCs w:val="32"/>
          <w:lang w:eastAsia="zh-CN"/>
        </w:rPr>
        <w:t>信息中心部分合同款未达到支付条件，结转下年支付。</w:t>
      </w:r>
    </w:p>
    <w:p>
      <w:pPr>
        <w:pStyle w:val="12"/>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zh-CN" w:eastAsia="zh-CN"/>
        </w:rPr>
        <w:t>社会保障和就业支出（类）人力资源和社会保障管理事务（款）其他人力资源和社会保障管理事务支出（项）。</w:t>
      </w:r>
    </w:p>
    <w:p>
      <w:pPr>
        <w:pStyle w:val="12"/>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157</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150.43</w:t>
      </w:r>
      <w:r>
        <w:rPr>
          <w:rFonts w:hint="eastAsia" w:ascii="仿宋_GB2312" w:hAnsi="仿宋_GB2312" w:eastAsia="仿宋_GB2312" w:cs="仿宋_GB2312"/>
          <w:b w:val="0"/>
          <w:bCs w:val="0"/>
          <w:sz w:val="32"/>
          <w:szCs w:val="32"/>
        </w:rPr>
        <w:t>万元，完成年初预算的</w:t>
      </w:r>
      <w:r>
        <w:rPr>
          <w:rFonts w:hint="eastAsia" w:ascii="仿宋_GB2312" w:hAnsi="仿宋_GB2312" w:eastAsia="仿宋_GB2312" w:cs="仿宋_GB2312"/>
          <w:b w:val="0"/>
          <w:bCs w:val="0"/>
          <w:sz w:val="32"/>
          <w:szCs w:val="32"/>
          <w:lang w:val="en-US" w:eastAsia="zh-CN"/>
        </w:rPr>
        <w:t>95.82</w:t>
      </w:r>
      <w:r>
        <w:rPr>
          <w:rFonts w:hint="eastAsia" w:ascii="仿宋_GB2312" w:hAnsi="仿宋_GB2312" w:eastAsia="仿宋_GB2312" w:cs="仿宋_GB2312"/>
          <w:b w:val="0"/>
          <w:bCs w:val="0"/>
          <w:sz w:val="32"/>
          <w:szCs w:val="32"/>
        </w:rPr>
        <w:t>%，决算数小于年初预算数的主要原因是：</w:t>
      </w:r>
      <w:r>
        <w:rPr>
          <w:rFonts w:hint="eastAsia" w:ascii="仿宋_GB2312" w:hAnsi="仿宋_GB2312" w:eastAsia="仿宋_GB2312" w:cs="仿宋_GB2312"/>
          <w:b w:val="0"/>
          <w:bCs w:val="0"/>
          <w:sz w:val="32"/>
          <w:szCs w:val="32"/>
          <w:lang w:eastAsia="zh-CN"/>
        </w:rPr>
        <w:t>年中非税预算收入调整。</w:t>
      </w:r>
    </w:p>
    <w:p>
      <w:pPr>
        <w:pStyle w:val="12"/>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zh-CN" w:eastAsia="zh-CN"/>
        </w:rPr>
        <w:t>社会保障和就业支出（类）行政事业单位养老支出（款）机关事业单位基本养老保险缴费支出（项）。</w:t>
      </w:r>
    </w:p>
    <w:p>
      <w:pPr>
        <w:pStyle w:val="12"/>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106.37</w:t>
      </w:r>
      <w:r>
        <w:rPr>
          <w:rFonts w:hint="eastAsia" w:ascii="仿宋_GB2312" w:hAnsi="仿宋_GB2312" w:eastAsia="仿宋_GB2312" w:cs="仿宋_GB2312"/>
          <w:b w:val="0"/>
          <w:bCs w:val="0"/>
          <w:sz w:val="32"/>
          <w:szCs w:val="32"/>
        </w:rPr>
        <w:t>万元，决算数大于年初预算数的主要原因是：</w:t>
      </w:r>
      <w:r>
        <w:rPr>
          <w:rFonts w:hint="eastAsia" w:ascii="仿宋_GB2312" w:hAnsi="仿宋_GB2312" w:eastAsia="仿宋_GB2312" w:cs="仿宋_GB2312"/>
          <w:b w:val="0"/>
          <w:bCs w:val="0"/>
          <w:sz w:val="32"/>
          <w:szCs w:val="32"/>
          <w:lang w:val="en-US" w:eastAsia="zh-CN"/>
        </w:rPr>
        <w:t>年初预算未安排，为年中追加安排的</w:t>
      </w:r>
      <w:r>
        <w:rPr>
          <w:rFonts w:hint="eastAsia" w:ascii="仿宋_GB2312" w:hAnsi="仿宋_GB2312" w:eastAsia="仿宋_GB2312" w:cs="仿宋_GB2312"/>
          <w:b w:val="0"/>
          <w:bCs w:val="0"/>
          <w:sz w:val="32"/>
          <w:szCs w:val="32"/>
          <w:lang w:eastAsia="zh-CN"/>
        </w:rPr>
        <w:t>职工单位部分养老保险经费。</w:t>
      </w:r>
    </w:p>
    <w:p>
      <w:pPr>
        <w:pStyle w:val="12"/>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val="zh-CN" w:eastAsia="zh-CN"/>
        </w:rPr>
        <w:t>社会保障和就业支出（类）行政事业单位养老支出（款）机关事业单位职业年金缴费支出（项）。</w:t>
      </w:r>
    </w:p>
    <w:p>
      <w:pPr>
        <w:pStyle w:val="12"/>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23.87</w:t>
      </w:r>
      <w:r>
        <w:rPr>
          <w:rFonts w:hint="eastAsia" w:ascii="仿宋_GB2312" w:hAnsi="仿宋_GB2312" w:eastAsia="仿宋_GB2312" w:cs="仿宋_GB2312"/>
          <w:b w:val="0"/>
          <w:bCs w:val="0"/>
          <w:sz w:val="32"/>
          <w:szCs w:val="32"/>
        </w:rPr>
        <w:t>万元，决算数大于年初预算数的主要原因是：</w:t>
      </w:r>
      <w:r>
        <w:rPr>
          <w:rFonts w:hint="eastAsia" w:ascii="仿宋_GB2312" w:hAnsi="仿宋_GB2312" w:eastAsia="仿宋_GB2312" w:cs="仿宋_GB2312"/>
          <w:b w:val="0"/>
          <w:bCs w:val="0"/>
          <w:sz w:val="32"/>
          <w:szCs w:val="32"/>
          <w:lang w:val="en-US" w:eastAsia="zh-CN"/>
        </w:rPr>
        <w:t>年初预算未安排，为年中追加安排的</w:t>
      </w:r>
      <w:r>
        <w:rPr>
          <w:rFonts w:hint="eastAsia" w:ascii="仿宋_GB2312" w:hAnsi="仿宋_GB2312" w:eastAsia="仿宋_GB2312" w:cs="仿宋_GB2312"/>
          <w:b w:val="0"/>
          <w:bCs w:val="0"/>
          <w:sz w:val="32"/>
          <w:szCs w:val="32"/>
          <w:lang w:eastAsia="zh-CN"/>
        </w:rPr>
        <w:t>职工单位部分职业年金经费。</w:t>
      </w:r>
    </w:p>
    <w:p>
      <w:pPr>
        <w:pStyle w:val="12"/>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val="zh-CN" w:eastAsia="zh-CN"/>
        </w:rPr>
        <w:t>社会保障和就业支出（类）行政事业单位养老支出（款）其他行政事业单位养老支出（项）。</w:t>
      </w:r>
    </w:p>
    <w:p>
      <w:pPr>
        <w:pStyle w:val="12"/>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13.87</w:t>
      </w:r>
      <w:r>
        <w:rPr>
          <w:rFonts w:hint="eastAsia" w:ascii="仿宋_GB2312" w:hAnsi="仿宋_GB2312" w:eastAsia="仿宋_GB2312" w:cs="仿宋_GB2312"/>
          <w:b w:val="0"/>
          <w:bCs w:val="0"/>
          <w:sz w:val="32"/>
          <w:szCs w:val="32"/>
        </w:rPr>
        <w:t>万元，决算数大于年初预算数的主要原因是：</w:t>
      </w:r>
      <w:r>
        <w:rPr>
          <w:rFonts w:hint="eastAsia" w:ascii="仿宋_GB2312" w:hAnsi="仿宋_GB2312" w:eastAsia="仿宋_GB2312" w:cs="仿宋_GB2312"/>
          <w:b w:val="0"/>
          <w:bCs w:val="0"/>
          <w:sz w:val="32"/>
          <w:szCs w:val="32"/>
          <w:lang w:val="en-US" w:eastAsia="zh-CN"/>
        </w:rPr>
        <w:t>年初预算未安排，为年中追加安排的</w:t>
      </w:r>
      <w:r>
        <w:rPr>
          <w:rFonts w:hint="eastAsia" w:ascii="仿宋_GB2312" w:hAnsi="仿宋_GB2312" w:eastAsia="仿宋_GB2312" w:cs="仿宋_GB2312"/>
          <w:b w:val="0"/>
          <w:bCs w:val="0"/>
          <w:sz w:val="32"/>
          <w:szCs w:val="32"/>
        </w:rPr>
        <w:t>离退休人员生活补贴</w:t>
      </w:r>
      <w:r>
        <w:rPr>
          <w:rFonts w:hint="eastAsia" w:ascii="仿宋_GB2312" w:hAnsi="仿宋_GB2312" w:eastAsia="仿宋_GB2312" w:cs="仿宋_GB2312"/>
          <w:b w:val="0"/>
          <w:bCs w:val="0"/>
          <w:sz w:val="32"/>
          <w:szCs w:val="32"/>
          <w:lang w:eastAsia="zh-CN"/>
        </w:rPr>
        <w:t>。</w:t>
      </w:r>
    </w:p>
    <w:p>
      <w:pPr>
        <w:pStyle w:val="12"/>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val="zh-CN" w:eastAsia="zh-CN"/>
        </w:rPr>
        <w:t>社会保障和就业支出（类）其他社会保障和就业支出（款）其他社会保障和就业支出（项）。</w:t>
      </w:r>
    </w:p>
    <w:p>
      <w:pPr>
        <w:pStyle w:val="1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183.9</w:t>
      </w:r>
      <w:r>
        <w:rPr>
          <w:rFonts w:hint="eastAsia" w:ascii="仿宋_GB2312" w:hAnsi="仿宋_GB2312" w:eastAsia="仿宋_GB2312" w:cs="仿宋_GB2312"/>
          <w:b w:val="0"/>
          <w:bCs w:val="0"/>
          <w:sz w:val="32"/>
          <w:szCs w:val="32"/>
        </w:rPr>
        <w:t>万元，决算数大于年初预算数的主要原因是：</w:t>
      </w:r>
      <w:r>
        <w:rPr>
          <w:rFonts w:hint="eastAsia" w:ascii="仿宋_GB2312" w:hAnsi="仿宋_GB2312" w:eastAsia="仿宋_GB2312" w:cs="仿宋_GB2312"/>
          <w:b w:val="0"/>
          <w:bCs w:val="0"/>
          <w:sz w:val="32"/>
          <w:szCs w:val="32"/>
          <w:lang w:val="en-US" w:eastAsia="zh-CN"/>
        </w:rPr>
        <w:t>年初预算未安排，为年中追加安排的春节走访慰问款。</w:t>
      </w:r>
    </w:p>
    <w:p>
      <w:pPr>
        <w:pStyle w:val="12"/>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val="zh-CN" w:eastAsia="zh-CN"/>
        </w:rPr>
        <w:t>卫生健康支出（类）行政事业单位医疗（款）行政单位医疗（项）。</w:t>
      </w:r>
    </w:p>
    <w:p>
      <w:pPr>
        <w:pStyle w:val="12"/>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57.88</w:t>
      </w:r>
      <w:r>
        <w:rPr>
          <w:rFonts w:hint="eastAsia" w:ascii="仿宋_GB2312" w:hAnsi="仿宋_GB2312" w:eastAsia="仿宋_GB2312" w:cs="仿宋_GB2312"/>
          <w:b w:val="0"/>
          <w:bCs w:val="0"/>
          <w:sz w:val="32"/>
          <w:szCs w:val="32"/>
        </w:rPr>
        <w:t>万元，决算数大于年初预算数的主要原因是：</w:t>
      </w:r>
      <w:r>
        <w:rPr>
          <w:rFonts w:hint="eastAsia" w:ascii="仿宋_GB2312" w:hAnsi="仿宋_GB2312" w:eastAsia="仿宋_GB2312" w:cs="仿宋_GB2312"/>
          <w:b w:val="0"/>
          <w:bCs w:val="0"/>
          <w:sz w:val="32"/>
          <w:szCs w:val="32"/>
          <w:lang w:val="en-US" w:eastAsia="zh-CN"/>
        </w:rPr>
        <w:t>年初预算未安排，为年中追加安排的</w:t>
      </w:r>
      <w:r>
        <w:rPr>
          <w:rFonts w:hint="eastAsia" w:ascii="仿宋_GB2312" w:hAnsi="仿宋_GB2312" w:eastAsia="仿宋_GB2312" w:cs="仿宋_GB2312"/>
          <w:b w:val="0"/>
          <w:bCs w:val="0"/>
          <w:sz w:val="32"/>
          <w:szCs w:val="32"/>
          <w:lang w:eastAsia="zh-CN"/>
        </w:rPr>
        <w:t>职工单位部分医疗保险。</w:t>
      </w:r>
    </w:p>
    <w:p>
      <w:pPr>
        <w:pStyle w:val="12"/>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val="zh-CN" w:eastAsia="zh-CN"/>
        </w:rPr>
        <w:t>卫生健康支出（类）行政事业单位医疗（款）公务员医疗补助（项）。</w:t>
      </w:r>
    </w:p>
    <w:p>
      <w:pPr>
        <w:pStyle w:val="12"/>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年初预算为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16.19</w:t>
      </w:r>
      <w:r>
        <w:rPr>
          <w:rFonts w:hint="eastAsia" w:ascii="仿宋_GB2312" w:hAnsi="仿宋_GB2312" w:eastAsia="仿宋_GB2312" w:cs="仿宋_GB2312"/>
          <w:b w:val="0"/>
          <w:bCs w:val="0"/>
          <w:sz w:val="32"/>
          <w:szCs w:val="32"/>
        </w:rPr>
        <w:t>万元，决算数大于年初预算数的主要原因是：</w:t>
      </w:r>
      <w:r>
        <w:rPr>
          <w:rFonts w:hint="eastAsia" w:ascii="仿宋_GB2312" w:hAnsi="仿宋_GB2312" w:eastAsia="仿宋_GB2312" w:cs="仿宋_GB2312"/>
          <w:b w:val="0"/>
          <w:bCs w:val="0"/>
          <w:sz w:val="32"/>
          <w:szCs w:val="32"/>
          <w:lang w:val="en-US" w:eastAsia="zh-CN"/>
        </w:rPr>
        <w:t>年初预算未安排，为年中追加安排的</w:t>
      </w:r>
      <w:r>
        <w:rPr>
          <w:rFonts w:hint="eastAsia" w:ascii="仿宋_GB2312" w:hAnsi="仿宋_GB2312" w:eastAsia="仿宋_GB2312" w:cs="仿宋_GB2312"/>
          <w:b w:val="0"/>
          <w:bCs w:val="0"/>
          <w:sz w:val="32"/>
          <w:szCs w:val="32"/>
        </w:rPr>
        <w:t>公务员医疗补助</w:t>
      </w:r>
      <w:r>
        <w:rPr>
          <w:rFonts w:hint="eastAsia" w:ascii="仿宋_GB2312" w:hAnsi="仿宋_GB2312" w:eastAsia="仿宋_GB2312" w:cs="仿宋_GB2312"/>
          <w:b w:val="0"/>
          <w:bCs w:val="0"/>
          <w:sz w:val="32"/>
          <w:szCs w:val="32"/>
          <w:lang w:eastAsia="zh-CN"/>
        </w:rPr>
        <w:t>。</w:t>
      </w:r>
    </w:p>
    <w:p>
      <w:pPr>
        <w:pStyle w:val="12"/>
        <w:ind w:firstLine="640" w:firstLineChars="200"/>
        <w:rPr>
          <w:rFonts w:hAnsi="黑体"/>
          <w:b w:val="0"/>
          <w:bCs/>
          <w:sz w:val="32"/>
          <w:szCs w:val="32"/>
        </w:rPr>
      </w:pPr>
      <w:r>
        <w:rPr>
          <w:rFonts w:hint="eastAsia" w:hAnsi="黑体"/>
          <w:b w:val="0"/>
          <w:bCs/>
          <w:sz w:val="32"/>
          <w:szCs w:val="32"/>
        </w:rPr>
        <w:t>六、一般公共预算财政拨款基本支出决算情况说明</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2021年度财政拨款基本支出</w:t>
      </w:r>
      <w:r>
        <w:rPr>
          <w:rFonts w:hint="eastAsia" w:ascii="仿宋_GB2312" w:hAnsi="仿宋_GB2312" w:eastAsia="仿宋_GB2312" w:cs="仿宋_GB2312"/>
          <w:b w:val="0"/>
          <w:bCs w:val="0"/>
          <w:sz w:val="32"/>
          <w:szCs w:val="32"/>
          <w:lang w:val="en-US" w:eastAsia="zh-CN"/>
        </w:rPr>
        <w:t>2144.35</w:t>
      </w:r>
      <w:r>
        <w:rPr>
          <w:rFonts w:hint="eastAsia" w:ascii="仿宋_GB2312" w:hAnsi="仿宋_GB2312" w:eastAsia="仿宋_GB2312" w:cs="仿宋_GB2312"/>
          <w:b w:val="0"/>
          <w:bCs w:val="0"/>
          <w:sz w:val="32"/>
          <w:szCs w:val="32"/>
        </w:rPr>
        <w:t>万元，其中：</w:t>
      </w:r>
    </w:p>
    <w:p>
      <w:pPr>
        <w:pStyle w:val="12"/>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人员经费</w:t>
      </w:r>
      <w:r>
        <w:rPr>
          <w:rFonts w:hint="eastAsia" w:ascii="仿宋_GB2312" w:hAnsi="仿宋_GB2312" w:eastAsia="仿宋_GB2312" w:cs="仿宋_GB2312"/>
          <w:b w:val="0"/>
          <w:bCs w:val="0"/>
          <w:sz w:val="32"/>
          <w:szCs w:val="32"/>
          <w:lang w:val="en-US" w:eastAsia="zh-CN"/>
        </w:rPr>
        <w:t>1658.1</w:t>
      </w:r>
      <w:r>
        <w:rPr>
          <w:rFonts w:hint="eastAsia" w:ascii="仿宋_GB2312" w:hAnsi="仿宋_GB2312" w:eastAsia="仿宋_GB2312" w:cs="仿宋_GB2312"/>
          <w:b w:val="0"/>
          <w:bCs w:val="0"/>
          <w:sz w:val="32"/>
          <w:szCs w:val="32"/>
        </w:rPr>
        <w:t>万元，占基本支出的</w:t>
      </w:r>
      <w:r>
        <w:rPr>
          <w:rFonts w:hint="eastAsia" w:ascii="仿宋_GB2312" w:hAnsi="仿宋_GB2312" w:eastAsia="仿宋_GB2312" w:cs="仿宋_GB2312"/>
          <w:b w:val="0"/>
          <w:bCs w:val="0"/>
          <w:sz w:val="32"/>
          <w:szCs w:val="32"/>
          <w:lang w:val="en-US" w:eastAsia="zh-CN"/>
        </w:rPr>
        <w:t>77.32</w:t>
      </w:r>
      <w:r>
        <w:rPr>
          <w:rFonts w:hint="eastAsia" w:ascii="仿宋_GB2312" w:hAnsi="仿宋_GB2312" w:eastAsia="仿宋_GB2312" w:cs="仿宋_GB2312"/>
          <w:b w:val="0"/>
          <w:bCs w:val="0"/>
          <w:sz w:val="32"/>
          <w:szCs w:val="32"/>
        </w:rPr>
        <w:t>%,主要包括基本工资、津贴补贴、奖金、伙食补助费</w:t>
      </w:r>
      <w:r>
        <w:rPr>
          <w:rFonts w:hint="eastAsia" w:ascii="仿宋_GB2312" w:hAnsi="仿宋_GB2312" w:eastAsia="仿宋_GB2312" w:cs="仿宋_GB2312"/>
          <w:b w:val="0"/>
          <w:bCs w:val="0"/>
          <w:sz w:val="32"/>
          <w:szCs w:val="32"/>
          <w:lang w:eastAsia="zh-CN"/>
        </w:rPr>
        <w:t>、绩效工资、机关事业单位基本养老保险缴费、生活补助、奖励金等。</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公用经费</w:t>
      </w:r>
      <w:r>
        <w:rPr>
          <w:rFonts w:hint="eastAsia" w:ascii="仿宋_GB2312" w:hAnsi="仿宋_GB2312" w:eastAsia="仿宋_GB2312" w:cs="仿宋_GB2312"/>
          <w:b w:val="0"/>
          <w:bCs w:val="0"/>
          <w:sz w:val="32"/>
          <w:szCs w:val="32"/>
          <w:lang w:val="en-US" w:eastAsia="zh-CN"/>
        </w:rPr>
        <w:t>486.25</w:t>
      </w:r>
      <w:r>
        <w:rPr>
          <w:rFonts w:hint="eastAsia" w:ascii="仿宋_GB2312" w:hAnsi="仿宋_GB2312" w:eastAsia="仿宋_GB2312" w:cs="仿宋_GB2312"/>
          <w:b w:val="0"/>
          <w:bCs w:val="0"/>
          <w:sz w:val="32"/>
          <w:szCs w:val="32"/>
        </w:rPr>
        <w:t>万元，占基本支出的</w:t>
      </w:r>
      <w:r>
        <w:rPr>
          <w:rFonts w:hint="eastAsia" w:ascii="仿宋_GB2312" w:hAnsi="仿宋_GB2312" w:eastAsia="仿宋_GB2312" w:cs="仿宋_GB2312"/>
          <w:b w:val="0"/>
          <w:bCs w:val="0"/>
          <w:sz w:val="32"/>
          <w:szCs w:val="32"/>
          <w:lang w:val="en-US" w:eastAsia="zh-CN"/>
        </w:rPr>
        <w:t>22.68</w:t>
      </w:r>
      <w:r>
        <w:rPr>
          <w:rFonts w:hint="eastAsia" w:ascii="仿宋_GB2312" w:hAnsi="仿宋_GB2312" w:eastAsia="仿宋_GB2312" w:cs="仿宋_GB2312"/>
          <w:b w:val="0"/>
          <w:bCs w:val="0"/>
          <w:sz w:val="32"/>
          <w:szCs w:val="32"/>
        </w:rPr>
        <w:t>%，主要包括办公费、印刷费、</w:t>
      </w:r>
      <w:r>
        <w:rPr>
          <w:rFonts w:hint="eastAsia" w:ascii="仿宋_GB2312" w:hAnsi="仿宋_GB2312" w:eastAsia="仿宋_GB2312" w:cs="仿宋_GB2312"/>
          <w:b w:val="0"/>
          <w:bCs w:val="0"/>
          <w:sz w:val="32"/>
          <w:szCs w:val="32"/>
          <w:lang w:eastAsia="zh-CN"/>
        </w:rPr>
        <w:t>差旅费、物业管理费、劳务费、委托业务费、工费经费、其他交通费、其他商品和服务支出等</w:t>
      </w:r>
      <w:r>
        <w:rPr>
          <w:rFonts w:hint="eastAsia" w:ascii="仿宋_GB2312" w:hAnsi="仿宋_GB2312" w:eastAsia="仿宋_GB2312" w:cs="仿宋_GB2312"/>
          <w:b w:val="0"/>
          <w:bCs w:val="0"/>
          <w:sz w:val="32"/>
          <w:szCs w:val="32"/>
        </w:rPr>
        <w:t>。</w:t>
      </w:r>
    </w:p>
    <w:p>
      <w:pPr>
        <w:pStyle w:val="12"/>
        <w:numPr>
          <w:ilvl w:val="0"/>
          <w:numId w:val="0"/>
        </w:numPr>
        <w:ind w:leftChars="0" w:firstLine="640" w:firstLineChars="200"/>
        <w:rPr>
          <w:rFonts w:hint="eastAsia" w:hAnsi="黑体"/>
          <w:b w:val="0"/>
          <w:bCs/>
          <w:sz w:val="32"/>
          <w:szCs w:val="32"/>
        </w:rPr>
      </w:pPr>
      <w:r>
        <w:rPr>
          <w:rFonts w:hint="eastAsia" w:hAnsi="黑体"/>
          <w:b w:val="0"/>
          <w:bCs/>
          <w:sz w:val="32"/>
          <w:szCs w:val="32"/>
          <w:lang w:eastAsia="zh-CN"/>
        </w:rPr>
        <w:t>七、</w:t>
      </w:r>
      <w:r>
        <w:rPr>
          <w:rFonts w:hint="eastAsia" w:hAnsi="黑体"/>
          <w:b w:val="0"/>
          <w:bCs/>
          <w:sz w:val="32"/>
          <w:szCs w:val="32"/>
        </w:rPr>
        <w:t>一般公共预算财政拨款“三公”经费支出决算情况说明</w:t>
      </w:r>
    </w:p>
    <w:p>
      <w:pPr>
        <w:pStyle w:val="12"/>
        <w:ind w:firstLine="640"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（一）“三公”经费财政拨款支出决算总体情况说明</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2021年度“三公”经费财政拨款支出预算为</w:t>
      </w:r>
      <w:r>
        <w:rPr>
          <w:rFonts w:hint="eastAsia" w:ascii="仿宋_GB2312" w:hAnsi="仿宋_GB2312" w:eastAsia="仿宋_GB2312" w:cs="仿宋_GB2312"/>
          <w:b w:val="0"/>
          <w:bCs w:val="0"/>
          <w:sz w:val="32"/>
          <w:szCs w:val="32"/>
          <w:lang w:val="en-US" w:eastAsia="zh-CN"/>
        </w:rPr>
        <w:t>39</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3.27</w:t>
      </w:r>
      <w:r>
        <w:rPr>
          <w:rFonts w:hint="eastAsia" w:ascii="仿宋_GB2312" w:hAnsi="仿宋_GB2312" w:eastAsia="仿宋_GB2312" w:cs="仿宋_GB2312"/>
          <w:b w:val="0"/>
          <w:bCs w:val="0"/>
          <w:sz w:val="32"/>
          <w:szCs w:val="32"/>
        </w:rPr>
        <w:t>万元，完成预算的</w:t>
      </w:r>
      <w:r>
        <w:rPr>
          <w:rFonts w:hint="eastAsia" w:ascii="仿宋_GB2312" w:hAnsi="仿宋_GB2312" w:eastAsia="仿宋_GB2312" w:cs="仿宋_GB2312"/>
          <w:b w:val="0"/>
          <w:bCs w:val="0"/>
          <w:sz w:val="32"/>
          <w:szCs w:val="32"/>
          <w:lang w:val="en-US" w:eastAsia="zh-CN"/>
        </w:rPr>
        <w:t>8.38</w:t>
      </w:r>
      <w:r>
        <w:rPr>
          <w:rFonts w:hint="eastAsia" w:ascii="仿宋_GB2312" w:hAnsi="仿宋_GB2312" w:eastAsia="仿宋_GB2312" w:cs="仿宋_GB2312"/>
          <w:b w:val="0"/>
          <w:bCs w:val="0"/>
          <w:sz w:val="32"/>
          <w:szCs w:val="32"/>
        </w:rPr>
        <w:t>%，其中：</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因公出国（境）费支出预算为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决算数等于预算数，</w:t>
      </w:r>
      <w:r>
        <w:rPr>
          <w:rFonts w:hint="eastAsia" w:ascii="仿宋_GB2312" w:hAnsi="仿宋_GB2312" w:eastAsia="仿宋_GB2312" w:cs="仿宋_GB2312"/>
          <w:b w:val="0"/>
          <w:bCs w:val="0"/>
          <w:sz w:val="32"/>
          <w:szCs w:val="32"/>
        </w:rPr>
        <w:t>与上年</w:t>
      </w:r>
      <w:r>
        <w:rPr>
          <w:rFonts w:hint="eastAsia" w:ascii="仿宋_GB2312" w:hAnsi="仿宋_GB2312" w:eastAsia="仿宋_GB2312" w:cs="仿宋_GB2312"/>
          <w:b w:val="0"/>
          <w:bCs w:val="0"/>
          <w:sz w:val="32"/>
          <w:szCs w:val="32"/>
          <w:lang w:eastAsia="zh-CN"/>
        </w:rPr>
        <w:t>保持一致</w:t>
      </w:r>
      <w:r>
        <w:rPr>
          <w:rFonts w:hint="eastAsia" w:ascii="仿宋_GB2312" w:hAnsi="仿宋_GB2312" w:eastAsia="仿宋_GB2312" w:cs="仿宋_GB2312"/>
          <w:b w:val="0"/>
          <w:bCs w:val="0"/>
          <w:sz w:val="32"/>
          <w:szCs w:val="32"/>
        </w:rPr>
        <w:t>。</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公务接待费支出预算为</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2.47</w:t>
      </w:r>
      <w:r>
        <w:rPr>
          <w:rFonts w:hint="eastAsia" w:ascii="仿宋_GB2312" w:hAnsi="仿宋_GB2312" w:eastAsia="仿宋_GB2312" w:cs="仿宋_GB2312"/>
          <w:b w:val="0"/>
          <w:bCs w:val="0"/>
          <w:sz w:val="32"/>
          <w:szCs w:val="32"/>
        </w:rPr>
        <w:t>万元，完成预算的</w:t>
      </w:r>
      <w:r>
        <w:rPr>
          <w:rFonts w:hint="eastAsia" w:ascii="仿宋_GB2312" w:hAnsi="仿宋_GB2312" w:eastAsia="仿宋_GB2312" w:cs="仿宋_GB2312"/>
          <w:b w:val="0"/>
          <w:bCs w:val="0"/>
          <w:sz w:val="32"/>
          <w:szCs w:val="32"/>
          <w:lang w:val="en-US" w:eastAsia="zh-CN"/>
        </w:rPr>
        <w:t>8.23</w:t>
      </w:r>
      <w:r>
        <w:rPr>
          <w:rFonts w:hint="eastAsia" w:ascii="仿宋_GB2312" w:hAnsi="仿宋_GB2312" w:eastAsia="仿宋_GB2312" w:cs="仿宋_GB2312"/>
          <w:b w:val="0"/>
          <w:bCs w:val="0"/>
          <w:sz w:val="32"/>
          <w:szCs w:val="32"/>
        </w:rPr>
        <w:t>%，决算数小于预算数的主要原因是</w:t>
      </w:r>
      <w:r>
        <w:rPr>
          <w:rFonts w:hint="eastAsia" w:ascii="仿宋_GB2312" w:hAnsi="仿宋_GB2312" w:eastAsia="仿宋_GB2312" w:cs="仿宋_GB2312"/>
          <w:b w:val="0"/>
          <w:bCs w:val="0"/>
          <w:sz w:val="32"/>
          <w:szCs w:val="32"/>
          <w:lang w:eastAsia="zh-CN"/>
        </w:rPr>
        <w:t>我局</w:t>
      </w:r>
      <w:r>
        <w:rPr>
          <w:rFonts w:hint="eastAsia" w:ascii="仿宋_GB2312" w:hAnsi="仿宋_GB2312" w:eastAsia="仿宋_GB2312" w:cs="仿宋_GB2312"/>
          <w:b w:val="0"/>
          <w:bCs w:val="0"/>
          <w:sz w:val="32"/>
          <w:szCs w:val="32"/>
          <w:lang w:val="en-US" w:eastAsia="zh-CN"/>
        </w:rPr>
        <w:t>2021年严控</w:t>
      </w:r>
      <w:r>
        <w:rPr>
          <w:rFonts w:hint="eastAsia" w:ascii="仿宋_GB2312" w:hAnsi="仿宋_GB2312" w:eastAsia="仿宋_GB2312" w:cs="仿宋_GB2312"/>
          <w:b w:val="0"/>
          <w:bCs w:val="0"/>
          <w:sz w:val="32"/>
          <w:szCs w:val="32"/>
          <w:lang w:eastAsia="zh-CN"/>
        </w:rPr>
        <w:t>公务接待费支出</w:t>
      </w:r>
      <w:r>
        <w:rPr>
          <w:rFonts w:hint="eastAsia" w:ascii="仿宋_GB2312" w:hAnsi="仿宋_GB2312" w:eastAsia="仿宋_GB2312" w:cs="仿宋_GB2312"/>
          <w:b w:val="0"/>
          <w:bCs w:val="0"/>
          <w:sz w:val="32"/>
          <w:szCs w:val="32"/>
        </w:rPr>
        <w:t>，与上年相比减少</w:t>
      </w:r>
      <w:r>
        <w:rPr>
          <w:rFonts w:hint="eastAsia" w:ascii="仿宋_GB2312" w:hAnsi="仿宋_GB2312" w:eastAsia="仿宋_GB2312" w:cs="仿宋_GB2312"/>
          <w:b w:val="0"/>
          <w:bCs w:val="0"/>
          <w:sz w:val="32"/>
          <w:szCs w:val="32"/>
          <w:lang w:val="en-US" w:eastAsia="zh-CN"/>
        </w:rPr>
        <w:t>10.77</w:t>
      </w:r>
      <w:r>
        <w:rPr>
          <w:rFonts w:hint="eastAsia" w:ascii="仿宋_GB2312" w:hAnsi="仿宋_GB2312" w:eastAsia="仿宋_GB2312" w:cs="仿宋_GB2312"/>
          <w:b w:val="0"/>
          <w:bCs w:val="0"/>
          <w:sz w:val="32"/>
          <w:szCs w:val="32"/>
        </w:rPr>
        <w:t>万元，减少</w:t>
      </w:r>
      <w:r>
        <w:rPr>
          <w:rFonts w:hint="eastAsia" w:ascii="仿宋_GB2312" w:hAnsi="仿宋_GB2312" w:eastAsia="仿宋_GB2312" w:cs="仿宋_GB2312"/>
          <w:b w:val="0"/>
          <w:bCs w:val="0"/>
          <w:sz w:val="32"/>
          <w:szCs w:val="32"/>
          <w:lang w:val="en-US" w:eastAsia="zh-CN"/>
        </w:rPr>
        <w:t>81.35</w:t>
      </w:r>
      <w:r>
        <w:rPr>
          <w:rFonts w:hint="eastAsia" w:ascii="仿宋_GB2312" w:hAnsi="仿宋_GB2312" w:eastAsia="仿宋_GB2312" w:cs="仿宋_GB2312"/>
          <w:b w:val="0"/>
          <w:bCs w:val="0"/>
          <w:sz w:val="32"/>
          <w:szCs w:val="32"/>
        </w:rPr>
        <w:t>%,减少的主要原因是</w:t>
      </w:r>
      <w:r>
        <w:rPr>
          <w:rFonts w:hint="eastAsia" w:ascii="仿宋_GB2312" w:hAnsi="仿宋_GB2312" w:eastAsia="仿宋_GB2312" w:cs="仿宋_GB2312"/>
          <w:b w:val="0"/>
          <w:bCs w:val="0"/>
          <w:sz w:val="32"/>
          <w:szCs w:val="32"/>
          <w:lang w:eastAsia="zh-CN"/>
        </w:rPr>
        <w:t>我局继续大力压减公务接待费支出</w:t>
      </w:r>
      <w:r>
        <w:rPr>
          <w:rFonts w:hint="eastAsia" w:ascii="仿宋_GB2312" w:hAnsi="仿宋_GB2312" w:eastAsia="仿宋_GB2312" w:cs="仿宋_GB2312"/>
          <w:b w:val="0"/>
          <w:bCs w:val="0"/>
          <w:sz w:val="32"/>
          <w:szCs w:val="32"/>
        </w:rPr>
        <w:t>。</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公务用车购置费支出预算为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决算数等于预算数，</w:t>
      </w:r>
      <w:r>
        <w:rPr>
          <w:rFonts w:hint="eastAsia" w:ascii="仿宋_GB2312" w:hAnsi="仿宋_GB2312" w:eastAsia="仿宋_GB2312" w:cs="仿宋_GB2312"/>
          <w:b w:val="0"/>
          <w:bCs w:val="0"/>
          <w:sz w:val="32"/>
          <w:szCs w:val="32"/>
        </w:rPr>
        <w:t>与上年</w:t>
      </w:r>
      <w:r>
        <w:rPr>
          <w:rFonts w:hint="eastAsia" w:ascii="仿宋_GB2312" w:hAnsi="仿宋_GB2312" w:eastAsia="仿宋_GB2312" w:cs="仿宋_GB2312"/>
          <w:b w:val="0"/>
          <w:bCs w:val="0"/>
          <w:sz w:val="32"/>
          <w:szCs w:val="32"/>
          <w:lang w:eastAsia="zh-CN"/>
        </w:rPr>
        <w:t>保持一致</w:t>
      </w:r>
      <w:r>
        <w:rPr>
          <w:rFonts w:hint="eastAsia" w:ascii="仿宋_GB2312" w:hAnsi="仿宋_GB2312" w:eastAsia="仿宋_GB2312" w:cs="仿宋_GB2312"/>
          <w:b w:val="0"/>
          <w:bCs w:val="0"/>
          <w:sz w:val="32"/>
          <w:szCs w:val="32"/>
        </w:rPr>
        <w:t>。</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公务用车运行维护费支出预算为</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万元，支出决算为</w:t>
      </w:r>
      <w:r>
        <w:rPr>
          <w:rFonts w:hint="eastAsia" w:ascii="仿宋_GB2312" w:hAnsi="仿宋_GB2312" w:eastAsia="仿宋_GB2312" w:cs="仿宋_GB2312"/>
          <w:b w:val="0"/>
          <w:bCs w:val="0"/>
          <w:sz w:val="32"/>
          <w:szCs w:val="32"/>
          <w:lang w:val="en-US" w:eastAsia="zh-CN"/>
        </w:rPr>
        <w:t>0.8</w:t>
      </w:r>
      <w:r>
        <w:rPr>
          <w:rFonts w:hint="eastAsia" w:ascii="仿宋_GB2312" w:hAnsi="仿宋_GB2312" w:eastAsia="仿宋_GB2312" w:cs="仿宋_GB2312"/>
          <w:b w:val="0"/>
          <w:bCs w:val="0"/>
          <w:sz w:val="32"/>
          <w:szCs w:val="32"/>
        </w:rPr>
        <w:t>万元，完成预算的</w:t>
      </w:r>
      <w:r>
        <w:rPr>
          <w:rFonts w:hint="eastAsia" w:ascii="仿宋_GB2312" w:hAnsi="仿宋_GB2312" w:eastAsia="仿宋_GB2312" w:cs="仿宋_GB2312"/>
          <w:b w:val="0"/>
          <w:bCs w:val="0"/>
          <w:sz w:val="32"/>
          <w:szCs w:val="32"/>
          <w:lang w:val="en-US" w:eastAsia="zh-CN"/>
        </w:rPr>
        <w:t>8.89</w:t>
      </w:r>
      <w:r>
        <w:rPr>
          <w:rFonts w:hint="eastAsia" w:ascii="仿宋_GB2312" w:hAnsi="仿宋_GB2312" w:eastAsia="仿宋_GB2312" w:cs="仿宋_GB2312"/>
          <w:b w:val="0"/>
          <w:bCs w:val="0"/>
          <w:sz w:val="32"/>
          <w:szCs w:val="32"/>
        </w:rPr>
        <w:t>%，决算数小于预算数的主要原因是</w:t>
      </w:r>
      <w:r>
        <w:rPr>
          <w:rFonts w:hint="eastAsia" w:ascii="仿宋_GB2312" w:hAnsi="仿宋_GB2312" w:eastAsia="仿宋_GB2312" w:cs="仿宋_GB2312"/>
          <w:b w:val="0"/>
          <w:bCs w:val="0"/>
          <w:sz w:val="32"/>
          <w:szCs w:val="32"/>
          <w:lang w:eastAsia="zh-CN"/>
        </w:rPr>
        <w:t>车改后我局公务用车运行维护费大幅下降</w:t>
      </w:r>
      <w:r>
        <w:rPr>
          <w:rFonts w:hint="eastAsia" w:ascii="仿宋_GB2312" w:hAnsi="仿宋_GB2312" w:eastAsia="仿宋_GB2312" w:cs="仿宋_GB2312"/>
          <w:b w:val="0"/>
          <w:bCs w:val="0"/>
          <w:sz w:val="32"/>
          <w:szCs w:val="32"/>
        </w:rPr>
        <w:t>，与上年相比减少</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万元，减少</w:t>
      </w:r>
      <w:r>
        <w:rPr>
          <w:rFonts w:hint="eastAsia" w:ascii="仿宋_GB2312" w:hAnsi="仿宋_GB2312" w:eastAsia="仿宋_GB2312" w:cs="仿宋_GB2312"/>
          <w:b w:val="0"/>
          <w:bCs w:val="0"/>
          <w:sz w:val="32"/>
          <w:szCs w:val="32"/>
          <w:lang w:val="en-US" w:eastAsia="zh-CN"/>
        </w:rPr>
        <w:t>72.52</w:t>
      </w:r>
      <w:r>
        <w:rPr>
          <w:rFonts w:hint="eastAsia" w:ascii="仿宋_GB2312" w:hAnsi="仿宋_GB2312" w:eastAsia="仿宋_GB2312" w:cs="仿宋_GB2312"/>
          <w:b w:val="0"/>
          <w:bCs w:val="0"/>
          <w:sz w:val="32"/>
          <w:szCs w:val="32"/>
        </w:rPr>
        <w:t>%,减少的主要原因是</w:t>
      </w:r>
      <w:r>
        <w:rPr>
          <w:rFonts w:hint="eastAsia" w:ascii="仿宋_GB2312" w:hAnsi="仿宋_GB2312" w:eastAsia="仿宋_GB2312" w:cs="仿宋_GB2312"/>
          <w:b w:val="0"/>
          <w:bCs w:val="0"/>
          <w:sz w:val="32"/>
          <w:szCs w:val="32"/>
          <w:lang w:eastAsia="zh-CN"/>
        </w:rPr>
        <w:t>车改后我局继续压减公务用车运行维护费支出</w:t>
      </w:r>
      <w:r>
        <w:rPr>
          <w:rFonts w:hint="eastAsia" w:ascii="仿宋_GB2312" w:hAnsi="仿宋_GB2312" w:eastAsia="仿宋_GB2312" w:cs="仿宋_GB2312"/>
          <w:b w:val="0"/>
          <w:bCs w:val="0"/>
          <w:sz w:val="32"/>
          <w:szCs w:val="32"/>
        </w:rPr>
        <w:t>。</w:t>
      </w:r>
    </w:p>
    <w:p>
      <w:pPr>
        <w:pStyle w:val="12"/>
        <w:ind w:firstLine="640"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（二）“三公”经费财政拨款支出决算具体情况说明</w:t>
      </w:r>
    </w:p>
    <w:p>
      <w:pPr>
        <w:pStyle w:val="1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2021年度“三公”经费财政拨款支出决算中，公务接待费支出决算</w:t>
      </w:r>
      <w:r>
        <w:rPr>
          <w:rFonts w:hint="eastAsia" w:ascii="仿宋_GB2312" w:hAnsi="仿宋_GB2312" w:eastAsia="仿宋_GB2312" w:cs="仿宋_GB2312"/>
          <w:b w:val="0"/>
          <w:bCs w:val="0"/>
          <w:sz w:val="32"/>
          <w:szCs w:val="32"/>
          <w:lang w:val="en-US" w:eastAsia="zh-CN"/>
        </w:rPr>
        <w:t>2.47</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75.54</w:t>
      </w:r>
      <w:r>
        <w:rPr>
          <w:rFonts w:hint="eastAsia" w:ascii="仿宋_GB2312" w:hAnsi="仿宋_GB2312" w:eastAsia="仿宋_GB2312" w:cs="仿宋_GB2312"/>
          <w:b w:val="0"/>
          <w:bCs w:val="0"/>
          <w:sz w:val="32"/>
          <w:szCs w:val="32"/>
        </w:rPr>
        <w:t>%,因公出国（境）费支出决算</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%,公务用车购置费及运行维护费支出决算</w:t>
      </w:r>
      <w:r>
        <w:rPr>
          <w:rFonts w:hint="eastAsia" w:ascii="仿宋_GB2312" w:hAnsi="仿宋_GB2312" w:eastAsia="仿宋_GB2312" w:cs="仿宋_GB2312"/>
          <w:b w:val="0"/>
          <w:bCs w:val="0"/>
          <w:sz w:val="32"/>
          <w:szCs w:val="32"/>
          <w:lang w:val="en-US" w:eastAsia="zh-CN"/>
        </w:rPr>
        <w:t>0.8</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24.46</w:t>
      </w:r>
      <w:r>
        <w:rPr>
          <w:rFonts w:hint="eastAsia" w:ascii="仿宋_GB2312" w:hAnsi="仿宋_GB2312" w:eastAsia="仿宋_GB2312" w:cs="仿宋_GB2312"/>
          <w:b w:val="0"/>
          <w:bCs w:val="0"/>
          <w:sz w:val="32"/>
          <w:szCs w:val="32"/>
        </w:rPr>
        <w:t>%。其中：</w:t>
      </w:r>
    </w:p>
    <w:p>
      <w:pPr>
        <w:pStyle w:val="1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2021年度我单位未开展因公出国（境）活动。</w:t>
      </w:r>
    </w:p>
    <w:p>
      <w:pPr>
        <w:pStyle w:val="1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2.47</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zh-CN" w:eastAsia="zh-CN"/>
        </w:rPr>
        <w:t>主要是接待省厅、兄弟市州单位及县区单位来我局的公务活动发生的接待支出。</w:t>
      </w:r>
    </w:p>
    <w:p>
      <w:pPr>
        <w:ind w:firstLine="640" w:firstLineChars="200"/>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val="0"/>
          <w:color w:val="auto"/>
          <w:kern w:val="0"/>
          <w:sz w:val="32"/>
          <w:szCs w:val="32"/>
          <w:lang w:val="en-US" w:eastAsia="zh-CN" w:bidi="ar-SA"/>
        </w:rPr>
        <w:t>本单位2021年度无更新公务用车</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sz w:val="32"/>
          <w:szCs w:val="32"/>
        </w:rPr>
        <w:t>公务用车运行维护费</w:t>
      </w:r>
      <w:r>
        <w:rPr>
          <w:rFonts w:hint="eastAsia" w:ascii="仿宋_GB2312" w:hAnsi="仿宋_GB2312" w:eastAsia="仿宋_GB2312" w:cs="仿宋_GB2312"/>
          <w:b w:val="0"/>
          <w:bCs w:val="0"/>
          <w:sz w:val="32"/>
          <w:szCs w:val="32"/>
          <w:lang w:val="en-US" w:eastAsia="zh-CN"/>
        </w:rPr>
        <w:t>0.8</w:t>
      </w:r>
      <w:r>
        <w:rPr>
          <w:rFonts w:hint="eastAsia" w:ascii="仿宋_GB2312" w:hAnsi="仿宋_GB2312" w:eastAsia="仿宋_GB2312" w:cs="仿宋_GB2312"/>
          <w:b w:val="0"/>
          <w:bCs w:val="0"/>
          <w:sz w:val="32"/>
          <w:szCs w:val="32"/>
        </w:rPr>
        <w:t>万元，主要是</w:t>
      </w:r>
      <w:r>
        <w:rPr>
          <w:rFonts w:hint="eastAsia" w:ascii="仿宋_GB2312" w:hAnsi="仿宋_GB2312" w:eastAsia="仿宋_GB2312" w:cs="仿宋_GB2312"/>
          <w:b w:val="0"/>
          <w:bCs w:val="0"/>
          <w:sz w:val="32"/>
          <w:szCs w:val="32"/>
          <w:lang w:eastAsia="zh-CN"/>
        </w:rPr>
        <w:t>公车运行维护发生的</w:t>
      </w:r>
      <w:r>
        <w:rPr>
          <w:rFonts w:hint="eastAsia" w:ascii="仿宋_GB2312" w:hAnsi="仿宋_GB2312" w:eastAsia="仿宋_GB2312" w:cs="仿宋_GB2312"/>
          <w:b w:val="0"/>
          <w:bCs w:val="0"/>
          <w:sz w:val="32"/>
          <w:szCs w:val="32"/>
        </w:rPr>
        <w:t>支出，截止2021年12月31日，我单位开支财政拨款的公务用车保有量为</w:t>
      </w:r>
      <w:r>
        <w:rPr>
          <w:rFonts w:hint="eastAsia" w:ascii="仿宋" w:hAnsi="仿宋" w:eastAsia="仿宋" w:cs="仿宋"/>
          <w:color w:val="000000"/>
          <w:kern w:val="0"/>
          <w:sz w:val="32"/>
          <w:szCs w:val="32"/>
          <w:highlight w:val="none"/>
          <w:lang w:val="en-US" w:eastAsia="zh-CN" w:bidi="ar-SA"/>
        </w:rPr>
        <w:t>1</w:t>
      </w:r>
      <w:r>
        <w:rPr>
          <w:rFonts w:hint="eastAsia" w:ascii="仿宋" w:hAnsi="仿宋" w:eastAsia="仿宋" w:cs="仿宋"/>
          <w:color w:val="000000"/>
          <w:kern w:val="0"/>
          <w:sz w:val="32"/>
          <w:szCs w:val="32"/>
          <w:highlight w:val="none"/>
          <w:lang w:val="zh-CN" w:eastAsia="zh-CN" w:bidi="ar-SA"/>
        </w:rPr>
        <w:t>辆</w:t>
      </w:r>
      <w:r>
        <w:rPr>
          <w:rFonts w:hint="eastAsia" w:ascii="仿宋" w:hAnsi="仿宋" w:eastAsia="仿宋" w:cs="仿宋"/>
          <w:color w:val="000000"/>
          <w:kern w:val="0"/>
          <w:sz w:val="32"/>
          <w:szCs w:val="32"/>
          <w:highlight w:val="none"/>
          <w:lang w:val="en-US" w:eastAsia="zh-CN" w:bidi="ar-SA"/>
        </w:rPr>
        <w:t>。</w:t>
      </w:r>
    </w:p>
    <w:p>
      <w:pPr>
        <w:pStyle w:val="12"/>
        <w:ind w:firstLine="640" w:firstLineChars="200"/>
        <w:rPr>
          <w:rFonts w:hAnsi="黑体"/>
          <w:b/>
          <w:sz w:val="32"/>
          <w:szCs w:val="32"/>
        </w:rPr>
      </w:pPr>
      <w:r>
        <w:rPr>
          <w:rFonts w:hint="eastAsia" w:hAnsi="黑体"/>
          <w:b w:val="0"/>
          <w:bCs/>
          <w:sz w:val="32"/>
          <w:szCs w:val="32"/>
        </w:rPr>
        <w:t>八、政府性基金预算收入支出决算情况</w:t>
      </w:r>
    </w:p>
    <w:p>
      <w:pPr>
        <w:pStyle w:val="12"/>
        <w:ind w:firstLine="320" w:firstLineChars="100"/>
        <w:rPr>
          <w:rFonts w:hint="eastAsia" w:cs="黑体" w:asciiTheme="minorEastAsia" w:hAnsiTheme="minorEastAsia" w:eastAsiaTheme="minorEastAsia"/>
          <w:b w:val="0"/>
          <w:bCs w:val="0"/>
          <w:color w:val="FF0000"/>
          <w:kern w:val="0"/>
          <w:sz w:val="32"/>
          <w:szCs w:val="32"/>
          <w:lang w:val="en-US" w:eastAsia="zh-CN" w:bidi="ar-SA"/>
        </w:rPr>
      </w:pPr>
      <w:r>
        <w:rPr>
          <w:rFonts w:hint="eastAsia" w:asciiTheme="minorEastAsia" w:hAnsiTheme="minorEastAsia" w:eastAsiaTheme="minorEastAsia"/>
          <w:sz w:val="32"/>
          <w:szCs w:val="32"/>
        </w:rPr>
        <w:t xml:space="preserve">  </w:t>
      </w:r>
      <w:r>
        <w:rPr>
          <w:rFonts w:hint="eastAsia" w:ascii="仿宋_GB2312" w:hAnsi="仿宋_GB2312" w:eastAsia="仿宋_GB2312" w:cs="仿宋_GB2312"/>
          <w:b w:val="0"/>
          <w:bCs w:val="0"/>
          <w:color w:val="auto"/>
          <w:kern w:val="0"/>
          <w:sz w:val="32"/>
          <w:szCs w:val="32"/>
          <w:lang w:val="en-US" w:eastAsia="zh-CN" w:bidi="ar-SA"/>
        </w:rPr>
        <w:t>2021年度本单位无政府性基金收支。</w:t>
      </w:r>
    </w:p>
    <w:p>
      <w:pPr>
        <w:pStyle w:val="12"/>
        <w:numPr>
          <w:ilvl w:val="0"/>
          <w:numId w:val="2"/>
        </w:numPr>
        <w:ind w:firstLine="640" w:firstLineChars="200"/>
        <w:rPr>
          <w:rFonts w:hint="eastAsia" w:hAnsi="黑体"/>
          <w:b w:val="0"/>
          <w:bCs/>
          <w:sz w:val="32"/>
          <w:szCs w:val="32"/>
        </w:rPr>
      </w:pPr>
      <w:r>
        <w:rPr>
          <w:rFonts w:hint="eastAsia" w:hAnsi="黑体"/>
          <w:b w:val="0"/>
          <w:bCs/>
          <w:sz w:val="32"/>
          <w:szCs w:val="32"/>
        </w:rPr>
        <w:t>机关运行经费支出说明</w:t>
      </w:r>
    </w:p>
    <w:p>
      <w:pPr>
        <w:pStyle w:val="12"/>
        <w:ind w:firstLine="640" w:firstLineChars="200"/>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2021年度机关运行经费支出</w:t>
      </w:r>
      <w:r>
        <w:rPr>
          <w:rFonts w:hint="eastAsia" w:ascii="仿宋_GB2312" w:hAnsi="仿宋_GB2312" w:eastAsia="仿宋_GB2312" w:cs="仿宋_GB2312"/>
          <w:sz w:val="32"/>
          <w:szCs w:val="32"/>
          <w:highlight w:val="none"/>
          <w:lang w:val="en-US" w:eastAsia="zh-CN"/>
        </w:rPr>
        <w:t>486.25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比上年决算数减少</w:t>
      </w:r>
      <w:r>
        <w:rPr>
          <w:rFonts w:hint="eastAsia" w:ascii="仿宋_GB2312" w:hAnsi="仿宋_GB2312" w:eastAsia="仿宋_GB2312" w:cs="仿宋_GB2312"/>
          <w:sz w:val="32"/>
          <w:szCs w:val="32"/>
          <w:lang w:val="en-US" w:eastAsia="zh-CN"/>
        </w:rPr>
        <w:t>302.07</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38.32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highlight w:val="none"/>
          <w:lang w:val="en-US" w:eastAsia="zh-CN"/>
        </w:rPr>
        <w:t>2021年收入较上年大幅降低，故支出随之大幅度降低</w:t>
      </w:r>
      <w:r>
        <w:rPr>
          <w:rFonts w:hint="eastAsia" w:ascii="仿宋_GB2312" w:hAnsi="仿宋_GB2312" w:eastAsia="仿宋_GB2312" w:cs="仿宋_GB2312"/>
          <w:sz w:val="32"/>
          <w:szCs w:val="32"/>
          <w:highlight w:val="none"/>
          <w:lang w:val="zh-CN" w:eastAsia="zh-CN"/>
        </w:rPr>
        <w:t>。</w:t>
      </w:r>
    </w:p>
    <w:p>
      <w:pPr>
        <w:pStyle w:val="12"/>
        <w:ind w:firstLine="640" w:firstLineChars="200"/>
        <w:rPr>
          <w:rFonts w:hAnsi="黑体"/>
          <w:b w:val="0"/>
          <w:bCs/>
          <w:sz w:val="32"/>
          <w:szCs w:val="32"/>
        </w:rPr>
      </w:pPr>
      <w:r>
        <w:rPr>
          <w:rFonts w:hint="eastAsia" w:hAnsi="黑体"/>
          <w:b w:val="0"/>
          <w:bCs/>
          <w:sz w:val="32"/>
          <w:szCs w:val="32"/>
        </w:rPr>
        <w:t>十、一般性支出情况说明</w:t>
      </w:r>
    </w:p>
    <w:p>
      <w:pPr>
        <w:pStyle w:val="1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2021年本部门开支会议费</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万元，用于</w:t>
      </w:r>
      <w:r>
        <w:rPr>
          <w:rFonts w:hint="eastAsia" w:ascii="仿宋_GB2312" w:hAnsi="仿宋_GB2312" w:eastAsia="仿宋_GB2312" w:cs="仿宋_GB2312"/>
          <w:sz w:val="32"/>
          <w:szCs w:val="32"/>
          <w:lang w:val="zh-CN" w:eastAsia="zh-CN"/>
        </w:rPr>
        <w:t>召开人社系统各项工作会议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zh-CN" w:eastAsia="zh-CN"/>
        </w:rPr>
        <w:t>全市人社工作会议、基金监督工作会议、劳动监察支队工作会议等；</w:t>
      </w:r>
      <w:r>
        <w:rPr>
          <w:rFonts w:hint="eastAsia" w:ascii="仿宋_GB2312" w:hAnsi="仿宋_GB2312" w:eastAsia="仿宋_GB2312" w:cs="仿宋_GB2312"/>
          <w:sz w:val="32"/>
          <w:szCs w:val="32"/>
        </w:rPr>
        <w:t>开支培训费</w:t>
      </w:r>
      <w:r>
        <w:rPr>
          <w:rFonts w:hint="eastAsia" w:ascii="仿宋_GB2312" w:hAnsi="仿宋_GB2312" w:eastAsia="仿宋_GB2312" w:cs="仿宋_GB2312"/>
          <w:sz w:val="32"/>
          <w:szCs w:val="32"/>
          <w:lang w:val="en-US" w:eastAsia="zh-CN"/>
        </w:rPr>
        <w:t>0.73</w:t>
      </w:r>
      <w:r>
        <w:rPr>
          <w:rFonts w:hint="eastAsia" w:ascii="仿宋_GB2312" w:hAnsi="仿宋_GB2312" w:eastAsia="仿宋_GB2312" w:cs="仿宋_GB2312"/>
          <w:sz w:val="32"/>
          <w:szCs w:val="32"/>
        </w:rPr>
        <w:t>万元，用于开展</w:t>
      </w:r>
      <w:r>
        <w:rPr>
          <w:rFonts w:hint="eastAsia" w:ascii="仿宋_GB2312" w:hAnsi="仿宋_GB2312" w:eastAsia="仿宋_GB2312" w:cs="仿宋_GB2312"/>
          <w:sz w:val="32"/>
          <w:szCs w:val="32"/>
          <w:lang w:eastAsia="zh-CN"/>
        </w:rPr>
        <w:t>职工培训</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事业单位人员线上培</w:t>
      </w:r>
      <w:r>
        <w:rPr>
          <w:rFonts w:hint="eastAsia" w:ascii="仿宋_GB2312" w:hAnsi="仿宋_GB2312" w:eastAsia="仿宋_GB2312" w:cs="仿宋_GB2312"/>
          <w:sz w:val="32"/>
          <w:szCs w:val="32"/>
        </w:rPr>
        <w:t>训</w:t>
      </w:r>
      <w:r>
        <w:rPr>
          <w:rFonts w:hint="eastAsia" w:ascii="仿宋_GB2312" w:hAnsi="仿宋_GB2312" w:eastAsia="仿宋_GB2312" w:cs="仿宋_GB2312"/>
          <w:sz w:val="32"/>
          <w:szCs w:val="32"/>
          <w:lang w:eastAsia="zh-CN"/>
        </w:rPr>
        <w:t>、继续教育培训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本单位未举办节庆、晚会、论坛、赛事等活动。</w:t>
      </w:r>
    </w:p>
    <w:p>
      <w:pPr>
        <w:pStyle w:val="12"/>
        <w:ind w:firstLine="640" w:firstLineChars="200"/>
        <w:rPr>
          <w:rFonts w:hAnsi="黑体"/>
          <w:b w:val="0"/>
          <w:bCs/>
          <w:sz w:val="32"/>
          <w:szCs w:val="32"/>
        </w:rPr>
      </w:pPr>
      <w:r>
        <w:rPr>
          <w:rFonts w:hint="eastAsia" w:hAnsi="黑体"/>
          <w:b w:val="0"/>
          <w:bCs/>
          <w:sz w:val="32"/>
          <w:szCs w:val="32"/>
        </w:rPr>
        <w:t>十一、政府采购支出说明</w:t>
      </w:r>
    </w:p>
    <w:p>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本部门2021年度政府采购支出总额</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万元，占授予中小企业合同金额的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%；货物采购授予中小企业合同金额占货物支出金额的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%，工程采购授予中小企业合同金额占工程支出金额的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%，服务采购授予中小企业合同金额占服务支出金额的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12"/>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十二、国有资产占用情况说明</w:t>
      </w:r>
    </w:p>
    <w:p>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截至2021年12月31日，</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辆，其他用车主要是</w:t>
      </w:r>
      <w:r>
        <w:rPr>
          <w:rFonts w:hint="eastAsia" w:ascii="仿宋_GB2312" w:hAnsi="仿宋_GB2312" w:eastAsia="仿宋_GB2312" w:cs="仿宋_GB2312"/>
          <w:sz w:val="32"/>
          <w:szCs w:val="32"/>
          <w:lang w:eastAsia="zh-CN"/>
        </w:rPr>
        <w:t>用于市劳动保障监察支队执法用车。</w:t>
      </w: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pStyle w:val="12"/>
        <w:ind w:firstLine="640" w:firstLineChars="200"/>
        <w:rPr>
          <w:rFonts w:hAnsi="黑体"/>
          <w:b w:val="0"/>
          <w:bCs/>
          <w:sz w:val="32"/>
          <w:szCs w:val="32"/>
        </w:rPr>
      </w:pPr>
      <w:r>
        <w:rPr>
          <w:rFonts w:hint="eastAsia" w:hAnsi="黑体"/>
          <w:b w:val="0"/>
          <w:bCs/>
          <w:sz w:val="32"/>
          <w:szCs w:val="32"/>
        </w:rPr>
        <w:t>十三、2021年度预算绩效情况说明</w:t>
      </w:r>
    </w:p>
    <w:p>
      <w:pPr>
        <w:autoSpaceDE w:val="0"/>
        <w:autoSpaceDN w:val="0"/>
        <w:adjustRightInd w:val="0"/>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b/>
          <w:color w:val="000000"/>
          <w:kern w:val="0"/>
          <w:sz w:val="32"/>
          <w:szCs w:val="32"/>
        </w:rPr>
        <w:t>（1）绩效管理评价工作开展情况</w:t>
      </w:r>
      <w:r>
        <w:rPr>
          <w:rFonts w:hint="eastAsia" w:ascii="楷体_GB2312" w:hAnsi="楷体_GB2312" w:eastAsia="楷体_GB2312" w:cs="楷体_GB2312"/>
          <w:color w:val="000000"/>
          <w:kern w:val="0"/>
          <w:sz w:val="32"/>
          <w:szCs w:val="32"/>
        </w:rPr>
        <w:t>。</w:t>
      </w:r>
    </w:p>
    <w:p>
      <w:pPr>
        <w:autoSpaceDE w:val="0"/>
        <w:autoSpaceDN w:val="0"/>
        <w:adjustRightInd w:val="0"/>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根据预算绩效管理要求，我</w:t>
      </w:r>
      <w:r>
        <w:rPr>
          <w:rFonts w:hint="eastAsia" w:ascii="仿宋_GB2312" w:hAnsi="仿宋_GB2312" w:eastAsia="仿宋_GB2312" w:cs="仿宋_GB2312"/>
          <w:color w:val="000000"/>
          <w:kern w:val="0"/>
          <w:sz w:val="32"/>
          <w:szCs w:val="32"/>
          <w:lang w:eastAsia="zh-CN"/>
        </w:rPr>
        <w:t>单位</w:t>
      </w:r>
      <w:r>
        <w:rPr>
          <w:rFonts w:hint="eastAsia" w:ascii="仿宋_GB2312" w:hAnsi="仿宋_GB2312" w:eastAsia="仿宋_GB2312" w:cs="仿宋_GB2312"/>
          <w:color w:val="000000"/>
          <w:kern w:val="0"/>
          <w:sz w:val="32"/>
          <w:szCs w:val="32"/>
        </w:rPr>
        <w:t>组织对2021年度一般公共预算项目支出全面开展绩效自评，其中，一级项目</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个，二级项目</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个，共涉及资金</w:t>
      </w:r>
      <w:r>
        <w:rPr>
          <w:rFonts w:hint="eastAsia" w:ascii="仿宋_GB2312" w:hAnsi="仿宋_GB2312" w:eastAsia="仿宋_GB2312" w:cs="仿宋_GB2312"/>
          <w:color w:val="000000"/>
          <w:kern w:val="0"/>
          <w:sz w:val="32"/>
          <w:szCs w:val="32"/>
          <w:lang w:val="en-US" w:eastAsia="zh-CN"/>
        </w:rPr>
        <w:t>158.4</w:t>
      </w:r>
      <w:r>
        <w:rPr>
          <w:rFonts w:hint="eastAsia" w:ascii="仿宋_GB2312" w:hAnsi="仿宋_GB2312" w:eastAsia="仿宋_GB2312" w:cs="仿宋_GB2312"/>
          <w:color w:val="000000"/>
          <w:kern w:val="0"/>
          <w:sz w:val="32"/>
          <w:szCs w:val="32"/>
        </w:rPr>
        <w:t>万元，占一般公共预算项目支出总额的</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%。组织对2021年度</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个政府性基金预算项目支出开展绩效自评，共涉及资金</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万元，占政府性基金预算项目支出总额的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%。组织对2021年度</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个国有资本经营预算项目支出开展绩效自评，共涉及资金</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万元，占国有资本经营预算项目支出总额的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本单位所属二级单位，均已开展项目绩效自评和整体绩效自评，无需开展部门评价。</w:t>
      </w:r>
    </w:p>
    <w:p>
      <w:pPr>
        <w:autoSpaceDE w:val="0"/>
        <w:autoSpaceDN w:val="0"/>
        <w:adjustRightInd w:val="0"/>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组织对</w:t>
      </w:r>
      <w:r>
        <w:rPr>
          <w:rFonts w:hint="eastAsia" w:ascii="仿宋_GB2312" w:hAnsi="仿宋_GB2312" w:eastAsia="仿宋_GB2312" w:cs="仿宋_GB2312"/>
          <w:color w:val="000000"/>
          <w:kern w:val="0"/>
          <w:sz w:val="32"/>
          <w:szCs w:val="32"/>
          <w:lang w:eastAsia="zh-CN"/>
        </w:rPr>
        <w:t>永州市人力资源和社会保障局</w:t>
      </w:r>
      <w:r>
        <w:rPr>
          <w:rFonts w:hint="eastAsia" w:ascii="仿宋_GB2312" w:hAnsi="仿宋_GB2312" w:eastAsia="仿宋_GB2312" w:cs="仿宋_GB2312"/>
          <w:color w:val="000000"/>
          <w:kern w:val="0"/>
          <w:sz w:val="32"/>
          <w:szCs w:val="32"/>
        </w:rPr>
        <w:t>等</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个单位开展整体支出绩效评价，涉及一般公共预算支出</w:t>
      </w:r>
      <w:r>
        <w:rPr>
          <w:rFonts w:hint="eastAsia" w:ascii="仿宋_GB2312" w:hAnsi="仿宋_GB2312" w:eastAsia="仿宋_GB2312" w:cs="仿宋_GB2312"/>
          <w:color w:val="000000"/>
          <w:kern w:val="0"/>
          <w:sz w:val="32"/>
          <w:szCs w:val="32"/>
          <w:lang w:val="en-US" w:eastAsia="zh-CN"/>
        </w:rPr>
        <w:t>1594.95</w:t>
      </w:r>
      <w:r>
        <w:rPr>
          <w:rFonts w:hint="eastAsia" w:ascii="仿宋_GB2312" w:hAnsi="仿宋_GB2312" w:eastAsia="仿宋_GB2312" w:cs="仿宋_GB2312"/>
          <w:color w:val="000000"/>
          <w:kern w:val="0"/>
          <w:sz w:val="32"/>
          <w:szCs w:val="32"/>
        </w:rPr>
        <w:t>万元，政府性基金预算支出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万元。从评价情况来看，</w:t>
      </w:r>
      <w:r>
        <w:rPr>
          <w:rFonts w:hint="eastAsia" w:ascii="仿宋_GB2312" w:hAnsi="仿宋_GB2312" w:eastAsia="仿宋_GB2312" w:cs="仿宋_GB2312"/>
          <w:color w:val="000000"/>
          <w:kern w:val="0"/>
          <w:sz w:val="32"/>
          <w:szCs w:val="32"/>
          <w:lang w:eastAsia="zh-CN"/>
        </w:rPr>
        <w:t>能够</w:t>
      </w:r>
      <w:r>
        <w:rPr>
          <w:rFonts w:hint="eastAsia" w:ascii="仿宋_GB2312" w:hAnsi="仿宋_GB2312" w:eastAsia="仿宋_GB2312" w:cs="仿宋_GB2312"/>
          <w:color w:val="000000"/>
          <w:kern w:val="0"/>
          <w:sz w:val="32"/>
          <w:szCs w:val="32"/>
          <w:lang w:val="zh-CN" w:eastAsia="zh-CN"/>
        </w:rPr>
        <w:t>按照财政要求开展</w:t>
      </w:r>
      <w:r>
        <w:rPr>
          <w:rFonts w:hint="eastAsia" w:ascii="仿宋_GB2312" w:hAnsi="仿宋_GB2312" w:eastAsia="仿宋_GB2312" w:cs="仿宋_GB2312"/>
          <w:color w:val="000000"/>
          <w:kern w:val="0"/>
          <w:sz w:val="32"/>
          <w:szCs w:val="32"/>
          <w:lang w:val="en-US" w:eastAsia="zh-CN"/>
        </w:rPr>
        <w:t>2021年度部门整体支出资金绩效评价工作，并及时在市人社局官网进行公开，绩效良好。</w:t>
      </w:r>
    </w:p>
    <w:p>
      <w:pPr>
        <w:autoSpaceDE w:val="0"/>
        <w:autoSpaceDN w:val="0"/>
        <w:adjustRightInd w:val="0"/>
        <w:ind w:firstLine="640" w:firstLineChars="200"/>
        <w:jc w:val="left"/>
        <w:rPr>
          <w:rFonts w:hint="eastAsia" w:ascii="楷体_GB2312" w:hAnsi="楷体_GB2312" w:eastAsia="楷体_GB2312" w:cs="楷体_GB2312"/>
          <w:b/>
          <w:color w:val="000000"/>
          <w:kern w:val="0"/>
          <w:sz w:val="32"/>
          <w:szCs w:val="32"/>
        </w:rPr>
      </w:pPr>
      <w:r>
        <w:rPr>
          <w:rFonts w:hint="eastAsia" w:ascii="楷体_GB2312" w:hAnsi="楷体_GB2312" w:eastAsia="楷体_GB2312" w:cs="楷体_GB2312"/>
          <w:b/>
          <w:color w:val="000000"/>
          <w:kern w:val="0"/>
          <w:sz w:val="32"/>
          <w:szCs w:val="32"/>
        </w:rPr>
        <w:t>（2）部门决算中项目绩效自评结果。</w:t>
      </w:r>
    </w:p>
    <w:p>
      <w:pPr>
        <w:autoSpaceDE w:val="0"/>
        <w:autoSpaceDN w:val="0"/>
        <w:adjustRightInd w:val="0"/>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“金保工程”专项经费”项目绩效自评综述：根据年初设定的绩效目标，项目绩效自评得分为</w:t>
      </w:r>
      <w:r>
        <w:rPr>
          <w:rFonts w:hint="eastAsia" w:ascii="仿宋_GB2312" w:hAnsi="仿宋_GB2312" w:eastAsia="仿宋_GB2312" w:cs="仿宋_GB2312"/>
          <w:color w:val="000000"/>
          <w:kern w:val="0"/>
          <w:sz w:val="32"/>
          <w:szCs w:val="32"/>
          <w:lang w:val="en-US" w:eastAsia="zh-CN"/>
        </w:rPr>
        <w:t>97</w:t>
      </w:r>
      <w:r>
        <w:rPr>
          <w:rFonts w:hint="eastAsia" w:ascii="仿宋_GB2312" w:hAnsi="仿宋_GB2312" w:eastAsia="仿宋_GB2312" w:cs="仿宋_GB2312"/>
          <w:color w:val="000000"/>
          <w:kern w:val="0"/>
          <w:sz w:val="32"/>
          <w:szCs w:val="32"/>
        </w:rPr>
        <w:t>分。项目全年预算数为</w:t>
      </w:r>
      <w:r>
        <w:rPr>
          <w:rFonts w:hint="eastAsia" w:ascii="仿宋_GB2312" w:hAnsi="仿宋_GB2312" w:eastAsia="仿宋_GB2312" w:cs="仿宋_GB2312"/>
          <w:color w:val="000000"/>
          <w:kern w:val="0"/>
          <w:sz w:val="32"/>
          <w:szCs w:val="32"/>
          <w:lang w:val="en-US" w:eastAsia="zh-CN"/>
        </w:rPr>
        <w:t>142.4</w:t>
      </w:r>
      <w:r>
        <w:rPr>
          <w:rFonts w:hint="eastAsia" w:ascii="仿宋_GB2312" w:hAnsi="仿宋_GB2312" w:eastAsia="仿宋_GB2312" w:cs="仿宋_GB2312"/>
          <w:color w:val="000000"/>
          <w:kern w:val="0"/>
          <w:sz w:val="32"/>
          <w:szCs w:val="32"/>
        </w:rPr>
        <w:t>万元，执行数为</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万元，完成预算的</w:t>
      </w:r>
      <w:r>
        <w:rPr>
          <w:rFonts w:hint="eastAsia" w:ascii="仿宋_GB2312" w:hAnsi="仿宋_GB2312" w:eastAsia="仿宋_GB2312" w:cs="仿宋_GB2312"/>
          <w:color w:val="000000"/>
          <w:kern w:val="0"/>
          <w:sz w:val="32"/>
          <w:szCs w:val="32"/>
          <w:lang w:val="en-US" w:eastAsia="zh-CN"/>
        </w:rPr>
        <w:t>70.22</w:t>
      </w:r>
      <w:r>
        <w:rPr>
          <w:rFonts w:hint="eastAsia" w:ascii="仿宋_GB2312" w:hAnsi="仿宋_GB2312" w:eastAsia="仿宋_GB2312" w:cs="仿宋_GB2312"/>
          <w:color w:val="000000"/>
          <w:kern w:val="0"/>
          <w:sz w:val="32"/>
          <w:szCs w:val="32"/>
        </w:rPr>
        <w:t>%。项目绩效目标完成情况：一是</w:t>
      </w:r>
      <w:r>
        <w:rPr>
          <w:rFonts w:hint="eastAsia" w:ascii="仿宋_GB2312" w:hAnsi="仿宋_GB2312" w:eastAsia="仿宋_GB2312" w:cs="仿宋_GB2312"/>
          <w:color w:val="000000"/>
          <w:kern w:val="0"/>
          <w:sz w:val="32"/>
          <w:szCs w:val="32"/>
          <w:lang w:eastAsia="zh-CN"/>
        </w:rPr>
        <w:t>项目成本控制良好</w:t>
      </w:r>
      <w:r>
        <w:rPr>
          <w:rFonts w:hint="eastAsia" w:ascii="仿宋_GB2312" w:hAnsi="仿宋_GB2312" w:eastAsia="仿宋_GB2312" w:cs="仿宋_GB2312"/>
          <w:color w:val="000000"/>
          <w:kern w:val="0"/>
          <w:sz w:val="32"/>
          <w:szCs w:val="32"/>
        </w:rPr>
        <w:t>；二是</w:t>
      </w:r>
      <w:r>
        <w:rPr>
          <w:rFonts w:hint="eastAsia" w:ascii="仿宋_GB2312" w:hAnsi="仿宋_GB2312" w:eastAsia="仿宋_GB2312" w:cs="仿宋_GB2312"/>
          <w:color w:val="000000"/>
          <w:kern w:val="0"/>
          <w:sz w:val="32"/>
          <w:szCs w:val="32"/>
          <w:lang w:eastAsia="zh-CN"/>
        </w:rPr>
        <w:t>完成年初社保卡发放数量；三是发生</w:t>
      </w:r>
      <w:r>
        <w:rPr>
          <w:rFonts w:hint="eastAsia" w:ascii="仿宋_GB2312" w:hAnsi="仿宋_GB2312" w:eastAsia="仿宋_GB2312" w:cs="仿宋_GB2312"/>
          <w:color w:val="000000"/>
          <w:kern w:val="0"/>
          <w:sz w:val="32"/>
          <w:szCs w:val="32"/>
          <w:lang w:val="en-US" w:eastAsia="zh-CN"/>
        </w:rPr>
        <w:t>0件重大社保卡信息网络故障案件；四是重点工作完成及时率达100%；五是社会公众或服务对象满意度达到95%以上</w:t>
      </w:r>
      <w:r>
        <w:rPr>
          <w:rFonts w:hint="eastAsia" w:ascii="仿宋_GB2312" w:hAnsi="仿宋_GB2312" w:eastAsia="仿宋_GB2312" w:cs="仿宋_GB2312"/>
          <w:color w:val="000000"/>
          <w:kern w:val="0"/>
          <w:sz w:val="32"/>
          <w:szCs w:val="32"/>
        </w:rPr>
        <w:t>。发现的主要问题及原因：</w:t>
      </w:r>
      <w:r>
        <w:rPr>
          <w:rFonts w:hint="eastAsia" w:ascii="仿宋_GB2312" w:hAnsi="仿宋_GB2312" w:eastAsia="仿宋_GB2312" w:cs="仿宋_GB2312"/>
          <w:color w:val="000000"/>
          <w:kern w:val="0"/>
          <w:sz w:val="32"/>
          <w:szCs w:val="32"/>
          <w:lang w:eastAsia="zh-CN"/>
        </w:rPr>
        <w:t>未完成全年预算数。</w:t>
      </w:r>
      <w:r>
        <w:rPr>
          <w:rFonts w:hint="eastAsia" w:ascii="仿宋_GB2312" w:hAnsi="仿宋_GB2312" w:eastAsia="仿宋_GB2312" w:cs="仿宋_GB2312"/>
          <w:color w:val="000000"/>
          <w:kern w:val="0"/>
          <w:sz w:val="32"/>
          <w:szCs w:val="32"/>
        </w:rPr>
        <w:t>下一步改进措施：由于42.4万元合同款未满足支付条件，故结转至</w:t>
      </w:r>
      <w:r>
        <w:rPr>
          <w:rFonts w:hint="eastAsia" w:ascii="仿宋_GB2312" w:hAnsi="仿宋_GB2312" w:eastAsia="仿宋_GB2312" w:cs="仿宋_GB2312"/>
          <w:color w:val="000000"/>
          <w:kern w:val="0"/>
          <w:sz w:val="32"/>
          <w:szCs w:val="32"/>
          <w:lang w:val="en-US" w:eastAsia="zh-CN"/>
        </w:rPr>
        <w:t>2022年</w:t>
      </w:r>
      <w:r>
        <w:rPr>
          <w:rFonts w:hint="eastAsia" w:ascii="仿宋_GB2312" w:hAnsi="仿宋_GB2312" w:eastAsia="仿宋_GB2312" w:cs="仿宋_GB2312"/>
          <w:color w:val="000000"/>
          <w:kern w:val="0"/>
          <w:sz w:val="32"/>
          <w:szCs w:val="32"/>
        </w:rPr>
        <w:t>待合同满足支付条件予以支付。</w:t>
      </w:r>
    </w:p>
    <w:p>
      <w:pPr>
        <w:autoSpaceDE w:val="0"/>
        <w:autoSpaceDN w:val="0"/>
        <w:adjustRightInd w:val="0"/>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社保基金监管专项经费项目绩效自评综述：根据年初设定的绩效目标，项目绩效自评得分为</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分。项目全年预算数为</w:t>
      </w:r>
      <w:r>
        <w:rPr>
          <w:rFonts w:hint="eastAsia" w:ascii="仿宋_GB2312" w:hAnsi="仿宋_GB2312" w:eastAsia="仿宋_GB2312" w:cs="仿宋_GB2312"/>
          <w:color w:val="000000"/>
          <w:kern w:val="0"/>
          <w:sz w:val="32"/>
          <w:szCs w:val="32"/>
          <w:lang w:val="en-US" w:eastAsia="zh-CN"/>
        </w:rPr>
        <w:t>16</w:t>
      </w:r>
      <w:r>
        <w:rPr>
          <w:rFonts w:hint="eastAsia" w:ascii="仿宋_GB2312" w:hAnsi="仿宋_GB2312" w:eastAsia="仿宋_GB2312" w:cs="仿宋_GB2312"/>
          <w:color w:val="000000"/>
          <w:kern w:val="0"/>
          <w:sz w:val="32"/>
          <w:szCs w:val="32"/>
        </w:rPr>
        <w:t>万元，执行数为</w:t>
      </w:r>
      <w:r>
        <w:rPr>
          <w:rFonts w:hint="eastAsia" w:ascii="仿宋_GB2312" w:hAnsi="仿宋_GB2312" w:eastAsia="仿宋_GB2312" w:cs="仿宋_GB2312"/>
          <w:color w:val="000000"/>
          <w:kern w:val="0"/>
          <w:sz w:val="32"/>
          <w:szCs w:val="32"/>
          <w:lang w:val="en-US" w:eastAsia="zh-CN"/>
        </w:rPr>
        <w:t>16万</w:t>
      </w:r>
      <w:r>
        <w:rPr>
          <w:rFonts w:hint="eastAsia" w:ascii="仿宋_GB2312" w:hAnsi="仿宋_GB2312" w:eastAsia="仿宋_GB2312" w:cs="仿宋_GB2312"/>
          <w:color w:val="000000"/>
          <w:kern w:val="0"/>
          <w:sz w:val="32"/>
          <w:szCs w:val="32"/>
        </w:rPr>
        <w:t>元，完成预算的</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%。项目绩效目标完成情况：一是</w:t>
      </w:r>
      <w:r>
        <w:rPr>
          <w:rFonts w:hint="eastAsia" w:ascii="仿宋_GB2312" w:hAnsi="仿宋_GB2312" w:eastAsia="仿宋_GB2312" w:cs="仿宋_GB2312"/>
          <w:color w:val="000000"/>
          <w:kern w:val="0"/>
          <w:sz w:val="32"/>
          <w:szCs w:val="32"/>
          <w:lang w:eastAsia="zh-CN"/>
        </w:rPr>
        <w:t>项目成本控制在预算金额以内</w:t>
      </w:r>
      <w:r>
        <w:rPr>
          <w:rFonts w:hint="eastAsia" w:ascii="仿宋_GB2312" w:hAnsi="仿宋_GB2312" w:eastAsia="仿宋_GB2312" w:cs="仿宋_GB2312"/>
          <w:color w:val="000000"/>
          <w:kern w:val="0"/>
          <w:sz w:val="32"/>
          <w:szCs w:val="32"/>
        </w:rPr>
        <w:t>；二是</w:t>
      </w:r>
      <w:r>
        <w:rPr>
          <w:rFonts w:hint="eastAsia" w:ascii="仿宋_GB2312" w:hAnsi="仿宋_GB2312" w:eastAsia="仿宋_GB2312" w:cs="仿宋_GB2312"/>
          <w:color w:val="000000"/>
          <w:kern w:val="0"/>
          <w:sz w:val="32"/>
          <w:szCs w:val="32"/>
          <w:lang w:eastAsia="zh-CN"/>
        </w:rPr>
        <w:t>发生重大基金安全事故</w:t>
      </w:r>
      <w:r>
        <w:rPr>
          <w:rFonts w:hint="eastAsia" w:ascii="仿宋_GB2312" w:hAnsi="仿宋_GB2312" w:eastAsia="仿宋_GB2312" w:cs="仿宋_GB2312"/>
          <w:color w:val="000000"/>
          <w:kern w:val="0"/>
          <w:sz w:val="32"/>
          <w:szCs w:val="32"/>
          <w:lang w:val="en-US" w:eastAsia="zh-CN"/>
        </w:rPr>
        <w:t>0起；三是与市县区100%签订社保基金安全责任书；四是重点工作完成及时率达100%；五是基金监管要情处理率100%；六是社会公众或服务对象满意度达到95%以上</w:t>
      </w:r>
      <w:r>
        <w:rPr>
          <w:rFonts w:hint="eastAsia" w:ascii="仿宋_GB2312" w:hAnsi="仿宋_GB2312" w:eastAsia="仿宋_GB2312" w:cs="仿宋_GB2312"/>
          <w:color w:val="000000"/>
          <w:kern w:val="0"/>
          <w:sz w:val="32"/>
          <w:szCs w:val="32"/>
        </w:rPr>
        <w:t>。发现的主要问题及原因：</w:t>
      </w:r>
      <w:r>
        <w:rPr>
          <w:rFonts w:hint="eastAsia" w:ascii="仿宋_GB2312" w:hAnsi="仿宋_GB2312" w:eastAsia="仿宋_GB2312" w:cs="仿宋_GB2312"/>
          <w:color w:val="000000"/>
          <w:kern w:val="0"/>
          <w:sz w:val="32"/>
          <w:szCs w:val="32"/>
          <w:lang w:eastAsia="zh-CN"/>
        </w:rPr>
        <w:t>绩效管理工作还存在绩效目标申报不够全面，绩效指标量化不够，绩效评价手段和方法有待优化，绩效自评组织实施还不够规范等问题。</w:t>
      </w:r>
      <w:r>
        <w:rPr>
          <w:rFonts w:hint="eastAsia" w:ascii="仿宋_GB2312" w:hAnsi="仿宋_GB2312" w:eastAsia="仿宋_GB2312" w:cs="仿宋_GB2312"/>
          <w:color w:val="000000"/>
          <w:kern w:val="0"/>
          <w:sz w:val="32"/>
          <w:szCs w:val="32"/>
        </w:rPr>
        <w:t>下一步改进措施：在今后的工作中自觉加以改进和完善，同时建议市财政局加强对各市直单位财政支出绩效评价管理工作的培训和指导，以促进提高部门绩效自评质量。</w:t>
      </w:r>
    </w:p>
    <w:p>
      <w:pPr>
        <w:autoSpaceDE w:val="0"/>
        <w:autoSpaceDN w:val="0"/>
        <w:adjustRightInd w:val="0"/>
        <w:ind w:firstLine="640" w:firstLineChars="200"/>
        <w:jc w:val="left"/>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color w:val="000000"/>
          <w:kern w:val="0"/>
          <w:sz w:val="32"/>
          <w:szCs w:val="32"/>
        </w:rPr>
        <w:t>（3）部门评价项目绩效评价结果。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sz w:val="72"/>
          <w:szCs w:val="72"/>
        </w:rPr>
      </w:pPr>
      <w:r>
        <w:rPr>
          <w:rFonts w:hint="eastAsia" w:ascii="仿宋_GB2312" w:hAnsi="仿宋_GB2312" w:eastAsia="仿宋_GB2312" w:cs="仿宋_GB2312"/>
          <w:color w:val="000000"/>
          <w:kern w:val="0"/>
          <w:sz w:val="32"/>
          <w:szCs w:val="32"/>
          <w:lang w:val="en" w:eastAsia="zh-CN"/>
        </w:rPr>
        <w:t>本部门所属二级单位，均已开展项目绩效自评，无需开展部门评价，因此无</w:t>
      </w:r>
      <w:r>
        <w:rPr>
          <w:rFonts w:hint="eastAsia" w:ascii="仿宋_GB2312" w:hAnsi="仿宋_GB2312" w:eastAsia="仿宋_GB2312" w:cs="仿宋_GB2312"/>
          <w:color w:val="000000"/>
          <w:kern w:val="0"/>
          <w:sz w:val="32"/>
          <w:szCs w:val="32"/>
          <w:lang w:val="en-US" w:eastAsia="zh-CN"/>
        </w:rPr>
        <w:t>部门评价项目绩效评价结果。</w:t>
      </w:r>
    </w:p>
    <w:p>
      <w:pPr>
        <w:pStyle w:val="12"/>
        <w:jc w:val="both"/>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pStyle w:val="12"/>
        <w:jc w:val="center"/>
        <w:rPr>
          <w:rFonts w:ascii="黑体" w:eastAsia="黑体" w:cs="黑体"/>
          <w:color w:val="000000"/>
          <w:kern w:val="0"/>
          <w:sz w:val="70"/>
          <w:szCs w:val="70"/>
        </w:rPr>
      </w:pPr>
      <w:r>
        <w:rPr>
          <w:rFonts w:hint="eastAsia" w:ascii="方正小标宋_GBK" w:hAnsi="方正小标宋_GBK" w:eastAsia="方正小标宋_GBK" w:cs="方正小标宋_GBK"/>
          <w:sz w:val="72"/>
          <w:szCs w:val="7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numPr>
          <w:ilvl w:val="0"/>
          <w:numId w:val="3"/>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pPr>
        <w:widowControl/>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附件</w:t>
      </w:r>
    </w:p>
    <w:p>
      <w:pPr>
        <w:spacing w:line="600" w:lineRule="exact"/>
        <w:ind w:left="638" w:leftChars="304" w:firstLine="0" w:firstLineChars="0"/>
        <w:jc w:val="left"/>
        <w:rPr>
          <w:rFonts w:hint="eastAsia" w:ascii="仿宋_GB2312" w:hAnsi="仿宋_GB2312" w:eastAsia="仿宋_GB2312" w:cs="仿宋_GB2312"/>
          <w:color w:val="FF0000"/>
          <w:sz w:val="32"/>
          <w:szCs w:val="32"/>
          <w:lang w:eastAsia="zh-CN"/>
        </w:rPr>
      </w:pP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both"/>
        <w:rPr>
          <w:rFonts w:hint="eastAsia" w:ascii="方正小标宋简体" w:eastAsia="方正小标宋简体"/>
          <w:sz w:val="52"/>
          <w:szCs w:val="52"/>
        </w:rPr>
      </w:pPr>
    </w:p>
    <w:p>
      <w:pPr>
        <w:jc w:val="center"/>
        <w:rPr>
          <w:rFonts w:hint="eastAsia" w:ascii="方正小标宋简体" w:eastAsia="方正小标宋简体"/>
          <w:sz w:val="52"/>
          <w:szCs w:val="52"/>
          <w:lang w:eastAsia="zh-CN"/>
        </w:rPr>
      </w:pPr>
      <w:r>
        <w:rPr>
          <w:rFonts w:hint="eastAsia" w:ascii="方正小标宋简体" w:eastAsia="方正小标宋简体"/>
          <w:sz w:val="52"/>
          <w:szCs w:val="52"/>
        </w:rPr>
        <w:t>2021年度</w:t>
      </w:r>
      <w:r>
        <w:rPr>
          <w:rFonts w:hint="eastAsia" w:ascii="方正小标宋简体" w:eastAsia="方正小标宋简体"/>
          <w:sz w:val="52"/>
          <w:szCs w:val="52"/>
          <w:lang w:eastAsia="zh-CN"/>
        </w:rPr>
        <w:t>永州市人力资源和社会保障局</w:t>
      </w:r>
    </w:p>
    <w:p>
      <w:pPr>
        <w:jc w:val="center"/>
        <w:rPr>
          <w:rFonts w:hint="eastAsia" w:ascii="方正小标宋简体" w:eastAsia="方正小标宋简体"/>
          <w:sz w:val="52"/>
          <w:szCs w:val="52"/>
        </w:rPr>
      </w:pPr>
      <w:r>
        <w:rPr>
          <w:rFonts w:hint="eastAsia" w:ascii="方正小标宋简体" w:eastAsia="方正小标宋简体"/>
          <w:sz w:val="52"/>
          <w:szCs w:val="52"/>
        </w:rPr>
        <w:t>部门整体支出绩效自评报告</w:t>
      </w:r>
    </w:p>
    <w:p>
      <w:pPr>
        <w:numPr>
          <w:ilvl w:val="0"/>
          <w:numId w:val="4"/>
        </w:numPr>
        <w:spacing w:line="580" w:lineRule="exact"/>
        <w:ind w:firstLine="640" w:firstLineChars="200"/>
        <w:rPr>
          <w:rFonts w:eastAsia="黑体"/>
          <w:sz w:val="32"/>
          <w:szCs w:val="32"/>
        </w:rPr>
      </w:pPr>
      <w:r>
        <w:rPr>
          <w:rFonts w:eastAsia="黑体"/>
          <w:sz w:val="32"/>
          <w:szCs w:val="32"/>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市人力资源和社会保障局为正处级行政单位，内设办公室、法规信访科、规划财务科、就业科、专业技术人员管理科等</w:t>
      </w:r>
      <w:r>
        <w:rPr>
          <w:rFonts w:hint="eastAsia" w:ascii="仿宋" w:hAnsi="仿宋" w:eastAsia="仿宋" w:cs="仿宋"/>
          <w:sz w:val="32"/>
          <w:szCs w:val="32"/>
          <w:lang w:val="en-US" w:eastAsia="zh-CN"/>
        </w:rPr>
        <w:t>17</w:t>
      </w:r>
      <w:r>
        <w:rPr>
          <w:rFonts w:hint="eastAsia" w:ascii="仿宋" w:hAnsi="仿宋" w:eastAsia="仿宋" w:cs="仿宋"/>
          <w:sz w:val="32"/>
          <w:szCs w:val="32"/>
        </w:rPr>
        <w:t>个科室。另设机关党委、离退休人员服务科。</w:t>
      </w:r>
      <w:r>
        <w:rPr>
          <w:rFonts w:hint="eastAsia" w:ascii="仿宋" w:hAnsi="仿宋" w:eastAsia="仿宋" w:cs="仿宋"/>
          <w:sz w:val="32"/>
          <w:szCs w:val="32"/>
          <w:lang w:eastAsia="zh-CN"/>
        </w:rPr>
        <w:t>纳入我局预决算编制范围的</w:t>
      </w:r>
      <w:r>
        <w:rPr>
          <w:rFonts w:hint="eastAsia" w:ascii="仿宋" w:hAnsi="仿宋" w:eastAsia="仿宋" w:cs="仿宋"/>
          <w:sz w:val="32"/>
          <w:szCs w:val="32"/>
        </w:rPr>
        <w:t>直属单位有：市劳动保障监察支队、市劳动人事争议仲裁院、市人事考试院、</w:t>
      </w:r>
      <w:r>
        <w:rPr>
          <w:rFonts w:hint="eastAsia" w:ascii="仿宋" w:hAnsi="仿宋" w:eastAsia="仿宋" w:cs="仿宋"/>
          <w:sz w:val="32"/>
          <w:szCs w:val="32"/>
          <w:lang w:eastAsia="zh-CN"/>
        </w:rPr>
        <w:t>市统计</w:t>
      </w:r>
      <w:r>
        <w:rPr>
          <w:rFonts w:hint="eastAsia" w:ascii="仿宋" w:hAnsi="仿宋" w:eastAsia="仿宋" w:cs="仿宋"/>
          <w:sz w:val="32"/>
          <w:szCs w:val="32"/>
        </w:rPr>
        <w:t>信息中心、</w:t>
      </w:r>
      <w:r>
        <w:rPr>
          <w:rFonts w:hint="eastAsia" w:ascii="仿宋" w:hAnsi="仿宋" w:eastAsia="仿宋" w:cs="仿宋"/>
          <w:sz w:val="32"/>
          <w:szCs w:val="32"/>
          <w:lang w:eastAsia="zh-CN"/>
        </w:rPr>
        <w:t>市</w:t>
      </w:r>
      <w:r>
        <w:rPr>
          <w:rFonts w:hint="eastAsia" w:ascii="仿宋" w:hAnsi="仿宋" w:eastAsia="仿宋" w:cs="仿宋"/>
          <w:sz w:val="32"/>
          <w:szCs w:val="32"/>
        </w:rPr>
        <w:t>职业能力鉴定中心、</w:t>
      </w:r>
      <w:r>
        <w:rPr>
          <w:rFonts w:hint="eastAsia" w:ascii="仿宋" w:hAnsi="仿宋" w:eastAsia="仿宋" w:cs="仿宋"/>
          <w:sz w:val="32"/>
          <w:szCs w:val="32"/>
          <w:lang w:eastAsia="zh-CN"/>
        </w:rPr>
        <w:t>市</w:t>
      </w:r>
      <w:r>
        <w:rPr>
          <w:rFonts w:hint="eastAsia" w:ascii="仿宋" w:hAnsi="仿宋" w:eastAsia="仿宋" w:cs="仿宋"/>
          <w:sz w:val="32"/>
          <w:szCs w:val="32"/>
        </w:rPr>
        <w:t>城乡居民社保办。</w:t>
      </w:r>
      <w:r>
        <w:rPr>
          <w:rFonts w:hint="eastAsia" w:ascii="仿宋" w:hAnsi="仿宋" w:eastAsia="仿宋" w:cs="仿宋"/>
          <w:sz w:val="32"/>
          <w:szCs w:val="32"/>
          <w:lang w:val="en-US" w:eastAsia="zh-CN"/>
        </w:rPr>
        <w:t>2021年底，我局实有在职在编人员95人。</w:t>
      </w:r>
    </w:p>
    <w:p>
      <w:pPr>
        <w:pStyle w:val="13"/>
        <w:spacing w:line="58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13"/>
        <w:spacing w:line="580" w:lineRule="exact"/>
        <w:ind w:firstLine="64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2021年我局基本支出2160.26万元，占总支出的94.90%，主要用于工资福利支出1299.40万元、一般商品和服务支出500.18万元、对个人和家庭的补助支出358.70万元、办公设备购置支出1.98万元。</w:t>
      </w:r>
    </w:p>
    <w:p>
      <w:pPr>
        <w:pStyle w:val="13"/>
        <w:spacing w:line="580" w:lineRule="exact"/>
        <w:ind w:firstLine="640"/>
        <w:rPr>
          <w:rFonts w:hint="eastAsia" w:ascii="Times New Roman" w:hAnsi="Times New Roman" w:eastAsia="黑体"/>
          <w:sz w:val="32"/>
          <w:szCs w:val="32"/>
          <w:lang w:eastAsia="zh-CN"/>
        </w:rPr>
      </w:pPr>
      <w:r>
        <w:rPr>
          <w:rFonts w:hint="eastAsia" w:ascii="楷体_GB2312" w:hAnsi="楷体_GB2312" w:eastAsia="楷体_GB2312" w:cs="楷体_GB2312"/>
          <w:b/>
          <w:bCs/>
          <w:sz w:val="32"/>
          <w:szCs w:val="32"/>
        </w:rPr>
        <w:t>（二）项目支出情况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2021年我局项目支出116万元，占支出的5.10%，具体如下：</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社保基金监管等管理事务工作经费。年初预算16万元及时、足额到账，支出16万元，主要用于办公费、差旅费、会议费等开支。</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“金保工程”运转维护经费。年初预算142.4万元及时、足额到账，支出100万元，用于“金保工程”维修（护）费支出，结余42.4万元至下一年度，待满足合同支付条件予以支付。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对于项目资金的使用，我局严格按照年初预算既定的金额、范围、项目进行开支。</w:t>
      </w:r>
    </w:p>
    <w:p>
      <w:pPr>
        <w:pStyle w:val="13"/>
        <w:numPr>
          <w:ilvl w:val="0"/>
          <w:numId w:val="0"/>
        </w:numPr>
        <w:spacing w:line="58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lang w:eastAsia="zh-CN"/>
        </w:rPr>
        <w:t>三、</w:t>
      </w:r>
      <w:r>
        <w:rPr>
          <w:rFonts w:ascii="Times New Roman" w:hAnsi="Times New Roman" w:eastAsia="黑体"/>
          <w:sz w:val="32"/>
          <w:szCs w:val="32"/>
        </w:rPr>
        <w:t>政府性基金预算支出情况</w:t>
      </w:r>
    </w:p>
    <w:p>
      <w:pPr>
        <w:pStyle w:val="13"/>
        <w:numPr>
          <w:ilvl w:val="0"/>
          <w:numId w:val="0"/>
        </w:numPr>
        <w:spacing w:line="580" w:lineRule="exact"/>
        <w:ind w:leftChars="200" w:firstLine="320" w:firstLineChars="100"/>
        <w:jc w:val="both"/>
        <w:rPr>
          <w:rFonts w:hint="eastAsia" w:ascii="Times New Roman" w:hAnsi="Times New Roman" w:eastAsia="黑体"/>
          <w:color w:val="FF0000"/>
          <w:sz w:val="32"/>
          <w:szCs w:val="32"/>
          <w:lang w:eastAsia="zh-CN"/>
        </w:rPr>
      </w:pPr>
      <w:r>
        <w:rPr>
          <w:rFonts w:hint="eastAsia" w:ascii="仿宋_GB2312" w:hAnsi="仿宋_GB2312" w:eastAsia="仿宋_GB2312" w:cs="仿宋_GB2312"/>
          <w:b w:val="0"/>
          <w:bCs w:val="0"/>
          <w:color w:val="auto"/>
          <w:sz w:val="32"/>
          <w:szCs w:val="32"/>
          <w:lang w:eastAsia="zh-CN"/>
        </w:rPr>
        <w:t>本单位无政府性基金预算安排的支出。</w:t>
      </w:r>
    </w:p>
    <w:p>
      <w:pPr>
        <w:pStyle w:val="13"/>
        <w:numPr>
          <w:ilvl w:val="0"/>
          <w:numId w:val="0"/>
        </w:numPr>
        <w:spacing w:line="58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lang w:eastAsia="zh-CN"/>
        </w:rPr>
        <w:t>四、</w:t>
      </w:r>
      <w:r>
        <w:rPr>
          <w:rFonts w:ascii="Times New Roman" w:hAnsi="Times New Roman" w:eastAsia="黑体"/>
          <w:sz w:val="32"/>
          <w:szCs w:val="32"/>
        </w:rPr>
        <w:t>国有资本经营预算支出情况</w:t>
      </w:r>
    </w:p>
    <w:p>
      <w:pPr>
        <w:pStyle w:val="13"/>
        <w:numPr>
          <w:ilvl w:val="0"/>
          <w:numId w:val="0"/>
        </w:numPr>
        <w:spacing w:line="580" w:lineRule="exact"/>
        <w:ind w:leftChars="200" w:firstLine="320" w:firstLineChars="100"/>
        <w:jc w:val="both"/>
        <w:rPr>
          <w:rFonts w:hint="eastAsia" w:ascii="Times New Roman" w:hAnsi="Times New Roman" w:eastAsia="黑体"/>
          <w:color w:val="FF0000"/>
          <w:sz w:val="32"/>
          <w:szCs w:val="32"/>
          <w:lang w:eastAsia="zh-CN"/>
        </w:rPr>
      </w:pPr>
      <w:r>
        <w:rPr>
          <w:rFonts w:hint="eastAsia" w:ascii="仿宋_GB2312" w:hAnsi="仿宋_GB2312" w:eastAsia="仿宋_GB2312" w:cs="仿宋_GB2312"/>
          <w:b w:val="0"/>
          <w:bCs w:val="0"/>
          <w:color w:val="auto"/>
          <w:sz w:val="32"/>
          <w:szCs w:val="32"/>
          <w:lang w:eastAsia="zh-CN"/>
        </w:rPr>
        <w:t>本单位无国有资本经营预算安排的支出。</w:t>
      </w:r>
    </w:p>
    <w:p>
      <w:pPr>
        <w:pStyle w:val="13"/>
        <w:numPr>
          <w:ilvl w:val="0"/>
          <w:numId w:val="0"/>
        </w:numPr>
        <w:spacing w:line="58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lang w:eastAsia="zh-CN"/>
        </w:rPr>
        <w:t>五、</w:t>
      </w:r>
      <w:r>
        <w:rPr>
          <w:rFonts w:ascii="Times New Roman" w:hAnsi="Times New Roman" w:eastAsia="黑体"/>
          <w:sz w:val="32"/>
          <w:szCs w:val="32"/>
        </w:rPr>
        <w:t>社会保险基金预算支出情况</w:t>
      </w:r>
    </w:p>
    <w:p>
      <w:pPr>
        <w:pStyle w:val="13"/>
        <w:numPr>
          <w:ilvl w:val="0"/>
          <w:numId w:val="0"/>
        </w:numPr>
        <w:spacing w:line="580" w:lineRule="exact"/>
        <w:ind w:leftChars="200" w:firstLine="320" w:firstLineChars="100"/>
        <w:jc w:val="both"/>
        <w:rPr>
          <w:rFonts w:hint="eastAsia" w:ascii="仿宋_GB2312" w:hAnsi="仿宋_GB2312" w:eastAsia="仿宋_GB2312" w:cs="仿宋_GB2312"/>
          <w:color w:val="FF0000"/>
          <w:sz w:val="32"/>
          <w:szCs w:val="32"/>
          <w:lang w:eastAsia="zh-CN"/>
        </w:rPr>
      </w:pPr>
      <w:r>
        <w:rPr>
          <w:rFonts w:hint="eastAsia" w:ascii="仿宋" w:hAnsi="仿宋" w:eastAsia="仿宋" w:cs="仿宋"/>
          <w:sz w:val="32"/>
          <w:szCs w:val="32"/>
          <w:lang w:val="en-US" w:eastAsia="zh-CN"/>
        </w:rPr>
        <w:t>社保基金由我局直属事业单位市工伤保险服务中心、市社会保险服务中心、市就业服务中心经办,</w:t>
      </w:r>
      <w:r>
        <w:rPr>
          <w:rFonts w:hint="eastAsia" w:ascii="仿宋_GB2312" w:hAnsi="仿宋_GB2312" w:eastAsia="仿宋_GB2312" w:cs="仿宋_GB2312"/>
          <w:b w:val="0"/>
          <w:bCs w:val="0"/>
          <w:color w:val="auto"/>
          <w:sz w:val="32"/>
          <w:szCs w:val="32"/>
          <w:lang w:eastAsia="zh-CN"/>
        </w:rPr>
        <w:t>本单位无社会保险基金预算安排的支出。</w:t>
      </w:r>
    </w:p>
    <w:p>
      <w:pPr>
        <w:spacing w:line="580" w:lineRule="exact"/>
        <w:ind w:firstLine="640" w:firstLineChars="200"/>
        <w:jc w:val="both"/>
        <w:rPr>
          <w:rFonts w:eastAsia="黑体"/>
          <w:sz w:val="32"/>
          <w:szCs w:val="32"/>
        </w:rPr>
      </w:pPr>
      <w:r>
        <w:rPr>
          <w:rFonts w:eastAsia="黑体"/>
          <w:sz w:val="32"/>
          <w:szCs w:val="32"/>
        </w:rPr>
        <w:t>六、部门整体支出绩效情况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1、坚持学用结合，建强了人社干部队伍。</w:t>
      </w:r>
      <w:r>
        <w:rPr>
          <w:rFonts w:hint="eastAsia" w:ascii="仿宋" w:hAnsi="仿宋" w:eastAsia="仿宋" w:cs="仿宋"/>
          <w:sz w:val="32"/>
          <w:szCs w:val="32"/>
          <w:lang w:eastAsia="zh-CN"/>
        </w:rPr>
        <w:t>坚持以习近平新时代中国特色社会主义思想为指导，</w:t>
      </w:r>
      <w:r>
        <w:rPr>
          <w:rFonts w:hint="eastAsia" w:ascii="仿宋" w:hAnsi="仿宋" w:eastAsia="仿宋" w:cs="仿宋"/>
          <w:sz w:val="32"/>
          <w:szCs w:val="32"/>
        </w:rPr>
        <w:t>把党史学习教育与推动人社</w:t>
      </w:r>
      <w:r>
        <w:rPr>
          <w:rFonts w:hint="eastAsia" w:ascii="仿宋" w:hAnsi="仿宋" w:eastAsia="仿宋" w:cs="仿宋"/>
          <w:sz w:val="32"/>
          <w:szCs w:val="32"/>
          <w:lang w:eastAsia="zh-CN"/>
        </w:rPr>
        <w:t>事业</w:t>
      </w:r>
      <w:r>
        <w:rPr>
          <w:rFonts w:hint="eastAsia" w:ascii="仿宋" w:hAnsi="仿宋" w:eastAsia="仿宋" w:cs="仿宋"/>
          <w:sz w:val="32"/>
          <w:szCs w:val="32"/>
        </w:rPr>
        <w:t>高质量发展相结合，</w:t>
      </w:r>
      <w:r>
        <w:rPr>
          <w:rFonts w:hint="eastAsia" w:ascii="仿宋" w:hAnsi="仿宋" w:eastAsia="仿宋" w:cs="仿宋"/>
          <w:sz w:val="32"/>
          <w:szCs w:val="32"/>
          <w:lang w:val="en-US" w:eastAsia="zh-CN"/>
        </w:rPr>
        <w:t>对标对表省人社厅</w:t>
      </w:r>
      <w:r>
        <w:rPr>
          <w:rFonts w:hint="eastAsia" w:ascii="仿宋" w:hAnsi="仿宋" w:eastAsia="仿宋" w:cs="仿宋"/>
          <w:sz w:val="32"/>
          <w:szCs w:val="32"/>
          <w:lang w:val="en-US"/>
        </w:rPr>
        <w:t>“五型双一流”机关建设，</w:t>
      </w:r>
      <w:r>
        <w:rPr>
          <w:rFonts w:hint="eastAsia" w:ascii="仿宋" w:hAnsi="仿宋" w:eastAsia="仿宋" w:cs="仿宋"/>
          <w:sz w:val="32"/>
          <w:szCs w:val="32"/>
          <w:lang w:val="en-US" w:eastAsia="zh-CN"/>
        </w:rPr>
        <w:t>扎实开展</w:t>
      </w:r>
      <w:r>
        <w:rPr>
          <w:rFonts w:hint="eastAsia" w:ascii="仿宋" w:hAnsi="仿宋" w:eastAsia="仿宋" w:cs="仿宋"/>
          <w:sz w:val="32"/>
          <w:szCs w:val="32"/>
          <w:lang w:val="en-US"/>
        </w:rPr>
        <w:t>“五抓五比五看五提升”</w:t>
      </w:r>
      <w:r>
        <w:rPr>
          <w:rFonts w:hint="eastAsia" w:ascii="仿宋" w:hAnsi="仿宋" w:eastAsia="仿宋" w:cs="仿宋"/>
          <w:sz w:val="32"/>
          <w:szCs w:val="32"/>
          <w:lang w:val="en-US" w:eastAsia="zh-CN"/>
        </w:rPr>
        <w:t>活动，</w:t>
      </w:r>
      <w:r>
        <w:rPr>
          <w:rFonts w:hint="eastAsia" w:ascii="仿宋" w:hAnsi="仿宋" w:eastAsia="仿宋" w:cs="仿宋"/>
          <w:sz w:val="32"/>
          <w:szCs w:val="32"/>
        </w:rPr>
        <w:t>进一步提升了干部队伍政治素质、业务能力、工作作风。一是</w:t>
      </w:r>
      <w:r>
        <w:rPr>
          <w:rFonts w:hint="eastAsia" w:ascii="仿宋" w:hAnsi="仿宋" w:eastAsia="仿宋" w:cs="仿宋"/>
          <w:sz w:val="32"/>
          <w:szCs w:val="32"/>
          <w:lang w:eastAsia="zh-CN"/>
        </w:rPr>
        <w:t>强化了理论武装</w:t>
      </w:r>
      <w:r>
        <w:rPr>
          <w:rFonts w:hint="eastAsia" w:ascii="仿宋" w:hAnsi="仿宋" w:eastAsia="仿宋" w:cs="仿宋"/>
          <w:sz w:val="32"/>
          <w:szCs w:val="32"/>
        </w:rPr>
        <w:t>。按照“学党史、悟思想、办实事、开新局”的要求，</w:t>
      </w:r>
      <w:r>
        <w:rPr>
          <w:rFonts w:hint="eastAsia" w:ascii="仿宋" w:hAnsi="仿宋" w:eastAsia="仿宋" w:cs="仿宋"/>
          <w:sz w:val="32"/>
          <w:szCs w:val="32"/>
          <w:lang w:eastAsia="zh-CN"/>
        </w:rPr>
        <w:t>采取集中研讨、专题宣讲、专家授课、现场教学等方式，不断汲取百年党史的经验智慧和创新理论，武装头脑、指导实践、推动工作。组织开展局党组第一议题学习25次、中心组集中学习</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次、集中性专题辅导6次、观看专题片</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部</w:t>
      </w:r>
      <w:r>
        <w:rPr>
          <w:rFonts w:hint="eastAsia" w:ascii="仿宋" w:hAnsi="仿宋" w:eastAsia="仿宋" w:cs="仿宋"/>
          <w:sz w:val="32"/>
          <w:szCs w:val="32"/>
        </w:rPr>
        <w:t>，开展了“学党史悟初心担使命”青年人才主题活动、“带着初心去打卡”短视频大赛、“学党史·送政策·办实事·惠民生”人社业务政策宣传活动等系列活动。二是</w:t>
      </w:r>
      <w:r>
        <w:rPr>
          <w:rFonts w:hint="eastAsia" w:ascii="仿宋" w:hAnsi="仿宋" w:eastAsia="仿宋" w:cs="仿宋"/>
          <w:sz w:val="32"/>
          <w:szCs w:val="32"/>
          <w:lang w:eastAsia="zh-CN"/>
        </w:rPr>
        <w:t>加强了</w:t>
      </w:r>
      <w:r>
        <w:rPr>
          <w:rFonts w:hint="eastAsia" w:ascii="仿宋" w:hAnsi="仿宋" w:eastAsia="仿宋" w:cs="仿宋"/>
          <w:sz w:val="32"/>
          <w:szCs w:val="32"/>
        </w:rPr>
        <w:t>廉政建设。将党风廉政建设工作与业务工作同部署同推进，</w:t>
      </w:r>
      <w:r>
        <w:rPr>
          <w:rFonts w:hint="eastAsia" w:ascii="仿宋" w:hAnsi="仿宋" w:eastAsia="仿宋" w:cs="仿宋"/>
          <w:sz w:val="32"/>
          <w:szCs w:val="32"/>
          <w:lang w:val="en-US" w:eastAsia="zh-CN"/>
        </w:rPr>
        <w:t>开展</w:t>
      </w:r>
      <w:r>
        <w:rPr>
          <w:rFonts w:hint="eastAsia" w:ascii="仿宋" w:hAnsi="仿宋" w:eastAsia="仿宋" w:cs="仿宋"/>
          <w:sz w:val="32"/>
          <w:szCs w:val="32"/>
        </w:rPr>
        <w:t>净化政治生态专项警示教育活动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干部队伍作风突出问题专项整治、</w:t>
      </w:r>
      <w:r>
        <w:rPr>
          <w:rFonts w:hint="eastAsia" w:ascii="仿宋" w:hAnsi="仿宋" w:eastAsia="仿宋" w:cs="仿宋"/>
          <w:sz w:val="32"/>
          <w:szCs w:val="32"/>
        </w:rPr>
        <w:t>干部队伍作风突出问题专项整治月“雷霆”行动</w:t>
      </w:r>
      <w:r>
        <w:rPr>
          <w:rFonts w:hint="eastAsia" w:ascii="仿宋" w:hAnsi="仿宋" w:eastAsia="仿宋" w:cs="仿宋"/>
          <w:sz w:val="32"/>
          <w:szCs w:val="32"/>
          <w:lang w:eastAsia="zh-CN"/>
        </w:rPr>
        <w:t>和</w:t>
      </w:r>
      <w:r>
        <w:rPr>
          <w:rFonts w:hint="eastAsia" w:ascii="仿宋" w:hAnsi="仿宋" w:eastAsia="仿宋" w:cs="仿宋"/>
          <w:sz w:val="32"/>
          <w:szCs w:val="32"/>
        </w:rPr>
        <w:t>例行作风检查</w:t>
      </w:r>
      <w:r>
        <w:rPr>
          <w:rFonts w:hint="eastAsia" w:ascii="仿宋" w:hAnsi="仿宋" w:eastAsia="仿宋" w:cs="仿宋"/>
          <w:sz w:val="32"/>
          <w:szCs w:val="32"/>
          <w:lang w:eastAsia="zh-CN"/>
        </w:rPr>
        <w:t>、</w:t>
      </w:r>
      <w:r>
        <w:rPr>
          <w:rFonts w:hint="eastAsia" w:ascii="仿宋" w:hAnsi="仿宋" w:eastAsia="仿宋" w:cs="仿宋"/>
          <w:sz w:val="32"/>
          <w:szCs w:val="32"/>
        </w:rPr>
        <w:t>作风专项治理</w:t>
      </w:r>
      <w:r>
        <w:rPr>
          <w:rFonts w:hint="eastAsia" w:ascii="仿宋" w:hAnsi="仿宋" w:eastAsia="仿宋" w:cs="仿宋"/>
          <w:sz w:val="32"/>
          <w:szCs w:val="32"/>
          <w:lang w:eastAsia="zh-CN"/>
        </w:rPr>
        <w:t>，</w:t>
      </w:r>
      <w:r>
        <w:rPr>
          <w:rFonts w:hint="eastAsia" w:ascii="仿宋" w:hAnsi="仿宋" w:eastAsia="仿宋" w:cs="仿宋"/>
          <w:sz w:val="32"/>
          <w:szCs w:val="32"/>
        </w:rPr>
        <w:t>推动了全</w:t>
      </w:r>
      <w:r>
        <w:rPr>
          <w:rFonts w:hint="eastAsia" w:ascii="仿宋" w:hAnsi="仿宋" w:eastAsia="仿宋" w:cs="仿宋"/>
          <w:sz w:val="32"/>
          <w:szCs w:val="32"/>
          <w:lang w:eastAsia="zh-CN"/>
        </w:rPr>
        <w:t>系统</w:t>
      </w:r>
      <w:r>
        <w:rPr>
          <w:rFonts w:hint="eastAsia" w:ascii="仿宋" w:hAnsi="仿宋" w:eastAsia="仿宋" w:cs="仿宋"/>
          <w:sz w:val="32"/>
          <w:szCs w:val="32"/>
        </w:rPr>
        <w:t>作风持续改善。三是</w:t>
      </w:r>
      <w:r>
        <w:rPr>
          <w:rFonts w:hint="eastAsia" w:ascii="仿宋" w:hAnsi="仿宋" w:eastAsia="仿宋" w:cs="仿宋"/>
          <w:sz w:val="32"/>
          <w:szCs w:val="32"/>
          <w:lang w:eastAsia="zh-CN"/>
        </w:rPr>
        <w:t>深化了行风建设。</w:t>
      </w:r>
      <w:r>
        <w:rPr>
          <w:rFonts w:hint="eastAsia" w:ascii="仿宋" w:hAnsi="仿宋" w:eastAsia="仿宋" w:cs="仿宋"/>
          <w:sz w:val="32"/>
          <w:szCs w:val="32"/>
        </w:rPr>
        <w:t>以“持续推进清减压，人社服务更快办”为主题，积极推动10个“人社一件事”打包办、14个“一件事一次办”、22个高频事项提速办、30个异地事项跨省办、7个审批事项容缺办。“跑腿”越来越少、材料越来越简、时限越来越短，企业群众办事的体验持续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坚持</w:t>
      </w:r>
      <w:r>
        <w:rPr>
          <w:rFonts w:hint="eastAsia" w:ascii="仿宋" w:hAnsi="仿宋" w:eastAsia="仿宋" w:cs="仿宋"/>
          <w:sz w:val="32"/>
          <w:szCs w:val="32"/>
          <w:lang w:val="en-US" w:eastAsia="zh-CN"/>
        </w:rPr>
        <w:t>综合施策</w:t>
      </w:r>
      <w:r>
        <w:rPr>
          <w:rFonts w:hint="eastAsia" w:ascii="仿宋" w:hAnsi="仿宋" w:eastAsia="仿宋" w:cs="仿宋"/>
          <w:sz w:val="32"/>
          <w:szCs w:val="32"/>
        </w:rPr>
        <w:t>，管控了社保基金风险。按照党中央和省市决策部署要求，</w:t>
      </w:r>
      <w:r>
        <w:rPr>
          <w:rFonts w:hint="eastAsia" w:ascii="仿宋" w:hAnsi="仿宋" w:eastAsia="仿宋" w:cs="仿宋"/>
          <w:sz w:val="32"/>
          <w:szCs w:val="32"/>
          <w:lang w:eastAsia="zh-CN"/>
        </w:rPr>
        <w:t>组织各方力量</w:t>
      </w:r>
      <w:r>
        <w:rPr>
          <w:rFonts w:hint="eastAsia" w:ascii="仿宋" w:hAnsi="仿宋" w:eastAsia="仿宋" w:cs="仿宋"/>
          <w:sz w:val="32"/>
          <w:szCs w:val="32"/>
        </w:rPr>
        <w:t>，扎实开展社保基金管理问题专项整治和养老保险待遇核查“回头看”工作，切实有效地防控了社保基金风险。顺利通过人社部调研检查组的专项整治工作</w:t>
      </w:r>
      <w:r>
        <w:rPr>
          <w:rFonts w:hint="eastAsia" w:ascii="仿宋" w:hAnsi="仿宋" w:eastAsia="仿宋" w:cs="仿宋"/>
          <w:sz w:val="32"/>
          <w:szCs w:val="32"/>
          <w:lang w:val="en"/>
        </w:rPr>
        <w:t>检查</w:t>
      </w:r>
      <w:r>
        <w:rPr>
          <w:rFonts w:hint="eastAsia" w:ascii="仿宋" w:hAnsi="仿宋" w:eastAsia="仿宋" w:cs="仿宋"/>
          <w:sz w:val="32"/>
          <w:szCs w:val="32"/>
        </w:rPr>
        <w:t>，</w:t>
      </w:r>
      <w:r>
        <w:rPr>
          <w:rFonts w:hint="eastAsia" w:ascii="仿宋" w:hAnsi="仿宋" w:eastAsia="仿宋" w:cs="仿宋"/>
          <w:sz w:val="32"/>
          <w:szCs w:val="32"/>
          <w:lang w:val="en"/>
        </w:rPr>
        <w:t>并得到</w:t>
      </w:r>
      <w:r>
        <w:rPr>
          <w:rFonts w:hint="eastAsia" w:ascii="仿宋" w:hAnsi="仿宋" w:eastAsia="仿宋" w:cs="仿宋"/>
          <w:sz w:val="32"/>
          <w:szCs w:val="32"/>
        </w:rPr>
        <w:t>充分肯定。一是厘清了底数。组织</w:t>
      </w:r>
      <w:r>
        <w:rPr>
          <w:rFonts w:hint="eastAsia" w:ascii="仿宋" w:hAnsi="仿宋" w:eastAsia="仿宋" w:cs="仿宋"/>
          <w:sz w:val="32"/>
          <w:szCs w:val="32"/>
          <w:lang w:eastAsia="zh-CN"/>
        </w:rPr>
        <w:t>全市</w:t>
      </w:r>
      <w:r>
        <w:rPr>
          <w:rFonts w:hint="eastAsia" w:ascii="仿宋" w:hAnsi="仿宋" w:eastAsia="仿宋" w:cs="仿宋"/>
          <w:sz w:val="32"/>
          <w:szCs w:val="32"/>
        </w:rPr>
        <w:t>各级各部门和合作银行7万余名工作人员进行全面核查，基本摸清了城乡居民参保和持卡、死亡多领冒领、风险社保卡等情况。针对部省下发的疑点数据，核实具体情况，及时抓好整改。</w:t>
      </w:r>
      <w:r>
        <w:rPr>
          <w:rFonts w:hint="eastAsia" w:ascii="仿宋" w:hAnsi="仿宋" w:eastAsia="仿宋" w:cs="仿宋"/>
          <w:sz w:val="32"/>
          <w:szCs w:val="32"/>
          <w:lang w:eastAsia="zh-CN"/>
        </w:rPr>
        <w:t>专项整治期间</w:t>
      </w:r>
      <w:r>
        <w:rPr>
          <w:rFonts w:hint="eastAsia" w:ascii="仿宋" w:hAnsi="仿宋" w:eastAsia="仿宋" w:cs="仿宋"/>
          <w:sz w:val="32"/>
          <w:szCs w:val="32"/>
        </w:rPr>
        <w:t>，全市</w:t>
      </w:r>
      <w:r>
        <w:rPr>
          <w:rFonts w:hint="eastAsia" w:ascii="仿宋" w:hAnsi="仿宋" w:eastAsia="仿宋" w:cs="仿宋"/>
          <w:sz w:val="32"/>
          <w:szCs w:val="32"/>
          <w:lang w:eastAsia="zh-CN"/>
        </w:rPr>
        <w:t>核查</w:t>
      </w:r>
      <w:r>
        <w:rPr>
          <w:rFonts w:hint="eastAsia" w:ascii="仿宋" w:hAnsi="仿宋" w:eastAsia="仿宋" w:cs="仿宋"/>
          <w:sz w:val="32"/>
          <w:szCs w:val="32"/>
        </w:rPr>
        <w:t>省专项整治疑点数据43.1万条（含“回头看”数据）。二是</w:t>
      </w:r>
      <w:r>
        <w:rPr>
          <w:rFonts w:hint="eastAsia" w:ascii="仿宋" w:hAnsi="仿宋" w:eastAsia="仿宋" w:cs="仿宋"/>
          <w:sz w:val="32"/>
          <w:szCs w:val="32"/>
          <w:lang w:eastAsia="zh-CN"/>
        </w:rPr>
        <w:t>堵塞</w:t>
      </w:r>
      <w:r>
        <w:rPr>
          <w:rFonts w:hint="eastAsia" w:ascii="仿宋" w:hAnsi="仿宋" w:eastAsia="仿宋" w:cs="仿宋"/>
          <w:sz w:val="32"/>
          <w:szCs w:val="32"/>
        </w:rPr>
        <w:t>了</w:t>
      </w:r>
      <w:r>
        <w:rPr>
          <w:rFonts w:hint="eastAsia" w:ascii="仿宋" w:hAnsi="仿宋" w:eastAsia="仿宋" w:cs="仿宋"/>
          <w:sz w:val="32"/>
          <w:szCs w:val="32"/>
          <w:lang w:eastAsia="zh-CN"/>
        </w:rPr>
        <w:t>漏洞</w:t>
      </w:r>
      <w:r>
        <w:rPr>
          <w:rFonts w:hint="eastAsia" w:ascii="仿宋" w:hAnsi="仿宋" w:eastAsia="仿宋" w:cs="仿宋"/>
          <w:sz w:val="32"/>
          <w:szCs w:val="32"/>
        </w:rPr>
        <w:t>。对照养老保险当前存在的问题，举一反三将完善制度范围延伸至社保基金各大险种，联合相关部门出台了《关于建立社会保险基金管理风险防控数据共享比对工作机制的通知》、《永州市劳动能力鉴定工作规则（试行）》、《永州市工伤认定工作规程》等一系列文件，切实补齐制度机制的空白。</w:t>
      </w:r>
      <w:r>
        <w:rPr>
          <w:rFonts w:hint="eastAsia" w:ascii="仿宋" w:hAnsi="仿宋" w:eastAsia="仿宋" w:cs="仿宋"/>
          <w:sz w:val="32"/>
          <w:szCs w:val="32"/>
          <w:lang w:val="en-US" w:eastAsia="zh-CN"/>
        </w:rPr>
        <w:t>三是整改了问题。</w:t>
      </w:r>
      <w:r>
        <w:rPr>
          <w:rFonts w:hint="eastAsia" w:ascii="仿宋" w:hAnsi="仿宋" w:eastAsia="仿宋" w:cs="仿宋"/>
          <w:sz w:val="32"/>
          <w:szCs w:val="32"/>
        </w:rPr>
        <w:t>坚持全面动员、跟踪督导</w:t>
      </w:r>
      <w:r>
        <w:rPr>
          <w:rFonts w:hint="eastAsia" w:ascii="仿宋" w:hAnsi="仿宋" w:eastAsia="仿宋" w:cs="仿宋"/>
          <w:sz w:val="32"/>
          <w:szCs w:val="32"/>
          <w:lang w:eastAsia="zh-CN"/>
        </w:rPr>
        <w:t>，切实抓好问题整改和资金追缴</w:t>
      </w:r>
      <w:r>
        <w:rPr>
          <w:rFonts w:hint="eastAsia" w:ascii="仿宋" w:hAnsi="仿宋" w:eastAsia="仿宋" w:cs="仿宋"/>
          <w:sz w:val="32"/>
          <w:szCs w:val="32"/>
        </w:rPr>
        <w:t>，确保了整改成效。全市城乡居民基本养老保险和灵活就业人员企业职保待遇核查“回头看”、疑似风险社保卡等整改完成</w:t>
      </w:r>
      <w:r>
        <w:rPr>
          <w:rFonts w:hint="eastAsia" w:ascii="仿宋" w:hAnsi="仿宋" w:eastAsia="仿宋" w:cs="仿宋"/>
          <w:sz w:val="32"/>
          <w:szCs w:val="32"/>
          <w:lang w:eastAsia="zh-CN"/>
        </w:rPr>
        <w:t>率</w:t>
      </w:r>
      <w:r>
        <w:rPr>
          <w:rFonts w:hint="eastAsia" w:ascii="仿宋" w:hAnsi="仿宋" w:eastAsia="仿宋" w:cs="仿宋"/>
          <w:sz w:val="32"/>
          <w:szCs w:val="32"/>
        </w:rPr>
        <w:t>均达100%。我市在养老保险待遇核查“回头看”</w:t>
      </w:r>
      <w:r>
        <w:rPr>
          <w:rFonts w:hint="eastAsia" w:ascii="仿宋" w:hAnsi="仿宋" w:eastAsia="仿宋" w:cs="仿宋"/>
          <w:sz w:val="32"/>
          <w:szCs w:val="32"/>
          <w:lang w:eastAsia="zh-CN"/>
        </w:rPr>
        <w:t>工作</w:t>
      </w:r>
      <w:r>
        <w:rPr>
          <w:rFonts w:hint="eastAsia" w:ascii="仿宋" w:hAnsi="仿宋" w:eastAsia="仿宋" w:cs="仿宋"/>
          <w:sz w:val="32"/>
          <w:szCs w:val="32"/>
        </w:rPr>
        <w:t>“三个走在前”经验，被全省专项整治工作专报刊登，向全省推介。</w:t>
      </w:r>
      <w:r>
        <w:rPr>
          <w:rFonts w:hint="eastAsia" w:ascii="仿宋" w:hAnsi="仿宋" w:eastAsia="仿宋" w:cs="仿宋"/>
          <w:sz w:val="32"/>
          <w:szCs w:val="32"/>
          <w:lang w:val="en-US" w:eastAsia="zh-CN"/>
        </w:rPr>
        <w:t>四是教育了干部。</w:t>
      </w:r>
      <w:r>
        <w:rPr>
          <w:rFonts w:hint="eastAsia" w:ascii="仿宋" w:hAnsi="仿宋" w:eastAsia="仿宋" w:cs="仿宋"/>
          <w:sz w:val="32"/>
          <w:szCs w:val="32"/>
        </w:rPr>
        <w:t>结合“五型双一流”机关创建和“七个一”警示教育两个主题活动，扎实开展</w:t>
      </w:r>
      <w:r>
        <w:rPr>
          <w:rFonts w:hint="eastAsia" w:ascii="仿宋" w:hAnsi="仿宋" w:eastAsia="仿宋" w:cs="仿宋"/>
          <w:sz w:val="32"/>
          <w:szCs w:val="32"/>
          <w:lang w:val="en"/>
        </w:rPr>
        <w:t>人社干部队伍作风整顿</w:t>
      </w:r>
      <w:r>
        <w:rPr>
          <w:rFonts w:hint="eastAsia" w:ascii="仿宋" w:hAnsi="仿宋" w:eastAsia="仿宋" w:cs="仿宋"/>
          <w:sz w:val="32"/>
          <w:szCs w:val="32"/>
        </w:rPr>
        <w:t>，以案促改、以案施教</w:t>
      </w:r>
      <w:r>
        <w:rPr>
          <w:rFonts w:hint="eastAsia" w:ascii="仿宋" w:hAnsi="仿宋" w:eastAsia="仿宋" w:cs="仿宋"/>
          <w:sz w:val="32"/>
          <w:szCs w:val="32"/>
          <w:lang w:eastAsia="zh-CN"/>
        </w:rPr>
        <w:t>，</w:t>
      </w:r>
      <w:r>
        <w:rPr>
          <w:rFonts w:hint="eastAsia" w:ascii="仿宋" w:hAnsi="仿宋" w:eastAsia="仿宋" w:cs="仿宋"/>
          <w:sz w:val="32"/>
          <w:szCs w:val="32"/>
        </w:rPr>
        <w:t>进一步增强党员干部的廉洁从政意识</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val="en-US"/>
        </w:rPr>
        <w:t>坚持多措并举</w:t>
      </w:r>
      <w:r>
        <w:rPr>
          <w:rFonts w:hint="eastAsia" w:ascii="仿宋" w:hAnsi="仿宋" w:eastAsia="仿宋" w:cs="仿宋"/>
          <w:sz w:val="32"/>
          <w:szCs w:val="32"/>
        </w:rPr>
        <w:t>，保持了就业形势稳定。</w:t>
      </w:r>
      <w:r>
        <w:rPr>
          <w:rFonts w:hint="eastAsia" w:ascii="仿宋" w:hAnsi="仿宋" w:eastAsia="仿宋" w:cs="仿宋"/>
          <w:sz w:val="32"/>
          <w:szCs w:val="32"/>
          <w:lang w:eastAsia="zh-CN"/>
        </w:rPr>
        <w:t>组织</w:t>
      </w:r>
      <w:r>
        <w:rPr>
          <w:rFonts w:hint="eastAsia" w:ascii="仿宋" w:hAnsi="仿宋" w:eastAsia="仿宋" w:cs="仿宋"/>
          <w:sz w:val="32"/>
          <w:szCs w:val="32"/>
        </w:rPr>
        <w:t>开展“送政策、送岗位、送培训、送创贷，进企业、进校园、进社区、进家门”“四送四进”稳就业专项行动，促进</w:t>
      </w:r>
      <w:r>
        <w:rPr>
          <w:rFonts w:hint="eastAsia" w:ascii="仿宋" w:hAnsi="仿宋" w:eastAsia="仿宋" w:cs="仿宋"/>
          <w:sz w:val="32"/>
          <w:szCs w:val="32"/>
          <w:lang w:eastAsia="zh-CN"/>
        </w:rPr>
        <w:t>了</w:t>
      </w:r>
      <w:r>
        <w:rPr>
          <w:rFonts w:hint="eastAsia" w:ascii="仿宋" w:hAnsi="仿宋" w:eastAsia="仿宋" w:cs="仿宋"/>
          <w:sz w:val="32"/>
          <w:szCs w:val="32"/>
        </w:rPr>
        <w:t>全市就业形势稳中向好。被列为省政府2021年重点工作综合大督查典型经验给予通报表扬</w:t>
      </w:r>
      <w:r>
        <w:rPr>
          <w:rFonts w:hint="eastAsia" w:ascii="仿宋" w:hAnsi="仿宋" w:eastAsia="仿宋" w:cs="仿宋"/>
          <w:sz w:val="32"/>
          <w:szCs w:val="32"/>
          <w:lang w:eastAsia="zh-CN"/>
        </w:rPr>
        <w:t>。一</w:t>
      </w:r>
      <w:r>
        <w:rPr>
          <w:rFonts w:hint="eastAsia" w:ascii="仿宋" w:hAnsi="仿宋" w:eastAsia="仿宋" w:cs="仿宋"/>
          <w:sz w:val="32"/>
          <w:szCs w:val="32"/>
        </w:rPr>
        <w:t>是</w:t>
      </w:r>
      <w:r>
        <w:rPr>
          <w:rFonts w:hint="eastAsia" w:ascii="仿宋" w:hAnsi="仿宋" w:eastAsia="仿宋" w:cs="仿宋"/>
          <w:sz w:val="32"/>
          <w:szCs w:val="32"/>
          <w:lang w:eastAsia="zh-CN"/>
        </w:rPr>
        <w:t>着力保障重点群体就业。</w:t>
      </w:r>
      <w:r>
        <w:rPr>
          <w:rFonts w:hint="eastAsia" w:ascii="仿宋" w:hAnsi="仿宋" w:eastAsia="仿宋" w:cs="仿宋"/>
          <w:sz w:val="32"/>
          <w:szCs w:val="32"/>
        </w:rPr>
        <w:t>截至12月底，全市城镇新增就业5.53万人，完成率102.44%，超额完成目标任务；调查失业率持续降低，由2020年上半年6.1%降至2021年三季度的5.3%，在同类市州并列第二</w:t>
      </w:r>
      <w:r>
        <w:rPr>
          <w:rFonts w:hint="eastAsia" w:ascii="仿宋" w:hAnsi="仿宋" w:eastAsia="仿宋" w:cs="仿宋"/>
          <w:sz w:val="32"/>
          <w:szCs w:val="32"/>
          <w:lang w:eastAsia="zh-CN"/>
        </w:rPr>
        <w:t>。二是</w:t>
      </w:r>
      <w:r>
        <w:rPr>
          <w:rFonts w:hint="eastAsia" w:ascii="仿宋" w:hAnsi="仿宋" w:eastAsia="仿宋" w:cs="仿宋"/>
          <w:sz w:val="32"/>
          <w:szCs w:val="32"/>
        </w:rPr>
        <w:t>持续优化</w:t>
      </w:r>
      <w:r>
        <w:rPr>
          <w:rFonts w:hint="eastAsia" w:ascii="仿宋" w:hAnsi="仿宋" w:eastAsia="仿宋" w:cs="仿宋"/>
          <w:sz w:val="32"/>
          <w:szCs w:val="32"/>
          <w:lang w:eastAsia="zh-CN"/>
        </w:rPr>
        <w:t>企业用工</w:t>
      </w:r>
      <w:r>
        <w:rPr>
          <w:rFonts w:hint="eastAsia" w:ascii="仿宋" w:hAnsi="仿宋" w:eastAsia="仿宋" w:cs="仿宋"/>
          <w:sz w:val="32"/>
          <w:szCs w:val="32"/>
        </w:rPr>
        <w:t>服务。出台服务园区企业用工25条硬核措施，开展服务园区企业用工服务专项行动；在全省率先推行失业保险稳岗返还“免申即享”，返还率达100%；打造“永州智慧就业”平台升级版，平台日流览量超过2万人次</w:t>
      </w:r>
      <w:r>
        <w:rPr>
          <w:rFonts w:hint="eastAsia" w:ascii="仿宋" w:hAnsi="仿宋" w:eastAsia="仿宋" w:cs="仿宋"/>
          <w:sz w:val="32"/>
          <w:szCs w:val="32"/>
          <w:lang w:eastAsia="zh-CN"/>
        </w:rPr>
        <w:t>。三是大力支持创新创业活动。全市</w:t>
      </w:r>
      <w:r>
        <w:rPr>
          <w:rFonts w:hint="eastAsia" w:ascii="仿宋" w:hAnsi="仿宋" w:eastAsia="仿宋" w:cs="仿宋"/>
          <w:sz w:val="32"/>
          <w:szCs w:val="32"/>
        </w:rPr>
        <w:t>发放创业担保贷款5.23亿，居全省第一；完成青年见习2319人、就业帮扶车间951家；在马兰花创业培训讲师大赛中获国家级奖项1个、省级奖项3个；</w:t>
      </w:r>
      <w:r>
        <w:rPr>
          <w:rFonts w:hint="eastAsia" w:ascii="仿宋" w:hAnsi="仿宋" w:eastAsia="仿宋" w:cs="仿宋"/>
          <w:sz w:val="32"/>
          <w:szCs w:val="32"/>
          <w:lang w:eastAsia="zh-CN"/>
        </w:rPr>
        <w:t>我市</w:t>
      </w:r>
      <w:r>
        <w:rPr>
          <w:rFonts w:hint="eastAsia" w:ascii="仿宋" w:hAnsi="仿宋" w:eastAsia="仿宋" w:cs="仿宋"/>
          <w:sz w:val="32"/>
          <w:szCs w:val="32"/>
        </w:rPr>
        <w:t>1名选手参加湖南省代表队出征首届全国人力资源服务大赛。今年5次在全省就业工作会议上作典型发言。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坚持惠民利民，提升了民生保障水平。认真</w:t>
      </w:r>
      <w:r>
        <w:rPr>
          <w:rFonts w:hint="eastAsia" w:ascii="仿宋" w:hAnsi="仿宋" w:eastAsia="仿宋" w:cs="仿宋"/>
          <w:sz w:val="32"/>
          <w:szCs w:val="32"/>
          <w:lang w:eastAsia="zh-CN"/>
        </w:rPr>
        <w:t>落实</w:t>
      </w:r>
      <w:r>
        <w:rPr>
          <w:rFonts w:hint="eastAsia" w:ascii="仿宋" w:hAnsi="仿宋" w:eastAsia="仿宋" w:cs="仿宋"/>
          <w:sz w:val="32"/>
          <w:szCs w:val="32"/>
        </w:rPr>
        <w:t>全民参保行动、工伤保险省级统筹、重点民生实事工作。一是持续推进社保扩面。通过加强政策宣传引导，争取适龄人员应保尽保，全力做好全民参保工作。出台《永州市推进工伤保险省级统筹工作实施方案》，在全省率先完成工伤保险省级统筹任务，市级统收统支被点评为“永州模式”，在全省推广。二是继续落实惠民政策。贯彻落实社保减负政策，切实为企、为民办实事，延长阶段性降费率政策。全市养老、工伤、失业三项社会保险为企业减负4.64亿元（养老保险2.4亿，工伤保险1.3亿，失业保险0.94亿）。三是</w:t>
      </w:r>
      <w:r>
        <w:rPr>
          <w:rFonts w:hint="eastAsia" w:ascii="仿宋" w:hAnsi="仿宋" w:eastAsia="仿宋" w:cs="仿宋"/>
          <w:sz w:val="32"/>
          <w:szCs w:val="32"/>
          <w:lang w:eastAsia="zh-CN"/>
        </w:rPr>
        <w:t>着力增进</w:t>
      </w:r>
      <w:r>
        <w:rPr>
          <w:rFonts w:hint="eastAsia" w:ascii="仿宋" w:hAnsi="仿宋" w:eastAsia="仿宋" w:cs="仿宋"/>
          <w:sz w:val="32"/>
          <w:szCs w:val="32"/>
        </w:rPr>
        <w:t>民生</w:t>
      </w:r>
      <w:r>
        <w:rPr>
          <w:rFonts w:hint="eastAsia" w:ascii="仿宋" w:hAnsi="仿宋" w:eastAsia="仿宋" w:cs="仿宋"/>
          <w:sz w:val="32"/>
          <w:szCs w:val="32"/>
          <w:lang w:eastAsia="zh-CN"/>
        </w:rPr>
        <w:t>福祉</w:t>
      </w:r>
      <w:r>
        <w:rPr>
          <w:rFonts w:hint="eastAsia" w:ascii="仿宋" w:hAnsi="仿宋" w:eastAsia="仿宋" w:cs="仿宋"/>
          <w:sz w:val="32"/>
          <w:szCs w:val="32"/>
        </w:rPr>
        <w:t>。</w:t>
      </w:r>
      <w:r>
        <w:rPr>
          <w:rFonts w:hint="eastAsia" w:ascii="仿宋" w:hAnsi="仿宋" w:eastAsia="仿宋" w:cs="仿宋"/>
          <w:sz w:val="32"/>
          <w:szCs w:val="32"/>
          <w:lang w:val="en-US"/>
        </w:rPr>
        <w:t>聚焦群众急难愁盼问题，扎实推进重点民生实事项目和“六位”建设，2021年重点民生实事23个项目24项指标任务和“六位”建设18项指标全面完成。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坚持规范管理，壮大了各类人才队伍。</w:t>
      </w:r>
      <w:r>
        <w:rPr>
          <w:rFonts w:hint="eastAsia" w:ascii="仿宋" w:hAnsi="仿宋" w:eastAsia="仿宋" w:cs="仿宋"/>
          <w:sz w:val="32"/>
          <w:szCs w:val="32"/>
          <w:lang w:eastAsia="zh-CN"/>
        </w:rPr>
        <w:t>一是抓好</w:t>
      </w:r>
      <w:r>
        <w:rPr>
          <w:rFonts w:hint="eastAsia" w:ascii="仿宋" w:hAnsi="仿宋" w:eastAsia="仿宋" w:cs="仿宋"/>
          <w:sz w:val="32"/>
          <w:szCs w:val="32"/>
        </w:rPr>
        <w:t>了关键人才引进。以我市优势产业、新兴产业为重点，引进关键人才</w:t>
      </w:r>
      <w:r>
        <w:rPr>
          <w:rFonts w:hint="eastAsia" w:ascii="仿宋" w:hAnsi="仿宋" w:eastAsia="仿宋" w:cs="仿宋"/>
          <w:sz w:val="32"/>
          <w:szCs w:val="32"/>
          <w:lang w:val="en-US" w:eastAsia="zh-CN"/>
        </w:rPr>
        <w:t>34</w:t>
      </w:r>
      <w:r>
        <w:rPr>
          <w:rFonts w:hint="eastAsia" w:ascii="仿宋" w:hAnsi="仿宋" w:eastAsia="仿宋" w:cs="仿宋"/>
          <w:sz w:val="32"/>
          <w:szCs w:val="32"/>
        </w:rPr>
        <w:t>名，其中博士2</w:t>
      </w:r>
      <w:r>
        <w:rPr>
          <w:rFonts w:hint="eastAsia" w:ascii="仿宋" w:hAnsi="仿宋" w:eastAsia="仿宋" w:cs="仿宋"/>
          <w:sz w:val="32"/>
          <w:szCs w:val="32"/>
          <w:lang w:val="en-US" w:eastAsia="zh-CN"/>
        </w:rPr>
        <w:t>8</w:t>
      </w:r>
      <w:r>
        <w:rPr>
          <w:rFonts w:hint="eastAsia" w:ascii="仿宋" w:hAnsi="仿宋" w:eastAsia="仿宋" w:cs="仿宋"/>
          <w:sz w:val="32"/>
          <w:szCs w:val="32"/>
        </w:rPr>
        <w:t>人，硕士6人；</w:t>
      </w:r>
      <w:r>
        <w:rPr>
          <w:rFonts w:hint="eastAsia" w:ascii="仿宋" w:hAnsi="仿宋" w:eastAsia="仿宋" w:cs="仿宋"/>
          <w:sz w:val="32"/>
          <w:szCs w:val="32"/>
          <w:lang w:val="en-US" w:eastAsia="zh-CN"/>
        </w:rPr>
        <w:t>3人入选湖南省2021年度引进100名关键人才人选</w:t>
      </w:r>
      <w:r>
        <w:rPr>
          <w:rFonts w:hint="eastAsia" w:ascii="仿宋" w:hAnsi="仿宋" w:eastAsia="仿宋" w:cs="仿宋"/>
          <w:sz w:val="32"/>
          <w:szCs w:val="32"/>
        </w:rPr>
        <w:t>。中古生物技术有限公司和湖南熙可食品公司获评省级博士后科研流动协作研发中心</w:t>
      </w:r>
      <w:r>
        <w:rPr>
          <w:rFonts w:hint="eastAsia" w:ascii="仿宋" w:hAnsi="仿宋" w:eastAsia="仿宋" w:cs="仿宋"/>
          <w:sz w:val="32"/>
          <w:szCs w:val="32"/>
          <w:lang w:eastAsia="zh-CN"/>
        </w:rPr>
        <w:t>。二</w:t>
      </w:r>
      <w:r>
        <w:rPr>
          <w:rFonts w:hint="eastAsia" w:ascii="仿宋" w:hAnsi="仿宋" w:eastAsia="仿宋" w:cs="仿宋"/>
          <w:sz w:val="32"/>
          <w:szCs w:val="32"/>
        </w:rPr>
        <w:t>是壮大了技能人才队伍。建立全市职业技能培训开班计划月度统一发布机制，方便</w:t>
      </w:r>
      <w:r>
        <w:rPr>
          <w:rFonts w:hint="eastAsia" w:ascii="仿宋" w:hAnsi="仿宋" w:eastAsia="仿宋" w:cs="仿宋"/>
          <w:sz w:val="32"/>
          <w:szCs w:val="32"/>
          <w:lang w:eastAsia="zh-CN"/>
        </w:rPr>
        <w:t>了</w:t>
      </w:r>
      <w:r>
        <w:rPr>
          <w:rFonts w:hint="eastAsia" w:ascii="仿宋" w:hAnsi="仿宋" w:eastAsia="仿宋" w:cs="仿宋"/>
          <w:sz w:val="32"/>
          <w:szCs w:val="32"/>
        </w:rPr>
        <w:t>城乡各类劳动者参加培训。全市完成政府补贴性职业技能培训12.46万人次，超额完成省定民生实事任务。</w:t>
      </w:r>
      <w:r>
        <w:rPr>
          <w:rFonts w:hint="eastAsia" w:ascii="仿宋" w:hAnsi="仿宋" w:eastAsia="仿宋" w:cs="仿宋"/>
          <w:sz w:val="32"/>
          <w:szCs w:val="32"/>
          <w:lang w:eastAsia="zh-CN"/>
        </w:rPr>
        <w:t>三</w:t>
      </w:r>
      <w:r>
        <w:rPr>
          <w:rFonts w:hint="eastAsia" w:ascii="仿宋" w:hAnsi="仿宋" w:eastAsia="仿宋" w:cs="仿宋"/>
          <w:sz w:val="32"/>
          <w:szCs w:val="32"/>
        </w:rPr>
        <w:t>是提升了人事管理服务。切实做好事业单位公开招聘、年度考核、人才统计、岗位管理工作，顺利完成工勤人员转岗考试和“三支一扶”考试任务。严格执行义务教育教师基本工资和绩效工资标准，全力保障义务教育工资待遇，提升了农村教师职业吸引力。严格执行《湖南省评比达标表彰活动管理实施细则》，按要求申报市级评比达标表彰项目2项，县市区评比达标表彰项目8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坚持维护稳定，巩固了和谐劳动关系。一是持续完善劳动关系协调机制。加强劳动用工备案管理，从用工源头维护劳动者权益。截至</w:t>
      </w:r>
      <w:r>
        <w:rPr>
          <w:rFonts w:hint="eastAsia" w:ascii="仿宋" w:hAnsi="仿宋" w:eastAsia="仿宋" w:cs="仿宋"/>
          <w:sz w:val="32"/>
          <w:szCs w:val="32"/>
          <w:lang w:val="en-US" w:eastAsia="zh-CN"/>
        </w:rPr>
        <w:t>12</w:t>
      </w:r>
      <w:r>
        <w:rPr>
          <w:rFonts w:hint="eastAsia" w:ascii="仿宋" w:hAnsi="仿宋" w:eastAsia="仿宋" w:cs="仿宋"/>
          <w:sz w:val="32"/>
          <w:szCs w:val="32"/>
        </w:rPr>
        <w:t>月底，全市劳动用工备案企业累计</w:t>
      </w:r>
      <w:r>
        <w:rPr>
          <w:rFonts w:hint="eastAsia" w:ascii="仿宋" w:hAnsi="仿宋" w:eastAsia="仿宋" w:cs="仿宋"/>
          <w:sz w:val="32"/>
          <w:szCs w:val="32"/>
          <w:lang w:val="en-US" w:eastAsia="zh-CN"/>
        </w:rPr>
        <w:t>6654家，备案劳动者人数44.8238</w:t>
      </w:r>
      <w:r>
        <w:rPr>
          <w:rFonts w:hint="eastAsia" w:ascii="仿宋" w:hAnsi="仿宋" w:eastAsia="仿宋" w:cs="仿宋"/>
          <w:sz w:val="32"/>
          <w:szCs w:val="32"/>
          <w:lang w:eastAsia="zh-CN"/>
        </w:rPr>
        <w:t>万</w:t>
      </w:r>
      <w:r>
        <w:rPr>
          <w:rFonts w:hint="eastAsia" w:ascii="仿宋" w:hAnsi="仿宋" w:eastAsia="仿宋" w:cs="仿宋"/>
          <w:sz w:val="32"/>
          <w:szCs w:val="32"/>
        </w:rPr>
        <w:t>人次。二是切实加强劳动仲裁调解。劳动人事争议仲裁案件结案率、调解率</w:t>
      </w:r>
      <w:r>
        <w:rPr>
          <w:rFonts w:hint="eastAsia" w:ascii="仿宋" w:hAnsi="仿宋" w:eastAsia="仿宋" w:cs="仿宋"/>
          <w:sz w:val="32"/>
          <w:szCs w:val="32"/>
          <w:lang w:eastAsia="zh-CN"/>
        </w:rPr>
        <w:t>、</w:t>
      </w:r>
      <w:r>
        <w:rPr>
          <w:rFonts w:hint="eastAsia" w:ascii="仿宋" w:hAnsi="仿宋" w:eastAsia="仿宋" w:cs="仿宋"/>
          <w:sz w:val="32"/>
          <w:szCs w:val="32"/>
        </w:rPr>
        <w:t>仲裁终结率</w:t>
      </w:r>
      <w:r>
        <w:rPr>
          <w:rFonts w:hint="eastAsia" w:ascii="仿宋" w:hAnsi="仿宋" w:eastAsia="仿宋" w:cs="仿宋"/>
          <w:sz w:val="32"/>
          <w:szCs w:val="32"/>
          <w:lang w:eastAsia="zh-CN"/>
        </w:rPr>
        <w:t>分别达</w:t>
      </w:r>
      <w:r>
        <w:rPr>
          <w:rFonts w:hint="eastAsia" w:ascii="仿宋" w:hAnsi="仿宋" w:eastAsia="仿宋" w:cs="仿宋"/>
          <w:sz w:val="32"/>
          <w:szCs w:val="32"/>
          <w:lang w:val="en-US" w:eastAsia="zh-CN"/>
        </w:rPr>
        <w:t>98.5%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73.2%</w:t>
      </w:r>
      <w:r>
        <w:rPr>
          <w:rFonts w:hint="eastAsia" w:ascii="仿宋" w:hAnsi="仿宋" w:eastAsia="仿宋" w:cs="仿宋"/>
          <w:sz w:val="32"/>
          <w:szCs w:val="32"/>
        </w:rPr>
        <w:t>、</w:t>
      </w:r>
      <w:r>
        <w:rPr>
          <w:rFonts w:hint="eastAsia" w:ascii="仿宋" w:hAnsi="仿宋" w:eastAsia="仿宋" w:cs="仿宋"/>
          <w:sz w:val="32"/>
          <w:szCs w:val="32"/>
          <w:lang w:val="en-US" w:eastAsia="zh-CN"/>
        </w:rPr>
        <w:t>75.5%</w:t>
      </w:r>
      <w:r>
        <w:rPr>
          <w:rFonts w:hint="eastAsia" w:ascii="仿宋" w:hAnsi="仿宋" w:eastAsia="仿宋" w:cs="仿宋"/>
          <w:sz w:val="32"/>
          <w:szCs w:val="32"/>
        </w:rPr>
        <w:t>，超额完成省定任务。市劳动人事争议仲裁院被评为“2021年度劳动人事争议调解仲裁先进单位”。三是全力推进根治欠薪工作。通过开通信息“直通车”、开展“我为群众送政策”和“我为群众解薪忧”专项行动、实行领导包案化解、将根治欠薪长效机制建设纳入全市建筑工地文明创建等方式抓好根治欠薪工作，巩固了和谐劳动关系。截至1</w:t>
      </w:r>
      <w:r>
        <w:rPr>
          <w:rFonts w:hint="eastAsia" w:ascii="仿宋" w:hAnsi="仿宋" w:eastAsia="仿宋" w:cs="仿宋"/>
          <w:sz w:val="32"/>
          <w:szCs w:val="32"/>
          <w:lang w:val="en-US" w:eastAsia="zh-CN"/>
        </w:rPr>
        <w:t>2</w:t>
      </w:r>
      <w:r>
        <w:rPr>
          <w:rFonts w:hint="eastAsia" w:ascii="仿宋" w:hAnsi="仿宋" w:eastAsia="仿宋" w:cs="仿宋"/>
          <w:sz w:val="32"/>
          <w:szCs w:val="32"/>
        </w:rPr>
        <w:t>月底，全市接到省以上根治欠薪平台移送案件线索1</w:t>
      </w:r>
      <w:r>
        <w:rPr>
          <w:rFonts w:hint="eastAsia" w:ascii="仿宋" w:hAnsi="仿宋" w:eastAsia="仿宋" w:cs="仿宋"/>
          <w:sz w:val="32"/>
          <w:szCs w:val="32"/>
          <w:lang w:val="en-US" w:eastAsia="zh-CN"/>
        </w:rPr>
        <w:t>340</w:t>
      </w:r>
      <w:r>
        <w:rPr>
          <w:rFonts w:hint="eastAsia" w:ascii="仿宋" w:hAnsi="仿宋" w:eastAsia="仿宋" w:cs="仿宋"/>
          <w:sz w:val="32"/>
          <w:szCs w:val="32"/>
        </w:rPr>
        <w:t>件，办结</w:t>
      </w:r>
      <w:r>
        <w:rPr>
          <w:rFonts w:hint="eastAsia" w:ascii="仿宋" w:hAnsi="仿宋" w:eastAsia="仿宋" w:cs="仿宋"/>
          <w:sz w:val="32"/>
          <w:szCs w:val="32"/>
          <w:lang w:val="en-US" w:eastAsia="zh-CN"/>
        </w:rPr>
        <w:t>1315</w:t>
      </w:r>
      <w:r>
        <w:rPr>
          <w:rFonts w:hint="eastAsia" w:ascii="仿宋" w:hAnsi="仿宋" w:eastAsia="仿宋" w:cs="仿宋"/>
          <w:sz w:val="32"/>
          <w:szCs w:val="32"/>
        </w:rPr>
        <w:t>件，办结率9</w:t>
      </w:r>
      <w:r>
        <w:rPr>
          <w:rFonts w:hint="eastAsia" w:ascii="仿宋" w:hAnsi="仿宋" w:eastAsia="仿宋" w:cs="仿宋"/>
          <w:sz w:val="32"/>
          <w:szCs w:val="32"/>
          <w:lang w:val="en-US" w:eastAsia="zh-CN"/>
        </w:rPr>
        <w:t>8.13</w:t>
      </w:r>
      <w:r>
        <w:rPr>
          <w:rFonts w:hint="eastAsia" w:ascii="仿宋" w:hAnsi="仿宋" w:eastAsia="仿宋" w:cs="仿宋"/>
          <w:sz w:val="32"/>
          <w:szCs w:val="32"/>
        </w:rPr>
        <w:t>%。线下接到投诉举报案件</w:t>
      </w:r>
      <w:r>
        <w:rPr>
          <w:rFonts w:hint="eastAsia" w:ascii="仿宋" w:hAnsi="仿宋" w:eastAsia="仿宋" w:cs="仿宋"/>
          <w:sz w:val="32"/>
          <w:szCs w:val="32"/>
          <w:lang w:val="en-US" w:eastAsia="zh-CN"/>
        </w:rPr>
        <w:t>831</w:t>
      </w:r>
      <w:r>
        <w:rPr>
          <w:rFonts w:hint="eastAsia" w:ascii="仿宋" w:hAnsi="仿宋" w:eastAsia="仿宋" w:cs="仿宋"/>
          <w:sz w:val="32"/>
          <w:szCs w:val="32"/>
        </w:rPr>
        <w:t>件，结案</w:t>
      </w:r>
      <w:r>
        <w:rPr>
          <w:rFonts w:hint="eastAsia" w:ascii="仿宋" w:hAnsi="仿宋" w:eastAsia="仿宋" w:cs="仿宋"/>
          <w:sz w:val="32"/>
          <w:szCs w:val="32"/>
          <w:lang w:val="en-US" w:eastAsia="zh-CN"/>
        </w:rPr>
        <w:t>831</w:t>
      </w:r>
      <w:r>
        <w:rPr>
          <w:rFonts w:hint="eastAsia" w:ascii="仿宋" w:hAnsi="仿宋" w:eastAsia="仿宋" w:cs="仿宋"/>
          <w:sz w:val="32"/>
          <w:szCs w:val="32"/>
        </w:rPr>
        <w:t>件，结案率100%，追回被拖欠的劳动者工资1.2</w:t>
      </w:r>
      <w:r>
        <w:rPr>
          <w:rFonts w:hint="eastAsia" w:ascii="仿宋" w:hAnsi="仿宋" w:eastAsia="仿宋" w:cs="仿宋"/>
          <w:sz w:val="32"/>
          <w:szCs w:val="32"/>
          <w:lang w:val="en-US" w:eastAsia="zh-CN"/>
        </w:rPr>
        <w:t>9</w:t>
      </w:r>
      <w:r>
        <w:rPr>
          <w:rFonts w:hint="eastAsia" w:ascii="仿宋" w:hAnsi="仿宋" w:eastAsia="仿宋" w:cs="仿宋"/>
          <w:sz w:val="32"/>
          <w:szCs w:val="32"/>
        </w:rPr>
        <w:t>亿元。</w:t>
      </w:r>
    </w:p>
    <w:p>
      <w:pPr>
        <w:pStyle w:val="13"/>
        <w:spacing w:line="580" w:lineRule="exact"/>
        <w:ind w:firstLine="640"/>
        <w:jc w:val="both"/>
        <w:rPr>
          <w:rFonts w:ascii="Times New Roman" w:hAnsi="Times New Roman" w:eastAsia="黑体"/>
          <w:sz w:val="32"/>
          <w:szCs w:val="32"/>
        </w:rPr>
      </w:pPr>
      <w:r>
        <w:rPr>
          <w:rFonts w:ascii="Times New Roman" w:hAnsi="Times New Roman" w:eastAsia="黑体"/>
          <w:sz w:val="32"/>
          <w:szCs w:val="32"/>
        </w:rPr>
        <w:t>七、存在的问题及原因分析</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预决算收支差异大。</w:t>
      </w:r>
      <w:r>
        <w:rPr>
          <w:rFonts w:hint="eastAsia" w:ascii="仿宋" w:hAnsi="仿宋" w:eastAsia="仿宋" w:cs="仿宋"/>
          <w:sz w:val="32"/>
          <w:szCs w:val="32"/>
          <w:lang w:eastAsia="zh-CN"/>
        </w:rPr>
        <w:t>造成我局</w:t>
      </w:r>
      <w:r>
        <w:rPr>
          <w:rFonts w:hint="eastAsia" w:ascii="仿宋" w:hAnsi="仿宋" w:eastAsia="仿宋" w:cs="仿宋"/>
          <w:sz w:val="32"/>
          <w:szCs w:val="32"/>
        </w:rPr>
        <w:t>预决算差异大的原因是：20</w:t>
      </w:r>
      <w:r>
        <w:rPr>
          <w:rFonts w:hint="eastAsia" w:ascii="仿宋" w:hAnsi="仿宋" w:eastAsia="仿宋" w:cs="仿宋"/>
          <w:sz w:val="32"/>
          <w:szCs w:val="32"/>
          <w:lang w:val="en-US" w:eastAsia="zh-CN"/>
        </w:rPr>
        <w:t>21</w:t>
      </w:r>
      <w:r>
        <w:rPr>
          <w:rFonts w:hint="eastAsia" w:ascii="仿宋" w:hAnsi="仿宋" w:eastAsia="仿宋" w:cs="仿宋"/>
          <w:sz w:val="32"/>
          <w:szCs w:val="32"/>
        </w:rPr>
        <w:t>年市人社局的年初预算都是根据市财政局下达的年初预算控制数进行编制，未能将</w:t>
      </w:r>
      <w:r>
        <w:rPr>
          <w:rFonts w:hint="eastAsia" w:ascii="仿宋" w:hAnsi="仿宋" w:eastAsia="仿宋" w:cs="仿宋"/>
          <w:sz w:val="32"/>
          <w:szCs w:val="32"/>
          <w:lang w:val="en-US" w:eastAsia="zh-CN"/>
        </w:rPr>
        <w:t>100个科创人员奖金、</w:t>
      </w:r>
      <w:r>
        <w:rPr>
          <w:rFonts w:hint="eastAsia" w:ascii="仿宋" w:hAnsi="仿宋" w:eastAsia="仿宋" w:cs="仿宋"/>
          <w:sz w:val="32"/>
          <w:szCs w:val="32"/>
        </w:rPr>
        <w:t>就业专项资金、</w:t>
      </w:r>
      <w:r>
        <w:rPr>
          <w:rFonts w:hint="eastAsia" w:ascii="仿宋" w:hAnsi="仿宋" w:eastAsia="仿宋" w:cs="仿宋"/>
          <w:sz w:val="32"/>
          <w:szCs w:val="32"/>
          <w:lang w:eastAsia="zh-CN"/>
        </w:rPr>
        <w:t>调增绩效</w:t>
      </w:r>
      <w:r>
        <w:rPr>
          <w:rFonts w:hint="eastAsia" w:ascii="仿宋" w:hAnsi="仿宋" w:eastAsia="仿宋" w:cs="仿宋"/>
          <w:sz w:val="32"/>
          <w:szCs w:val="32"/>
        </w:rPr>
        <w:t>工资、</w:t>
      </w:r>
      <w:r>
        <w:rPr>
          <w:rFonts w:hint="eastAsia" w:ascii="仿宋" w:hAnsi="仿宋" w:eastAsia="仿宋" w:cs="仿宋"/>
          <w:sz w:val="32"/>
          <w:szCs w:val="32"/>
          <w:lang w:eastAsia="zh-CN"/>
        </w:rPr>
        <w:t>非税超收收入、</w:t>
      </w:r>
      <w:r>
        <w:rPr>
          <w:rFonts w:hint="eastAsia" w:ascii="仿宋" w:hAnsi="仿宋" w:eastAsia="仿宋" w:cs="仿宋"/>
          <w:sz w:val="32"/>
          <w:szCs w:val="32"/>
        </w:rPr>
        <w:t>绩效评估奖（未全部纳入）等纳入年初预算，而是在年中根据实际资金使用情况安排调整预算进行资金拨付，导致我局预决算差异较大。</w:t>
      </w:r>
    </w:p>
    <w:p>
      <w:pPr>
        <w:numPr>
          <w:ilvl w:val="0"/>
          <w:numId w:val="6"/>
        </w:numPr>
        <w:spacing w:line="580" w:lineRule="exact"/>
        <w:ind w:firstLine="640" w:firstLineChars="200"/>
        <w:jc w:val="both"/>
        <w:rPr>
          <w:rFonts w:ascii="Times New Roman" w:hAnsi="Times New Roman" w:eastAsia="黑体" w:cstheme="minorBidi"/>
          <w:kern w:val="2"/>
          <w:sz w:val="32"/>
          <w:szCs w:val="32"/>
          <w:lang w:val="en-US" w:eastAsia="zh-CN" w:bidi="ar-SA"/>
        </w:rPr>
      </w:pPr>
      <w:r>
        <w:rPr>
          <w:rFonts w:ascii="Times New Roman" w:hAnsi="Times New Roman" w:eastAsia="黑体" w:cstheme="minorBidi"/>
          <w:kern w:val="2"/>
          <w:sz w:val="32"/>
          <w:szCs w:val="32"/>
          <w:lang w:val="en-US" w:eastAsia="zh-CN" w:bidi="ar-SA"/>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针对我局预决算收支差异大的问题，今后我局将</w:t>
      </w:r>
      <w:r>
        <w:rPr>
          <w:rFonts w:hint="eastAsia" w:ascii="仿宋" w:hAnsi="仿宋" w:eastAsia="仿宋" w:cs="仿宋"/>
          <w:sz w:val="32"/>
          <w:szCs w:val="32"/>
        </w:rPr>
        <w:t>加强单位预决算管理，按照相关要求，规范预决算编制行为；加强与市财政局的沟通，</w:t>
      </w:r>
      <w:r>
        <w:rPr>
          <w:rFonts w:hint="eastAsia" w:ascii="仿宋" w:hAnsi="仿宋" w:eastAsia="仿宋" w:cs="仿宋"/>
          <w:sz w:val="32"/>
          <w:szCs w:val="32"/>
          <w:lang w:eastAsia="zh-CN"/>
        </w:rPr>
        <w:t>力求</w:t>
      </w:r>
      <w:r>
        <w:rPr>
          <w:rFonts w:hint="eastAsia" w:ascii="仿宋" w:hAnsi="仿宋" w:eastAsia="仿宋" w:cs="仿宋"/>
          <w:sz w:val="32"/>
          <w:szCs w:val="32"/>
        </w:rPr>
        <w:t>将单位所有收支纳入年初预算，科学合理地编制本单位预算，尽量减少预决算之间的差异。</w:t>
      </w:r>
    </w:p>
    <w:p>
      <w:pPr>
        <w:pStyle w:val="2"/>
        <w:rPr>
          <w:rFonts w:ascii="Times New Roman" w:hAnsi="Times New Roman" w:eastAsia="黑体" w:cstheme="minorBidi"/>
          <w:kern w:val="2"/>
          <w:sz w:val="32"/>
          <w:szCs w:val="32"/>
          <w:lang w:val="en-US" w:eastAsia="zh-CN" w:bidi="ar-SA"/>
        </w:rPr>
      </w:pPr>
      <w:r>
        <w:rPr>
          <w:rFonts w:hint="eastAsia" w:ascii="Times New Roman" w:hAnsi="Times New Roman" w:eastAsia="黑体" w:cstheme="minorBidi"/>
          <w:kern w:val="2"/>
          <w:sz w:val="32"/>
          <w:szCs w:val="32"/>
          <w:lang w:val="en-US" w:eastAsia="zh-CN" w:bidi="ar-SA"/>
        </w:rPr>
        <w:t>九、</w:t>
      </w:r>
      <w:r>
        <w:rPr>
          <w:rFonts w:ascii="Times New Roman" w:hAnsi="Times New Roman" w:eastAsia="黑体" w:cstheme="minorBidi"/>
          <w:kern w:val="2"/>
          <w:sz w:val="32"/>
          <w:szCs w:val="32"/>
          <w:lang w:val="en-US" w:eastAsia="zh-CN" w:bidi="ar-SA"/>
        </w:rPr>
        <w:t>部门整体支出绩效自评结果拟应用和公开情况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1、经综合评价，2021年部门整体支出绩效评价得分为98分。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2、经综合评价，2021年度项目支出绩效评价等次为良好。</w:t>
      </w:r>
    </w:p>
    <w:p>
      <w:pPr>
        <w:spacing w:line="580" w:lineRule="exact"/>
        <w:ind w:firstLine="640" w:firstLineChars="200"/>
        <w:jc w:val="both"/>
        <w:rPr>
          <w:rFonts w:eastAsia="黑体"/>
          <w:sz w:val="32"/>
          <w:szCs w:val="32"/>
        </w:rPr>
      </w:pPr>
      <w:r>
        <w:rPr>
          <w:rFonts w:hint="eastAsia" w:eastAsia="黑体"/>
          <w:sz w:val="32"/>
          <w:szCs w:val="32"/>
        </w:rPr>
        <w:t>十、</w:t>
      </w:r>
      <w:r>
        <w:rPr>
          <w:rFonts w:eastAsia="黑体"/>
          <w:sz w:val="32"/>
          <w:szCs w:val="32"/>
        </w:rPr>
        <w:t>其他需要说明的情况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spacing w:line="580" w:lineRule="exact"/>
        <w:ind w:firstLine="640" w:firstLineChars="200"/>
        <w:jc w:val="both"/>
        <w:rPr>
          <w:rFonts w:hint="eastAsia" w:ascii="仿宋_GB2312" w:hAnsi="仿宋_GB2312" w:eastAsia="仿宋_GB2312" w:cs="仿宋_GB2312"/>
          <w:color w:val="FF0000"/>
          <w:sz w:val="32"/>
          <w:szCs w:val="32"/>
          <w:lang w:eastAsia="zh-CN"/>
        </w:rPr>
      </w:pP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rPr>
        <w:t xml:space="preserve">2021年度部门整体支出绩效评价基础数据表 </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rPr>
        <w:t xml:space="preserve">2021年度部门整体支出绩效自评表 </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2021年度项目支出绩效自评报告</w:t>
      </w:r>
      <w:r>
        <w:rPr>
          <w:rFonts w:hint="eastAsia" w:ascii="仿宋_GB2312" w:hAnsi="仿宋_GB2312" w:eastAsia="仿宋_GB2312" w:cs="仿宋_GB2312"/>
          <w:sz w:val="32"/>
          <w:szCs w:val="32"/>
        </w:rPr>
        <w:t xml:space="preserve"> </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rPr>
        <w:t>项目支出绩效自评表</w:t>
      </w:r>
    </w:p>
    <w:p>
      <w:pPr>
        <w:jc w:val="center"/>
        <w:rPr>
          <w:rFonts w:hint="eastAsia" w:ascii="方正小标宋简体" w:eastAsia="方正小标宋简体"/>
          <w:sz w:val="52"/>
          <w:szCs w:val="52"/>
        </w:rPr>
      </w:pPr>
    </w:p>
    <w:p>
      <w:pPr>
        <w:pStyle w:val="2"/>
        <w:rPr>
          <w:rFonts w:hint="eastAsia" w:ascii="方正小标宋简体" w:eastAsia="方正小标宋简体"/>
          <w:sz w:val="52"/>
          <w:szCs w:val="52"/>
        </w:rPr>
      </w:pPr>
    </w:p>
    <w:p>
      <w:pPr>
        <w:pStyle w:val="2"/>
        <w:rPr>
          <w:rFonts w:hint="eastAsia" w:ascii="方正小标宋简体" w:eastAsia="方正小标宋简体"/>
          <w:sz w:val="52"/>
          <w:szCs w:val="52"/>
        </w:rPr>
      </w:pPr>
    </w:p>
    <w:p>
      <w:pPr>
        <w:pStyle w:val="2"/>
        <w:rPr>
          <w:rFonts w:hint="eastAsia" w:ascii="方正小标宋简体" w:eastAsia="方正小标宋简体"/>
          <w:sz w:val="52"/>
          <w:szCs w:val="52"/>
        </w:rPr>
      </w:pPr>
    </w:p>
    <w:p>
      <w:pPr>
        <w:pStyle w:val="2"/>
        <w:rPr>
          <w:rFonts w:hint="eastAsia" w:ascii="方正小标宋简体" w:eastAsia="方正小标宋简体"/>
          <w:sz w:val="52"/>
          <w:szCs w:val="52"/>
        </w:rPr>
      </w:pPr>
    </w:p>
    <w:p>
      <w:pPr>
        <w:pStyle w:val="2"/>
        <w:rPr>
          <w:rFonts w:hint="eastAsia" w:ascii="方正小标宋简体" w:eastAsia="方正小标宋简体"/>
          <w:sz w:val="52"/>
          <w:szCs w:val="52"/>
        </w:rPr>
      </w:pPr>
    </w:p>
    <w:p>
      <w:pPr>
        <w:pStyle w:val="2"/>
        <w:rPr>
          <w:rFonts w:hint="eastAsia" w:ascii="方正小标宋简体" w:eastAsia="方正小标宋简体"/>
          <w:sz w:val="52"/>
          <w:szCs w:val="52"/>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附件</w:t>
      </w:r>
      <w:r>
        <w:rPr>
          <w:rFonts w:hint="eastAsia" w:asciiTheme="minorEastAsia" w:hAnsiTheme="minorEastAsia" w:eastAsiaTheme="minorEastAsia" w:cstheme="minorEastAsia"/>
          <w:sz w:val="32"/>
          <w:szCs w:val="32"/>
          <w:lang w:val="en-US" w:eastAsia="zh-CN"/>
        </w:rPr>
        <w:t>1：</w:t>
      </w:r>
    </w:p>
    <w:tbl>
      <w:tblPr>
        <w:tblStyle w:val="8"/>
        <w:tblW w:w="104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36"/>
        <w:gridCol w:w="1080"/>
        <w:gridCol w:w="1080"/>
        <w:gridCol w:w="1080"/>
        <w:gridCol w:w="1080"/>
        <w:gridCol w:w="1080"/>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16" w:type="dxa"/>
            <w:gridSpan w:val="7"/>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40"/>
                <w:szCs w:val="40"/>
                <w:u w:val="none"/>
                <w:lang w:val="en-US" w:eastAsia="zh-CN" w:bidi="ar"/>
              </w:rPr>
              <w:t>2021年度部门整体支出绩效评价基础数据表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单位：永州市人力资源和社会保障局</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4"/>
                <w:szCs w:val="4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4"/>
                <w:szCs w:val="4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4"/>
                <w:szCs w:val="4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44"/>
                <w:szCs w:val="44"/>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9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财政供养人员情况（人）</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编制数</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2021</w:t>
            </w:r>
            <w:r>
              <w:rPr>
                <w:rFonts w:hint="eastAsia" w:ascii="宋体" w:hAnsi="宋体" w:eastAsia="宋体" w:cs="宋体"/>
                <w:b/>
                <w:bCs/>
                <w:i w:val="0"/>
                <w:iCs w:val="0"/>
                <w:color w:val="000000"/>
                <w:kern w:val="0"/>
                <w:sz w:val="22"/>
                <w:szCs w:val="22"/>
                <w:u w:val="none"/>
                <w:lang w:val="en-US" w:eastAsia="zh-CN" w:bidi="ar"/>
              </w:rPr>
              <w:t>年实际在职人数</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经费控制情况（万元）</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2020</w:t>
            </w:r>
            <w:r>
              <w:rPr>
                <w:rFonts w:hint="eastAsia" w:ascii="宋体" w:hAnsi="宋体" w:eastAsia="宋体" w:cs="宋体"/>
                <w:b/>
                <w:bCs/>
                <w:i w:val="0"/>
                <w:iCs w:val="0"/>
                <w:color w:val="000000"/>
                <w:kern w:val="0"/>
                <w:sz w:val="22"/>
                <w:szCs w:val="22"/>
                <w:u w:val="none"/>
                <w:lang w:val="en-US" w:eastAsia="zh-CN" w:bidi="ar"/>
              </w:rPr>
              <w:t>年决算数</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2021</w:t>
            </w:r>
            <w:r>
              <w:rPr>
                <w:rFonts w:hint="eastAsia" w:ascii="宋体" w:hAnsi="宋体" w:eastAsia="宋体" w:cs="宋体"/>
                <w:b/>
                <w:bCs/>
                <w:i w:val="0"/>
                <w:iCs w:val="0"/>
                <w:color w:val="000000"/>
                <w:kern w:val="0"/>
                <w:sz w:val="22"/>
                <w:szCs w:val="22"/>
                <w:u w:val="none"/>
                <w:lang w:val="en-US" w:eastAsia="zh-CN" w:bidi="ar"/>
              </w:rPr>
              <w:t>年预算数</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2021</w:t>
            </w:r>
            <w:r>
              <w:rPr>
                <w:rFonts w:hint="eastAsia" w:ascii="宋体" w:hAnsi="宋体" w:eastAsia="宋体" w:cs="宋体"/>
                <w:b/>
                <w:bCs/>
                <w:i w:val="0"/>
                <w:iCs w:val="0"/>
                <w:color w:val="000000"/>
                <w:kern w:val="0"/>
                <w:sz w:val="22"/>
                <w:szCs w:val="22"/>
                <w:u w:val="none"/>
                <w:lang w:val="en-US" w:eastAsia="zh-CN" w:bidi="ar"/>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一、部门基本支出</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2548.52</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1436.55</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其中：公用经费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788.32</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261.54</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其中：办公经费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314.63</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250.47</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35.07</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32.48</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手续费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35.43</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43.14</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99.36</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77.11</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、公务用车购置和维护经费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其中：公交车购置</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公交车运行维护</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2"/>
                <w:szCs w:val="22"/>
                <w:u w:val="none"/>
                <w:lang w:val="en-US" w:eastAsia="zh-CN" w:bidi="ar"/>
              </w:rPr>
              <w:t>、出国经费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w:t>
            </w:r>
            <w:r>
              <w:rPr>
                <w:rFonts w:hint="eastAsia" w:ascii="宋体" w:hAnsi="宋体" w:eastAsia="宋体" w:cs="宋体"/>
                <w:i w:val="0"/>
                <w:iCs w:val="0"/>
                <w:color w:val="000000"/>
                <w:kern w:val="0"/>
                <w:sz w:val="22"/>
                <w:szCs w:val="22"/>
                <w:u w:val="none"/>
                <w:lang w:val="en-US" w:eastAsia="zh-CN" w:bidi="ar"/>
              </w:rPr>
              <w:t>、公务接待</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二、部门项目支出</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w:t>
            </w:r>
            <w:r>
              <w:rPr>
                <w:rFonts w:hint="eastAsia" w:ascii="宋体" w:hAnsi="宋体" w:eastAsia="宋体" w:cs="宋体"/>
                <w:i w:val="0"/>
                <w:iCs w:val="0"/>
                <w:color w:val="000000"/>
                <w:kern w:val="0"/>
                <w:sz w:val="22"/>
                <w:szCs w:val="22"/>
                <w:u w:val="none"/>
                <w:lang w:val="en-US" w:eastAsia="zh-CN" w:bidi="ar"/>
              </w:rPr>
              <w:t>、业务工作经费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社保基金监管等管理事务工作经费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、运行维护经费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“金保工程”运转维护经费</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w:t>
            </w:r>
            <w:r>
              <w:rPr>
                <w:rFonts w:hint="eastAsia" w:ascii="宋体" w:hAnsi="宋体" w:eastAsia="宋体" w:cs="宋体"/>
                <w:i w:val="0"/>
                <w:iCs w:val="0"/>
                <w:color w:val="000000"/>
                <w:kern w:val="0"/>
                <w:sz w:val="22"/>
                <w:szCs w:val="22"/>
                <w:u w:val="none"/>
                <w:lang w:val="en-US" w:eastAsia="zh-CN" w:bidi="ar"/>
              </w:rPr>
              <w:t>、市级专项资金</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政府采购金额</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214.16</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部门基本支出预算调整</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1436.55</w:t>
            </w:r>
          </w:p>
        </w:tc>
        <w:tc>
          <w:tcPr>
            <w:tcW w:w="2160" w:type="dxa"/>
            <w:gridSpan w:val="2"/>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936"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楼堂馆所控制情况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（2021年完工项目）</w:t>
            </w:r>
          </w:p>
        </w:tc>
        <w:tc>
          <w:tcPr>
            <w:tcW w:w="10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批复规模</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实际规模（㎡）</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规模控制率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预算投资（万元）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实际投资（万元）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936"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3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厉行节约保障措施</w:t>
            </w:r>
          </w:p>
        </w:tc>
        <w:tc>
          <w:tcPr>
            <w:tcW w:w="6480" w:type="dxa"/>
            <w:gridSpan w:val="6"/>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1.牢固树立过“紧日子”思想，严格压缩一般性支出，减少不必要支出。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2.严控差旅费、印刷费、会议费、办公用品购置、电费等办公经费开支。</w:t>
            </w:r>
          </w:p>
        </w:tc>
      </w:tr>
    </w:tbl>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rPr>
          <w:rFonts w:hint="eastAsia" w:asciiTheme="minorEastAsia" w:hAnsiTheme="minorEastAsia" w:eastAsiaTheme="minorEastAsia" w:cstheme="minorEastAsia"/>
          <w:sz w:val="32"/>
          <w:szCs w:val="32"/>
        </w:rPr>
      </w:pPr>
    </w:p>
    <w:p>
      <w:pPr>
        <w:pStyle w:val="2"/>
        <w:ind w:left="0" w:leftChars="0" w:firstLine="0" w:firstLineChars="0"/>
        <w:rPr>
          <w:rFonts w:hint="eastAsia" w:asciiTheme="minorEastAsia" w:hAnsiTheme="minorEastAsia" w:eastAsiaTheme="minorEastAsia" w:cstheme="minorEastAsia"/>
          <w:sz w:val="32"/>
          <w:szCs w:val="32"/>
          <w:lang w:eastAsia="zh-CN"/>
        </w:rPr>
      </w:pPr>
    </w:p>
    <w:p>
      <w:pPr>
        <w:pStyle w:val="2"/>
        <w:ind w:left="0" w:leftChars="0" w:firstLine="0" w:firstLineChars="0"/>
        <w:rPr>
          <w:rFonts w:hint="eastAsia" w:asciiTheme="minorEastAsia" w:hAnsiTheme="minorEastAsia" w:eastAsiaTheme="minorEastAsia" w:cstheme="minorEastAsia"/>
          <w:sz w:val="32"/>
          <w:szCs w:val="32"/>
          <w:lang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附件</w:t>
      </w:r>
      <w:r>
        <w:rPr>
          <w:rFonts w:hint="eastAsia" w:asciiTheme="minorEastAsia" w:hAnsiTheme="minorEastAsia" w:eastAsiaTheme="minorEastAsia" w:cstheme="minorEastAsia"/>
          <w:sz w:val="32"/>
          <w:szCs w:val="32"/>
          <w:lang w:val="en-US" w:eastAsia="zh-CN"/>
        </w:rPr>
        <w:t>2：</w:t>
      </w:r>
    </w:p>
    <w:tbl>
      <w:tblPr>
        <w:tblStyle w:val="8"/>
        <w:tblW w:w="106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8"/>
        <w:gridCol w:w="1056"/>
        <w:gridCol w:w="984"/>
        <w:gridCol w:w="1668"/>
        <w:gridCol w:w="627"/>
        <w:gridCol w:w="972"/>
        <w:gridCol w:w="1260"/>
        <w:gridCol w:w="924"/>
        <w:gridCol w:w="100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620" w:type="dxa"/>
            <w:gridSpan w:val="10"/>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40"/>
                <w:szCs w:val="40"/>
                <w:u w:val="none"/>
                <w:lang w:val="en-US" w:eastAsia="zh-CN" w:bidi="ar"/>
              </w:rPr>
              <w:t>2021年度部门整体支出绩效自评表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68" w:type="dxa"/>
            <w:tcBorders>
              <w:top w:val="single" w:color="000000" w:sz="12"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市级预算部门名称</w:t>
            </w:r>
          </w:p>
        </w:tc>
        <w:tc>
          <w:tcPr>
            <w:tcW w:w="9552" w:type="dxa"/>
            <w:gridSpan w:val="9"/>
            <w:tcBorders>
              <w:top w:val="single" w:color="000000" w:sz="12"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68"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204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2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全年预算数</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全年执行数</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8"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4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232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1594.95</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1594.95</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2276.26</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142.72%</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8"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4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按收入性质分：1594.95</w:t>
            </w:r>
          </w:p>
        </w:tc>
        <w:tc>
          <w:tcPr>
            <w:tcW w:w="4212" w:type="dxa"/>
            <w:gridSpan w:val="4"/>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按支出性质分：1594.95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8"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4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其中：</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一般公共预算：</w:t>
            </w:r>
            <w:r>
              <w:rPr>
                <w:rFonts w:hint="default" w:ascii="Times New Roman" w:hAnsi="Times New Roman" w:eastAsia="宋体" w:cs="Times New Roman"/>
                <w:i w:val="0"/>
                <w:iCs w:val="0"/>
                <w:color w:val="000000"/>
                <w:kern w:val="0"/>
                <w:sz w:val="22"/>
                <w:szCs w:val="22"/>
                <w:u w:val="none"/>
                <w:lang w:val="en-US" w:eastAsia="zh-CN" w:bidi="ar"/>
              </w:rPr>
              <w:t>1437.95</w:t>
            </w:r>
          </w:p>
        </w:tc>
        <w:tc>
          <w:tcPr>
            <w:tcW w:w="4212" w:type="dxa"/>
            <w:gridSpan w:val="4"/>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其中：基本支出：1436.55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8"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4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4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政府性基金拨款：0</w:t>
            </w:r>
          </w:p>
        </w:tc>
        <w:tc>
          <w:tcPr>
            <w:tcW w:w="4212" w:type="dxa"/>
            <w:gridSpan w:val="4"/>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项目支出：158.4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68"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4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纳入专户管理的非税收入拨款：157</w:t>
            </w:r>
          </w:p>
        </w:tc>
        <w:tc>
          <w:tcPr>
            <w:tcW w:w="4212" w:type="dxa"/>
            <w:gridSpan w:val="4"/>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8"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4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7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其他资金：0</w:t>
            </w:r>
          </w:p>
        </w:tc>
        <w:tc>
          <w:tcPr>
            <w:tcW w:w="4212" w:type="dxa"/>
            <w:gridSpan w:val="4"/>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8"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534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4212" w:type="dxa"/>
            <w:gridSpan w:val="4"/>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68"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4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完成全市人力资源和社会保障各项工作任务。</w:t>
            </w:r>
          </w:p>
        </w:tc>
        <w:tc>
          <w:tcPr>
            <w:tcW w:w="4212" w:type="dxa"/>
            <w:gridSpan w:val="4"/>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圆满完成全市人力资源和社会保障各项工作任务。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068" w:type="dxa"/>
            <w:vMerge w:val="restart"/>
            <w:tcBorders>
              <w:top w:val="single" w:color="000000" w:sz="8" w:space="0"/>
              <w:left w:val="single" w:color="000000" w:sz="12"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w:t>
            </w:r>
          </w:p>
        </w:tc>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98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年度指标值</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产出指标（50分）</w:t>
            </w:r>
          </w:p>
        </w:tc>
        <w:tc>
          <w:tcPr>
            <w:tcW w:w="9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全年新增就业人数</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≧5万人</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5.53万人</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全市发放创业担保贷款</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≧5亿元</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5.23亿元</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青年见习人数</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≧2000人</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2319人</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政府补贴性职业技能培训人次</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≧10万人次</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12.46万人次</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劳动人事争议仲裁结案率</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调查失业率</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疑似风险社保卡整改完成率</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社保减负金额</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≧3亿元</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4.64亿元</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公务接待支出下降率</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81.35%</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部门总支出</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≦1594.95万元</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2276.26万元</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原因分析：部分收入未能纳入年初财政预算。改进措施：加强与市财政协商，力求各项收入纳入年初预算。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（30分）</w:t>
            </w:r>
          </w:p>
        </w:tc>
        <w:tc>
          <w:tcPr>
            <w:tcW w:w="984"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益指标</w:t>
            </w: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智慧就业信息化平台使用率</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4"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益指标</w:t>
            </w: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环境污染率</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养老金足额支付率</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984"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8" w:type="dxa"/>
            <w:vMerge w:val="continue"/>
            <w:tcBorders>
              <w:top w:val="single" w:color="000000" w:sz="8" w:space="0"/>
              <w:left w:val="single" w:color="000000" w:sz="12"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4"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8"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业务服务对象满意度</w:t>
            </w:r>
          </w:p>
        </w:tc>
        <w:tc>
          <w:tcPr>
            <w:tcW w:w="16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4"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6" w:type="dxa"/>
            <w:tcBorders>
              <w:top w:val="single" w:color="000000" w:sz="8" w:space="0"/>
              <w:left w:val="single" w:color="000000" w:sz="8" w:space="0"/>
              <w:bottom w:val="nil"/>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68" w:type="dxa"/>
            <w:gridSpan w:val="7"/>
            <w:tcBorders>
              <w:top w:val="single" w:color="000000" w:sz="8" w:space="0"/>
              <w:left w:val="single" w:color="000000" w:sz="12"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924"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72"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56" w:type="dxa"/>
            <w:tcBorders>
              <w:top w:val="single" w:color="000000" w:sz="8" w:space="0"/>
              <w:left w:val="single" w:color="000000" w:sz="8"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2"/>
        <w:ind w:left="0" w:leftChars="0" w:firstLine="0" w:firstLineChars="0"/>
        <w:rPr>
          <w:rFonts w:hint="eastAsia" w:ascii="方正小标宋简体" w:eastAsia="方正小标宋简体"/>
          <w:sz w:val="52"/>
          <w:szCs w:val="52"/>
        </w:rPr>
      </w:pPr>
    </w:p>
    <w:p>
      <w:pPr>
        <w:pStyle w:val="2"/>
        <w:ind w:left="0" w:leftChars="0" w:firstLine="0" w:firstLineChars="0"/>
        <w:rPr>
          <w:rFonts w:hint="eastAsia" w:ascii="方正小标宋简体" w:eastAsia="方正小标宋简体"/>
          <w:sz w:val="52"/>
          <w:szCs w:val="52"/>
        </w:rPr>
      </w:pPr>
    </w:p>
    <w:p>
      <w:pPr>
        <w:pStyle w:val="2"/>
        <w:ind w:left="0" w:leftChars="0" w:firstLine="0" w:firstLineChars="0"/>
        <w:rPr>
          <w:rFonts w:hint="eastAsia" w:ascii="方正小标宋简体" w:eastAsia="方正小标宋简体"/>
          <w:sz w:val="52"/>
          <w:szCs w:val="52"/>
        </w:rPr>
      </w:pPr>
    </w:p>
    <w:p>
      <w:pPr>
        <w:pStyle w:val="2"/>
        <w:ind w:left="0" w:leftChars="0" w:firstLine="0" w:firstLineChars="0"/>
        <w:rPr>
          <w:rFonts w:hint="eastAsia" w:ascii="方正小标宋简体" w:eastAsia="方正小标宋简体"/>
          <w:sz w:val="52"/>
          <w:szCs w:val="52"/>
        </w:rPr>
      </w:pPr>
    </w:p>
    <w:p>
      <w:pPr>
        <w:pStyle w:val="2"/>
        <w:ind w:left="0" w:leftChars="0" w:firstLine="0" w:firstLineChars="0"/>
        <w:rPr>
          <w:rFonts w:hint="eastAsia" w:ascii="方正小标宋简体" w:eastAsia="方正小标宋简体"/>
          <w:sz w:val="52"/>
          <w:szCs w:val="52"/>
        </w:rPr>
      </w:pPr>
    </w:p>
    <w:p>
      <w:pPr>
        <w:pStyle w:val="2"/>
        <w:ind w:left="0" w:leftChars="0" w:firstLine="0" w:firstLineChars="0"/>
        <w:rPr>
          <w:rFonts w:hint="eastAsia" w:ascii="方正小标宋简体" w:eastAsia="方正小标宋简体"/>
          <w:sz w:val="52"/>
          <w:szCs w:val="52"/>
        </w:rPr>
      </w:pPr>
    </w:p>
    <w:p>
      <w:pPr>
        <w:pStyle w:val="2"/>
        <w:ind w:left="0" w:leftChars="0" w:firstLine="0" w:firstLineChars="0"/>
        <w:rPr>
          <w:rFonts w:hint="eastAsia" w:asciiTheme="minorEastAsia" w:hAnsiTheme="minorEastAsia" w:eastAsiaTheme="minorEastAsia" w:cstheme="minorEastAsia"/>
          <w:sz w:val="32"/>
          <w:szCs w:val="32"/>
          <w:lang w:eastAsia="zh-CN"/>
        </w:rPr>
      </w:pPr>
    </w:p>
    <w:p>
      <w:pPr>
        <w:pStyle w:val="2"/>
        <w:ind w:left="0" w:leftChars="0" w:firstLine="0" w:firstLineChars="0"/>
        <w:rPr>
          <w:rFonts w:hint="eastAsia" w:asciiTheme="minorEastAsia" w:hAnsiTheme="minorEastAsia" w:eastAsiaTheme="minorEastAsia" w:cstheme="minorEastAsia"/>
          <w:sz w:val="32"/>
          <w:szCs w:val="32"/>
          <w:lang w:eastAsia="zh-CN"/>
        </w:rPr>
      </w:pPr>
    </w:p>
    <w:p>
      <w:pPr>
        <w:pStyle w:val="2"/>
        <w:ind w:left="0" w:leftChars="0" w:firstLine="0" w:firstLineChars="0"/>
        <w:rPr>
          <w:rFonts w:hint="eastAsia" w:asciiTheme="minorEastAsia" w:hAnsiTheme="minorEastAsia" w:eastAsiaTheme="minorEastAsia" w:cstheme="minorEastAsia"/>
          <w:sz w:val="32"/>
          <w:szCs w:val="32"/>
          <w:lang w:eastAsia="zh-CN"/>
        </w:rPr>
      </w:pPr>
    </w:p>
    <w:p>
      <w:pPr>
        <w:pStyle w:val="2"/>
        <w:ind w:left="0" w:leftChars="0" w:firstLine="0" w:firstLineChars="0"/>
        <w:rPr>
          <w:rFonts w:hint="eastAsia" w:asciiTheme="minorEastAsia" w:hAnsiTheme="minorEastAsia" w:eastAsiaTheme="minorEastAsia" w:cstheme="minorEastAsia"/>
          <w:sz w:val="32"/>
          <w:szCs w:val="32"/>
          <w:lang w:eastAsia="zh-CN"/>
        </w:rPr>
      </w:pPr>
    </w:p>
    <w:p>
      <w:pPr>
        <w:pStyle w:val="2"/>
        <w:ind w:left="0" w:leftChars="0" w:firstLine="0" w:firstLineChars="0"/>
        <w:rPr>
          <w:rFonts w:hint="eastAsia" w:asciiTheme="minorEastAsia" w:hAnsiTheme="minorEastAsia" w:eastAsiaTheme="minorEastAsia" w:cstheme="minorEastAsia"/>
          <w:sz w:val="32"/>
          <w:szCs w:val="32"/>
          <w:lang w:eastAsia="zh-CN"/>
        </w:rPr>
      </w:pPr>
    </w:p>
    <w:p>
      <w:pPr>
        <w:pStyle w:val="2"/>
        <w:ind w:left="0" w:leftChars="0" w:firstLine="0" w:firstLineChars="0"/>
        <w:rPr>
          <w:rFonts w:hint="eastAsia" w:asciiTheme="minorEastAsia" w:hAnsiTheme="minorEastAsia" w:eastAsiaTheme="minorEastAsia" w:cstheme="minorEastAsia"/>
          <w:sz w:val="32"/>
          <w:szCs w:val="32"/>
          <w:lang w:eastAsia="zh-CN"/>
        </w:rPr>
      </w:pPr>
    </w:p>
    <w:p>
      <w:pPr>
        <w:pStyle w:val="2"/>
        <w:ind w:left="0" w:leftChars="0" w:firstLine="0" w:firstLineChars="0"/>
        <w:rPr>
          <w:rFonts w:hint="eastAsia" w:asciiTheme="minorEastAsia" w:hAnsiTheme="minorEastAsia" w:eastAsiaTheme="minorEastAsia" w:cstheme="minorEastAsia"/>
          <w:sz w:val="32"/>
          <w:szCs w:val="32"/>
          <w:lang w:eastAsia="zh-CN"/>
        </w:rPr>
      </w:pPr>
    </w:p>
    <w:p>
      <w:pPr>
        <w:pStyle w:val="2"/>
        <w:ind w:left="0" w:leftChars="0" w:firstLine="0" w:firstLineChars="0"/>
        <w:rPr>
          <w:rFonts w:hint="eastAsia" w:asciiTheme="minorEastAsia" w:hAnsiTheme="minorEastAsia" w:eastAsiaTheme="minorEastAsia" w:cstheme="minorEastAsia"/>
          <w:sz w:val="32"/>
          <w:szCs w:val="32"/>
          <w:lang w:eastAsia="zh-CN"/>
        </w:rPr>
      </w:pPr>
    </w:p>
    <w:p>
      <w:pPr>
        <w:pStyle w:val="2"/>
        <w:ind w:left="0" w:leftChars="0" w:firstLine="0" w:firstLineChars="0"/>
        <w:rPr>
          <w:rFonts w:hint="eastAsia" w:asciiTheme="minorEastAsia" w:hAnsiTheme="minorEastAsia" w:eastAsiaTheme="minorEastAsia" w:cstheme="minorEastAsia"/>
          <w:sz w:val="32"/>
          <w:szCs w:val="32"/>
          <w:lang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附件</w:t>
      </w:r>
      <w:r>
        <w:rPr>
          <w:rFonts w:hint="eastAsia" w:asciiTheme="minorEastAsia" w:hAnsiTheme="minorEastAsia" w:eastAsiaTheme="minorEastAsia" w:cstheme="minorEastAsia"/>
          <w:sz w:val="32"/>
          <w:szCs w:val="32"/>
          <w:lang w:val="en-US" w:eastAsia="zh-CN"/>
        </w:rPr>
        <w:t>3-1：</w:t>
      </w:r>
    </w:p>
    <w:tbl>
      <w:tblPr>
        <w:tblStyle w:val="8"/>
        <w:tblW w:w="105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0"/>
        <w:gridCol w:w="2364"/>
        <w:gridCol w:w="6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532"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40"/>
                <w:szCs w:val="40"/>
                <w:u w:val="none"/>
                <w:lang w:val="en-US" w:eastAsia="zh-CN" w:bidi="ar"/>
              </w:rPr>
              <w:t>2021年度项目支出绩效自评报告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00" w:type="dxa"/>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部门概况</w:t>
            </w:r>
          </w:p>
        </w:tc>
        <w:tc>
          <w:tcPr>
            <w:tcW w:w="2364" w:type="dxa"/>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专项名称</w:t>
            </w:r>
          </w:p>
        </w:tc>
        <w:tc>
          <w:tcPr>
            <w:tcW w:w="6768"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金保工程运转维护经费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00"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年度预算金额</w:t>
            </w:r>
          </w:p>
        </w:tc>
        <w:tc>
          <w:tcPr>
            <w:tcW w:w="6768"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00"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项目主管部门</w:t>
            </w:r>
          </w:p>
        </w:tc>
        <w:tc>
          <w:tcPr>
            <w:tcW w:w="6768"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00"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项目立项目的</w:t>
            </w:r>
          </w:p>
        </w:tc>
        <w:tc>
          <w:tcPr>
            <w:tcW w:w="6768"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加强社保网络建设、社保网络运转维护，确保全年社保网络稳定通畅。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1400"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绩效情况</w:t>
            </w:r>
          </w:p>
        </w:tc>
        <w:tc>
          <w:tcPr>
            <w:tcW w:w="23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项目支出管理和使用基本情况</w:t>
            </w:r>
          </w:p>
        </w:tc>
        <w:tc>
          <w:tcPr>
            <w:tcW w:w="6768"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万元专项经费全额、及时拨付到位，实际支出100万元，结余42.4万元至下一年度待满足合同条件予以支付。项目资金支出和使用做到专款专用，保证按照项目实施的实际需要合理地安排资金。在资金使用过程中，我局严格遵照“据实申报、严格评审、专款专用”的原则，加强管理，杜绝乱支错支现象，以保障资金的安全，促进资金使用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00"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项目绩效目标完成情况</w:t>
            </w:r>
          </w:p>
        </w:tc>
        <w:tc>
          <w:tcPr>
            <w:tcW w:w="6768" w:type="dxa"/>
            <w:vMerge w:val="restart"/>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局统计信息中心积极落实省厅和局党组各项决策部署，按照工作相关要求，始终坚持把社保卡规范应用和信息化建设列为工作重点，进一步加强社保卡规范应用，强化人社信息网络安全保障，各项工作均开展顺利，较好地完成了各项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00"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00"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00"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存在的问题分析及改进措施</w:t>
            </w:r>
          </w:p>
        </w:tc>
        <w:tc>
          <w:tcPr>
            <w:tcW w:w="23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存在的问题</w:t>
            </w:r>
          </w:p>
        </w:tc>
        <w:tc>
          <w:tcPr>
            <w:tcW w:w="6768" w:type="dxa"/>
            <w:vMerge w:val="restart"/>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绩效管理工作还存在绩效目标申报不够全面，绩效指标量化不够，绩效评价手段和方法有待优化，绩效自评组织实施还不够规范等问题。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00"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00"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400"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改进措施</w:t>
            </w:r>
          </w:p>
        </w:tc>
        <w:tc>
          <w:tcPr>
            <w:tcW w:w="6768"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在今后的工作中自觉加以改进和完善，同时建议市财政局加强对各市直单位财政支出绩效评价管理工作的培训和指导，以促进提高部门绩效自评质量。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00"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4" w:type="dxa"/>
            <w:vMerge w:val="restart"/>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其他需要说明问题</w:t>
            </w:r>
          </w:p>
        </w:tc>
        <w:tc>
          <w:tcPr>
            <w:tcW w:w="6768" w:type="dxa"/>
            <w:vMerge w:val="restart"/>
            <w:tcBorders>
              <w:top w:val="single" w:color="000000" w:sz="8" w:space="0"/>
              <w:left w:val="single" w:color="000000" w:sz="8"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00"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4" w:type="dxa"/>
            <w:vMerge w:val="continue"/>
            <w:tcBorders>
              <w:top w:val="single" w:color="000000" w:sz="8" w:space="0"/>
              <w:left w:val="single" w:color="000000" w:sz="8" w:space="0"/>
              <w:bottom w:val="single" w:color="000000" w:sz="12"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vMerge w:val="continue"/>
            <w:tcBorders>
              <w:top w:val="single" w:color="000000" w:sz="8" w:space="0"/>
              <w:left w:val="single" w:color="000000" w:sz="8"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00"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4" w:type="dxa"/>
            <w:vMerge w:val="continue"/>
            <w:tcBorders>
              <w:top w:val="single" w:color="000000" w:sz="8" w:space="0"/>
              <w:left w:val="single" w:color="000000" w:sz="8" w:space="0"/>
              <w:bottom w:val="single" w:color="000000" w:sz="12"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68" w:type="dxa"/>
            <w:vMerge w:val="continue"/>
            <w:tcBorders>
              <w:top w:val="single" w:color="000000" w:sz="8" w:space="0"/>
              <w:left w:val="single" w:color="000000" w:sz="8"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tbl>
      <w:tblPr>
        <w:tblStyle w:val="8"/>
        <w:tblW w:w="105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2352"/>
        <w:gridCol w:w="6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548" w:type="dxa"/>
            <w:gridSpan w:val="3"/>
            <w:tcBorders>
              <w:top w:val="nil"/>
              <w:left w:val="nil"/>
              <w:bottom w:val="nil"/>
              <w:right w:val="nil"/>
            </w:tcBorders>
            <w:shd w:val="clear" w:color="auto" w:fill="auto"/>
            <w:noWrap/>
            <w:vAlign w:val="center"/>
          </w:tcPr>
          <w:p>
            <w:pPr>
              <w:pStyle w:val="2"/>
              <w:ind w:left="0" w:leftChars="0" w:firstLine="0" w:firstLineChars="0"/>
              <w:rPr>
                <w:rFonts w:hint="eastAsia" w:ascii="宋体" w:hAnsi="宋体" w:eastAsia="宋体" w:cs="宋体"/>
                <w:b/>
                <w:bCs/>
                <w:i w:val="0"/>
                <w:iCs w:val="0"/>
                <w:color w:val="000000"/>
                <w:kern w:val="0"/>
                <w:sz w:val="40"/>
                <w:szCs w:val="40"/>
                <w:u w:val="none"/>
                <w:lang w:val="en-US" w:eastAsia="zh-CN" w:bidi="ar"/>
              </w:rPr>
            </w:pPr>
            <w:r>
              <w:rPr>
                <w:rFonts w:hint="eastAsia" w:asciiTheme="minorEastAsia" w:hAnsiTheme="minorEastAsia" w:eastAsiaTheme="minorEastAsia" w:cstheme="minorEastAsia"/>
                <w:sz w:val="32"/>
                <w:szCs w:val="32"/>
                <w:lang w:eastAsia="zh-CN"/>
              </w:rPr>
              <w:t>附件</w:t>
            </w:r>
            <w:r>
              <w:rPr>
                <w:rFonts w:hint="eastAsia" w:asciiTheme="minorEastAsia" w:hAnsiTheme="minorEastAsia" w:eastAsiaTheme="minorEastAsia" w:cstheme="minorEastAsia"/>
                <w:sz w:val="32"/>
                <w:szCs w:val="32"/>
                <w:lang w:val="en-US" w:eastAsia="zh-CN"/>
              </w:rPr>
              <w:t>3-2：</w:t>
            </w:r>
          </w:p>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40"/>
                <w:szCs w:val="40"/>
                <w:u w:val="none"/>
                <w:lang w:val="en-US" w:eastAsia="zh-CN" w:bidi="ar"/>
              </w:rPr>
              <w:t>2021年度项目支出绩效自评报告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6" w:type="dxa"/>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部门概况</w:t>
            </w:r>
          </w:p>
        </w:tc>
        <w:tc>
          <w:tcPr>
            <w:tcW w:w="2352" w:type="dxa"/>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专项名称</w:t>
            </w:r>
          </w:p>
        </w:tc>
        <w:tc>
          <w:tcPr>
            <w:tcW w:w="6780" w:type="dxa"/>
            <w:tcBorders>
              <w:top w:val="single" w:color="000000" w:sz="12"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社保基金监管等管理事务工作经费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6"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年度预算金额</w:t>
            </w:r>
          </w:p>
        </w:tc>
        <w:tc>
          <w:tcPr>
            <w:tcW w:w="6780"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6"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项目主管部门</w:t>
            </w:r>
          </w:p>
        </w:tc>
        <w:tc>
          <w:tcPr>
            <w:tcW w:w="6780"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6"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项目立项目的</w:t>
            </w:r>
          </w:p>
        </w:tc>
        <w:tc>
          <w:tcPr>
            <w:tcW w:w="6780"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加强社保基金监管，实现全市基金监管、信息化监测，保障社保基金安全。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416"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绩效情况</w:t>
            </w:r>
          </w:p>
        </w:tc>
        <w:tc>
          <w:tcPr>
            <w:tcW w:w="23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项目支出管理和使用基本情况</w:t>
            </w:r>
          </w:p>
        </w:tc>
        <w:tc>
          <w:tcPr>
            <w:tcW w:w="6780"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万元专项经费全额、及时拨付到位，支出16万元。项目资金支出和使用做到专款专用，保证按照项目实施的实际需要合理地安排资金。在资金使用过程中，我局严格遵照“据实申报、严格评审、专款专用”的原则，加强管理，坚决杜绝乱支错支现象发生，不仅保障资金的安全，也促进资金使用效益的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6"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项目绩效目标完成情况</w:t>
            </w:r>
          </w:p>
        </w:tc>
        <w:tc>
          <w:tcPr>
            <w:tcW w:w="6780" w:type="dxa"/>
            <w:vMerge w:val="restart"/>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市社保基金监管工作在省、市两级党委政府、省人社厅和市人社局党组的正确领导下，认真贯彻国家、省、市文件精神，加强社保基金监管、健全规章制度、强化监督手段、开展专项检查，全力维护社保基金的安全，化解社保基金风险隐患，实现了各项工作稳中求进、平稳运行，较好地完成了各项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6"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0"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416"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0"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6"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存在的问题分析及改进措施</w:t>
            </w:r>
          </w:p>
        </w:tc>
        <w:tc>
          <w:tcPr>
            <w:tcW w:w="23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存在的问题</w:t>
            </w:r>
          </w:p>
        </w:tc>
        <w:tc>
          <w:tcPr>
            <w:tcW w:w="6780" w:type="dxa"/>
            <w:vMerge w:val="restart"/>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绩效管理工作还存在绩效目标申报不够全面，绩效指标量化不够，绩效评价手段和方法有待优化，绩效自评组织实施还不够规范等问题。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6"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0"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6"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0"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416"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改进措施</w:t>
            </w:r>
          </w:p>
        </w:tc>
        <w:tc>
          <w:tcPr>
            <w:tcW w:w="6780"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在今后的工作中自觉加以改进和完善，同时建议市财政局加强对各市直单位财政支出绩效评价管理工作的培训和指导，以促进提高部门绩效自评质量。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6"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2" w:type="dxa"/>
            <w:vMerge w:val="restart"/>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其他需要说明问题</w:t>
            </w:r>
          </w:p>
        </w:tc>
        <w:tc>
          <w:tcPr>
            <w:tcW w:w="6780" w:type="dxa"/>
            <w:vMerge w:val="restart"/>
            <w:tcBorders>
              <w:top w:val="single" w:color="000000" w:sz="8" w:space="0"/>
              <w:left w:val="single" w:color="000000" w:sz="8"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6"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2" w:type="dxa"/>
            <w:vMerge w:val="continue"/>
            <w:tcBorders>
              <w:top w:val="single" w:color="000000" w:sz="8" w:space="0"/>
              <w:left w:val="single" w:color="000000" w:sz="8" w:space="0"/>
              <w:bottom w:val="single" w:color="000000" w:sz="12"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0" w:type="dxa"/>
            <w:vMerge w:val="continue"/>
            <w:tcBorders>
              <w:top w:val="single" w:color="000000" w:sz="8" w:space="0"/>
              <w:left w:val="single" w:color="000000" w:sz="8"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16"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2" w:type="dxa"/>
            <w:vMerge w:val="continue"/>
            <w:tcBorders>
              <w:top w:val="single" w:color="000000" w:sz="8" w:space="0"/>
              <w:left w:val="single" w:color="000000" w:sz="8" w:space="0"/>
              <w:bottom w:val="single" w:color="000000" w:sz="12"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0" w:type="dxa"/>
            <w:vMerge w:val="continue"/>
            <w:tcBorders>
              <w:top w:val="single" w:color="000000" w:sz="8" w:space="0"/>
              <w:left w:val="single" w:color="000000" w:sz="8"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附件</w:t>
      </w:r>
      <w:r>
        <w:rPr>
          <w:rFonts w:hint="eastAsia" w:asciiTheme="minorEastAsia" w:hAnsiTheme="minorEastAsia" w:eastAsiaTheme="minorEastAsia" w:cstheme="minorEastAsia"/>
          <w:sz w:val="32"/>
          <w:szCs w:val="32"/>
          <w:lang w:val="en-US" w:eastAsia="zh-CN"/>
        </w:rPr>
        <w:t>4-1：</w:t>
      </w:r>
    </w:p>
    <w:tbl>
      <w:tblPr>
        <w:tblStyle w:val="8"/>
        <w:tblW w:w="102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828"/>
        <w:gridCol w:w="780"/>
        <w:gridCol w:w="1500"/>
        <w:gridCol w:w="1261"/>
        <w:gridCol w:w="1236"/>
        <w:gridCol w:w="912"/>
        <w:gridCol w:w="924"/>
        <w:gridCol w:w="1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0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2" w:type="dxa"/>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出名称</w:t>
            </w:r>
          </w:p>
        </w:tc>
        <w:tc>
          <w:tcPr>
            <w:tcW w:w="9348" w:type="dxa"/>
            <w:gridSpan w:val="8"/>
            <w:vMerge w:val="restart"/>
            <w:tcBorders>
              <w:top w:val="single" w:color="000000" w:sz="12"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"金保工程"运转维护经费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2"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48" w:type="dxa"/>
            <w:gridSpan w:val="8"/>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52"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436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永州市人力资源和社会保障局</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3744" w:type="dxa"/>
            <w:gridSpan w:val="3"/>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永州市人力资源和社会保障统计信息中心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2"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1608"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0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126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123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9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1908" w:type="dxa"/>
            <w:vMerge w:val="restart"/>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2"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8"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2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2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08"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52"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　</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70.22%</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52"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　</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70.22%</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52"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上年结转资金　</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52"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2"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436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4980" w:type="dxa"/>
            <w:gridSpan w:val="4"/>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52"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加强社保网络建设，确保社保网络稳定通畅；加强社保网络运转维护。</w:t>
            </w:r>
          </w:p>
        </w:tc>
        <w:tc>
          <w:tcPr>
            <w:tcW w:w="4980" w:type="dxa"/>
            <w:gridSpan w:val="4"/>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全年社保网络稳定通畅。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2" w:type="dxa"/>
            <w:vMerge w:val="restart"/>
            <w:tcBorders>
              <w:top w:val="single" w:color="000000" w:sz="8" w:space="0"/>
              <w:left w:val="single" w:color="000000" w:sz="12"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w:t>
            </w:r>
          </w:p>
        </w:tc>
        <w:tc>
          <w:tcPr>
            <w:tcW w:w="8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26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123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9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908" w:type="dxa"/>
            <w:tcBorders>
              <w:top w:val="single" w:color="000000" w:sz="8" w:space="0"/>
              <w:left w:val="single" w:color="000000" w:sz="8" w:space="0"/>
              <w:bottom w:val="nil"/>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23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08"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08" w:type="dxa"/>
            <w:tcBorders>
              <w:top w:val="nil"/>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(50分)</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新参保人员制卡率</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社保卡总发卡数量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550万张</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572万张</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网络安全事件数量</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0起</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0起</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即时制卡网点</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100家</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142家</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较大以上网络舆情事件</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0起</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0起</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视频会议一体化覆盖县市区数量</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14个</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14个</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重点工作完成及时率</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全年总支出</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142.4万元</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100万元</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由于42.4万元合同款未满足支付条件，故结转至下年度待合同满足支付条件予以支付。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70.22%</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由于42.4万元合同款未满足支付条件，故结转至下年度待合同满足支付条件予以支付。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效益指标（30分）</w:t>
            </w:r>
          </w:p>
        </w:tc>
        <w:tc>
          <w:tcPr>
            <w:tcW w:w="780"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益指标</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参保人员社保网络惠及范围</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社保网络安全运行</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益指标</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环境污染率</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社保信息系统服务对象满意度</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≧95%</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社保卡功能服务对象满意度</w:t>
            </w:r>
          </w:p>
        </w:tc>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≧95%</w:t>
            </w:r>
          </w:p>
        </w:tc>
        <w:tc>
          <w:tcPr>
            <w:tcW w:w="12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08"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6" w:type="dxa"/>
            <w:gridSpan w:val="6"/>
            <w:tcBorders>
              <w:top w:val="single" w:color="000000" w:sz="8" w:space="0"/>
              <w:left w:val="single" w:color="000000" w:sz="12"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912"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24"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908" w:type="dxa"/>
            <w:tcBorders>
              <w:top w:val="single" w:color="000000" w:sz="8" w:space="0"/>
              <w:left w:val="single" w:color="000000" w:sz="8"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备注：每个项目支出分别填报自评报告和自评表。</w:t>
            </w:r>
          </w:p>
        </w:tc>
      </w:tr>
    </w:tbl>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Theme="minorEastAsia" w:hAnsiTheme="minorEastAsia" w:eastAsiaTheme="minorEastAsia" w:cstheme="minorEastAsia"/>
          <w:sz w:val="32"/>
          <w:szCs w:val="32"/>
          <w:lang w:val="en-US" w:eastAsia="zh-CN"/>
        </w:rPr>
      </w:pPr>
    </w:p>
    <w:tbl>
      <w:tblPr>
        <w:tblStyle w:val="8"/>
        <w:tblW w:w="97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8"/>
        <w:gridCol w:w="684"/>
        <w:gridCol w:w="900"/>
        <w:gridCol w:w="1680"/>
        <w:gridCol w:w="1128"/>
        <w:gridCol w:w="1080"/>
        <w:gridCol w:w="912"/>
        <w:gridCol w:w="936"/>
        <w:gridCol w:w="1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20" w:type="dxa"/>
            <w:gridSpan w:val="9"/>
            <w:tcBorders>
              <w:top w:val="nil"/>
              <w:left w:val="nil"/>
              <w:bottom w:val="nil"/>
              <w:right w:val="nil"/>
            </w:tcBorders>
            <w:shd w:val="clear" w:color="auto" w:fill="auto"/>
            <w:noWrap/>
            <w:vAlign w:val="center"/>
          </w:tcPr>
          <w:p>
            <w:pPr>
              <w:pStyle w:val="2"/>
              <w:ind w:left="0" w:leftChars="0" w:firstLine="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附件</w:t>
            </w:r>
            <w:r>
              <w:rPr>
                <w:rFonts w:hint="eastAsia" w:asciiTheme="minorEastAsia" w:hAnsiTheme="minorEastAsia" w:eastAsiaTheme="minorEastAsia" w:cstheme="minorEastAsia"/>
                <w:sz w:val="32"/>
                <w:szCs w:val="32"/>
                <w:lang w:val="en-US" w:eastAsia="zh-CN"/>
              </w:rPr>
              <w:t>4-2：</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8" w:type="dxa"/>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出名称</w:t>
            </w:r>
          </w:p>
        </w:tc>
        <w:tc>
          <w:tcPr>
            <w:tcW w:w="8772" w:type="dxa"/>
            <w:gridSpan w:val="8"/>
            <w:vMerge w:val="restart"/>
            <w:tcBorders>
              <w:top w:val="single" w:color="000000" w:sz="12"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社保基金监管等管理事务工作经费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8" w:type="dxa"/>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72" w:type="dxa"/>
            <w:gridSpan w:val="8"/>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8"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4392"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永州市人力资源和社会保障局</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3300" w:type="dxa"/>
            <w:gridSpan w:val="3"/>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8"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1584"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112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10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9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1452" w:type="dxa"/>
            <w:vMerge w:val="restart"/>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8"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2"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48"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　</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48"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　</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48"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上年结转资金　</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48"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8"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4392"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4380" w:type="dxa"/>
            <w:gridSpan w:val="4"/>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48"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92"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全年加强社保基金监管，实现全市基金监管、信息化监测，保障社保基金安全。　　</w:t>
            </w:r>
          </w:p>
        </w:tc>
        <w:tc>
          <w:tcPr>
            <w:tcW w:w="4380" w:type="dxa"/>
            <w:gridSpan w:val="4"/>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全年社保基金安全有效运行。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8" w:type="dxa"/>
            <w:vMerge w:val="restart"/>
            <w:tcBorders>
              <w:top w:val="single" w:color="000000" w:sz="8" w:space="0"/>
              <w:left w:val="single" w:color="000000" w:sz="12"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w:t>
            </w:r>
          </w:p>
        </w:tc>
        <w:tc>
          <w:tcPr>
            <w:tcW w:w="6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12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10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9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452" w:type="dxa"/>
            <w:tcBorders>
              <w:top w:val="single" w:color="000000" w:sz="8" w:space="0"/>
              <w:left w:val="single" w:color="000000" w:sz="8" w:space="0"/>
              <w:bottom w:val="nil"/>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080"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2"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2" w:type="dxa"/>
            <w:tcBorders>
              <w:top w:val="nil"/>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(50分)</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重大基金安全事故</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0起</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要情处理率</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警示教育讲座次数</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2次</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4次</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签订社保基金安全责任书</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监管覆盖社保基金范围</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社保基金系统风险率</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社保基金问题发现整改率</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项目总支出</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≦16万元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16万元</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（30分）</w:t>
            </w:r>
          </w:p>
        </w:tc>
        <w:tc>
          <w:tcPr>
            <w:tcW w:w="90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益指标</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挽回损失</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≧500万元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875.8万元</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益指标</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基金安全运行</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益指标</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环境污染率</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8"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社保基金服务对象满意度</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2"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20" w:type="dxa"/>
            <w:gridSpan w:val="6"/>
            <w:tcBorders>
              <w:top w:val="single" w:color="000000" w:sz="8" w:space="0"/>
              <w:left w:val="single" w:color="000000" w:sz="12"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912"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36"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52" w:type="dxa"/>
            <w:tcBorders>
              <w:top w:val="single" w:color="000000" w:sz="8" w:space="0"/>
              <w:left w:val="single" w:color="000000" w:sz="8"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备注：每个项目支出分别填报自评报告和自评表。</w:t>
            </w:r>
          </w:p>
        </w:tc>
      </w:tr>
    </w:tbl>
    <w:p>
      <w:pPr>
        <w:pStyle w:val="2"/>
        <w:ind w:left="0" w:leftChars="0" w:firstLine="0" w:firstLineChars="0"/>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ascii="方正小标宋简体" w:eastAsia="方正小标宋简体"/>
          <w:sz w:val="52"/>
          <w:szCs w:val="5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永中宋体">
    <w:altName w:val="方正书宋_GBK"/>
    <w:panose1 w:val="00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A5BA"/>
    <w:multiLevelType w:val="singleLevel"/>
    <w:tmpl w:val="8186A5BA"/>
    <w:lvl w:ilvl="0" w:tentative="0">
      <w:start w:val="1"/>
      <w:numFmt w:val="decimal"/>
      <w:suff w:val="nothing"/>
      <w:lvlText w:val="%1、"/>
      <w:lvlJc w:val="left"/>
    </w:lvl>
  </w:abstractNum>
  <w:abstractNum w:abstractNumId="1">
    <w:nsid w:val="9D7FEDA3"/>
    <w:multiLevelType w:val="singleLevel"/>
    <w:tmpl w:val="9D7FEDA3"/>
    <w:lvl w:ilvl="0" w:tentative="0">
      <w:start w:val="9"/>
      <w:numFmt w:val="chineseCounting"/>
      <w:suff w:val="nothing"/>
      <w:lvlText w:val="%1、"/>
      <w:lvlJc w:val="left"/>
      <w:rPr>
        <w:rFonts w:hint="eastAsia"/>
      </w:rPr>
    </w:lvl>
  </w:abstractNum>
  <w:abstractNum w:abstractNumId="2">
    <w:nsid w:val="B1D8A0E9"/>
    <w:multiLevelType w:val="singleLevel"/>
    <w:tmpl w:val="B1D8A0E9"/>
    <w:lvl w:ilvl="0" w:tentative="0">
      <w:start w:val="8"/>
      <w:numFmt w:val="chineseCounting"/>
      <w:suff w:val="nothing"/>
      <w:lvlText w:val="%1、"/>
      <w:lvlJc w:val="left"/>
      <w:rPr>
        <w:rFonts w:hint="eastAsia"/>
      </w:rPr>
    </w:lvl>
  </w:abstractNum>
  <w:abstractNum w:abstractNumId="3">
    <w:nsid w:val="B9746D94"/>
    <w:multiLevelType w:val="singleLevel"/>
    <w:tmpl w:val="B9746D94"/>
    <w:lvl w:ilvl="0" w:tentative="0">
      <w:start w:val="1"/>
      <w:numFmt w:val="chineseCounting"/>
      <w:suff w:val="nothing"/>
      <w:lvlText w:val="%1、"/>
      <w:lvlJc w:val="left"/>
      <w:rPr>
        <w:rFonts w:hint="eastAsia"/>
      </w:rPr>
    </w:lvl>
  </w:abstractNum>
  <w:abstractNum w:abstractNumId="4">
    <w:nsid w:val="CBE35942"/>
    <w:multiLevelType w:val="singleLevel"/>
    <w:tmpl w:val="CBE35942"/>
    <w:lvl w:ilvl="0" w:tentative="0">
      <w:start w:val="3"/>
      <w:numFmt w:val="decimal"/>
      <w:suff w:val="nothing"/>
      <w:lvlText w:val="%1、"/>
      <w:lvlJc w:val="left"/>
    </w:lvl>
  </w:abstractNum>
  <w:abstractNum w:abstractNumId="5">
    <w:nsid w:val="D9E3DA24"/>
    <w:multiLevelType w:val="singleLevel"/>
    <w:tmpl w:val="D9E3DA24"/>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Y2Q1NThmZTk0ZTYxOTAyNGYxOTI4MDgwZTRkYj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B94172"/>
    <w:rsid w:val="045D3C6F"/>
    <w:rsid w:val="059D2A84"/>
    <w:rsid w:val="078D3D07"/>
    <w:rsid w:val="07AD2AAB"/>
    <w:rsid w:val="0BBE3264"/>
    <w:rsid w:val="0C28307E"/>
    <w:rsid w:val="0C970E9C"/>
    <w:rsid w:val="0E4167FB"/>
    <w:rsid w:val="0E825B30"/>
    <w:rsid w:val="0FEF6F87"/>
    <w:rsid w:val="12CD1D08"/>
    <w:rsid w:val="1315DB8F"/>
    <w:rsid w:val="131B6383"/>
    <w:rsid w:val="13891289"/>
    <w:rsid w:val="13FFB91D"/>
    <w:rsid w:val="14AE1F25"/>
    <w:rsid w:val="17FBEDD6"/>
    <w:rsid w:val="18C7014D"/>
    <w:rsid w:val="18CF2672"/>
    <w:rsid w:val="1A1A3838"/>
    <w:rsid w:val="1A8A3DEE"/>
    <w:rsid w:val="1B0016FF"/>
    <w:rsid w:val="1B56F6DC"/>
    <w:rsid w:val="1B830F69"/>
    <w:rsid w:val="1D1476E9"/>
    <w:rsid w:val="1DF90771"/>
    <w:rsid w:val="1DFFB249"/>
    <w:rsid w:val="1EBFFFE5"/>
    <w:rsid w:val="1EFD71A0"/>
    <w:rsid w:val="1F359FDC"/>
    <w:rsid w:val="1FB5F41C"/>
    <w:rsid w:val="1FEF89B6"/>
    <w:rsid w:val="1FF3BAE0"/>
    <w:rsid w:val="1FFB22CD"/>
    <w:rsid w:val="1FFC6C92"/>
    <w:rsid w:val="241F37F9"/>
    <w:rsid w:val="25E92311"/>
    <w:rsid w:val="26761E2B"/>
    <w:rsid w:val="26853DB9"/>
    <w:rsid w:val="294824E3"/>
    <w:rsid w:val="29C72969"/>
    <w:rsid w:val="2A585CB7"/>
    <w:rsid w:val="2A5D2D7F"/>
    <w:rsid w:val="2C096919"/>
    <w:rsid w:val="2C1005F7"/>
    <w:rsid w:val="2C1856FE"/>
    <w:rsid w:val="2C656A09"/>
    <w:rsid w:val="2D512CF7"/>
    <w:rsid w:val="2D75DDAF"/>
    <w:rsid w:val="2DB77BDA"/>
    <w:rsid w:val="2DC9BB25"/>
    <w:rsid w:val="2E2C5491"/>
    <w:rsid w:val="2F4F2F32"/>
    <w:rsid w:val="2FC90C53"/>
    <w:rsid w:val="2FF6BEAF"/>
    <w:rsid w:val="30992302"/>
    <w:rsid w:val="31411253"/>
    <w:rsid w:val="314D0BA1"/>
    <w:rsid w:val="3273E39A"/>
    <w:rsid w:val="34370284"/>
    <w:rsid w:val="34F7B491"/>
    <w:rsid w:val="367F3F8E"/>
    <w:rsid w:val="36B407B1"/>
    <w:rsid w:val="36CE3589"/>
    <w:rsid w:val="374FF334"/>
    <w:rsid w:val="377ABBE9"/>
    <w:rsid w:val="37BFA107"/>
    <w:rsid w:val="37EF7DED"/>
    <w:rsid w:val="38966328"/>
    <w:rsid w:val="3ADB3C32"/>
    <w:rsid w:val="3B181DBA"/>
    <w:rsid w:val="3B9BF72A"/>
    <w:rsid w:val="3BDD7A02"/>
    <w:rsid w:val="3C1F0076"/>
    <w:rsid w:val="3D13064F"/>
    <w:rsid w:val="3DAD069D"/>
    <w:rsid w:val="3DDA9ADE"/>
    <w:rsid w:val="3DDD9AFE"/>
    <w:rsid w:val="3DFF9AD7"/>
    <w:rsid w:val="3F3850B3"/>
    <w:rsid w:val="3F8FDF23"/>
    <w:rsid w:val="3FC78272"/>
    <w:rsid w:val="3FCB08F7"/>
    <w:rsid w:val="3FF9B849"/>
    <w:rsid w:val="400F2B16"/>
    <w:rsid w:val="407D6CFD"/>
    <w:rsid w:val="450F37B3"/>
    <w:rsid w:val="467C7A59"/>
    <w:rsid w:val="47416223"/>
    <w:rsid w:val="476F053E"/>
    <w:rsid w:val="4802595B"/>
    <w:rsid w:val="482C2693"/>
    <w:rsid w:val="496679E4"/>
    <w:rsid w:val="49E65108"/>
    <w:rsid w:val="4B4439C2"/>
    <w:rsid w:val="4BA7573F"/>
    <w:rsid w:val="4D491763"/>
    <w:rsid w:val="4D52215C"/>
    <w:rsid w:val="4DF09D44"/>
    <w:rsid w:val="4EBFE945"/>
    <w:rsid w:val="4F066A1D"/>
    <w:rsid w:val="4FD79DB7"/>
    <w:rsid w:val="4FFD5C57"/>
    <w:rsid w:val="514F78F5"/>
    <w:rsid w:val="52DB28E5"/>
    <w:rsid w:val="53922B81"/>
    <w:rsid w:val="54ADDFED"/>
    <w:rsid w:val="54C94F38"/>
    <w:rsid w:val="56144A51"/>
    <w:rsid w:val="56FF8F02"/>
    <w:rsid w:val="57210A63"/>
    <w:rsid w:val="577BB9C7"/>
    <w:rsid w:val="58B9AC20"/>
    <w:rsid w:val="59FF815B"/>
    <w:rsid w:val="5A742ED8"/>
    <w:rsid w:val="5BEF7896"/>
    <w:rsid w:val="5C7973AA"/>
    <w:rsid w:val="5D19768E"/>
    <w:rsid w:val="5D555335"/>
    <w:rsid w:val="5DC74F16"/>
    <w:rsid w:val="5DDE0CE5"/>
    <w:rsid w:val="5F6FA6C3"/>
    <w:rsid w:val="5F7A2DD6"/>
    <w:rsid w:val="5FAF2659"/>
    <w:rsid w:val="5FAF29C4"/>
    <w:rsid w:val="5FF78BC0"/>
    <w:rsid w:val="5FFBCD34"/>
    <w:rsid w:val="604D2EC1"/>
    <w:rsid w:val="608D150F"/>
    <w:rsid w:val="60E43825"/>
    <w:rsid w:val="612023A6"/>
    <w:rsid w:val="61F506C3"/>
    <w:rsid w:val="6260587F"/>
    <w:rsid w:val="637F59D8"/>
    <w:rsid w:val="637FFA5F"/>
    <w:rsid w:val="63B53257"/>
    <w:rsid w:val="63C7433B"/>
    <w:rsid w:val="63D07D38"/>
    <w:rsid w:val="649E1F66"/>
    <w:rsid w:val="65007971"/>
    <w:rsid w:val="65A45331"/>
    <w:rsid w:val="65D14E6A"/>
    <w:rsid w:val="65DA4624"/>
    <w:rsid w:val="66EC4B93"/>
    <w:rsid w:val="67A63741"/>
    <w:rsid w:val="67BE5652"/>
    <w:rsid w:val="68970AB9"/>
    <w:rsid w:val="69CE0C8E"/>
    <w:rsid w:val="6A5D5090"/>
    <w:rsid w:val="6B3B0A6C"/>
    <w:rsid w:val="6B771A85"/>
    <w:rsid w:val="6B8FF6A3"/>
    <w:rsid w:val="6BD96616"/>
    <w:rsid w:val="6BF67B31"/>
    <w:rsid w:val="6BFD5B7B"/>
    <w:rsid w:val="6CFDD296"/>
    <w:rsid w:val="6D170ADE"/>
    <w:rsid w:val="6D334D1F"/>
    <w:rsid w:val="6D6FDADA"/>
    <w:rsid w:val="6D94617F"/>
    <w:rsid w:val="6DFF59F9"/>
    <w:rsid w:val="6DFFC6D6"/>
    <w:rsid w:val="6EDF95C9"/>
    <w:rsid w:val="6EFAB8FB"/>
    <w:rsid w:val="6F0FDB39"/>
    <w:rsid w:val="6F2E2009"/>
    <w:rsid w:val="6F335652"/>
    <w:rsid w:val="6F9F656F"/>
    <w:rsid w:val="6FA91280"/>
    <w:rsid w:val="6FAEE22B"/>
    <w:rsid w:val="6FD5D733"/>
    <w:rsid w:val="6FEF66C1"/>
    <w:rsid w:val="6FF66FC8"/>
    <w:rsid w:val="6FF67707"/>
    <w:rsid w:val="6FF96381"/>
    <w:rsid w:val="6FFD16A3"/>
    <w:rsid w:val="71EEFC5F"/>
    <w:rsid w:val="72EBB3E6"/>
    <w:rsid w:val="737F1039"/>
    <w:rsid w:val="73EFDAD2"/>
    <w:rsid w:val="73FB6D42"/>
    <w:rsid w:val="742612C4"/>
    <w:rsid w:val="756E084D"/>
    <w:rsid w:val="76BB5BB7"/>
    <w:rsid w:val="76FF1F11"/>
    <w:rsid w:val="777F2510"/>
    <w:rsid w:val="77AE3596"/>
    <w:rsid w:val="77AF6543"/>
    <w:rsid w:val="77AF7ECB"/>
    <w:rsid w:val="77DB21AB"/>
    <w:rsid w:val="77F5E7E3"/>
    <w:rsid w:val="77FB67CE"/>
    <w:rsid w:val="77FD6F30"/>
    <w:rsid w:val="78FDE049"/>
    <w:rsid w:val="7979ACD9"/>
    <w:rsid w:val="799F2EF1"/>
    <w:rsid w:val="79CF8CF9"/>
    <w:rsid w:val="79F169DA"/>
    <w:rsid w:val="7AFDB66A"/>
    <w:rsid w:val="7B7B6C78"/>
    <w:rsid w:val="7B8FDDE6"/>
    <w:rsid w:val="7BB72523"/>
    <w:rsid w:val="7BDB8F9A"/>
    <w:rsid w:val="7BDDC577"/>
    <w:rsid w:val="7BEF3CE5"/>
    <w:rsid w:val="7BF6D818"/>
    <w:rsid w:val="7BF729D0"/>
    <w:rsid w:val="7BFB4247"/>
    <w:rsid w:val="7BFF2C9B"/>
    <w:rsid w:val="7C0DCA27"/>
    <w:rsid w:val="7C37037F"/>
    <w:rsid w:val="7CE2ADDD"/>
    <w:rsid w:val="7CF55854"/>
    <w:rsid w:val="7D534116"/>
    <w:rsid w:val="7D749E46"/>
    <w:rsid w:val="7DB5FCD2"/>
    <w:rsid w:val="7DB71939"/>
    <w:rsid w:val="7DF53621"/>
    <w:rsid w:val="7E3FBDBB"/>
    <w:rsid w:val="7E7545DF"/>
    <w:rsid w:val="7EE7C203"/>
    <w:rsid w:val="7EFF4163"/>
    <w:rsid w:val="7F6FD402"/>
    <w:rsid w:val="7F727BFC"/>
    <w:rsid w:val="7F7DD2AB"/>
    <w:rsid w:val="7F7F1F3F"/>
    <w:rsid w:val="7F810284"/>
    <w:rsid w:val="7F9CEF5B"/>
    <w:rsid w:val="7FB70E88"/>
    <w:rsid w:val="7FBE5CF9"/>
    <w:rsid w:val="7FBF6944"/>
    <w:rsid w:val="7FD66DEA"/>
    <w:rsid w:val="7FD9DB2B"/>
    <w:rsid w:val="7FEAC6A2"/>
    <w:rsid w:val="7FEB5C4D"/>
    <w:rsid w:val="7FF4CCDD"/>
    <w:rsid w:val="7FFB4F81"/>
    <w:rsid w:val="7FFDD291"/>
    <w:rsid w:val="7FFDFAE4"/>
    <w:rsid w:val="7FFF9E33"/>
    <w:rsid w:val="7FFFB324"/>
    <w:rsid w:val="7FFFE162"/>
    <w:rsid w:val="857F1EB3"/>
    <w:rsid w:val="8F2FE430"/>
    <w:rsid w:val="9B2B0774"/>
    <w:rsid w:val="9BFF25EB"/>
    <w:rsid w:val="9DE72A50"/>
    <w:rsid w:val="9E3FD89C"/>
    <w:rsid w:val="9E7F3310"/>
    <w:rsid w:val="9EDF7879"/>
    <w:rsid w:val="9EEFE1F5"/>
    <w:rsid w:val="9F9D2B4A"/>
    <w:rsid w:val="9F9E5C4E"/>
    <w:rsid w:val="9FDF6BCB"/>
    <w:rsid w:val="9FEC48E6"/>
    <w:rsid w:val="9FF68E69"/>
    <w:rsid w:val="9FFB0590"/>
    <w:rsid w:val="A5D86D93"/>
    <w:rsid w:val="A5F9914F"/>
    <w:rsid w:val="A7D2750A"/>
    <w:rsid w:val="A8FF5711"/>
    <w:rsid w:val="ADFF523C"/>
    <w:rsid w:val="AF7379EB"/>
    <w:rsid w:val="B1D2B952"/>
    <w:rsid w:val="B3ABA0A8"/>
    <w:rsid w:val="B3EC9CE8"/>
    <w:rsid w:val="B5DE6CB5"/>
    <w:rsid w:val="B7193AFB"/>
    <w:rsid w:val="B7FAFD10"/>
    <w:rsid w:val="B7FB69EC"/>
    <w:rsid w:val="B9B55BC1"/>
    <w:rsid w:val="BA7BD471"/>
    <w:rsid w:val="BB3F6D09"/>
    <w:rsid w:val="BED88CD4"/>
    <w:rsid w:val="BF55AF0C"/>
    <w:rsid w:val="BFBB0DED"/>
    <w:rsid w:val="BFBB302E"/>
    <w:rsid w:val="BFFC9B63"/>
    <w:rsid w:val="BFFD244C"/>
    <w:rsid w:val="BFFF39A6"/>
    <w:rsid w:val="BFFFE451"/>
    <w:rsid w:val="C56FC94E"/>
    <w:rsid w:val="CA7FEFE2"/>
    <w:rsid w:val="CBF1E582"/>
    <w:rsid w:val="CDF6C8C8"/>
    <w:rsid w:val="CFAEA06D"/>
    <w:rsid w:val="CFBFA0D6"/>
    <w:rsid w:val="CFCD9337"/>
    <w:rsid w:val="CFDF0B28"/>
    <w:rsid w:val="CFFD4F9B"/>
    <w:rsid w:val="D3FFE97B"/>
    <w:rsid w:val="D5EFE80F"/>
    <w:rsid w:val="D5FB68AB"/>
    <w:rsid w:val="D79E37E6"/>
    <w:rsid w:val="D7B6F117"/>
    <w:rsid w:val="D7F913F2"/>
    <w:rsid w:val="DAFDF41B"/>
    <w:rsid w:val="DB9FBBDA"/>
    <w:rsid w:val="DBAE2407"/>
    <w:rsid w:val="DBE5AFFF"/>
    <w:rsid w:val="DBFF8A87"/>
    <w:rsid w:val="DD5FF95B"/>
    <w:rsid w:val="DDCDF69B"/>
    <w:rsid w:val="DE36CFC0"/>
    <w:rsid w:val="DEF343A0"/>
    <w:rsid w:val="DF7BF4DE"/>
    <w:rsid w:val="DF9D5139"/>
    <w:rsid w:val="DFEF9DF0"/>
    <w:rsid w:val="DFFDB2BB"/>
    <w:rsid w:val="E2E5C450"/>
    <w:rsid w:val="E55FF96D"/>
    <w:rsid w:val="E59B97E3"/>
    <w:rsid w:val="E5E606EE"/>
    <w:rsid w:val="E5F91960"/>
    <w:rsid w:val="E6F6A5C3"/>
    <w:rsid w:val="E79F6A51"/>
    <w:rsid w:val="E7F7ED20"/>
    <w:rsid w:val="E7FB8373"/>
    <w:rsid w:val="E7FF1044"/>
    <w:rsid w:val="ED7F15F1"/>
    <w:rsid w:val="EDBDBD99"/>
    <w:rsid w:val="EEB5EBB0"/>
    <w:rsid w:val="EECEAB64"/>
    <w:rsid w:val="EEEFBC0B"/>
    <w:rsid w:val="EF0C0B59"/>
    <w:rsid w:val="EF2E777B"/>
    <w:rsid w:val="EF6FB36B"/>
    <w:rsid w:val="EF8E6BF8"/>
    <w:rsid w:val="EFBF7473"/>
    <w:rsid w:val="EFDDF9DA"/>
    <w:rsid w:val="EFDE525E"/>
    <w:rsid w:val="EFDF7BC6"/>
    <w:rsid w:val="EFE71915"/>
    <w:rsid w:val="EFEDF562"/>
    <w:rsid w:val="EFF5F2A2"/>
    <w:rsid w:val="EFF67059"/>
    <w:rsid w:val="EFF859D2"/>
    <w:rsid w:val="EFFE1DFB"/>
    <w:rsid w:val="EFFF187F"/>
    <w:rsid w:val="F19F0862"/>
    <w:rsid w:val="F35A22FF"/>
    <w:rsid w:val="F5BA6C0D"/>
    <w:rsid w:val="F5F79C07"/>
    <w:rsid w:val="F6094535"/>
    <w:rsid w:val="F6D71CF0"/>
    <w:rsid w:val="F6DBFB18"/>
    <w:rsid w:val="F73740AF"/>
    <w:rsid w:val="F76677DE"/>
    <w:rsid w:val="F7695508"/>
    <w:rsid w:val="F76D10CD"/>
    <w:rsid w:val="F77DF90A"/>
    <w:rsid w:val="F7BEF23E"/>
    <w:rsid w:val="F7F0772A"/>
    <w:rsid w:val="F7F987C9"/>
    <w:rsid w:val="F8BB414B"/>
    <w:rsid w:val="F9215503"/>
    <w:rsid w:val="F9D38DA8"/>
    <w:rsid w:val="F9DF6A12"/>
    <w:rsid w:val="F9EDBBF0"/>
    <w:rsid w:val="F9FAAB39"/>
    <w:rsid w:val="FB67E895"/>
    <w:rsid w:val="FB7FF0D9"/>
    <w:rsid w:val="FBBF2529"/>
    <w:rsid w:val="FBDDBA67"/>
    <w:rsid w:val="FBEF1D0B"/>
    <w:rsid w:val="FBFF2A16"/>
    <w:rsid w:val="FBFF923F"/>
    <w:rsid w:val="FC2B1AD7"/>
    <w:rsid w:val="FCFC20A7"/>
    <w:rsid w:val="FCFD4681"/>
    <w:rsid w:val="FD1E608F"/>
    <w:rsid w:val="FD4D72AA"/>
    <w:rsid w:val="FDBFADE1"/>
    <w:rsid w:val="FDCB1DB7"/>
    <w:rsid w:val="FDCF9EF9"/>
    <w:rsid w:val="FDD38991"/>
    <w:rsid w:val="FDDF2330"/>
    <w:rsid w:val="FDFED89A"/>
    <w:rsid w:val="FE6716B2"/>
    <w:rsid w:val="FE67FBFF"/>
    <w:rsid w:val="FE7BA85F"/>
    <w:rsid w:val="FEBB5D3A"/>
    <w:rsid w:val="FEDF628B"/>
    <w:rsid w:val="FEEF0FAB"/>
    <w:rsid w:val="FEF6A46F"/>
    <w:rsid w:val="FF35016A"/>
    <w:rsid w:val="FF3C9E2D"/>
    <w:rsid w:val="FF5FD3F5"/>
    <w:rsid w:val="FF6F9E4D"/>
    <w:rsid w:val="FF7ADA60"/>
    <w:rsid w:val="FF7EBB1D"/>
    <w:rsid w:val="FF7F5072"/>
    <w:rsid w:val="FF89382D"/>
    <w:rsid w:val="FF9D188B"/>
    <w:rsid w:val="FF9FA030"/>
    <w:rsid w:val="FFAF0016"/>
    <w:rsid w:val="FFB39FEB"/>
    <w:rsid w:val="FFBFD684"/>
    <w:rsid w:val="FFD95476"/>
    <w:rsid w:val="FFDD18EC"/>
    <w:rsid w:val="FFDDF416"/>
    <w:rsid w:val="FFEBB18F"/>
    <w:rsid w:val="FFEE08A0"/>
    <w:rsid w:val="FFEF5873"/>
    <w:rsid w:val="FFEFD6D3"/>
    <w:rsid w:val="FFF64A24"/>
    <w:rsid w:val="FFF6C511"/>
    <w:rsid w:val="FFF7967E"/>
    <w:rsid w:val="FFF90829"/>
    <w:rsid w:val="FFFAA6D5"/>
    <w:rsid w:val="FFFAF1C2"/>
    <w:rsid w:val="FFFB58EF"/>
    <w:rsid w:val="FFFBABCA"/>
    <w:rsid w:val="FFFD1E33"/>
    <w:rsid w:val="FFFD24C3"/>
    <w:rsid w:val="FFFD6BB7"/>
    <w:rsid w:val="FFFDD5F7"/>
    <w:rsid w:val="FFFF3B9C"/>
    <w:rsid w:val="FFFF5518"/>
    <w:rsid w:val="FFFFD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 w:type="paragraph" w:styleId="3">
    <w:name w:val="Body Text"/>
    <w:basedOn w:val="1"/>
    <w:qFormat/>
    <w:uiPriority w:val="0"/>
    <w:pPr>
      <w:widowControl w:val="0"/>
      <w:spacing w:before="0" w:after="120"/>
      <w:ind w:left="0" w:right="0"/>
      <w:jc w:val="both"/>
    </w:pPr>
    <w:rPr>
      <w:rFonts w:ascii="Calibri" w:hAnsi="Calibri" w:eastAsia="楷体_GB2312" w:cs="永中宋体"/>
      <w:kern w:val="0"/>
      <w:sz w:val="20"/>
      <w:szCs w:val="20"/>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21"/>
    <w:basedOn w:val="9"/>
    <w:qFormat/>
    <w:uiPriority w:val="0"/>
    <w:rPr>
      <w:rFonts w:hint="eastAsia" w:ascii="宋体" w:hAnsi="宋体" w:eastAsia="宋体" w:cs="宋体"/>
      <w:b/>
      <w:bCs/>
      <w:color w:val="000000"/>
      <w:sz w:val="22"/>
      <w:szCs w:val="22"/>
      <w:u w:val="none"/>
    </w:rPr>
  </w:style>
  <w:style w:type="character" w:customStyle="1" w:styleId="16">
    <w:name w:val="font01"/>
    <w:basedOn w:val="9"/>
    <w:qFormat/>
    <w:uiPriority w:val="0"/>
    <w:rPr>
      <w:rFonts w:hint="eastAsia" w:ascii="宋体" w:hAnsi="宋体" w:eastAsia="宋体" w:cs="宋体"/>
      <w:color w:val="000000"/>
      <w:sz w:val="22"/>
      <w:szCs w:val="22"/>
      <w:u w:val="none"/>
    </w:rPr>
  </w:style>
  <w:style w:type="character" w:customStyle="1" w:styleId="17">
    <w:name w:val="font61"/>
    <w:basedOn w:val="9"/>
    <w:qFormat/>
    <w:uiPriority w:val="0"/>
    <w:rPr>
      <w:rFonts w:hint="eastAsia" w:ascii="宋体" w:hAnsi="宋体" w:eastAsia="宋体" w:cs="宋体"/>
      <w:color w:val="000000"/>
      <w:sz w:val="22"/>
      <w:szCs w:val="22"/>
      <w:u w:val="none"/>
    </w:rPr>
  </w:style>
  <w:style w:type="character" w:customStyle="1" w:styleId="18">
    <w:name w:val="font81"/>
    <w:basedOn w:val="9"/>
    <w:qFormat/>
    <w:uiPriority w:val="0"/>
    <w:rPr>
      <w:rFonts w:hint="eastAsia" w:ascii="宋体" w:hAnsi="宋体" w:eastAsia="宋体" w:cs="宋体"/>
      <w:color w:val="000000"/>
      <w:sz w:val="22"/>
      <w:szCs w:val="22"/>
      <w:u w:val="none"/>
    </w:rPr>
  </w:style>
  <w:style w:type="character" w:customStyle="1" w:styleId="19">
    <w:name w:val="font31"/>
    <w:basedOn w:val="9"/>
    <w:qFormat/>
    <w:uiPriority w:val="0"/>
    <w:rPr>
      <w:rFonts w:hint="default" w:ascii="Times New Roman" w:hAnsi="Times New Roman" w:cs="Times New Roman"/>
      <w:color w:val="000000"/>
      <w:sz w:val="22"/>
      <w:szCs w:val="22"/>
      <w:u w:val="none"/>
    </w:rPr>
  </w:style>
  <w:style w:type="character" w:customStyle="1" w:styleId="20">
    <w:name w:val="font11"/>
    <w:basedOn w:val="9"/>
    <w:qFormat/>
    <w:uiPriority w:val="0"/>
    <w:rPr>
      <w:rFonts w:hint="eastAsia" w:ascii="宋体" w:hAnsi="宋体" w:eastAsia="宋体" w:cs="宋体"/>
      <w:color w:val="000000"/>
      <w:sz w:val="22"/>
      <w:szCs w:val="22"/>
      <w:u w:val="none"/>
    </w:rPr>
  </w:style>
  <w:style w:type="character" w:customStyle="1" w:styleId="21">
    <w:name w:val="font4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18312</Words>
  <Characters>21487</Characters>
  <Lines>69</Lines>
  <Paragraphs>19</Paragraphs>
  <TotalTime>1</TotalTime>
  <ScaleCrop>false</ScaleCrop>
  <LinksUpToDate>false</LinksUpToDate>
  <CharactersWithSpaces>21789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kylin</cp:lastModifiedBy>
  <cp:lastPrinted>2022-09-19T23:25:00Z</cp:lastPrinted>
  <dcterms:modified xsi:type="dcterms:W3CDTF">2022-09-22T10:20:40Z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138DFEB994D14F3590A5B362F7034F2D</vt:lpwstr>
  </property>
</Properties>
</file>