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永州市城市绿地系统规划公示文本</w:t>
      </w:r>
    </w:p>
    <w:p>
      <w:pPr>
        <w:jc w:val="center"/>
        <w:rPr>
          <w:b/>
          <w:sz w:val="36"/>
          <w:szCs w:val="36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规划范围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永州市中心城区：</w:t>
      </w:r>
      <w:r>
        <w:rPr>
          <w:rFonts w:ascii="宋体"/>
          <w:color w:val="auto"/>
          <w:sz w:val="24"/>
        </w:rPr>
        <w:t>与</w:t>
      </w:r>
      <w:r>
        <w:rPr>
          <w:rFonts w:hint="eastAsia" w:ascii="宋体"/>
          <w:color w:val="auto"/>
          <w:sz w:val="24"/>
        </w:rPr>
        <w:t>《永州市国土空间总体规划（202</w:t>
      </w:r>
      <w:r>
        <w:rPr>
          <w:rFonts w:hint="eastAsia" w:ascii="宋体"/>
          <w:color w:val="auto"/>
          <w:sz w:val="24"/>
          <w:lang w:val="en-US" w:eastAsia="zh-CN"/>
        </w:rPr>
        <w:t>1</w:t>
      </w:r>
      <w:r>
        <w:rPr>
          <w:rFonts w:hint="eastAsia" w:ascii="宋体"/>
          <w:color w:val="auto"/>
          <w:sz w:val="24"/>
        </w:rPr>
        <w:t>-2035）》一致，中心城区规划范围面积约</w:t>
      </w:r>
      <w:r>
        <w:rPr>
          <w:rFonts w:hint="eastAsia" w:ascii="宋体"/>
          <w:color w:val="auto"/>
          <w:sz w:val="24"/>
          <w:lang w:val="en-US" w:eastAsia="zh-CN"/>
        </w:rPr>
        <w:t>483.73</w:t>
      </w:r>
      <w:r>
        <w:rPr>
          <w:rFonts w:hint="eastAsia" w:ascii="宋体"/>
          <w:color w:val="auto"/>
          <w:sz w:val="24"/>
        </w:rPr>
        <w:t>平方公里，中心城区</w:t>
      </w:r>
      <w:r>
        <w:rPr>
          <w:rFonts w:hint="eastAsia" w:ascii="宋体"/>
          <w:color w:val="auto"/>
          <w:sz w:val="24"/>
          <w:lang w:eastAsia="zh-CN"/>
        </w:rPr>
        <w:t>范围内城镇开发边界总面积</w:t>
      </w:r>
      <w:r>
        <w:rPr>
          <w:rFonts w:hint="eastAsia" w:ascii="宋体"/>
          <w:color w:val="auto"/>
          <w:sz w:val="24"/>
          <w:lang w:val="en-US" w:eastAsia="zh-CN"/>
        </w:rPr>
        <w:t>136.26</w:t>
      </w:r>
      <w:r>
        <w:rPr>
          <w:rFonts w:hint="eastAsia" w:ascii="宋体"/>
          <w:color w:val="auto"/>
          <w:sz w:val="24"/>
        </w:rPr>
        <w:t>平方公里，人口规模为12</w:t>
      </w:r>
      <w:r>
        <w:rPr>
          <w:rFonts w:hint="eastAsia" w:ascii="宋体"/>
          <w:color w:val="auto"/>
          <w:sz w:val="24"/>
          <w:lang w:val="en-US" w:eastAsia="zh-CN"/>
        </w:rPr>
        <w:t>3</w:t>
      </w:r>
      <w:r>
        <w:rPr>
          <w:rFonts w:hint="eastAsia" w:ascii="宋体"/>
          <w:color w:val="auto"/>
          <w:sz w:val="24"/>
        </w:rPr>
        <w:t>万</w:t>
      </w:r>
      <w:r>
        <w:rPr>
          <w:rFonts w:hint="eastAsia" w:ascii="宋体"/>
          <w:color w:val="auto"/>
          <w:sz w:val="24"/>
          <w:lang w:eastAsia="zh-CN"/>
        </w:rPr>
        <w:t>左右</w:t>
      </w:r>
      <w:r>
        <w:rPr>
          <w:rFonts w:hint="eastAsia" w:ascii="宋体"/>
          <w:color w:val="auto"/>
          <w:sz w:val="24"/>
        </w:rPr>
        <w:t>。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规划期限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 w:ascii="宋体"/>
          <w:color w:val="auto"/>
          <w:sz w:val="24"/>
        </w:rPr>
        <w:t>与国土空间</w:t>
      </w:r>
      <w:r>
        <w:rPr>
          <w:rFonts w:hint="eastAsia" w:ascii="宋体"/>
          <w:color w:val="auto"/>
          <w:sz w:val="24"/>
          <w:lang w:eastAsia="zh-CN"/>
        </w:rPr>
        <w:t>总体</w:t>
      </w:r>
      <w:r>
        <w:rPr>
          <w:rFonts w:hint="eastAsia" w:ascii="宋体"/>
          <w:color w:val="auto"/>
          <w:sz w:val="24"/>
        </w:rPr>
        <w:t>规划一致，即202</w:t>
      </w:r>
      <w:r>
        <w:rPr>
          <w:rFonts w:hint="eastAsia" w:ascii="宋体"/>
          <w:color w:val="auto"/>
          <w:sz w:val="24"/>
          <w:lang w:val="en-US" w:eastAsia="zh-CN"/>
        </w:rPr>
        <w:t>1</w:t>
      </w:r>
      <w:r>
        <w:rPr>
          <w:rFonts w:hint="eastAsia" w:ascii="宋体"/>
          <w:color w:val="auto"/>
          <w:sz w:val="24"/>
        </w:rPr>
        <w:t>-2035年，近期到2025年</w:t>
      </w:r>
      <w:r>
        <w:rPr>
          <w:rFonts w:hint="eastAsia" w:ascii="宋体"/>
          <w:color w:val="auto"/>
          <w:sz w:val="24"/>
          <w:lang w:eastAsia="zh-CN"/>
        </w:rPr>
        <w:t>，</w:t>
      </w:r>
      <w:r>
        <w:rPr>
          <w:rFonts w:hint="eastAsia" w:ascii="宋体"/>
          <w:color w:val="auto"/>
          <w:sz w:val="24"/>
        </w:rPr>
        <w:t xml:space="preserve">远期到2035年，远景展望至2050年。 </w:t>
      </w:r>
    </w:p>
    <w:p>
      <w:pPr>
        <w:pStyle w:val="7"/>
        <w:spacing w:line="360" w:lineRule="auto"/>
        <w:ind w:left="0" w:leftChars="0" w:firstLine="0" w:firstLineChars="0"/>
        <w:rPr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发展目标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充分利用永州自然条件和历史文化资源，</w:t>
      </w:r>
      <w:r>
        <w:rPr>
          <w:rFonts w:ascii="宋体"/>
          <w:color w:val="auto"/>
          <w:sz w:val="24"/>
        </w:rPr>
        <w:t>以</w:t>
      </w:r>
      <w:r>
        <w:rPr>
          <w:rFonts w:hint="eastAsia" w:ascii="宋体"/>
          <w:color w:val="auto"/>
          <w:sz w:val="24"/>
        </w:rPr>
        <w:t>绿色生态为主题</w:t>
      </w:r>
      <w:r>
        <w:rPr>
          <w:rFonts w:ascii="宋体"/>
          <w:color w:val="auto"/>
          <w:sz w:val="24"/>
        </w:rPr>
        <w:t>，构筑生态健全、</w:t>
      </w:r>
      <w:r>
        <w:rPr>
          <w:rFonts w:hint="eastAsia" w:ascii="宋体"/>
          <w:color w:val="auto"/>
          <w:sz w:val="24"/>
        </w:rPr>
        <w:t>结构</w:t>
      </w:r>
      <w:r>
        <w:rPr>
          <w:rFonts w:ascii="宋体"/>
          <w:color w:val="auto"/>
          <w:sz w:val="24"/>
        </w:rPr>
        <w:t>合理、</w:t>
      </w:r>
      <w:r>
        <w:rPr>
          <w:rFonts w:hint="eastAsia" w:ascii="宋体"/>
          <w:color w:val="auto"/>
          <w:sz w:val="24"/>
        </w:rPr>
        <w:t>层次丰富、</w:t>
      </w:r>
      <w:r>
        <w:rPr>
          <w:rFonts w:ascii="宋体"/>
          <w:color w:val="auto"/>
          <w:sz w:val="24"/>
        </w:rPr>
        <w:t>特色突出、服务方便的</w:t>
      </w:r>
      <w:r>
        <w:rPr>
          <w:rFonts w:hint="eastAsia" w:ascii="宋体"/>
          <w:color w:val="auto"/>
          <w:sz w:val="24"/>
        </w:rPr>
        <w:t>“园林式、生态型”</w:t>
      </w:r>
      <w:r>
        <w:rPr>
          <w:rFonts w:ascii="宋体"/>
          <w:color w:val="auto"/>
          <w:sz w:val="24"/>
        </w:rPr>
        <w:t>城市绿地系统</w:t>
      </w:r>
      <w:r>
        <w:rPr>
          <w:rFonts w:hint="eastAsia" w:ascii="宋体"/>
          <w:color w:val="auto"/>
          <w:sz w:val="24"/>
        </w:rPr>
        <w:t>，建成历史文化与生态环境融合的湘南“绿都</w:t>
      </w:r>
      <w:r>
        <w:rPr>
          <w:rFonts w:ascii="宋体"/>
          <w:color w:val="auto"/>
          <w:sz w:val="24"/>
        </w:rPr>
        <w:t>”</w:t>
      </w:r>
      <w:r>
        <w:rPr>
          <w:rFonts w:hint="eastAsia" w:ascii="宋体"/>
          <w:color w:val="auto"/>
          <w:sz w:val="24"/>
        </w:rPr>
        <w:t>。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规划至2035年末，进一步完善各类绿地建设，实现绿地率大于40</w:t>
      </w:r>
      <w:r>
        <w:rPr>
          <w:rFonts w:ascii="宋体"/>
          <w:color w:val="auto"/>
          <w:sz w:val="24"/>
        </w:rPr>
        <w:t>%</w:t>
      </w:r>
      <w:r>
        <w:rPr>
          <w:rFonts w:hint="eastAsia" w:ascii="宋体"/>
          <w:color w:val="auto"/>
          <w:sz w:val="24"/>
        </w:rPr>
        <w:t>，人均公园绿地面积大于14.8平方米，达到国家生态园林城市</w:t>
      </w:r>
      <w:r>
        <w:rPr>
          <w:rFonts w:hint="eastAsia" w:ascii="宋体"/>
          <w:color w:val="auto"/>
          <w:sz w:val="24"/>
          <w:lang w:eastAsia="zh-CN"/>
        </w:rPr>
        <w:t>标准</w:t>
      </w:r>
      <w:r>
        <w:rPr>
          <w:rFonts w:hint="eastAsia" w:ascii="宋体"/>
          <w:color w:val="auto"/>
          <w:sz w:val="24"/>
        </w:rPr>
        <w:t>，并继续加大绿化建设力度，提高已建设绿地的质量，建成富有地方特色和浓厚文化底蕴的优质城市绿地网络，促进生态环境的良性循环。</w:t>
      </w:r>
    </w:p>
    <w:p>
      <w:pPr>
        <w:spacing w:line="360" w:lineRule="auto"/>
        <w:rPr>
          <w:sz w:val="24"/>
          <w:szCs w:val="24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规划布局</w:t>
      </w:r>
    </w:p>
    <w:p>
      <w:pPr>
        <w:spacing w:line="360" w:lineRule="auto"/>
        <w:ind w:firstLine="480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规划以绿色山体、风景区、</w:t>
      </w:r>
      <w:r>
        <w:rPr>
          <w:rFonts w:hint="eastAsia" w:ascii="宋体"/>
          <w:color w:val="auto"/>
          <w:sz w:val="24"/>
          <w:lang w:eastAsia="zh-CN"/>
        </w:rPr>
        <w:t>郊野</w:t>
      </w:r>
      <w:r>
        <w:rPr>
          <w:rFonts w:hint="eastAsia" w:ascii="宋体"/>
          <w:color w:val="auto"/>
          <w:sz w:val="24"/>
        </w:rPr>
        <w:t>公园、城市公园组成城市绿色环境背景，加强滨江带状绿地和城市主要道路两侧绿带建设，形成城市绿色通道；以各类专用绿地，居住区绿化开场空间、城区内保留的坡度20%以上的绿色山头为绿色网点；形成点、线、面的绿地系统，创造与永州历史文化名城相匹配、适应于旅游服务职能的城市绿地系统和环境氛围。</w:t>
      </w:r>
    </w:p>
    <w:p>
      <w:pPr>
        <w:spacing w:line="360" w:lineRule="auto"/>
        <w:ind w:firstLine="480"/>
        <w:rPr>
          <w:rFonts w:ascii="宋体"/>
          <w:sz w:val="24"/>
        </w:rPr>
      </w:pPr>
    </w:p>
    <w:p>
      <w:pPr>
        <w:pStyle w:val="7"/>
        <w:spacing w:line="360" w:lineRule="auto"/>
        <w:ind w:firstLine="720" w:firstLineChars="300"/>
        <w:jc w:val="left"/>
        <w:rPr>
          <w:sz w:val="24"/>
          <w:szCs w:val="24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规划结构</w:t>
      </w:r>
    </w:p>
    <w:p>
      <w:pPr>
        <w:spacing w:line="360" w:lineRule="auto"/>
        <w:ind w:firstLine="480"/>
        <w:rPr>
          <w:sz w:val="24"/>
          <w:szCs w:val="24"/>
        </w:rPr>
      </w:pPr>
      <w:bookmarkStart w:id="0" w:name="_Toc448847806"/>
      <w:r>
        <w:rPr>
          <w:rFonts w:hint="eastAsia" w:ascii="宋体"/>
          <w:color w:val="auto"/>
          <w:sz w:val="24"/>
        </w:rPr>
        <w:t>因地制宜，中心城区规划以绿环围绕、绿带纵横、绿楔通达、绿心点缀为布局特色，远期构成“一环、两带、七核、九楔、三十</w:t>
      </w:r>
      <w:r>
        <w:rPr>
          <w:rFonts w:hint="eastAsia" w:ascii="宋体"/>
          <w:color w:val="auto"/>
          <w:sz w:val="24"/>
          <w:lang w:eastAsia="zh-CN"/>
        </w:rPr>
        <w:t>七</w:t>
      </w:r>
      <w:r>
        <w:rPr>
          <w:rFonts w:hint="eastAsia" w:ascii="宋体"/>
          <w:color w:val="auto"/>
          <w:sz w:val="24"/>
        </w:rPr>
        <w:t>园”的空间布局结构，最终形成城市公园均布、滨河绿楔导风、环城绿荫围绕、道路绿带相依的景观生态格局。</w:t>
      </w:r>
    </w:p>
    <w:p>
      <w:pPr>
        <w:spacing w:line="360" w:lineRule="auto"/>
        <w:ind w:firstLine="600" w:firstLineChars="250"/>
        <w:rPr>
          <w:sz w:val="24"/>
          <w:szCs w:val="24"/>
        </w:rPr>
      </w:pPr>
    </w:p>
    <w:bookmarkEnd w:id="0"/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城市公园绿地规划</w:t>
      </w:r>
    </w:p>
    <w:p>
      <w:pPr>
        <w:spacing w:line="360" w:lineRule="auto"/>
        <w:ind w:firstLine="480"/>
        <w:rPr>
          <w:rFonts w:ascii="宋体"/>
          <w:sz w:val="24"/>
        </w:rPr>
      </w:pPr>
      <w:r>
        <w:rPr>
          <w:rFonts w:hint="eastAsia" w:ascii="宋体"/>
          <w:color w:val="auto"/>
          <w:sz w:val="24"/>
        </w:rPr>
        <w:t>永州市中心城区规划公园绿地总面积为</w:t>
      </w:r>
      <w:r>
        <w:rPr>
          <w:rFonts w:hint="default" w:ascii="宋体"/>
          <w:color w:val="auto"/>
          <w:sz w:val="24"/>
          <w:lang w:eastAsia="zh-CN"/>
        </w:rPr>
        <w:t>1856.08</w:t>
      </w:r>
      <w:r>
        <w:rPr>
          <w:rFonts w:hint="eastAsia" w:ascii="宋体"/>
          <w:color w:val="auto"/>
          <w:sz w:val="24"/>
        </w:rPr>
        <w:t>公顷。包括综合性公园1</w:t>
      </w:r>
      <w:r>
        <w:rPr>
          <w:rFonts w:hint="eastAsia" w:ascii="宋体"/>
          <w:color w:val="auto"/>
          <w:sz w:val="24"/>
          <w:lang w:val="en-US" w:eastAsia="zh-CN"/>
        </w:rPr>
        <w:t>9</w:t>
      </w:r>
      <w:r>
        <w:rPr>
          <w:rFonts w:hint="eastAsia" w:ascii="宋体"/>
          <w:color w:val="auto"/>
          <w:sz w:val="24"/>
        </w:rPr>
        <w:t>个，社区公园3</w:t>
      </w:r>
      <w:r>
        <w:rPr>
          <w:rFonts w:hint="default" w:ascii="宋体"/>
          <w:color w:val="auto"/>
          <w:sz w:val="24"/>
        </w:rPr>
        <w:t>3</w:t>
      </w:r>
      <w:r>
        <w:rPr>
          <w:rFonts w:hint="eastAsia" w:ascii="宋体"/>
          <w:color w:val="auto"/>
          <w:sz w:val="24"/>
        </w:rPr>
        <w:t>个，专类公园19个，带状游园1</w:t>
      </w:r>
      <w:r>
        <w:rPr>
          <w:rFonts w:hint="eastAsia" w:ascii="宋体"/>
          <w:color w:val="auto"/>
          <w:sz w:val="24"/>
          <w:lang w:val="en-US" w:eastAsia="zh-CN"/>
        </w:rPr>
        <w:t>6</w:t>
      </w:r>
      <w:r>
        <w:rPr>
          <w:rFonts w:hint="eastAsia" w:ascii="宋体"/>
          <w:color w:val="auto"/>
          <w:sz w:val="24"/>
        </w:rPr>
        <w:t>个，点状游园</w:t>
      </w:r>
      <w:r>
        <w:rPr>
          <w:rFonts w:hint="eastAsia" w:ascii="宋体"/>
          <w:color w:val="auto"/>
          <w:sz w:val="24"/>
          <w:lang w:val="en-US" w:eastAsia="zh-CN"/>
        </w:rPr>
        <w:t>90</w:t>
      </w:r>
      <w:r>
        <w:rPr>
          <w:rFonts w:hint="eastAsia" w:ascii="宋体"/>
          <w:color w:val="auto"/>
          <w:sz w:val="24"/>
        </w:rPr>
        <w:t>个。</w:t>
      </w:r>
    </w:p>
    <w:p>
      <w:pPr>
        <w:spacing w:line="480" w:lineRule="auto"/>
        <w:ind w:firstLine="2609" w:firstLineChars="1083"/>
        <w:rPr>
          <w:rFonts w:hAnsi="Times New Roman"/>
          <w:b/>
          <w:sz w:val="24"/>
        </w:rPr>
      </w:pPr>
      <w:r>
        <w:rPr>
          <w:rFonts w:hint="eastAsia" w:hAnsi="Times New Roman"/>
          <w:b/>
          <w:sz w:val="24"/>
        </w:rPr>
        <w:t>永州市公园绿地规划一览表</w:t>
      </w:r>
    </w:p>
    <w:tbl>
      <w:tblPr>
        <w:tblStyle w:val="5"/>
        <w:tblW w:w="99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762"/>
        <w:gridCol w:w="1202"/>
        <w:gridCol w:w="992"/>
        <w:gridCol w:w="6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Header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类别代码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类别名称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数量（个）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主要公园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G11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综合公园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4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谷源公园、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莲湖公园、</w:t>
            </w:r>
            <w:r>
              <w:rPr>
                <w:rFonts w:ascii="宋体"/>
                <w:color w:val="auto"/>
                <w:sz w:val="24"/>
                <w:szCs w:val="24"/>
              </w:rPr>
              <w:t>宋家洲公园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</w:t>
            </w:r>
            <w:r>
              <w:rPr>
                <w:rFonts w:ascii="宋体"/>
                <w:color w:val="auto"/>
                <w:sz w:val="24"/>
                <w:szCs w:val="24"/>
              </w:rPr>
              <w:t>潇湘公园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</w:t>
            </w:r>
            <w:r>
              <w:rPr>
                <w:rFonts w:ascii="宋体"/>
                <w:color w:val="auto"/>
                <w:sz w:val="24"/>
                <w:szCs w:val="24"/>
              </w:rPr>
              <w:t>龙塘公园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</w:t>
            </w:r>
            <w:r>
              <w:rPr>
                <w:rFonts w:ascii="宋体"/>
                <w:color w:val="auto"/>
                <w:sz w:val="24"/>
                <w:szCs w:val="24"/>
              </w:rPr>
              <w:t>湘江滨江公园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、保方寺公园、巴洲公园、阳甸公园、凤凰岭公园、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利安公园、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零陵公园、东山公园、萍岛公园、小石城山公园、西瓜岭公园、</w:t>
            </w:r>
            <w:r>
              <w:rPr>
                <w:rFonts w:ascii="宋体"/>
                <w:color w:val="auto"/>
                <w:sz w:val="24"/>
                <w:szCs w:val="24"/>
              </w:rPr>
              <w:t>朝阳公园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、张飞公园、黄古山公园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G12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社区公园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陆港公园、</w:t>
            </w:r>
            <w:r>
              <w:rPr>
                <w:rFonts w:ascii="宋体"/>
                <w:color w:val="auto"/>
                <w:sz w:val="24"/>
                <w:szCs w:val="24"/>
              </w:rPr>
              <w:t>淡岩公园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、传芳公园、万寿公园、</w:t>
            </w:r>
            <w:r>
              <w:rPr>
                <w:rFonts w:ascii="宋体"/>
                <w:color w:val="auto"/>
                <w:sz w:val="24"/>
                <w:szCs w:val="24"/>
              </w:rPr>
              <w:t>湘跃公园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</w:t>
            </w:r>
            <w:r>
              <w:rPr>
                <w:rFonts w:ascii="宋体"/>
                <w:color w:val="auto"/>
                <w:sz w:val="24"/>
                <w:szCs w:val="24"/>
              </w:rPr>
              <w:t>长冲社区公园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、珍珠公园、</w:t>
            </w:r>
            <w:r>
              <w:rPr>
                <w:rFonts w:ascii="宋体"/>
                <w:color w:val="auto"/>
                <w:sz w:val="24"/>
                <w:szCs w:val="24"/>
              </w:rPr>
              <w:t>紫霞公园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</w:t>
            </w:r>
            <w:r>
              <w:rPr>
                <w:rFonts w:ascii="宋体"/>
                <w:color w:val="auto"/>
                <w:sz w:val="24"/>
                <w:szCs w:val="24"/>
              </w:rPr>
              <w:t>将军岭公园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南甸公园、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珊瑚公园、桥头公园、</w:t>
            </w:r>
            <w:r>
              <w:rPr>
                <w:rFonts w:ascii="宋体"/>
                <w:color w:val="auto"/>
                <w:sz w:val="24"/>
                <w:szCs w:val="24"/>
              </w:rPr>
              <w:t>仁湾公园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</w:t>
            </w:r>
            <w:r>
              <w:rPr>
                <w:rFonts w:ascii="宋体"/>
                <w:color w:val="auto"/>
                <w:sz w:val="24"/>
                <w:szCs w:val="24"/>
              </w:rPr>
              <w:t>白石山公园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、长丰社区公园、伏塘公园、人防公园、</w:t>
            </w:r>
            <w:r>
              <w:rPr>
                <w:rFonts w:ascii="宋体"/>
                <w:color w:val="auto"/>
                <w:sz w:val="24"/>
                <w:szCs w:val="24"/>
              </w:rPr>
              <w:t>曲河公园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</w:t>
            </w:r>
            <w:r>
              <w:rPr>
                <w:rFonts w:ascii="宋体"/>
                <w:color w:val="auto"/>
                <w:sz w:val="24"/>
                <w:szCs w:val="24"/>
              </w:rPr>
              <w:t>怡清公园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</w:t>
            </w:r>
            <w:r>
              <w:rPr>
                <w:rFonts w:ascii="宋体"/>
                <w:color w:val="auto"/>
                <w:sz w:val="24"/>
                <w:szCs w:val="24"/>
              </w:rPr>
              <w:t>中江庙公园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</w:t>
            </w:r>
            <w:r>
              <w:rPr>
                <w:rFonts w:ascii="宋体"/>
                <w:color w:val="auto"/>
                <w:sz w:val="24"/>
                <w:szCs w:val="24"/>
              </w:rPr>
              <w:t>烟湖公园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、鹤鸣公园、玫瑰湾公园、塘湖公园、政通公园、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诚信公园、</w:t>
            </w:r>
            <w:r>
              <w:rPr>
                <w:rFonts w:ascii="宋体"/>
                <w:color w:val="auto"/>
                <w:sz w:val="24"/>
                <w:szCs w:val="24"/>
              </w:rPr>
              <w:t>徐家井公园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、樟树脚公园、人民公园、和谐公园、福寿亭公园、桃江公园、康济社区公园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G13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专类公园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虎岩公园、体育公园、铁路公园、李达公园、党校公园、</w:t>
            </w:r>
            <w:r>
              <w:rPr>
                <w:rFonts w:ascii="宋体"/>
                <w:color w:val="auto"/>
                <w:sz w:val="24"/>
                <w:szCs w:val="24"/>
              </w:rPr>
              <w:t>官木冲公园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、湘江西路风光带、湘江东路风光带、福耳河滨水公园、文庙公园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、复兴岭公园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、零陵生态公园、华侨城卡乐文化园、</w:t>
            </w:r>
            <w:r>
              <w:rPr>
                <w:rFonts w:ascii="宋体"/>
                <w:color w:val="auto"/>
                <w:sz w:val="24"/>
                <w:szCs w:val="24"/>
              </w:rPr>
              <w:t>白萍洲公园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永州市烈士公园、柳子公园、湘江东路风光带、黑山岭公园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G14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游园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带状</w:t>
            </w:r>
            <w:r>
              <w:rPr>
                <w:rFonts w:ascii="宋体"/>
                <w:color w:val="auto"/>
                <w:sz w:val="24"/>
                <w:szCs w:val="24"/>
              </w:rPr>
              <w:t>游园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（详见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图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点状游园（详见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图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）</w:t>
            </w:r>
          </w:p>
        </w:tc>
      </w:tr>
    </w:tbl>
    <w:p>
      <w:pPr>
        <w:spacing w:line="440" w:lineRule="exact"/>
        <w:rPr>
          <w:rFonts w:hint="default" w:ascii="宋体" w:eastAsiaTheme="minorEastAsia"/>
          <w:sz w:val="24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91C97"/>
    <w:multiLevelType w:val="multilevel"/>
    <w:tmpl w:val="63091C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4YWE1NDhjMWU3ZTdhYTNmYzEzMTBhNjdlYWQyNzgifQ=="/>
    <w:docVar w:name="KSO_WPS_MARK_KEY" w:val="d82320be-b77c-4ee9-ac2c-a34211570953"/>
  </w:docVars>
  <w:rsids>
    <w:rsidRoot w:val="00203D46"/>
    <w:rsid w:val="000379A7"/>
    <w:rsid w:val="00083A01"/>
    <w:rsid w:val="00095DA6"/>
    <w:rsid w:val="000B399B"/>
    <w:rsid w:val="000D592E"/>
    <w:rsid w:val="00143EBB"/>
    <w:rsid w:val="001534D6"/>
    <w:rsid w:val="00160558"/>
    <w:rsid w:val="00162ACF"/>
    <w:rsid w:val="00187749"/>
    <w:rsid w:val="00191FA6"/>
    <w:rsid w:val="00192EDD"/>
    <w:rsid w:val="00193770"/>
    <w:rsid w:val="00195B0B"/>
    <w:rsid w:val="001B1670"/>
    <w:rsid w:val="001B234C"/>
    <w:rsid w:val="001C29CD"/>
    <w:rsid w:val="001C570E"/>
    <w:rsid w:val="001D461E"/>
    <w:rsid w:val="001E039A"/>
    <w:rsid w:val="001F0428"/>
    <w:rsid w:val="002001ED"/>
    <w:rsid w:val="00203D46"/>
    <w:rsid w:val="002049B9"/>
    <w:rsid w:val="00211549"/>
    <w:rsid w:val="00225BDD"/>
    <w:rsid w:val="00235E70"/>
    <w:rsid w:val="00241F4A"/>
    <w:rsid w:val="0025554D"/>
    <w:rsid w:val="00264F07"/>
    <w:rsid w:val="00273B7E"/>
    <w:rsid w:val="0028034E"/>
    <w:rsid w:val="002862B3"/>
    <w:rsid w:val="002928FB"/>
    <w:rsid w:val="0029544E"/>
    <w:rsid w:val="002B1E91"/>
    <w:rsid w:val="002B6E87"/>
    <w:rsid w:val="002F01D5"/>
    <w:rsid w:val="002F3154"/>
    <w:rsid w:val="002F3481"/>
    <w:rsid w:val="002F602C"/>
    <w:rsid w:val="00313262"/>
    <w:rsid w:val="0033582E"/>
    <w:rsid w:val="0034234E"/>
    <w:rsid w:val="00353745"/>
    <w:rsid w:val="00356FA4"/>
    <w:rsid w:val="003756BE"/>
    <w:rsid w:val="00381ECC"/>
    <w:rsid w:val="00384B8A"/>
    <w:rsid w:val="003D4141"/>
    <w:rsid w:val="003D5441"/>
    <w:rsid w:val="003F77BE"/>
    <w:rsid w:val="00403F37"/>
    <w:rsid w:val="00422DEB"/>
    <w:rsid w:val="0044110F"/>
    <w:rsid w:val="004458B5"/>
    <w:rsid w:val="00451C54"/>
    <w:rsid w:val="0045711E"/>
    <w:rsid w:val="0046106B"/>
    <w:rsid w:val="004712B8"/>
    <w:rsid w:val="0047339E"/>
    <w:rsid w:val="004B5F4C"/>
    <w:rsid w:val="004D4FB1"/>
    <w:rsid w:val="004F28CF"/>
    <w:rsid w:val="00501750"/>
    <w:rsid w:val="0052059B"/>
    <w:rsid w:val="005214A9"/>
    <w:rsid w:val="005348D6"/>
    <w:rsid w:val="0054425E"/>
    <w:rsid w:val="00565FBC"/>
    <w:rsid w:val="00566EC4"/>
    <w:rsid w:val="00595820"/>
    <w:rsid w:val="005A4D54"/>
    <w:rsid w:val="005B04E5"/>
    <w:rsid w:val="005B4D58"/>
    <w:rsid w:val="005C781B"/>
    <w:rsid w:val="005D6DA8"/>
    <w:rsid w:val="005E3DED"/>
    <w:rsid w:val="005E7DE7"/>
    <w:rsid w:val="00610E83"/>
    <w:rsid w:val="0062113D"/>
    <w:rsid w:val="0064488D"/>
    <w:rsid w:val="0064764C"/>
    <w:rsid w:val="00650A83"/>
    <w:rsid w:val="00653E64"/>
    <w:rsid w:val="00690A34"/>
    <w:rsid w:val="006A5926"/>
    <w:rsid w:val="006B34B7"/>
    <w:rsid w:val="006B3673"/>
    <w:rsid w:val="006B5013"/>
    <w:rsid w:val="006B5973"/>
    <w:rsid w:val="006C115B"/>
    <w:rsid w:val="006C2E2D"/>
    <w:rsid w:val="006D6D86"/>
    <w:rsid w:val="006E4C5C"/>
    <w:rsid w:val="006E5A22"/>
    <w:rsid w:val="006F068E"/>
    <w:rsid w:val="00706914"/>
    <w:rsid w:val="00742A2F"/>
    <w:rsid w:val="007501FA"/>
    <w:rsid w:val="00750FE1"/>
    <w:rsid w:val="00771652"/>
    <w:rsid w:val="00772C73"/>
    <w:rsid w:val="0078015D"/>
    <w:rsid w:val="007937D0"/>
    <w:rsid w:val="007A05B0"/>
    <w:rsid w:val="007A3843"/>
    <w:rsid w:val="007A702E"/>
    <w:rsid w:val="007B1455"/>
    <w:rsid w:val="007C5E63"/>
    <w:rsid w:val="007D08C2"/>
    <w:rsid w:val="007E03CC"/>
    <w:rsid w:val="0081486F"/>
    <w:rsid w:val="008278E1"/>
    <w:rsid w:val="0084076D"/>
    <w:rsid w:val="00847CF1"/>
    <w:rsid w:val="00857C08"/>
    <w:rsid w:val="008B17A6"/>
    <w:rsid w:val="008B40C7"/>
    <w:rsid w:val="008B4479"/>
    <w:rsid w:val="008E1C75"/>
    <w:rsid w:val="009178A9"/>
    <w:rsid w:val="00922842"/>
    <w:rsid w:val="00930E1F"/>
    <w:rsid w:val="009422E8"/>
    <w:rsid w:val="0094778D"/>
    <w:rsid w:val="00961E51"/>
    <w:rsid w:val="009633E1"/>
    <w:rsid w:val="00980051"/>
    <w:rsid w:val="00986F9F"/>
    <w:rsid w:val="009912FB"/>
    <w:rsid w:val="009A5CEA"/>
    <w:rsid w:val="009B072C"/>
    <w:rsid w:val="009B6238"/>
    <w:rsid w:val="009C5D82"/>
    <w:rsid w:val="00A006BE"/>
    <w:rsid w:val="00A076A3"/>
    <w:rsid w:val="00A27546"/>
    <w:rsid w:val="00A34B37"/>
    <w:rsid w:val="00A553C4"/>
    <w:rsid w:val="00A859A2"/>
    <w:rsid w:val="00A90889"/>
    <w:rsid w:val="00A90FA5"/>
    <w:rsid w:val="00AC6ED1"/>
    <w:rsid w:val="00B04FCB"/>
    <w:rsid w:val="00B263A3"/>
    <w:rsid w:val="00B448E1"/>
    <w:rsid w:val="00B528B0"/>
    <w:rsid w:val="00B53364"/>
    <w:rsid w:val="00B6182E"/>
    <w:rsid w:val="00B66C9D"/>
    <w:rsid w:val="00B8534A"/>
    <w:rsid w:val="00B96067"/>
    <w:rsid w:val="00BA6037"/>
    <w:rsid w:val="00BC5BAB"/>
    <w:rsid w:val="00BE3FFE"/>
    <w:rsid w:val="00BE63D6"/>
    <w:rsid w:val="00BE7DB1"/>
    <w:rsid w:val="00C00840"/>
    <w:rsid w:val="00C336AC"/>
    <w:rsid w:val="00C502D0"/>
    <w:rsid w:val="00CA2737"/>
    <w:rsid w:val="00CD1D3D"/>
    <w:rsid w:val="00CD22F5"/>
    <w:rsid w:val="00CD5A7B"/>
    <w:rsid w:val="00CF562A"/>
    <w:rsid w:val="00D06649"/>
    <w:rsid w:val="00D07DD6"/>
    <w:rsid w:val="00D34C76"/>
    <w:rsid w:val="00D41D37"/>
    <w:rsid w:val="00D46B71"/>
    <w:rsid w:val="00D66991"/>
    <w:rsid w:val="00D85DED"/>
    <w:rsid w:val="00D8612B"/>
    <w:rsid w:val="00D93897"/>
    <w:rsid w:val="00DB18BD"/>
    <w:rsid w:val="00DB652B"/>
    <w:rsid w:val="00DB6B7F"/>
    <w:rsid w:val="00DD0DB8"/>
    <w:rsid w:val="00DD1E47"/>
    <w:rsid w:val="00DD6532"/>
    <w:rsid w:val="00DF4313"/>
    <w:rsid w:val="00E17B78"/>
    <w:rsid w:val="00E41C38"/>
    <w:rsid w:val="00E57E07"/>
    <w:rsid w:val="00E75E1F"/>
    <w:rsid w:val="00E954F2"/>
    <w:rsid w:val="00EA68CC"/>
    <w:rsid w:val="00EC0170"/>
    <w:rsid w:val="00EC350C"/>
    <w:rsid w:val="00EC3E74"/>
    <w:rsid w:val="00EC5771"/>
    <w:rsid w:val="00EC7203"/>
    <w:rsid w:val="00F04F3A"/>
    <w:rsid w:val="00F11352"/>
    <w:rsid w:val="00F24A0C"/>
    <w:rsid w:val="00F25A79"/>
    <w:rsid w:val="00F43047"/>
    <w:rsid w:val="00F5014B"/>
    <w:rsid w:val="00F5523A"/>
    <w:rsid w:val="00F57342"/>
    <w:rsid w:val="00F93F39"/>
    <w:rsid w:val="00FD2FC4"/>
    <w:rsid w:val="00FE093B"/>
    <w:rsid w:val="00FF0420"/>
    <w:rsid w:val="00FF49BC"/>
    <w:rsid w:val="01EF0D8B"/>
    <w:rsid w:val="06A34D3C"/>
    <w:rsid w:val="107B2FAF"/>
    <w:rsid w:val="190933E4"/>
    <w:rsid w:val="1A0C4FC7"/>
    <w:rsid w:val="1CCD6606"/>
    <w:rsid w:val="1F527B69"/>
    <w:rsid w:val="25900740"/>
    <w:rsid w:val="26DB434F"/>
    <w:rsid w:val="27A602BB"/>
    <w:rsid w:val="2CBB25EA"/>
    <w:rsid w:val="312E440F"/>
    <w:rsid w:val="49573762"/>
    <w:rsid w:val="55C65CD8"/>
    <w:rsid w:val="566D79A1"/>
    <w:rsid w:val="575F70CA"/>
    <w:rsid w:val="68FB2FBE"/>
    <w:rsid w:val="6D4436A7"/>
    <w:rsid w:val="724E65E6"/>
    <w:rsid w:val="72EA020E"/>
    <w:rsid w:val="7D222A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 w:line="360" w:lineRule="auto"/>
      <w:ind w:firstLine="200" w:firstLineChars="20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00正文"/>
    <w:basedOn w:val="1"/>
    <w:qFormat/>
    <w:uiPriority w:val="0"/>
    <w:pPr>
      <w:spacing w:line="480" w:lineRule="exact"/>
      <w:ind w:firstLine="48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">
    <w:name w:val="p0"/>
    <w:basedOn w:val="1"/>
    <w:qFormat/>
    <w:uiPriority w:val="0"/>
    <w:pPr>
      <w:widowControl/>
      <w:spacing w:line="360" w:lineRule="auto"/>
      <w:ind w:firstLine="200" w:firstLineChars="200"/>
    </w:pPr>
    <w:rPr>
      <w:rFonts w:ascii="Times New Roman" w:hAnsi="Times New Roman" w:eastAsia="宋体" w:cs="Times New Roman"/>
      <w:kern w:val="0"/>
      <w:szCs w:val="20"/>
    </w:rPr>
  </w:style>
  <w:style w:type="character" w:customStyle="1" w:styleId="10">
    <w:name w:val="标题 Char"/>
    <w:basedOn w:val="6"/>
    <w:link w:val="4"/>
    <w:qFormat/>
    <w:uiPriority w:val="1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1199</Words>
  <Characters>1285</Characters>
  <Lines>8</Lines>
  <Paragraphs>2</Paragraphs>
  <TotalTime>27</TotalTime>
  <ScaleCrop>false</ScaleCrop>
  <LinksUpToDate>false</LinksUpToDate>
  <CharactersWithSpaces>1295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2016-06-13T08:00:00Z</dcterms:created>
  <dc:creator>Administrator</dc:creator>
  <cp:lastModifiedBy>女字旁的娟！</cp:lastModifiedBy>
  <cp:lastPrinted>2016-06-13T09:36:00Z</cp:lastPrinted>
  <dcterms:modified xsi:type="dcterms:W3CDTF">2024-04-16T07:27:48Z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11FB2DD8A5194277AA187BC7C93CA24A_12</vt:lpwstr>
  </property>
</Properties>
</file>