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auto"/>
          <w:sz w:val="36"/>
          <w:szCs w:val="36"/>
          <w:lang w:val="zh-CN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val="zh-CN"/>
        </w:rPr>
        <w:t>湖南省税务系统办税服务厅业务操作手册</w:t>
      </w:r>
    </w:p>
    <w:p>
      <w:pPr>
        <w:jc w:val="center"/>
        <w:rPr>
          <w:rFonts w:ascii="楷体_GB2312" w:eastAsia="楷体_GB2312"/>
          <w:sz w:val="30"/>
          <w:szCs w:val="30"/>
          <w:lang w:val="zh-CN"/>
        </w:rPr>
      </w:pPr>
      <w:r>
        <w:rPr>
          <w:rFonts w:hint="eastAsia" w:ascii="方正小标宋简体" w:eastAsia="方正小标宋简体"/>
          <w:sz w:val="36"/>
          <w:szCs w:val="36"/>
          <w:lang w:val="zh-CN"/>
        </w:rPr>
        <w:t xml:space="preserve">目 </w:t>
      </w:r>
      <w:r>
        <w:rPr>
          <w:rFonts w:ascii="方正小标宋简体" w:eastAsia="方正小标宋简体"/>
          <w:sz w:val="36"/>
          <w:szCs w:val="36"/>
          <w:lang w:val="zh-CN"/>
        </w:rPr>
        <w:t xml:space="preserve"> </w:t>
      </w:r>
      <w:r>
        <w:rPr>
          <w:rFonts w:hint="eastAsia" w:ascii="方正小标宋简体" w:eastAsia="方正小标宋简体"/>
          <w:sz w:val="36"/>
          <w:szCs w:val="36"/>
          <w:lang w:val="zh-CN"/>
        </w:rPr>
        <w:t>录</w:t>
      </w:r>
    </w:p>
    <w:p>
      <w:pPr>
        <w:ind w:firstLine="600" w:firstLineChars="200"/>
        <w:rPr>
          <w:rFonts w:ascii="楷体_GB2312" w:eastAsia="楷体_GB2312"/>
          <w:sz w:val="30"/>
          <w:szCs w:val="30"/>
          <w:lang w:val="zh-CN"/>
        </w:rPr>
      </w:pPr>
      <w:bookmarkStart w:id="0" w:name="_GoBack"/>
      <w:bookmarkEnd w:id="0"/>
    </w:p>
    <w:p>
      <w:pPr>
        <w:pStyle w:val="68"/>
      </w:pPr>
      <w:r>
        <w:rPr>
          <w:rFonts w:hint="eastAsia"/>
        </w:rPr>
        <w:t>1　　信息报告规范</w:t>
      </w:r>
    </w:p>
    <w:p>
      <w:pPr>
        <w:pStyle w:val="67"/>
      </w:pPr>
      <w:r>
        <w:rPr>
          <w:rFonts w:hint="eastAsia"/>
        </w:rPr>
        <w:t>1.1　　基础信息报告</w:t>
      </w:r>
    </w:p>
    <w:p>
      <w:pPr>
        <w:pStyle w:val="70"/>
      </w:pPr>
      <w:r>
        <w:rPr>
          <w:rFonts w:hint="eastAsia"/>
        </w:rPr>
        <w:t>1.1.1—001　　一照一码户登记信息确认</w:t>
      </w:r>
    </w:p>
    <w:p>
      <w:pPr>
        <w:pStyle w:val="70"/>
      </w:pPr>
      <w:r>
        <w:rPr>
          <w:rFonts w:hint="eastAsia"/>
        </w:rPr>
        <w:t>1.1.2—002　　两证整合个体工商户登记信息确认</w:t>
      </w:r>
    </w:p>
    <w:p>
      <w:pPr>
        <w:pStyle w:val="70"/>
      </w:pPr>
      <w:r>
        <w:rPr>
          <w:rFonts w:hint="eastAsia"/>
        </w:rPr>
        <w:t>1.1.3—003　　一照一码户信息变更</w:t>
      </w:r>
    </w:p>
    <w:p>
      <w:pPr>
        <w:pStyle w:val="70"/>
      </w:pPr>
      <w:r>
        <w:rPr>
          <w:rFonts w:hint="eastAsia"/>
        </w:rPr>
        <w:t>1.1.4—004　　两证整合个体工商户信息变更</w:t>
      </w:r>
    </w:p>
    <w:p>
      <w:pPr>
        <w:pStyle w:val="70"/>
      </w:pPr>
      <w:r>
        <w:rPr>
          <w:rFonts w:hint="eastAsia"/>
        </w:rPr>
        <w:t>1.1.5—005　　纳税人（扣缴义务人）身份信息报告</w:t>
      </w:r>
    </w:p>
    <w:p>
      <w:pPr>
        <w:pStyle w:val="70"/>
      </w:pPr>
      <w:r>
        <w:rPr>
          <w:rFonts w:hint="eastAsia"/>
        </w:rPr>
        <w:t>1.1.6—006　　省内跨区迁移</w:t>
      </w:r>
    </w:p>
    <w:p>
      <w:pPr>
        <w:pStyle w:val="70"/>
      </w:pPr>
      <w:r>
        <w:rPr>
          <w:rFonts w:hint="eastAsia"/>
        </w:rPr>
        <w:t>1.1.7—007　　自然人自主报告身份信息</w:t>
      </w:r>
    </w:p>
    <w:p>
      <w:pPr>
        <w:pStyle w:val="70"/>
      </w:pPr>
      <w:r>
        <w:rPr>
          <w:rFonts w:hint="eastAsia"/>
        </w:rPr>
        <w:t>1.1.8—008　　扣缴义务人报告自然人身份信息</w:t>
      </w:r>
    </w:p>
    <w:p>
      <w:pPr>
        <w:pStyle w:val="70"/>
      </w:pPr>
      <w:r>
        <w:rPr>
          <w:rFonts w:hint="eastAsia"/>
        </w:rPr>
        <w:t>1.1.9—009　　解除相关人员关联关系</w:t>
      </w:r>
    </w:p>
    <w:p>
      <w:pPr>
        <w:pStyle w:val="70"/>
      </w:pPr>
      <w:r>
        <w:rPr>
          <w:rFonts w:hint="eastAsia"/>
        </w:rPr>
        <w:t>1.1.10—010　　税务证件增补发</w:t>
      </w:r>
    </w:p>
    <w:p>
      <w:pPr>
        <w:pStyle w:val="67"/>
      </w:pPr>
      <w:r>
        <w:rPr>
          <w:rFonts w:hint="eastAsia"/>
        </w:rPr>
        <w:t>1.2　　制度信息报告</w:t>
      </w:r>
    </w:p>
    <w:p>
      <w:pPr>
        <w:pStyle w:val="70"/>
      </w:pPr>
      <w:r>
        <w:rPr>
          <w:rFonts w:hint="eastAsia"/>
        </w:rPr>
        <w:t>1.2.1—011　　存款账户账号报告</w:t>
      </w:r>
    </w:p>
    <w:p>
      <w:pPr>
        <w:pStyle w:val="70"/>
      </w:pPr>
      <w:r>
        <w:rPr>
          <w:rFonts w:hint="eastAsia"/>
        </w:rPr>
        <w:t>1.2.2—012　　财务会计制度及核算软件备案报告</w:t>
      </w:r>
    </w:p>
    <w:p>
      <w:pPr>
        <w:pStyle w:val="70"/>
      </w:pPr>
      <w:r>
        <w:rPr>
          <w:rFonts w:hint="eastAsia"/>
        </w:rPr>
        <w:t>1.2.3—013　　银税三方（委托）划缴协议</w:t>
      </w:r>
    </w:p>
    <w:p>
      <w:pPr>
        <w:pStyle w:val="67"/>
      </w:pPr>
      <w:r>
        <w:rPr>
          <w:rFonts w:hint="eastAsia"/>
        </w:rPr>
        <w:t>1.3　　跨区域涉税事项</w:t>
      </w:r>
    </w:p>
    <w:p>
      <w:pPr>
        <w:pStyle w:val="70"/>
      </w:pPr>
      <w:r>
        <w:rPr>
          <w:rFonts w:hint="eastAsia"/>
        </w:rPr>
        <w:t>1.3.1—014　　跨区域涉税事项报告</w:t>
      </w:r>
    </w:p>
    <w:p>
      <w:pPr>
        <w:pStyle w:val="70"/>
      </w:pPr>
      <w:r>
        <w:rPr>
          <w:rFonts w:hint="eastAsia"/>
        </w:rPr>
        <w:t>1.3.2—015　　跨区域涉税事项报验</w:t>
      </w:r>
    </w:p>
    <w:p>
      <w:pPr>
        <w:pStyle w:val="70"/>
      </w:pPr>
      <w:r>
        <w:rPr>
          <w:rFonts w:hint="eastAsia"/>
        </w:rPr>
        <w:t>1.3.3—016　　跨区域涉税事项信息反馈</w:t>
      </w:r>
    </w:p>
    <w:p>
      <w:pPr>
        <w:pStyle w:val="67"/>
      </w:pPr>
      <w:r>
        <w:rPr>
          <w:rFonts w:hint="eastAsia"/>
        </w:rPr>
        <w:t>1.4　　资格信息报告</w:t>
      </w:r>
    </w:p>
    <w:p>
      <w:pPr>
        <w:pStyle w:val="70"/>
      </w:pPr>
      <w:r>
        <w:rPr>
          <w:rFonts w:hint="eastAsia"/>
        </w:rPr>
        <w:t>1.4.1—017　　增值税一般纳税人登记</w:t>
      </w:r>
    </w:p>
    <w:p>
      <w:pPr>
        <w:pStyle w:val="70"/>
      </w:pPr>
      <w:r>
        <w:rPr>
          <w:rFonts w:hint="eastAsia"/>
        </w:rPr>
        <w:t>1.4.2—018　　选择按小规模纳税人纳税的情况说明</w:t>
      </w:r>
    </w:p>
    <w:p>
      <w:pPr>
        <w:pStyle w:val="70"/>
      </w:pPr>
      <w:r>
        <w:rPr>
          <w:rFonts w:hint="eastAsia"/>
        </w:rPr>
        <w:t>1.4.3—019　　一般纳税人转登记小规模纳税人</w:t>
      </w:r>
    </w:p>
    <w:p>
      <w:pPr>
        <w:pStyle w:val="70"/>
      </w:pPr>
      <w:r>
        <w:rPr>
          <w:rFonts w:hint="eastAsia"/>
        </w:rPr>
        <w:t>1.4.4—020　　货物运输业小规模纳税人异地代开增值税专用发票备案</w:t>
      </w:r>
    </w:p>
    <w:p>
      <w:pPr>
        <w:pStyle w:val="70"/>
      </w:pPr>
      <w:r>
        <w:rPr>
          <w:rFonts w:hint="eastAsia"/>
        </w:rPr>
        <w:t>1.4.5—021　　增值税适用加计抵减政策声明</w:t>
      </w:r>
    </w:p>
    <w:p>
      <w:pPr>
        <w:pStyle w:val="70"/>
      </w:pPr>
      <w:r>
        <w:rPr>
          <w:rFonts w:hint="eastAsia"/>
        </w:rPr>
        <w:t>1.4.6—022　　农产品增值税进项税额扣除标准备案</w:t>
      </w:r>
    </w:p>
    <w:p>
      <w:pPr>
        <w:pStyle w:val="70"/>
      </w:pPr>
      <w:r>
        <w:rPr>
          <w:rFonts w:hint="eastAsia"/>
        </w:rPr>
        <w:t>1.4.7—023　　软件和集成电路产业企业所得税优惠事项资料报告</w:t>
      </w:r>
    </w:p>
    <w:p>
      <w:pPr>
        <w:pStyle w:val="70"/>
      </w:pPr>
      <w:r>
        <w:rPr>
          <w:rFonts w:hint="eastAsia"/>
        </w:rPr>
        <w:t>1.4.8—024　　软件产品增值税即征即退进项分摊方式资料报送与信息报告</w:t>
      </w:r>
    </w:p>
    <w:p>
      <w:pPr>
        <w:pStyle w:val="67"/>
      </w:pPr>
      <w:r>
        <w:rPr>
          <w:rFonts w:hint="eastAsia"/>
        </w:rPr>
        <w:t>1.5　　特殊事项报告</w:t>
      </w:r>
    </w:p>
    <w:p>
      <w:pPr>
        <w:pStyle w:val="70"/>
      </w:pPr>
      <w:r>
        <w:rPr>
          <w:rFonts w:hint="eastAsia"/>
        </w:rPr>
        <w:t>1.5.1—025　　欠税人处置不动产或大额资产报告</w:t>
      </w:r>
    </w:p>
    <w:p>
      <w:pPr>
        <w:pStyle w:val="70"/>
      </w:pPr>
      <w:r>
        <w:rPr>
          <w:rFonts w:hint="eastAsia"/>
        </w:rPr>
        <w:t>1.5.2—026　　纳税人合并分立情况报告</w:t>
      </w:r>
    </w:p>
    <w:p>
      <w:pPr>
        <w:pStyle w:val="70"/>
      </w:pPr>
      <w:r>
        <w:rPr>
          <w:rFonts w:hint="eastAsia"/>
        </w:rPr>
        <w:t>1.5.3—027　　停业登记</w:t>
      </w:r>
    </w:p>
    <w:p>
      <w:pPr>
        <w:pStyle w:val="70"/>
      </w:pPr>
      <w:r>
        <w:rPr>
          <w:rFonts w:hint="eastAsia"/>
        </w:rPr>
        <w:t>1.5.4—028　　复业登记</w:t>
      </w:r>
    </w:p>
    <w:p>
      <w:pPr>
        <w:pStyle w:val="70"/>
      </w:pPr>
      <w:r>
        <w:rPr>
          <w:rFonts w:hint="eastAsia"/>
        </w:rPr>
        <w:t>1.5.5—029　　个人所得税递延纳税报告</w:t>
      </w:r>
    </w:p>
    <w:p>
      <w:pPr>
        <w:pStyle w:val="70"/>
      </w:pPr>
      <w:r>
        <w:rPr>
          <w:rFonts w:hint="eastAsia"/>
        </w:rPr>
        <w:t>1.5.6—030　　科技成果转化暂不征收个人所得税备案</w:t>
      </w:r>
    </w:p>
    <w:p>
      <w:pPr>
        <w:pStyle w:val="70"/>
      </w:pPr>
      <w:r>
        <w:rPr>
          <w:rFonts w:hint="eastAsia"/>
        </w:rPr>
        <w:t>1.5.7—031　　个人所得税分期缴纳报告</w:t>
      </w:r>
    </w:p>
    <w:p>
      <w:pPr>
        <w:pStyle w:val="70"/>
      </w:pPr>
      <w:r>
        <w:rPr>
          <w:rFonts w:hint="eastAsia"/>
        </w:rPr>
        <w:t>1.5.8—032　　个人所得税抵扣情况报告</w:t>
      </w:r>
    </w:p>
    <w:p>
      <w:pPr>
        <w:pStyle w:val="70"/>
      </w:pPr>
      <w:r>
        <w:rPr>
          <w:rFonts w:hint="eastAsia"/>
        </w:rPr>
        <w:t>1.5.9—033　　合伙制创业投资企业单一投资基金核算方式报告</w:t>
      </w:r>
    </w:p>
    <w:p>
      <w:pPr>
        <w:pStyle w:val="70"/>
      </w:pPr>
      <w:r>
        <w:rPr>
          <w:rFonts w:hint="eastAsia"/>
        </w:rPr>
        <w:t>1.5.10—034　　企业所得税汇总纳税信息报告</w:t>
      </w:r>
    </w:p>
    <w:p>
      <w:pPr>
        <w:pStyle w:val="70"/>
      </w:pPr>
      <w:r>
        <w:rPr>
          <w:rFonts w:hint="eastAsia"/>
        </w:rPr>
        <w:t>1.5.11—035　　核定征收企业所得税重大变化报告</w:t>
      </w:r>
    </w:p>
    <w:p>
      <w:pPr>
        <w:pStyle w:val="70"/>
      </w:pPr>
      <w:r>
        <w:rPr>
          <w:rFonts w:hint="eastAsia"/>
        </w:rPr>
        <w:t>1.5.12—036　　综合税源信息报告</w:t>
      </w:r>
    </w:p>
    <w:p>
      <w:pPr>
        <w:pStyle w:val="70"/>
      </w:pPr>
      <w:r>
        <w:rPr>
          <w:rFonts w:hint="eastAsia"/>
        </w:rPr>
        <w:t>1.5.13—037　　增量房房源信息报告</w:t>
      </w:r>
    </w:p>
    <w:p>
      <w:pPr>
        <w:pStyle w:val="70"/>
      </w:pPr>
      <w:r>
        <w:rPr>
          <w:rFonts w:hint="eastAsia"/>
        </w:rPr>
        <w:t>1.5.14—038　　建筑业项目报告</w:t>
      </w:r>
    </w:p>
    <w:p>
      <w:pPr>
        <w:pStyle w:val="70"/>
      </w:pPr>
      <w:r>
        <w:rPr>
          <w:rFonts w:hint="eastAsia"/>
        </w:rPr>
        <w:t>1.5.15—039　　注销建筑业项目报告</w:t>
      </w:r>
    </w:p>
    <w:p>
      <w:pPr>
        <w:pStyle w:val="70"/>
      </w:pPr>
      <w:r>
        <w:rPr>
          <w:rFonts w:hint="eastAsia"/>
        </w:rPr>
        <w:t>1.5.16—040　　不动产项目报告</w:t>
      </w:r>
    </w:p>
    <w:p>
      <w:pPr>
        <w:pStyle w:val="70"/>
      </w:pPr>
      <w:r>
        <w:rPr>
          <w:rFonts w:hint="eastAsia"/>
        </w:rPr>
        <w:t>1.5.17—041　　注销不动产项目报告</w:t>
      </w:r>
    </w:p>
    <w:p>
      <w:pPr>
        <w:pStyle w:val="70"/>
      </w:pPr>
      <w:r>
        <w:rPr>
          <w:rFonts w:hint="eastAsia"/>
        </w:rPr>
        <w:t>1.5.18—042　　房地产税收一体化信息报告</w:t>
      </w:r>
    </w:p>
    <w:p>
      <w:pPr>
        <w:pStyle w:val="70"/>
      </w:pPr>
      <w:r>
        <w:rPr>
          <w:rFonts w:hint="eastAsia"/>
        </w:rPr>
        <w:t>1.5.19—043　　税收统计调查数据采集</w:t>
      </w:r>
    </w:p>
    <w:p>
      <w:pPr>
        <w:pStyle w:val="68"/>
      </w:pPr>
      <w:r>
        <w:rPr>
          <w:rFonts w:hint="eastAsia"/>
        </w:rPr>
        <w:t>2　　发票办理规范</w:t>
      </w:r>
    </w:p>
    <w:p>
      <w:pPr>
        <w:pStyle w:val="67"/>
      </w:pPr>
      <w:r>
        <w:rPr>
          <w:rFonts w:hint="eastAsia"/>
        </w:rPr>
        <w:t>2.1　　发票印制</w:t>
      </w:r>
    </w:p>
    <w:p>
      <w:pPr>
        <w:pStyle w:val="70"/>
      </w:pPr>
      <w:r>
        <w:rPr>
          <w:rFonts w:hint="eastAsia"/>
        </w:rPr>
        <w:t>2.1.1—044　　企业印制发票审批</w:t>
      </w:r>
    </w:p>
    <w:p>
      <w:pPr>
        <w:pStyle w:val="67"/>
      </w:pPr>
      <w:r>
        <w:rPr>
          <w:rFonts w:hint="eastAsia"/>
        </w:rPr>
        <w:t>2.2　　发票领用</w:t>
      </w:r>
    </w:p>
    <w:p>
      <w:pPr>
        <w:pStyle w:val="70"/>
      </w:pPr>
      <w:r>
        <w:rPr>
          <w:rFonts w:hint="eastAsia"/>
        </w:rPr>
        <w:t>2.2.1—045　　发票票种核定</w:t>
      </w:r>
    </w:p>
    <w:p>
      <w:pPr>
        <w:pStyle w:val="70"/>
      </w:pPr>
      <w:r>
        <w:rPr>
          <w:rFonts w:hint="eastAsia"/>
        </w:rPr>
        <w:t>2.2.2—046　　印制有本单位名称发票</w:t>
      </w:r>
    </w:p>
    <w:p>
      <w:pPr>
        <w:pStyle w:val="70"/>
      </w:pPr>
      <w:r>
        <w:rPr>
          <w:rFonts w:hint="eastAsia"/>
        </w:rPr>
        <w:t>2.2.3—047　　增值税专用发票（增值税税控系统）最高开票限额审批</w:t>
      </w:r>
    </w:p>
    <w:p>
      <w:pPr>
        <w:pStyle w:val="70"/>
      </w:pPr>
      <w:r>
        <w:rPr>
          <w:rFonts w:hint="eastAsia"/>
        </w:rPr>
        <w:t>2.2.4—048　　发票领用</w:t>
      </w:r>
    </w:p>
    <w:p>
      <w:pPr>
        <w:pStyle w:val="70"/>
      </w:pPr>
      <w:r>
        <w:rPr>
          <w:rFonts w:hint="eastAsia"/>
        </w:rPr>
        <w:t>2.2.5—049　　发票勾选确认</w:t>
      </w:r>
    </w:p>
    <w:p>
      <w:pPr>
        <w:pStyle w:val="70"/>
      </w:pPr>
      <w:r>
        <w:rPr>
          <w:rFonts w:hint="eastAsia"/>
        </w:rPr>
        <w:t>2.2.6—050　　发票验（交）旧</w:t>
      </w:r>
    </w:p>
    <w:p>
      <w:pPr>
        <w:pStyle w:val="70"/>
      </w:pPr>
      <w:r>
        <w:rPr>
          <w:rFonts w:hint="eastAsia"/>
        </w:rPr>
        <w:t>2.2.7—051　　发票缴销</w:t>
      </w:r>
    </w:p>
    <w:p>
      <w:pPr>
        <w:pStyle w:val="70"/>
      </w:pPr>
      <w:r>
        <w:rPr>
          <w:rFonts w:hint="eastAsia"/>
        </w:rPr>
        <w:t>2.2.8—052　　增值税税控系统专用设备初始发行</w:t>
      </w:r>
    </w:p>
    <w:p>
      <w:pPr>
        <w:pStyle w:val="70"/>
      </w:pPr>
      <w:r>
        <w:rPr>
          <w:rFonts w:hint="eastAsia"/>
        </w:rPr>
        <w:t>2.2.9—053　　增值税税控系统专用设备变更发行</w:t>
      </w:r>
    </w:p>
    <w:p>
      <w:pPr>
        <w:pStyle w:val="70"/>
      </w:pPr>
      <w:r>
        <w:rPr>
          <w:rFonts w:hint="eastAsia"/>
        </w:rPr>
        <w:t>2.2.10—054　　增值税税控系统专用设备注销发行</w:t>
      </w:r>
    </w:p>
    <w:p>
      <w:pPr>
        <w:pStyle w:val="67"/>
      </w:pPr>
      <w:r>
        <w:rPr>
          <w:rFonts w:hint="eastAsia"/>
        </w:rPr>
        <w:t>2.3　　发票代开</w:t>
      </w:r>
    </w:p>
    <w:p>
      <w:pPr>
        <w:pStyle w:val="70"/>
      </w:pPr>
      <w:r>
        <w:rPr>
          <w:rFonts w:hint="eastAsia"/>
        </w:rPr>
        <w:t>2.3.1—055　　代开增值税专用发票</w:t>
      </w:r>
    </w:p>
    <w:p>
      <w:pPr>
        <w:pStyle w:val="70"/>
      </w:pPr>
      <w:r>
        <w:rPr>
          <w:rFonts w:hint="eastAsia"/>
        </w:rPr>
        <w:t>2.3.2—056　　代开增值税普通发票</w:t>
      </w:r>
    </w:p>
    <w:p>
      <w:pPr>
        <w:pStyle w:val="70"/>
      </w:pPr>
      <w:r>
        <w:rPr>
          <w:rFonts w:hint="eastAsia"/>
        </w:rPr>
        <w:t>2.3.3—057　　代开发票作废</w:t>
      </w:r>
    </w:p>
    <w:p>
      <w:pPr>
        <w:pStyle w:val="67"/>
      </w:pPr>
      <w:r>
        <w:rPr>
          <w:rFonts w:hint="eastAsia"/>
        </w:rPr>
        <w:t>2.4　　发票开具和保管</w:t>
      </w:r>
    </w:p>
    <w:p>
      <w:pPr>
        <w:pStyle w:val="70"/>
      </w:pPr>
      <w:r>
        <w:rPr>
          <w:rFonts w:hint="eastAsia"/>
        </w:rPr>
        <w:t>2.4.1—058　　存根联数据采集</w:t>
      </w:r>
    </w:p>
    <w:p>
      <w:pPr>
        <w:pStyle w:val="70"/>
      </w:pPr>
      <w:r>
        <w:rPr>
          <w:rFonts w:hint="eastAsia"/>
        </w:rPr>
        <w:t>2.4.2—059　　红字增值税专用发票开具申请</w:t>
      </w:r>
    </w:p>
    <w:p>
      <w:pPr>
        <w:pStyle w:val="70"/>
      </w:pPr>
      <w:r>
        <w:rPr>
          <w:rFonts w:hint="eastAsia"/>
        </w:rPr>
        <w:t>2.4.3—060　　发票遗失、损毁报告</w:t>
      </w:r>
    </w:p>
    <w:p>
      <w:pPr>
        <w:pStyle w:val="67"/>
      </w:pPr>
      <w:r>
        <w:rPr>
          <w:rFonts w:hint="eastAsia"/>
        </w:rPr>
        <w:t>2.5　　发票相关服务</w:t>
      </w:r>
    </w:p>
    <w:p>
      <w:pPr>
        <w:pStyle w:val="70"/>
      </w:pPr>
      <w:r>
        <w:rPr>
          <w:rFonts w:hint="eastAsia"/>
        </w:rPr>
        <w:t>2.5.1—061　　未按期申报抵扣增值税扣税凭证抵扣申请</w:t>
      </w:r>
    </w:p>
    <w:p>
      <w:pPr>
        <w:pStyle w:val="70"/>
      </w:pPr>
      <w:r>
        <w:rPr>
          <w:rFonts w:hint="eastAsia"/>
        </w:rPr>
        <w:t>2.5.2—062　　逾期增值税抵扣凭证抵扣申请</w:t>
      </w:r>
    </w:p>
    <w:p>
      <w:pPr>
        <w:pStyle w:val="70"/>
      </w:pPr>
      <w:r>
        <w:rPr>
          <w:rFonts w:hint="eastAsia"/>
        </w:rPr>
        <w:t>2.5.3—063　　海关缴款书核查申请</w:t>
      </w:r>
    </w:p>
    <w:p>
      <w:pPr>
        <w:pStyle w:val="70"/>
      </w:pPr>
      <w:r>
        <w:rPr>
          <w:rFonts w:hint="eastAsia"/>
        </w:rPr>
        <w:t>2.5.4—064　　发票真伪鉴定</w:t>
      </w:r>
    </w:p>
    <w:p>
      <w:pPr>
        <w:pStyle w:val="68"/>
      </w:pPr>
      <w:r>
        <w:rPr>
          <w:rFonts w:hint="eastAsia"/>
        </w:rPr>
        <w:t>3　　申报纳税规范</w:t>
      </w:r>
    </w:p>
    <w:p>
      <w:pPr>
        <w:pStyle w:val="67"/>
      </w:pPr>
      <w:r>
        <w:rPr>
          <w:rFonts w:hint="eastAsia"/>
        </w:rPr>
        <w:t>3.1　　增值税申报</w:t>
      </w:r>
    </w:p>
    <w:p>
      <w:pPr>
        <w:pStyle w:val="70"/>
      </w:pPr>
      <w:r>
        <w:rPr>
          <w:rFonts w:hint="eastAsia"/>
        </w:rPr>
        <w:t>3.1.1—065　　增值税一般纳税人申报</w:t>
      </w:r>
    </w:p>
    <w:p>
      <w:pPr>
        <w:pStyle w:val="70"/>
      </w:pPr>
      <w:r>
        <w:rPr>
          <w:rFonts w:hint="eastAsia"/>
        </w:rPr>
        <w:t>3.1.2—066　　增值税小规模纳税人申报</w:t>
      </w:r>
    </w:p>
    <w:p>
      <w:pPr>
        <w:pStyle w:val="70"/>
      </w:pPr>
      <w:r>
        <w:rPr>
          <w:rFonts w:hint="eastAsia"/>
        </w:rPr>
        <w:t>3.1.3—067　　增值税预缴申报</w:t>
      </w:r>
    </w:p>
    <w:p>
      <w:pPr>
        <w:pStyle w:val="70"/>
      </w:pPr>
      <w:r>
        <w:rPr>
          <w:rFonts w:hint="eastAsia"/>
        </w:rPr>
        <w:t>3.1.4—068　　原油天然气增值税申报</w:t>
      </w:r>
    </w:p>
    <w:p>
      <w:pPr>
        <w:pStyle w:val="70"/>
      </w:pPr>
      <w:r>
        <w:rPr>
          <w:rFonts w:hint="eastAsia"/>
        </w:rPr>
        <w:t>3.1.5—069　　航空运输企业年度清算申报</w:t>
      </w:r>
    </w:p>
    <w:p>
      <w:pPr>
        <w:pStyle w:val="67"/>
      </w:pPr>
      <w:r>
        <w:rPr>
          <w:rFonts w:hint="eastAsia"/>
        </w:rPr>
        <w:t>3.2　　消费税申报</w:t>
      </w:r>
    </w:p>
    <w:p>
      <w:pPr>
        <w:pStyle w:val="70"/>
      </w:pPr>
      <w:r>
        <w:rPr>
          <w:rFonts w:hint="eastAsia"/>
        </w:rPr>
        <w:t>3.2.1—070　　消费税申报</w:t>
      </w:r>
    </w:p>
    <w:p>
      <w:pPr>
        <w:pStyle w:val="67"/>
      </w:pPr>
      <w:r>
        <w:rPr>
          <w:rFonts w:hint="eastAsia"/>
        </w:rPr>
        <w:t>3.3　　车辆购置税申报</w:t>
      </w:r>
    </w:p>
    <w:p>
      <w:pPr>
        <w:pStyle w:val="70"/>
      </w:pPr>
      <w:r>
        <w:rPr>
          <w:rFonts w:hint="eastAsia"/>
        </w:rPr>
        <w:t>3.3.1—071　　车辆购置税申报</w:t>
      </w:r>
    </w:p>
    <w:p>
      <w:pPr>
        <w:pStyle w:val="67"/>
      </w:pPr>
      <w:r>
        <w:rPr>
          <w:rFonts w:hint="eastAsia"/>
        </w:rPr>
        <w:t>3.4　　企业所得税申报</w:t>
      </w:r>
    </w:p>
    <w:p>
      <w:pPr>
        <w:pStyle w:val="70"/>
      </w:pPr>
      <w:r>
        <w:rPr>
          <w:rFonts w:hint="eastAsia"/>
        </w:rPr>
        <w:t>3.4.1—072　　居民企业（查账征收）企业所得税月（季）度申报</w:t>
      </w:r>
    </w:p>
    <w:p>
      <w:pPr>
        <w:pStyle w:val="70"/>
      </w:pPr>
      <w:r>
        <w:rPr>
          <w:rFonts w:hint="eastAsia"/>
        </w:rPr>
        <w:t>3.4.2—073　　居民企业（核定征收）企业所得税月（季）度申报</w:t>
      </w:r>
    </w:p>
    <w:p>
      <w:pPr>
        <w:pStyle w:val="70"/>
      </w:pPr>
      <w:r>
        <w:rPr>
          <w:rFonts w:hint="eastAsia"/>
        </w:rPr>
        <w:t>3.4.3—074　　居民企业（查账征收）企业所得税年度申报</w:t>
      </w:r>
    </w:p>
    <w:p>
      <w:pPr>
        <w:pStyle w:val="70"/>
      </w:pPr>
      <w:r>
        <w:rPr>
          <w:rFonts w:hint="eastAsia"/>
        </w:rPr>
        <w:t>3.4.4—075　　居民企业（核定征收）企业所得税年度申报</w:t>
      </w:r>
    </w:p>
    <w:p>
      <w:pPr>
        <w:pStyle w:val="70"/>
      </w:pPr>
      <w:r>
        <w:rPr>
          <w:rFonts w:hint="eastAsia"/>
        </w:rPr>
        <w:t>3.4.5—076　　清算企业所得税申报</w:t>
      </w:r>
    </w:p>
    <w:p>
      <w:pPr>
        <w:pStyle w:val="70"/>
      </w:pPr>
      <w:r>
        <w:rPr>
          <w:rFonts w:hint="eastAsia"/>
        </w:rPr>
        <w:t>3.4.6—077　　对采取实际利润额预缴以外的其他企业所得税预缴方式的核定</w:t>
      </w:r>
    </w:p>
    <w:p>
      <w:pPr>
        <w:pStyle w:val="67"/>
      </w:pPr>
      <w:r>
        <w:rPr>
          <w:rFonts w:hint="eastAsia"/>
        </w:rPr>
        <w:t>3.5　　个人所得税自行申报</w:t>
      </w:r>
    </w:p>
    <w:p>
      <w:pPr>
        <w:pStyle w:val="70"/>
      </w:pPr>
      <w:r>
        <w:rPr>
          <w:rFonts w:hint="eastAsia"/>
        </w:rPr>
        <w:t>3.5.1—078　　居民综合所得个人所得税年度自行申报</w:t>
      </w:r>
    </w:p>
    <w:p>
      <w:pPr>
        <w:pStyle w:val="70"/>
      </w:pPr>
      <w:r>
        <w:rPr>
          <w:rFonts w:hint="eastAsia"/>
        </w:rPr>
        <w:t>3.5.2—079　　经营所得个人所得税月（季）度申报</w:t>
      </w:r>
    </w:p>
    <w:p>
      <w:pPr>
        <w:pStyle w:val="70"/>
      </w:pPr>
      <w:r>
        <w:rPr>
          <w:rFonts w:hint="eastAsia"/>
        </w:rPr>
        <w:t>3.5.3—080　　经营所得个人所得税年度申报</w:t>
      </w:r>
    </w:p>
    <w:p>
      <w:pPr>
        <w:pStyle w:val="70"/>
      </w:pPr>
      <w:r>
        <w:rPr>
          <w:rFonts w:hint="eastAsia"/>
        </w:rPr>
        <w:t>3.5.4—081　　多处经营所得个人所得税汇总年度申报</w:t>
      </w:r>
    </w:p>
    <w:p>
      <w:pPr>
        <w:pStyle w:val="70"/>
      </w:pPr>
      <w:r>
        <w:rPr>
          <w:rFonts w:hint="eastAsia"/>
        </w:rPr>
        <w:t>3.5.5—082　　居民其他分类所得个人所得税自行申报</w:t>
      </w:r>
    </w:p>
    <w:p>
      <w:pPr>
        <w:pStyle w:val="70"/>
      </w:pPr>
      <w:r>
        <w:rPr>
          <w:rFonts w:hint="eastAsia"/>
        </w:rPr>
        <w:t>3.5.6—083　　非居民个人所得税自行申报</w:t>
      </w:r>
    </w:p>
    <w:p>
      <w:pPr>
        <w:pStyle w:val="70"/>
      </w:pPr>
      <w:r>
        <w:rPr>
          <w:rFonts w:hint="eastAsia"/>
        </w:rPr>
        <w:t>3.5.7—084　　限售股转让所得个人所得税清算申报</w:t>
      </w:r>
    </w:p>
    <w:p>
      <w:pPr>
        <w:pStyle w:val="67"/>
      </w:pPr>
      <w:r>
        <w:rPr>
          <w:rFonts w:hint="eastAsia"/>
        </w:rPr>
        <w:t>3.6　　房产税申报</w:t>
      </w:r>
    </w:p>
    <w:p>
      <w:pPr>
        <w:pStyle w:val="70"/>
      </w:pPr>
      <w:r>
        <w:rPr>
          <w:rFonts w:hint="eastAsia"/>
        </w:rPr>
        <w:t>3.6.1—085　　房产税申报</w:t>
      </w:r>
    </w:p>
    <w:p>
      <w:pPr>
        <w:pStyle w:val="67"/>
      </w:pPr>
      <w:r>
        <w:rPr>
          <w:rFonts w:hint="eastAsia"/>
        </w:rPr>
        <w:t>3.7　　城镇土地使用税申报</w:t>
      </w:r>
    </w:p>
    <w:p>
      <w:pPr>
        <w:pStyle w:val="70"/>
      </w:pPr>
      <w:r>
        <w:rPr>
          <w:rFonts w:hint="eastAsia"/>
        </w:rPr>
        <w:t>3.7.1—086　　城镇土地使用税申报</w:t>
      </w:r>
    </w:p>
    <w:p>
      <w:pPr>
        <w:pStyle w:val="67"/>
      </w:pPr>
      <w:r>
        <w:rPr>
          <w:rFonts w:hint="eastAsia"/>
        </w:rPr>
        <w:t>3.8　　土地增值税申报</w:t>
      </w:r>
    </w:p>
    <w:p>
      <w:pPr>
        <w:pStyle w:val="70"/>
      </w:pPr>
      <w:r>
        <w:rPr>
          <w:rFonts w:hint="eastAsia"/>
        </w:rPr>
        <w:t>3.8.1—087　　土地增值税预征申报</w:t>
      </w:r>
    </w:p>
    <w:p>
      <w:pPr>
        <w:pStyle w:val="70"/>
      </w:pPr>
      <w:r>
        <w:rPr>
          <w:rFonts w:hint="eastAsia"/>
        </w:rPr>
        <w:t>3.8.2—088　　土地增值税清算申报</w:t>
      </w:r>
    </w:p>
    <w:p>
      <w:pPr>
        <w:pStyle w:val="70"/>
      </w:pPr>
      <w:r>
        <w:rPr>
          <w:rFonts w:hint="eastAsia"/>
        </w:rPr>
        <w:t>3.8.3—089　　房地产项目尾盘销售土地增值税申报</w:t>
      </w:r>
    </w:p>
    <w:p>
      <w:pPr>
        <w:pStyle w:val="70"/>
      </w:pPr>
      <w:r>
        <w:rPr>
          <w:rFonts w:hint="eastAsia"/>
        </w:rPr>
        <w:t>3.8.4—090　　其他情况土地增值税申报</w:t>
      </w:r>
    </w:p>
    <w:p>
      <w:pPr>
        <w:pStyle w:val="67"/>
      </w:pPr>
      <w:r>
        <w:rPr>
          <w:rFonts w:hint="eastAsia"/>
        </w:rPr>
        <w:t>3.9　　耕地占用税申报</w:t>
      </w:r>
    </w:p>
    <w:p>
      <w:pPr>
        <w:pStyle w:val="70"/>
      </w:pPr>
      <w:r>
        <w:rPr>
          <w:rFonts w:hint="eastAsia"/>
        </w:rPr>
        <w:t>3.9.1—091　　耕地占用税申报</w:t>
      </w:r>
    </w:p>
    <w:p>
      <w:pPr>
        <w:pStyle w:val="67"/>
      </w:pPr>
      <w:r>
        <w:rPr>
          <w:rFonts w:hint="eastAsia"/>
        </w:rPr>
        <w:t>3.10　　资源税申报</w:t>
      </w:r>
    </w:p>
    <w:p>
      <w:pPr>
        <w:pStyle w:val="70"/>
      </w:pPr>
      <w:r>
        <w:rPr>
          <w:rFonts w:hint="eastAsia"/>
        </w:rPr>
        <w:t>3.10.1—092　　资源税申报</w:t>
      </w:r>
    </w:p>
    <w:p>
      <w:pPr>
        <w:pStyle w:val="67"/>
      </w:pPr>
      <w:r>
        <w:rPr>
          <w:rFonts w:hint="eastAsia"/>
        </w:rPr>
        <w:t>3.11　　契税申报</w:t>
      </w:r>
    </w:p>
    <w:p>
      <w:pPr>
        <w:pStyle w:val="70"/>
      </w:pPr>
      <w:r>
        <w:rPr>
          <w:rFonts w:hint="eastAsia"/>
        </w:rPr>
        <w:t>3.11.1—093　　契税申报</w:t>
      </w:r>
    </w:p>
    <w:p>
      <w:pPr>
        <w:pStyle w:val="67"/>
      </w:pPr>
      <w:r>
        <w:rPr>
          <w:rFonts w:hint="eastAsia"/>
        </w:rPr>
        <w:t>3.12　　印花税申报</w:t>
      </w:r>
    </w:p>
    <w:p>
      <w:pPr>
        <w:pStyle w:val="70"/>
      </w:pPr>
      <w:r>
        <w:rPr>
          <w:rFonts w:hint="eastAsia"/>
        </w:rPr>
        <w:t>3.12.1—094　　印花税申报</w:t>
      </w:r>
    </w:p>
    <w:p>
      <w:pPr>
        <w:pStyle w:val="67"/>
      </w:pPr>
      <w:r>
        <w:rPr>
          <w:rFonts w:hint="eastAsia"/>
        </w:rPr>
        <w:t>3.13　　车船税申报</w:t>
      </w:r>
    </w:p>
    <w:p>
      <w:pPr>
        <w:pStyle w:val="70"/>
      </w:pPr>
      <w:r>
        <w:rPr>
          <w:rFonts w:hint="eastAsia"/>
        </w:rPr>
        <w:t>3.13.1—095　　车船税申报</w:t>
      </w:r>
    </w:p>
    <w:p>
      <w:pPr>
        <w:pStyle w:val="67"/>
      </w:pPr>
      <w:r>
        <w:rPr>
          <w:rFonts w:hint="eastAsia"/>
        </w:rPr>
        <w:t>3.14　　烟叶税申报</w:t>
      </w:r>
    </w:p>
    <w:p>
      <w:pPr>
        <w:pStyle w:val="70"/>
      </w:pPr>
      <w:r>
        <w:rPr>
          <w:rFonts w:hint="eastAsia"/>
        </w:rPr>
        <w:t>3.14.1—096　　烟叶税申报</w:t>
      </w:r>
    </w:p>
    <w:p>
      <w:pPr>
        <w:pStyle w:val="67"/>
      </w:pPr>
      <w:r>
        <w:rPr>
          <w:rFonts w:hint="eastAsia"/>
        </w:rPr>
        <w:t>3.15　　环境保护税申报</w:t>
      </w:r>
    </w:p>
    <w:p>
      <w:pPr>
        <w:pStyle w:val="70"/>
      </w:pPr>
      <w:r>
        <w:rPr>
          <w:rFonts w:hint="eastAsia"/>
        </w:rPr>
        <w:t>3.15.1—097　　环境保护税申报</w:t>
      </w:r>
    </w:p>
    <w:p>
      <w:pPr>
        <w:pStyle w:val="67"/>
      </w:pPr>
      <w:r>
        <w:rPr>
          <w:rFonts w:hint="eastAsia"/>
        </w:rPr>
        <w:t>3.16　　附加税（费）申报</w:t>
      </w:r>
    </w:p>
    <w:p>
      <w:pPr>
        <w:pStyle w:val="70"/>
      </w:pPr>
      <w:r>
        <w:rPr>
          <w:rFonts w:hint="eastAsia"/>
        </w:rPr>
        <w:t>3.16.1—098　　附加税（费）申报</w:t>
      </w:r>
    </w:p>
    <w:p>
      <w:pPr>
        <w:pStyle w:val="67"/>
      </w:pPr>
      <w:r>
        <w:rPr>
          <w:rFonts w:hint="eastAsia"/>
        </w:rPr>
        <w:t>3.17　　定期定额户申报</w:t>
      </w:r>
    </w:p>
    <w:p>
      <w:pPr>
        <w:pStyle w:val="70"/>
      </w:pPr>
      <w:r>
        <w:rPr>
          <w:rFonts w:hint="eastAsia"/>
        </w:rPr>
        <w:t>3.17.1—099　　定期定额户自行申报</w:t>
      </w:r>
    </w:p>
    <w:p>
      <w:pPr>
        <w:pStyle w:val="70"/>
      </w:pPr>
      <w:r>
        <w:rPr>
          <w:rFonts w:hint="eastAsia"/>
        </w:rPr>
        <w:t>3.17.2—100　　定期定额户简易申报</w:t>
      </w:r>
    </w:p>
    <w:p>
      <w:pPr>
        <w:pStyle w:val="67"/>
      </w:pPr>
      <w:r>
        <w:rPr>
          <w:rFonts w:hint="eastAsia"/>
        </w:rPr>
        <w:t>3.18　　通用申报（税及附征税费）</w:t>
      </w:r>
    </w:p>
    <w:p>
      <w:pPr>
        <w:pStyle w:val="70"/>
      </w:pPr>
      <w:r>
        <w:rPr>
          <w:rFonts w:hint="eastAsia"/>
        </w:rPr>
        <w:t>3.18.1—101　　通用申报（税及附征税费）</w:t>
      </w:r>
    </w:p>
    <w:p>
      <w:pPr>
        <w:pStyle w:val="67"/>
      </w:pPr>
      <w:r>
        <w:rPr>
          <w:rFonts w:hint="eastAsia"/>
        </w:rPr>
        <w:t>3.19　　房产交易申报</w:t>
      </w:r>
    </w:p>
    <w:p>
      <w:pPr>
        <w:pStyle w:val="70"/>
      </w:pPr>
      <w:r>
        <w:rPr>
          <w:rFonts w:hint="eastAsia"/>
        </w:rPr>
        <w:t>3.19.1—102　　房产交易申报</w:t>
      </w:r>
    </w:p>
    <w:p>
      <w:pPr>
        <w:pStyle w:val="67"/>
      </w:pPr>
      <w:r>
        <w:rPr>
          <w:rFonts w:hint="eastAsia"/>
        </w:rPr>
        <w:t>3.20　　委托代征报告</w:t>
      </w:r>
    </w:p>
    <w:p>
      <w:pPr>
        <w:pStyle w:val="70"/>
      </w:pPr>
      <w:r>
        <w:rPr>
          <w:rFonts w:hint="eastAsia"/>
        </w:rPr>
        <w:t>3.20.1—103　　委托代征报告</w:t>
      </w:r>
    </w:p>
    <w:p>
      <w:pPr>
        <w:pStyle w:val="70"/>
      </w:pPr>
      <w:r>
        <w:rPr>
          <w:rFonts w:hint="eastAsia"/>
        </w:rPr>
        <w:t>3.20.2—104　　印花税票代售报告</w:t>
      </w:r>
    </w:p>
    <w:p>
      <w:pPr>
        <w:pStyle w:val="67"/>
      </w:pPr>
      <w:r>
        <w:rPr>
          <w:rFonts w:hint="eastAsia"/>
        </w:rPr>
        <w:t>3.21　　代收代缴、代扣代缴申报</w:t>
      </w:r>
    </w:p>
    <w:p>
      <w:pPr>
        <w:pStyle w:val="70"/>
      </w:pPr>
      <w:r>
        <w:rPr>
          <w:rFonts w:hint="eastAsia"/>
        </w:rPr>
        <w:t>3.21.1—105　　代收代缴车船税申报</w:t>
      </w:r>
    </w:p>
    <w:p>
      <w:pPr>
        <w:pStyle w:val="70"/>
      </w:pPr>
      <w:r>
        <w:rPr>
          <w:rFonts w:hint="eastAsia"/>
        </w:rPr>
        <w:t>3.21.2—106　　居民个人取得综合所得个人所得税预扣预缴申报</w:t>
      </w:r>
    </w:p>
    <w:p>
      <w:pPr>
        <w:pStyle w:val="70"/>
      </w:pPr>
      <w:r>
        <w:rPr>
          <w:rFonts w:hint="eastAsia"/>
        </w:rPr>
        <w:t>3.21.3—107　　居民个人取得分类所得个人所得税代扣代缴申报</w:t>
      </w:r>
    </w:p>
    <w:p>
      <w:pPr>
        <w:pStyle w:val="70"/>
      </w:pPr>
      <w:r>
        <w:rPr>
          <w:rFonts w:hint="eastAsia"/>
        </w:rPr>
        <w:t>3.21.4—108　　非居民个人所得税代扣代缴申报</w:t>
      </w:r>
    </w:p>
    <w:p>
      <w:pPr>
        <w:pStyle w:val="70"/>
      </w:pPr>
      <w:r>
        <w:rPr>
          <w:rFonts w:hint="eastAsia"/>
        </w:rPr>
        <w:t>3.21.5—109　　限售股转让所得扣缴个人所得税申报</w:t>
      </w:r>
    </w:p>
    <w:p>
      <w:pPr>
        <w:pStyle w:val="70"/>
      </w:pPr>
      <w:r>
        <w:rPr>
          <w:rFonts w:hint="eastAsia"/>
        </w:rPr>
        <w:t>3.21.6—110　　单一投资基金核算的合伙制创业投资企业个人所得税扣缴申报</w:t>
      </w:r>
    </w:p>
    <w:p>
      <w:pPr>
        <w:pStyle w:val="70"/>
      </w:pPr>
      <w:r>
        <w:rPr>
          <w:rFonts w:hint="eastAsia"/>
        </w:rPr>
        <w:t>3.21.7—111　　扣缴储蓄存款利息所得个人所得税申报</w:t>
      </w:r>
    </w:p>
    <w:p>
      <w:pPr>
        <w:pStyle w:val="70"/>
      </w:pPr>
      <w:r>
        <w:rPr>
          <w:rFonts w:hint="eastAsia"/>
        </w:rPr>
        <w:t>3.21.8—112　　代扣代缴证券交易印花税申报</w:t>
      </w:r>
    </w:p>
    <w:p>
      <w:pPr>
        <w:pStyle w:val="70"/>
      </w:pPr>
      <w:r>
        <w:rPr>
          <w:rFonts w:hint="eastAsia"/>
        </w:rPr>
        <w:t>3.21.9—113　　其他代扣代缴、代收代缴申报</w:t>
      </w:r>
    </w:p>
    <w:p>
      <w:pPr>
        <w:pStyle w:val="67"/>
      </w:pPr>
      <w:r>
        <w:rPr>
          <w:rFonts w:hint="eastAsia"/>
        </w:rPr>
        <w:t>3.22　　财务会计报告报送</w:t>
      </w:r>
    </w:p>
    <w:p>
      <w:pPr>
        <w:pStyle w:val="70"/>
      </w:pPr>
      <w:r>
        <w:rPr>
          <w:rFonts w:hint="eastAsia"/>
        </w:rPr>
        <w:t>3.22.1—114　　财务会计报告报送</w:t>
      </w:r>
    </w:p>
    <w:p>
      <w:pPr>
        <w:pStyle w:val="67"/>
      </w:pPr>
      <w:r>
        <w:rPr>
          <w:rFonts w:hint="eastAsia"/>
        </w:rPr>
        <w:t>3.23　　延期申报纳税</w:t>
      </w:r>
    </w:p>
    <w:p>
      <w:pPr>
        <w:pStyle w:val="70"/>
      </w:pPr>
      <w:r>
        <w:rPr>
          <w:rFonts w:hint="eastAsia"/>
        </w:rPr>
        <w:t>3.23.1—115　　对纳税人延期申报的核准</w:t>
      </w:r>
    </w:p>
    <w:p>
      <w:pPr>
        <w:pStyle w:val="70"/>
      </w:pPr>
      <w:r>
        <w:rPr>
          <w:rFonts w:hint="eastAsia"/>
        </w:rPr>
        <w:t>3.23.2—116　　对纳税人延期缴纳税款的核准</w:t>
      </w:r>
    </w:p>
    <w:p>
      <w:pPr>
        <w:pStyle w:val="67"/>
      </w:pPr>
      <w:r>
        <w:rPr>
          <w:rFonts w:hint="eastAsia"/>
        </w:rPr>
        <w:t>3.24　　对纳税人变更纳税定额的核准</w:t>
      </w:r>
    </w:p>
    <w:p>
      <w:pPr>
        <w:pStyle w:val="70"/>
      </w:pPr>
      <w:r>
        <w:rPr>
          <w:rFonts w:hint="eastAsia"/>
        </w:rPr>
        <w:t>3.24.1—117　　对纳税人变更纳税定额的核准</w:t>
      </w:r>
    </w:p>
    <w:p>
      <w:pPr>
        <w:pStyle w:val="67"/>
      </w:pPr>
      <w:r>
        <w:rPr>
          <w:rFonts w:hint="eastAsia"/>
        </w:rPr>
        <w:t>3.25　　退（抵）税办理</w:t>
      </w:r>
    </w:p>
    <w:p>
      <w:pPr>
        <w:pStyle w:val="70"/>
      </w:pPr>
      <w:r>
        <w:rPr>
          <w:rFonts w:hint="eastAsia"/>
        </w:rPr>
        <w:t>3.25.1—118　　误收多缴退抵税</w:t>
      </w:r>
    </w:p>
    <w:p>
      <w:pPr>
        <w:pStyle w:val="70"/>
      </w:pPr>
      <w:r>
        <w:rPr>
          <w:rFonts w:hint="eastAsia"/>
        </w:rPr>
        <w:t>3.25.2—119　　入库减免退抵税</w:t>
      </w:r>
    </w:p>
    <w:p>
      <w:pPr>
        <w:pStyle w:val="70"/>
      </w:pPr>
      <w:r>
        <w:rPr>
          <w:rFonts w:hint="eastAsia"/>
        </w:rPr>
        <w:t>3.25.3—120　　汇算清缴结算多缴退抵税</w:t>
      </w:r>
    </w:p>
    <w:p>
      <w:pPr>
        <w:pStyle w:val="70"/>
      </w:pPr>
      <w:r>
        <w:rPr>
          <w:rFonts w:hint="eastAsia"/>
        </w:rPr>
        <w:t>3.25.4—121　　增值税期末留抵税额退税</w:t>
      </w:r>
    </w:p>
    <w:p>
      <w:pPr>
        <w:pStyle w:val="70"/>
      </w:pPr>
      <w:r>
        <w:rPr>
          <w:rFonts w:hint="eastAsia"/>
        </w:rPr>
        <w:t>3.25.5—122　　石脑油、燃料油消费税退税</w:t>
      </w:r>
    </w:p>
    <w:p>
      <w:pPr>
        <w:pStyle w:val="70"/>
      </w:pPr>
      <w:r>
        <w:rPr>
          <w:rFonts w:hint="eastAsia"/>
        </w:rPr>
        <w:t>3.25.6—123　　车辆购置税退税</w:t>
      </w:r>
    </w:p>
    <w:p>
      <w:pPr>
        <w:pStyle w:val="70"/>
      </w:pPr>
      <w:r>
        <w:rPr>
          <w:rFonts w:hint="eastAsia"/>
        </w:rPr>
        <w:t>3.25.7—124　　车船税退抵税</w:t>
      </w:r>
    </w:p>
    <w:p>
      <w:pPr>
        <w:pStyle w:val="67"/>
      </w:pPr>
      <w:r>
        <w:rPr>
          <w:rFonts w:hint="eastAsia"/>
        </w:rPr>
        <w:t>3.26　　申报错误更正</w:t>
      </w:r>
    </w:p>
    <w:p>
      <w:pPr>
        <w:pStyle w:val="70"/>
      </w:pPr>
      <w:r>
        <w:rPr>
          <w:rFonts w:hint="eastAsia"/>
        </w:rPr>
        <w:t>3.26.1—125　　申报错误更正</w:t>
      </w:r>
    </w:p>
    <w:p>
      <w:pPr>
        <w:pStyle w:val="68"/>
      </w:pPr>
      <w:r>
        <w:rPr>
          <w:rFonts w:hint="eastAsia"/>
        </w:rPr>
        <w:t>4　　优惠办理规范</w:t>
      </w:r>
    </w:p>
    <w:p>
      <w:pPr>
        <w:pStyle w:val="67"/>
      </w:pPr>
      <w:r>
        <w:rPr>
          <w:rFonts w:hint="eastAsia"/>
        </w:rPr>
        <w:t>4.1　　减免税办理</w:t>
      </w:r>
    </w:p>
    <w:p>
      <w:pPr>
        <w:pStyle w:val="70"/>
      </w:pPr>
      <w:r>
        <w:rPr>
          <w:rFonts w:hint="eastAsia"/>
        </w:rPr>
        <w:t>4.1.1—126　　申报享受税收减免</w:t>
      </w:r>
    </w:p>
    <w:p>
      <w:pPr>
        <w:pStyle w:val="70"/>
      </w:pPr>
      <w:r>
        <w:rPr>
          <w:rFonts w:hint="eastAsia"/>
        </w:rPr>
        <w:t>4.1.2—127　　税收减免备案</w:t>
      </w:r>
    </w:p>
    <w:p>
      <w:pPr>
        <w:pStyle w:val="70"/>
      </w:pPr>
      <w:r>
        <w:rPr>
          <w:rFonts w:hint="eastAsia"/>
        </w:rPr>
        <w:t>4.1.3—128　　税收减免核准</w:t>
      </w:r>
    </w:p>
    <w:p>
      <w:pPr>
        <w:pStyle w:val="67"/>
      </w:pPr>
      <w:r>
        <w:rPr>
          <w:rFonts w:hint="eastAsia"/>
        </w:rPr>
        <w:t>4.2　　跨境应税行为免征增值税报告</w:t>
      </w:r>
    </w:p>
    <w:p>
      <w:pPr>
        <w:pStyle w:val="70"/>
      </w:pPr>
      <w:r>
        <w:rPr>
          <w:rFonts w:hint="eastAsia"/>
        </w:rPr>
        <w:t>4.2.1—129　　跨境应税行为免征增值税报告</w:t>
      </w:r>
    </w:p>
    <w:p>
      <w:pPr>
        <w:pStyle w:val="67"/>
      </w:pPr>
      <w:r>
        <w:rPr>
          <w:rFonts w:hint="eastAsia"/>
        </w:rPr>
        <w:t>4.3　　放弃减免税</w:t>
      </w:r>
    </w:p>
    <w:p>
      <w:pPr>
        <w:pStyle w:val="70"/>
      </w:pPr>
      <w:r>
        <w:rPr>
          <w:rFonts w:hint="eastAsia"/>
        </w:rPr>
        <w:t>4.3.1—130　　纳税人放弃免（减）税权声明</w:t>
      </w:r>
    </w:p>
    <w:p>
      <w:pPr>
        <w:pStyle w:val="68"/>
      </w:pPr>
      <w:r>
        <w:rPr>
          <w:rFonts w:hint="eastAsia"/>
        </w:rPr>
        <w:t>5　　证明办理规范</w:t>
      </w:r>
    </w:p>
    <w:p>
      <w:pPr>
        <w:pStyle w:val="67"/>
      </w:pPr>
      <w:r>
        <w:rPr>
          <w:rFonts w:hint="eastAsia"/>
        </w:rPr>
        <w:t>5.1　　证明开具</w:t>
      </w:r>
    </w:p>
    <w:p>
      <w:pPr>
        <w:pStyle w:val="70"/>
      </w:pPr>
      <w:r>
        <w:rPr>
          <w:rFonts w:hint="eastAsia"/>
        </w:rPr>
        <w:t>5.1.1—131　　开具税收完税证明</w:t>
      </w:r>
    </w:p>
    <w:p>
      <w:pPr>
        <w:pStyle w:val="70"/>
      </w:pPr>
      <w:r>
        <w:rPr>
          <w:rFonts w:hint="eastAsia"/>
        </w:rPr>
        <w:t>5.1.2—132　　开具个人所得税纳税记录</w:t>
      </w:r>
    </w:p>
    <w:p>
      <w:pPr>
        <w:pStyle w:val="70"/>
      </w:pPr>
      <w:r>
        <w:rPr>
          <w:rFonts w:hint="eastAsia"/>
        </w:rPr>
        <w:t>5.1.3—133　　转开印花税票销售凭证</w:t>
      </w:r>
    </w:p>
    <w:p>
      <w:pPr>
        <w:pStyle w:val="68"/>
      </w:pPr>
      <w:r>
        <w:rPr>
          <w:rFonts w:hint="eastAsia"/>
        </w:rPr>
        <w:t>6　　社会保险费及非税收入业务规范</w:t>
      </w:r>
    </w:p>
    <w:p>
      <w:pPr>
        <w:pStyle w:val="67"/>
      </w:pPr>
      <w:r>
        <w:rPr>
          <w:rFonts w:hint="eastAsia"/>
        </w:rPr>
        <w:t>6.1　　社会保险费申报</w:t>
      </w:r>
    </w:p>
    <w:p>
      <w:pPr>
        <w:pStyle w:val="70"/>
      </w:pPr>
      <w:r>
        <w:rPr>
          <w:rFonts w:hint="eastAsia"/>
        </w:rPr>
        <w:t>6.1.1—134　　单位社会保险费申报</w:t>
      </w:r>
    </w:p>
    <w:p>
      <w:pPr>
        <w:pStyle w:val="70"/>
      </w:pPr>
      <w:r>
        <w:rPr>
          <w:rFonts w:hint="eastAsia"/>
        </w:rPr>
        <w:t>6.1.</w:t>
      </w:r>
      <w:r>
        <w:t>2</w:t>
      </w:r>
      <w:r>
        <w:rPr>
          <w:rFonts w:hint="eastAsia"/>
        </w:rPr>
        <w:t>—135　　城乡居民社会保险费申报</w:t>
      </w:r>
    </w:p>
    <w:p>
      <w:pPr>
        <w:pStyle w:val="67"/>
      </w:pPr>
      <w:r>
        <w:rPr>
          <w:rFonts w:hint="eastAsia"/>
        </w:rPr>
        <w:t>6.2　　非税收入申报</w:t>
      </w:r>
    </w:p>
    <w:p>
      <w:pPr>
        <w:pStyle w:val="70"/>
      </w:pPr>
      <w:r>
        <w:rPr>
          <w:rFonts w:hint="eastAsia"/>
        </w:rPr>
        <w:t>6.2.1—136　　文化事业建设费申报</w:t>
      </w:r>
    </w:p>
    <w:p>
      <w:pPr>
        <w:pStyle w:val="70"/>
      </w:pPr>
      <w:r>
        <w:rPr>
          <w:rFonts w:hint="eastAsia"/>
        </w:rPr>
        <w:t>6.2.2—137　　废弃电器电子产品处理基金申报</w:t>
      </w:r>
    </w:p>
    <w:p>
      <w:pPr>
        <w:pStyle w:val="70"/>
      </w:pPr>
      <w:r>
        <w:rPr>
          <w:rFonts w:hint="eastAsia"/>
        </w:rPr>
        <w:t>6.2.3—138　　残疾人就业保障金申报</w:t>
      </w:r>
    </w:p>
    <w:p>
      <w:pPr>
        <w:pStyle w:val="70"/>
      </w:pPr>
      <w:r>
        <w:rPr>
          <w:rFonts w:hint="eastAsia"/>
        </w:rPr>
        <w:t>6.2.4—139　　石油特别收益金申报</w:t>
      </w:r>
    </w:p>
    <w:p>
      <w:pPr>
        <w:pStyle w:val="70"/>
      </w:pPr>
      <w:r>
        <w:rPr>
          <w:rFonts w:hint="eastAsia"/>
        </w:rPr>
        <w:t>6.2.5—140　　油价调控风险准备金申报</w:t>
      </w:r>
    </w:p>
    <w:p>
      <w:pPr>
        <w:pStyle w:val="70"/>
      </w:pPr>
      <w:r>
        <w:rPr>
          <w:rFonts w:hint="eastAsia"/>
        </w:rPr>
        <w:t>6.2.6—141　　非税收入通用申报</w:t>
      </w:r>
    </w:p>
    <w:p>
      <w:pPr>
        <w:pStyle w:val="68"/>
      </w:pPr>
      <w:r>
        <w:rPr>
          <w:rFonts w:hint="eastAsia"/>
        </w:rPr>
        <w:t>7　　出口退（免）税规范</w:t>
      </w:r>
    </w:p>
    <w:p>
      <w:pPr>
        <w:pStyle w:val="67"/>
      </w:pPr>
      <w:r>
        <w:rPr>
          <w:rFonts w:hint="eastAsia"/>
        </w:rPr>
        <w:t>7.1　　出口退（免）税备案</w:t>
      </w:r>
    </w:p>
    <w:p>
      <w:pPr>
        <w:pStyle w:val="70"/>
      </w:pPr>
      <w:r>
        <w:rPr>
          <w:rFonts w:hint="eastAsia"/>
        </w:rPr>
        <w:t>7.1.1—142　　出口退（免）税企业备案信息报告</w:t>
      </w:r>
    </w:p>
    <w:p>
      <w:pPr>
        <w:pStyle w:val="70"/>
      </w:pPr>
      <w:r>
        <w:rPr>
          <w:rFonts w:hint="eastAsia"/>
        </w:rPr>
        <w:t>7.1.2—143　　退税商店资格信息报告</w:t>
      </w:r>
    </w:p>
    <w:p>
      <w:pPr>
        <w:pStyle w:val="70"/>
      </w:pPr>
      <w:r>
        <w:rPr>
          <w:rFonts w:hint="eastAsia"/>
        </w:rPr>
        <w:t>7.1.3—144　　其他出口退（免）税备案</w:t>
      </w:r>
    </w:p>
    <w:p>
      <w:pPr>
        <w:pStyle w:val="70"/>
      </w:pPr>
      <w:r>
        <w:rPr>
          <w:rFonts w:hint="eastAsia"/>
        </w:rPr>
        <w:t>7.1.4—145　　出口企业放弃退（免）税报告</w:t>
      </w:r>
    </w:p>
    <w:p>
      <w:pPr>
        <w:pStyle w:val="67"/>
      </w:pPr>
      <w:r>
        <w:rPr>
          <w:rFonts w:hint="eastAsia"/>
        </w:rPr>
        <w:t>7.2　　出口退（免）税办理</w:t>
      </w:r>
    </w:p>
    <w:p>
      <w:pPr>
        <w:pStyle w:val="70"/>
      </w:pPr>
      <w:r>
        <w:rPr>
          <w:rFonts w:hint="eastAsia"/>
        </w:rPr>
        <w:t>7.2.1—146　　出口退（免）税凭证无相关电子信息申报</w:t>
      </w:r>
    </w:p>
    <w:p>
      <w:pPr>
        <w:pStyle w:val="70"/>
      </w:pPr>
      <w:r>
        <w:rPr>
          <w:rFonts w:hint="eastAsia"/>
        </w:rPr>
        <w:t>7.2.2—147　　出口货物劳务免抵退税申报</w:t>
      </w:r>
    </w:p>
    <w:p>
      <w:pPr>
        <w:pStyle w:val="70"/>
      </w:pPr>
      <w:r>
        <w:rPr>
          <w:rFonts w:hint="eastAsia"/>
        </w:rPr>
        <w:t>7.2.3—148　　增值税零税率应税服务免抵退税申报</w:t>
      </w:r>
    </w:p>
    <w:p>
      <w:pPr>
        <w:pStyle w:val="70"/>
      </w:pPr>
      <w:r>
        <w:rPr>
          <w:rFonts w:hint="eastAsia"/>
        </w:rPr>
        <w:t>7.2.4—149　　出口货物劳务免退税申报</w:t>
      </w:r>
    </w:p>
    <w:p>
      <w:pPr>
        <w:pStyle w:val="70"/>
      </w:pPr>
      <w:r>
        <w:rPr>
          <w:rFonts w:hint="eastAsia"/>
        </w:rPr>
        <w:t>7.2.5—150　　增值税零税率应税服务免退税申报</w:t>
      </w:r>
    </w:p>
    <w:p>
      <w:pPr>
        <w:pStyle w:val="70"/>
      </w:pPr>
      <w:r>
        <w:rPr>
          <w:rFonts w:hint="eastAsia"/>
        </w:rPr>
        <w:t>7.2.6—151　　外贸综合服务企业代办退税申报</w:t>
      </w:r>
    </w:p>
    <w:p>
      <w:pPr>
        <w:pStyle w:val="70"/>
      </w:pPr>
      <w:r>
        <w:rPr>
          <w:rFonts w:hint="eastAsia"/>
        </w:rPr>
        <w:t>7.2.7—152　　出口已使用过的设备免退税申报</w:t>
      </w:r>
    </w:p>
    <w:p>
      <w:pPr>
        <w:pStyle w:val="70"/>
      </w:pPr>
      <w:r>
        <w:rPr>
          <w:rFonts w:hint="eastAsia"/>
        </w:rPr>
        <w:t>7.2.8—153　　购进自用货物免退税申报</w:t>
      </w:r>
    </w:p>
    <w:p>
      <w:pPr>
        <w:pStyle w:val="70"/>
      </w:pPr>
      <w:r>
        <w:rPr>
          <w:rFonts w:hint="eastAsia"/>
        </w:rPr>
        <w:t>7.2.9—154　　退税代理机构离境退税结算</w:t>
      </w:r>
    </w:p>
    <w:p>
      <w:pPr>
        <w:pStyle w:val="70"/>
      </w:pPr>
      <w:r>
        <w:rPr>
          <w:rFonts w:hint="eastAsia"/>
        </w:rPr>
        <w:t>7.2.10—155　　生产企业进料加工业务免抵退税核销</w:t>
      </w:r>
    </w:p>
    <w:p>
      <w:pPr>
        <w:pStyle w:val="70"/>
      </w:pPr>
      <w:r>
        <w:rPr>
          <w:rFonts w:hint="eastAsia"/>
        </w:rPr>
        <w:t>7.2.11—156　　出口退（免）税延期申报</w:t>
      </w:r>
    </w:p>
    <w:p>
      <w:pPr>
        <w:pStyle w:val="67"/>
      </w:pPr>
      <w:r>
        <w:rPr>
          <w:rFonts w:hint="eastAsia"/>
        </w:rPr>
        <w:t>7.3　　出口退（免）税证明办理</w:t>
      </w:r>
    </w:p>
    <w:p>
      <w:pPr>
        <w:pStyle w:val="70"/>
      </w:pPr>
      <w:r>
        <w:rPr>
          <w:rFonts w:hint="eastAsia"/>
        </w:rPr>
        <w:t>7.3.1—157　　出口退（免）税证明开具</w:t>
      </w:r>
    </w:p>
    <w:p>
      <w:pPr>
        <w:pStyle w:val="70"/>
      </w:pPr>
      <w:r>
        <w:rPr>
          <w:rFonts w:hint="eastAsia"/>
        </w:rPr>
        <w:t>7.3.2—158　　来料加工免税证明及核销办理</w:t>
      </w:r>
    </w:p>
    <w:p>
      <w:pPr>
        <w:pStyle w:val="70"/>
      </w:pPr>
      <w:r>
        <w:rPr>
          <w:rFonts w:hint="eastAsia"/>
        </w:rPr>
        <w:t>7.3.3—159　　出口卷烟相关证明及免税核销办理</w:t>
      </w:r>
    </w:p>
    <w:p>
      <w:pPr>
        <w:pStyle w:val="70"/>
      </w:pPr>
      <w:r>
        <w:rPr>
          <w:rFonts w:hint="eastAsia"/>
        </w:rPr>
        <w:t>7.3.4—160　　补办出口退（免）税证明</w:t>
      </w:r>
    </w:p>
    <w:p>
      <w:pPr>
        <w:pStyle w:val="70"/>
      </w:pPr>
      <w:r>
        <w:rPr>
          <w:rFonts w:hint="eastAsia"/>
        </w:rPr>
        <w:t>7.3.5—161　　作废出口退（免）税证明</w:t>
      </w:r>
    </w:p>
    <w:p>
      <w:pPr>
        <w:pStyle w:val="70"/>
      </w:pPr>
      <w:r>
        <w:rPr>
          <w:rFonts w:hint="eastAsia"/>
        </w:rPr>
        <w:t>7.3.6—162　　出口货物劳务专用税收票证开具</w:t>
      </w:r>
    </w:p>
    <w:p>
      <w:pPr>
        <w:pStyle w:val="67"/>
      </w:pPr>
      <w:r>
        <w:rPr>
          <w:rFonts w:hint="eastAsia"/>
        </w:rPr>
        <w:t>7.4　　出口退（免）税分类管理评定</w:t>
      </w:r>
    </w:p>
    <w:p>
      <w:pPr>
        <w:pStyle w:val="70"/>
      </w:pPr>
      <w:r>
        <w:rPr>
          <w:rFonts w:hint="eastAsia"/>
        </w:rPr>
        <w:t>7.4.1—163　　出口退（免）税分类管理评定申请</w:t>
      </w:r>
    </w:p>
    <w:p>
      <w:pPr>
        <w:pStyle w:val="68"/>
      </w:pPr>
      <w:r>
        <w:rPr>
          <w:rFonts w:hint="eastAsia"/>
        </w:rPr>
        <w:t>8　　国际税收业务规范</w:t>
      </w:r>
    </w:p>
    <w:p>
      <w:pPr>
        <w:pStyle w:val="67"/>
      </w:pPr>
      <w:r>
        <w:rPr>
          <w:rFonts w:hint="eastAsia"/>
        </w:rPr>
        <w:t>8.1　　涉税情况报告</w:t>
      </w:r>
    </w:p>
    <w:p>
      <w:pPr>
        <w:pStyle w:val="70"/>
      </w:pPr>
      <w:r>
        <w:rPr>
          <w:rFonts w:hint="eastAsia"/>
        </w:rPr>
        <w:t>8.1.1—164　　境内机构和个人发包工程作业或劳务项目备案</w:t>
      </w:r>
    </w:p>
    <w:p>
      <w:pPr>
        <w:pStyle w:val="70"/>
      </w:pPr>
      <w:r>
        <w:rPr>
          <w:rFonts w:hint="eastAsia"/>
        </w:rPr>
        <w:t>8.1.2—165　　服务贸易等项目对外支付税务备案</w:t>
      </w:r>
    </w:p>
    <w:p>
      <w:pPr>
        <w:pStyle w:val="70"/>
      </w:pPr>
      <w:r>
        <w:rPr>
          <w:rFonts w:hint="eastAsia"/>
        </w:rPr>
        <w:t>8.1.3—166　　同期资料报告</w:t>
      </w:r>
    </w:p>
    <w:p>
      <w:pPr>
        <w:pStyle w:val="70"/>
      </w:pPr>
      <w:r>
        <w:rPr>
          <w:rFonts w:hint="eastAsia"/>
        </w:rPr>
        <w:t>8.1.4—167　　非居民企业间接转让财产事项报告</w:t>
      </w:r>
    </w:p>
    <w:p>
      <w:pPr>
        <w:pStyle w:val="70"/>
      </w:pPr>
      <w:r>
        <w:rPr>
          <w:rFonts w:hint="eastAsia"/>
        </w:rPr>
        <w:t>8.1.5—168　　非居民企业股权转让适用特殊性税务处理的备案</w:t>
      </w:r>
    </w:p>
    <w:p>
      <w:pPr>
        <w:pStyle w:val="70"/>
      </w:pPr>
      <w:r>
        <w:rPr>
          <w:rFonts w:hint="eastAsia"/>
        </w:rPr>
        <w:t>8.1.6—169　　境外注册中资控股企业居民身份认定申请</w:t>
      </w:r>
    </w:p>
    <w:p>
      <w:pPr>
        <w:pStyle w:val="67"/>
      </w:pPr>
      <w:r>
        <w:rPr>
          <w:rFonts w:hint="eastAsia"/>
        </w:rPr>
        <w:t>8.2　　涉税申报</w:t>
      </w:r>
    </w:p>
    <w:p>
      <w:pPr>
        <w:pStyle w:val="70"/>
      </w:pPr>
      <w:r>
        <w:rPr>
          <w:rFonts w:hint="eastAsia"/>
        </w:rPr>
        <w:t>8.2.1—170　　扣缴企业所得税报告</w:t>
      </w:r>
    </w:p>
    <w:p>
      <w:pPr>
        <w:pStyle w:val="70"/>
      </w:pPr>
      <w:r>
        <w:rPr>
          <w:rFonts w:hint="eastAsia"/>
        </w:rPr>
        <w:t>8.2.2—171　　非居民企业企业所得税预缴申报</w:t>
      </w:r>
    </w:p>
    <w:p>
      <w:pPr>
        <w:pStyle w:val="70"/>
      </w:pPr>
      <w:r>
        <w:rPr>
          <w:rFonts w:hint="eastAsia"/>
        </w:rPr>
        <w:t>8.2.3—172　　非居民企业企业所得税年度申报</w:t>
      </w:r>
    </w:p>
    <w:p>
      <w:pPr>
        <w:pStyle w:val="70"/>
      </w:pPr>
      <w:r>
        <w:rPr>
          <w:rFonts w:hint="eastAsia"/>
        </w:rPr>
        <w:t>8.2.4—173　　关联业务往来年度报告申报</w:t>
      </w:r>
    </w:p>
    <w:p>
      <w:pPr>
        <w:pStyle w:val="67"/>
      </w:pPr>
      <w:r>
        <w:rPr>
          <w:rFonts w:hint="eastAsia"/>
        </w:rPr>
        <w:t>8.3　　税收优惠</w:t>
      </w:r>
    </w:p>
    <w:p>
      <w:pPr>
        <w:pStyle w:val="70"/>
      </w:pPr>
      <w:r>
        <w:rPr>
          <w:rFonts w:hint="eastAsia"/>
        </w:rPr>
        <w:t>8.3.1—174　　非居民纳税人享受税收协定待遇办理</w:t>
      </w:r>
    </w:p>
    <w:p>
      <w:pPr>
        <w:pStyle w:val="67"/>
      </w:pPr>
      <w:r>
        <w:rPr>
          <w:rFonts w:hint="eastAsia"/>
        </w:rPr>
        <w:t>8.4　　国际税收证明开具</w:t>
      </w:r>
    </w:p>
    <w:p>
      <w:pPr>
        <w:pStyle w:val="70"/>
      </w:pPr>
      <w:r>
        <w:rPr>
          <w:rFonts w:hint="eastAsia"/>
        </w:rPr>
        <w:t>8.4.1—175　　中国税收居民身份证明的开具</w:t>
      </w:r>
    </w:p>
    <w:p>
      <w:pPr>
        <w:pStyle w:val="67"/>
      </w:pPr>
      <w:r>
        <w:rPr>
          <w:rFonts w:hint="eastAsia"/>
        </w:rPr>
        <w:t>8.5　　预约定价安排</w:t>
      </w:r>
    </w:p>
    <w:p>
      <w:pPr>
        <w:pStyle w:val="70"/>
      </w:pPr>
      <w:r>
        <w:rPr>
          <w:rFonts w:hint="eastAsia"/>
        </w:rPr>
        <w:t>8.5.1—176　　预约定价安排谈签与执行</w:t>
      </w:r>
    </w:p>
    <w:p>
      <w:pPr>
        <w:pStyle w:val="67"/>
      </w:pPr>
      <w:r>
        <w:rPr>
          <w:rFonts w:hint="eastAsia"/>
        </w:rPr>
        <w:t>8.6　　相互协商程序</w:t>
      </w:r>
    </w:p>
    <w:p>
      <w:pPr>
        <w:pStyle w:val="70"/>
      </w:pPr>
      <w:r>
        <w:rPr>
          <w:rFonts w:hint="eastAsia"/>
        </w:rPr>
        <w:t>8.6.1—177　　中国居民（国民）申请启动税务相互协商程序</w:t>
      </w:r>
    </w:p>
    <w:p>
      <w:pPr>
        <w:pStyle w:val="70"/>
      </w:pPr>
      <w:r>
        <w:rPr>
          <w:rFonts w:hint="eastAsia"/>
        </w:rPr>
        <w:t>8.6.2—178　　特别纳税调整相互协商程序</w:t>
      </w:r>
    </w:p>
    <w:p>
      <w:pPr>
        <w:pStyle w:val="68"/>
      </w:pPr>
      <w:r>
        <w:rPr>
          <w:rFonts w:hint="eastAsia"/>
        </w:rPr>
        <w:t>9　　信用评价规范</w:t>
      </w:r>
    </w:p>
    <w:p>
      <w:pPr>
        <w:pStyle w:val="67"/>
      </w:pPr>
      <w:r>
        <w:rPr>
          <w:rFonts w:hint="eastAsia"/>
        </w:rPr>
        <w:t>9.1　　信用评价</w:t>
      </w:r>
    </w:p>
    <w:p>
      <w:pPr>
        <w:pStyle w:val="70"/>
      </w:pPr>
      <w:r>
        <w:rPr>
          <w:rFonts w:hint="eastAsia"/>
        </w:rPr>
        <w:t>9.1.1—179　　纳税信用补评</w:t>
      </w:r>
    </w:p>
    <w:p>
      <w:pPr>
        <w:pStyle w:val="70"/>
      </w:pPr>
      <w:r>
        <w:rPr>
          <w:rFonts w:hint="eastAsia"/>
        </w:rPr>
        <w:t>9.1.2—180　　纳税信用复评</w:t>
      </w:r>
    </w:p>
    <w:p>
      <w:pPr>
        <w:pStyle w:val="68"/>
      </w:pPr>
      <w:r>
        <w:rPr>
          <w:rFonts w:hint="eastAsia"/>
        </w:rPr>
        <w:t>10　　税务注销规范</w:t>
      </w:r>
    </w:p>
    <w:p>
      <w:pPr>
        <w:pStyle w:val="67"/>
      </w:pPr>
      <w:r>
        <w:rPr>
          <w:rFonts w:hint="eastAsia"/>
        </w:rPr>
        <w:t>10.1　　税务注销</w:t>
      </w:r>
    </w:p>
    <w:p>
      <w:pPr>
        <w:pStyle w:val="70"/>
      </w:pPr>
      <w:r>
        <w:rPr>
          <w:rFonts w:hint="eastAsia"/>
        </w:rPr>
        <w:t>10.1.1—181　　一照一码户清税申报</w:t>
      </w:r>
    </w:p>
    <w:p>
      <w:pPr>
        <w:pStyle w:val="70"/>
      </w:pPr>
      <w:r>
        <w:rPr>
          <w:rFonts w:hint="eastAsia"/>
        </w:rPr>
        <w:t>10.1.2—182　　两证整合个体工商户清税申报</w:t>
      </w:r>
    </w:p>
    <w:p>
      <w:pPr>
        <w:pStyle w:val="70"/>
      </w:pPr>
      <w:r>
        <w:rPr>
          <w:rFonts w:hint="eastAsia"/>
        </w:rPr>
        <w:t>10.1.3—183　　注销税务登记（适用于“一照一码”“两证整合”以外的纳税人）</w:t>
      </w:r>
    </w:p>
    <w:p>
      <w:pPr>
        <w:pStyle w:val="70"/>
      </w:pPr>
      <w:r>
        <w:rPr>
          <w:rFonts w:hint="eastAsia"/>
        </w:rPr>
        <w:t>10.1.4—184　　税务注销即时办理</w:t>
      </w:r>
    </w:p>
    <w:p>
      <w:pPr>
        <w:pStyle w:val="70"/>
      </w:pPr>
      <w:r>
        <w:rPr>
          <w:rFonts w:hint="eastAsia"/>
        </w:rPr>
        <w:t>10.1.5—185　　注销扣缴税款登记</w:t>
      </w:r>
    </w:p>
    <w:p>
      <w:pPr>
        <w:pStyle w:val="68"/>
      </w:pPr>
      <w:r>
        <w:rPr>
          <w:rFonts w:hint="eastAsia"/>
        </w:rPr>
        <w:t>11　涉税（费）咨询规范</w:t>
      </w:r>
    </w:p>
    <w:p>
      <w:pPr>
        <w:pStyle w:val="67"/>
      </w:pPr>
      <w:r>
        <w:rPr>
          <w:rFonts w:hint="eastAsia"/>
        </w:rPr>
        <w:t>11.1　涉税（费）咨询</w:t>
      </w:r>
    </w:p>
    <w:p>
      <w:pPr>
        <w:pStyle w:val="70"/>
      </w:pPr>
      <w:r>
        <w:rPr>
          <w:rFonts w:hint="eastAsia"/>
        </w:rPr>
        <w:t>11.1.1—186　电话咨询</w:t>
      </w:r>
    </w:p>
    <w:p>
      <w:pPr>
        <w:pStyle w:val="70"/>
      </w:pPr>
      <w:r>
        <w:rPr>
          <w:rFonts w:hint="eastAsia"/>
        </w:rPr>
        <w:t>11.1.2—187　网络咨询</w:t>
      </w:r>
    </w:p>
    <w:p>
      <w:pPr>
        <w:pStyle w:val="70"/>
      </w:pPr>
      <w:r>
        <w:rPr>
          <w:rFonts w:hint="eastAsia"/>
        </w:rPr>
        <w:t>11.1.3—188　面对面咨询</w:t>
      </w:r>
    </w:p>
    <w:p>
      <w:pPr>
        <w:pStyle w:val="68"/>
      </w:pPr>
      <w:r>
        <w:rPr>
          <w:rFonts w:hint="eastAsia"/>
        </w:rPr>
        <w:t>12　　涉税信息查询规范</w:t>
      </w:r>
    </w:p>
    <w:p>
      <w:pPr>
        <w:pStyle w:val="67"/>
      </w:pPr>
      <w:r>
        <w:rPr>
          <w:rFonts w:hint="eastAsia"/>
        </w:rPr>
        <w:t>12.1　　涉税信息查询</w:t>
      </w:r>
    </w:p>
    <w:p>
      <w:pPr>
        <w:pStyle w:val="70"/>
      </w:pPr>
      <w:r>
        <w:rPr>
          <w:rFonts w:hint="eastAsia"/>
        </w:rPr>
        <w:t>12.1.1—189　　社会公众涉税公开信息查询</w:t>
      </w:r>
    </w:p>
    <w:p>
      <w:pPr>
        <w:pStyle w:val="70"/>
      </w:pPr>
      <w:r>
        <w:rPr>
          <w:rFonts w:hint="eastAsia"/>
        </w:rPr>
        <w:t>12.1.2—190　　纳税人涉税信息查询</w:t>
      </w:r>
    </w:p>
    <w:p>
      <w:pPr>
        <w:pStyle w:val="70"/>
      </w:pPr>
      <w:r>
        <w:rPr>
          <w:rFonts w:hint="eastAsia"/>
        </w:rPr>
        <w:t>12.1.3—191　　第三方涉税保密信息查询</w:t>
      </w:r>
    </w:p>
    <w:p>
      <w:pPr>
        <w:pStyle w:val="68"/>
      </w:pPr>
      <w:r>
        <w:rPr>
          <w:rFonts w:hint="eastAsia"/>
        </w:rPr>
        <w:t>13　　纳税服务投诉规范</w:t>
      </w:r>
    </w:p>
    <w:p>
      <w:pPr>
        <w:pStyle w:val="67"/>
      </w:pPr>
      <w:r>
        <w:rPr>
          <w:rFonts w:hint="eastAsia"/>
        </w:rPr>
        <w:t>13.1　　纳税服务投诉</w:t>
      </w:r>
    </w:p>
    <w:p>
      <w:pPr>
        <w:pStyle w:val="70"/>
      </w:pPr>
      <w:r>
        <w:rPr>
          <w:rFonts w:hint="eastAsia"/>
        </w:rPr>
        <w:t>13.1.1—192　　纳税服务投诉处理</w:t>
      </w:r>
    </w:p>
    <w:p>
      <w:pPr>
        <w:pStyle w:val="68"/>
      </w:pPr>
      <w:r>
        <w:rPr>
          <w:rFonts w:hint="eastAsia"/>
        </w:rPr>
        <w:t>14　　涉税专业服务规范</w:t>
      </w:r>
    </w:p>
    <w:p>
      <w:pPr>
        <w:pStyle w:val="67"/>
      </w:pPr>
      <w:r>
        <w:rPr>
          <w:rFonts w:hint="eastAsia"/>
        </w:rPr>
        <w:t>14.1　　税务师事务所行政登记</w:t>
      </w:r>
    </w:p>
    <w:p>
      <w:pPr>
        <w:pStyle w:val="70"/>
      </w:pPr>
      <w:r>
        <w:rPr>
          <w:rFonts w:hint="eastAsia"/>
        </w:rPr>
        <w:t>14.1.1—193　　税务师事务所行政登记</w:t>
      </w:r>
    </w:p>
    <w:p>
      <w:pPr>
        <w:pStyle w:val="70"/>
      </w:pPr>
      <w:r>
        <w:rPr>
          <w:rFonts w:hint="eastAsia"/>
        </w:rPr>
        <w:t>14.1.2—194　　税务师事务所行政登记变更</w:t>
      </w:r>
    </w:p>
    <w:p>
      <w:pPr>
        <w:pStyle w:val="70"/>
      </w:pPr>
      <w:r>
        <w:rPr>
          <w:rFonts w:hint="eastAsia"/>
        </w:rPr>
        <w:t>14.1.3—195　　税务师事务所行政登记终止</w:t>
      </w:r>
    </w:p>
    <w:p>
      <w:pPr>
        <w:pStyle w:val="67"/>
      </w:pPr>
      <w:r>
        <w:rPr>
          <w:rFonts w:hint="eastAsia"/>
        </w:rPr>
        <w:t>14.2　　涉税专业服务机构基本信息和业务信息报送</w:t>
      </w:r>
    </w:p>
    <w:p>
      <w:pPr>
        <w:pStyle w:val="70"/>
      </w:pPr>
      <w:r>
        <w:rPr>
          <w:rFonts w:hint="eastAsia"/>
        </w:rPr>
        <w:t>14.2.1—196　　涉税专业服务机构（人员）基本信息报送</w:t>
      </w:r>
    </w:p>
    <w:p>
      <w:pPr>
        <w:pStyle w:val="70"/>
      </w:pPr>
      <w:r>
        <w:rPr>
          <w:rFonts w:hint="eastAsia"/>
        </w:rPr>
        <w:t>14.2.2—197　　涉税专业服务协议要素信息报送</w:t>
      </w:r>
    </w:p>
    <w:p>
      <w:pPr>
        <w:pStyle w:val="70"/>
      </w:pPr>
      <w:r>
        <w:rPr>
          <w:rFonts w:hint="eastAsia"/>
        </w:rPr>
        <w:t>14.2.3—198　　涉税专业服务年度报告报送</w:t>
      </w:r>
    </w:p>
    <w:p>
      <w:pPr>
        <w:pStyle w:val="70"/>
      </w:pPr>
      <w:r>
        <w:rPr>
          <w:rFonts w:hint="eastAsia"/>
        </w:rPr>
        <w:t>14.2.4—199　　涉税专业服务专项报告报送</w:t>
      </w:r>
    </w:p>
    <w:p>
      <w:pPr>
        <w:pStyle w:val="67"/>
      </w:pPr>
      <w:r>
        <w:rPr>
          <w:rFonts w:hint="eastAsia"/>
        </w:rPr>
        <w:t>14.3　　涉税专业服务信用评价</w:t>
      </w:r>
    </w:p>
    <w:p>
      <w:pPr>
        <w:pStyle w:val="70"/>
      </w:pPr>
      <w:r>
        <w:rPr>
          <w:rFonts w:hint="eastAsia"/>
        </w:rPr>
        <w:t>14.3.1—200　　涉税专业服务机构（人员）信用信息查询</w:t>
      </w:r>
    </w:p>
    <w:p>
      <w:pPr>
        <w:pStyle w:val="70"/>
      </w:pPr>
      <w:r>
        <w:rPr>
          <w:rFonts w:hint="eastAsia"/>
        </w:rPr>
        <w:t>14.3.2—201　　涉税专业服务机构（人员）信用复核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4C"/>
    <w:rsid w:val="00004EEB"/>
    <w:rsid w:val="00142D26"/>
    <w:rsid w:val="0029114C"/>
    <w:rsid w:val="00553662"/>
    <w:rsid w:val="00743B2B"/>
    <w:rsid w:val="009001BE"/>
    <w:rsid w:val="009452CB"/>
    <w:rsid w:val="00967D80"/>
    <w:rsid w:val="00A9381D"/>
    <w:rsid w:val="00BD22BA"/>
    <w:rsid w:val="00CA71BB"/>
    <w:rsid w:val="00CB386C"/>
    <w:rsid w:val="00D5190F"/>
    <w:rsid w:val="1430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unhideWhenUsed="0" w:uiPriority="9" w:semiHidden="0" w:name="heading 3"/>
    <w:lsdException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theme="minorBidi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ind w:firstLine="562" w:firstLineChars="200"/>
      <w:outlineLvl w:val="0"/>
    </w:pPr>
    <w:rPr>
      <w:rFonts w:hint="eastAsia" w:ascii="Times New Roman" w:eastAsia="宋体"/>
      <w:b/>
      <w:bCs/>
      <w:color w:val="auto"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9"/>
    <w:pPr>
      <w:keepNext/>
      <w:keepLines/>
      <w:topLinePunct/>
      <w:adjustRightInd w:val="0"/>
      <w:snapToGrid w:val="0"/>
      <w:spacing w:before="300" w:after="300" w:line="360" w:lineRule="auto"/>
      <w:ind w:firstLine="643" w:firstLineChars="200"/>
      <w:outlineLvl w:val="1"/>
    </w:pPr>
    <w:rPr>
      <w:rFonts w:hint="eastAsia" w:ascii="Arial" w:hAnsi="Arial" w:eastAsia="黑体" w:cs="Times New Roman"/>
      <w:b/>
      <w:bCs/>
      <w:color w:val="auto"/>
      <w:kern w:val="24"/>
    </w:rPr>
  </w:style>
  <w:style w:type="paragraph" w:styleId="4">
    <w:name w:val="heading 3"/>
    <w:next w:val="1"/>
    <w:link w:val="27"/>
    <w:uiPriority w:val="9"/>
    <w:pPr>
      <w:keepNext/>
      <w:widowControl w:val="0"/>
      <w:topLinePunct/>
      <w:adjustRightInd w:val="0"/>
      <w:snapToGrid w:val="0"/>
      <w:spacing w:beforeLines="125" w:afterLines="125" w:line="360" w:lineRule="auto"/>
      <w:ind w:firstLine="510" w:firstLineChars="200"/>
      <w:jc w:val="both"/>
      <w:outlineLvl w:val="2"/>
    </w:pPr>
    <w:rPr>
      <w:rFonts w:ascii="Times New Roman" w:hAnsi="Times New Roman" w:eastAsia="黑体" w:cs="Times New Roman"/>
      <w:b/>
      <w:bCs/>
      <w:color w:val="auto"/>
      <w:kern w:val="24"/>
      <w:sz w:val="28"/>
      <w:szCs w:val="28"/>
      <w:lang w:val="en-US" w:eastAsia="zh-CN" w:bidi="ar-SA"/>
    </w:rPr>
  </w:style>
  <w:style w:type="paragraph" w:styleId="5">
    <w:name w:val="heading 4"/>
    <w:basedOn w:val="1"/>
    <w:next w:val="1"/>
    <w:link w:val="28"/>
    <w:semiHidden/>
    <w:unhideWhenUsed/>
    <w:uiPriority w:val="0"/>
    <w:pPr>
      <w:keepNext/>
      <w:keepLines/>
      <w:widowControl/>
      <w:tabs>
        <w:tab w:val="left" w:pos="377"/>
      </w:tabs>
      <w:spacing w:before="280" w:after="290" w:line="360" w:lineRule="auto"/>
      <w:ind w:firstLine="562" w:firstLineChars="200"/>
      <w:jc w:val="left"/>
      <w:outlineLvl w:val="3"/>
    </w:pPr>
    <w:rPr>
      <w:rFonts w:hint="eastAsia" w:ascii="Cambria" w:hAnsi="Cambria" w:eastAsia="黑体" w:cs="Times New Roman"/>
      <w:bCs/>
      <w:color w:val="auto"/>
      <w:kern w:val="0"/>
      <w:sz w:val="24"/>
      <w:szCs w:val="28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30"/>
    <w:uiPriority w:val="0"/>
    <w:pPr>
      <w:spacing w:line="276" w:lineRule="auto"/>
      <w:ind w:firstLine="562" w:firstLineChars="200"/>
    </w:pPr>
    <w:rPr>
      <w:rFonts w:hint="eastAsia" w:ascii="宋体" w:eastAsia="宋体"/>
      <w:color w:val="auto"/>
      <w:sz w:val="18"/>
      <w:szCs w:val="18"/>
    </w:rPr>
  </w:style>
  <w:style w:type="paragraph" w:styleId="7">
    <w:name w:val="annotation text"/>
    <w:link w:val="31"/>
    <w:uiPriority w:val="0"/>
    <w:pPr>
      <w:widowControl w:val="0"/>
      <w:adjustRightInd w:val="0"/>
      <w:snapToGrid w:val="0"/>
      <w:spacing w:line="360" w:lineRule="auto"/>
      <w:ind w:firstLine="480" w:firstLineChars="200"/>
    </w:pPr>
    <w:rPr>
      <w:rFonts w:ascii="宋体" w:hAnsi="宋体" w:eastAsia="宋体" w:cs="Times New Roman"/>
      <w:color w:val="auto"/>
      <w:kern w:val="2"/>
      <w:sz w:val="24"/>
      <w:szCs w:val="24"/>
      <w:lang w:val="en-US" w:eastAsia="zh-CN" w:bidi="ar-SA"/>
    </w:rPr>
  </w:style>
  <w:style w:type="paragraph" w:styleId="8">
    <w:name w:val="Body Text"/>
    <w:basedOn w:val="1"/>
    <w:link w:val="32"/>
    <w:uiPriority w:val="0"/>
    <w:pPr>
      <w:spacing w:line="360" w:lineRule="auto"/>
      <w:ind w:firstLine="643" w:firstLineChars="200"/>
    </w:pPr>
    <w:rPr>
      <w:rFonts w:hint="eastAsia" w:ascii="Times New Roman" w:eastAsia="宋体"/>
      <w:color w:val="000000" w:themeColor="text1"/>
      <w:kern w:val="21"/>
      <w:sz w:val="24"/>
      <w:szCs w:val="24"/>
      <w14:textFill>
        <w14:solidFill>
          <w14:schemeClr w14:val="tx1"/>
        </w14:solidFill>
      </w14:textFill>
    </w:rPr>
  </w:style>
  <w:style w:type="paragraph" w:styleId="9">
    <w:name w:val="Body Text Indent"/>
    <w:basedOn w:val="1"/>
    <w:link w:val="33"/>
    <w:uiPriority w:val="0"/>
    <w:pPr>
      <w:widowControl/>
      <w:tabs>
        <w:tab w:val="left" w:pos="377"/>
      </w:tabs>
      <w:spacing w:after="120" w:line="300" w:lineRule="auto"/>
      <w:ind w:left="420" w:leftChars="200" w:firstLine="200" w:firstLineChars="200"/>
    </w:pPr>
    <w:rPr>
      <w:rFonts w:hint="eastAsia" w:ascii="Times New Roman" w:eastAsia="宋体"/>
      <w:color w:val="auto"/>
      <w:sz w:val="24"/>
      <w:szCs w:val="24"/>
    </w:rPr>
  </w:style>
  <w:style w:type="paragraph" w:styleId="10">
    <w:name w:val="toc 3"/>
    <w:basedOn w:val="1"/>
    <w:next w:val="1"/>
    <w:uiPriority w:val="39"/>
    <w:pPr>
      <w:spacing w:line="276" w:lineRule="auto"/>
      <w:ind w:left="840" w:leftChars="400" w:firstLine="562" w:firstLineChars="200"/>
    </w:pPr>
    <w:rPr>
      <w:rFonts w:hint="eastAsia" w:ascii="Times New Roman" w:eastAsia="宋体"/>
      <w:color w:val="auto"/>
      <w:sz w:val="24"/>
      <w:szCs w:val="24"/>
    </w:rPr>
  </w:style>
  <w:style w:type="paragraph" w:styleId="11">
    <w:name w:val="Balloon Text"/>
    <w:basedOn w:val="1"/>
    <w:link w:val="34"/>
    <w:uiPriority w:val="0"/>
    <w:pPr>
      <w:ind w:firstLine="562" w:firstLineChars="200"/>
    </w:pPr>
    <w:rPr>
      <w:rFonts w:hint="eastAsia" w:ascii="Times New Roman" w:eastAsia="宋体"/>
      <w:color w:val="auto"/>
      <w:sz w:val="18"/>
      <w:szCs w:val="18"/>
    </w:rPr>
  </w:style>
  <w:style w:type="paragraph" w:styleId="12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iPriority w:val="39"/>
    <w:pPr>
      <w:spacing w:line="276" w:lineRule="auto"/>
      <w:ind w:firstLine="562" w:firstLineChars="200"/>
    </w:pPr>
    <w:rPr>
      <w:rFonts w:hint="eastAsia" w:ascii="Times New Roman" w:eastAsia="宋体"/>
      <w:color w:val="auto"/>
      <w:sz w:val="24"/>
      <w:szCs w:val="24"/>
    </w:rPr>
  </w:style>
  <w:style w:type="paragraph" w:styleId="15">
    <w:name w:val="toc 2"/>
    <w:basedOn w:val="1"/>
    <w:next w:val="1"/>
    <w:uiPriority w:val="39"/>
    <w:pPr>
      <w:spacing w:line="276" w:lineRule="auto"/>
      <w:ind w:left="420" w:leftChars="200" w:firstLine="562" w:firstLineChars="200"/>
    </w:pPr>
    <w:rPr>
      <w:rFonts w:hint="eastAsia" w:ascii="Times New Roman" w:eastAsia="宋体"/>
      <w:color w:val="auto"/>
      <w:sz w:val="24"/>
      <w:szCs w:val="24"/>
    </w:rPr>
  </w:style>
  <w:style w:type="paragraph" w:styleId="16">
    <w:name w:val="Normal (Web)"/>
    <w:unhideWhenUsed/>
    <w:uiPriority w:val="99"/>
    <w:pPr>
      <w:widowControl w:val="0"/>
      <w:wordWrap w:val="0"/>
      <w:spacing w:beforeLines="100" w:afterLines="100" w:line="360" w:lineRule="auto"/>
      <w:ind w:firstLine="480" w:firstLineChars="200"/>
    </w:pPr>
    <w:rPr>
      <w:rFonts w:ascii="宋体" w:hAnsi="宋体" w:eastAsia="宋体" w:cs="宋体"/>
      <w:color w:val="auto"/>
      <w:kern w:val="0"/>
      <w:sz w:val="24"/>
      <w:szCs w:val="24"/>
      <w:lang w:val="en-US" w:eastAsia="zh-CN" w:bidi="ar-SA"/>
    </w:rPr>
  </w:style>
  <w:style w:type="paragraph" w:styleId="17">
    <w:name w:val="annotation subject"/>
    <w:basedOn w:val="7"/>
    <w:next w:val="7"/>
    <w:link w:val="35"/>
    <w:uiPriority w:val="0"/>
    <w:pPr>
      <w:adjustRightInd/>
      <w:snapToGrid/>
      <w:spacing w:line="276" w:lineRule="auto"/>
      <w:ind w:firstLine="562"/>
    </w:pPr>
    <w:rPr>
      <w:rFonts w:hint="eastAsia" w:ascii="Times New Roman" w:hAnsi="Times New Roman" w:cstheme="minorBidi"/>
      <w:b/>
      <w:bCs/>
    </w:rPr>
  </w:style>
  <w:style w:type="table" w:styleId="19">
    <w:name w:val="Table Grid"/>
    <w:qFormat/>
    <w:uiPriority w:val="39"/>
    <w:rPr>
      <w:rFonts w:ascii="等线" w:hAnsi="等线" w:eastAsia="等线" w:cs="Times New Roman"/>
      <w:color w:val="auto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20"/>
    <w:uiPriority w:val="0"/>
    <w:rPr>
      <w:sz w:val="21"/>
      <w:szCs w:val="21"/>
    </w:rPr>
  </w:style>
  <w:style w:type="character" w:customStyle="1" w:styleId="23">
    <w:name w:val="页眉 字符"/>
    <w:basedOn w:val="20"/>
    <w:link w:val="13"/>
    <w:uiPriority w:val="99"/>
    <w:rPr>
      <w:sz w:val="18"/>
      <w:szCs w:val="18"/>
    </w:rPr>
  </w:style>
  <w:style w:type="character" w:customStyle="1" w:styleId="24">
    <w:name w:val="页脚 字符"/>
    <w:basedOn w:val="20"/>
    <w:link w:val="12"/>
    <w:uiPriority w:val="99"/>
    <w:rPr>
      <w:sz w:val="18"/>
      <w:szCs w:val="18"/>
    </w:rPr>
  </w:style>
  <w:style w:type="character" w:customStyle="1" w:styleId="25">
    <w:name w:val="标题 1 字符"/>
    <w:basedOn w:val="20"/>
    <w:link w:val="2"/>
    <w:uiPriority w:val="0"/>
    <w:rPr>
      <w:rFonts w:ascii="Times New Roman" w:eastAsia="宋体"/>
      <w:b/>
      <w:bCs/>
      <w:color w:val="auto"/>
      <w:kern w:val="44"/>
      <w:sz w:val="44"/>
      <w:szCs w:val="44"/>
    </w:rPr>
  </w:style>
  <w:style w:type="character" w:customStyle="1" w:styleId="26">
    <w:name w:val="标题 2 字符"/>
    <w:basedOn w:val="20"/>
    <w:link w:val="3"/>
    <w:uiPriority w:val="9"/>
    <w:rPr>
      <w:rFonts w:ascii="Arial" w:hAnsi="Arial" w:eastAsia="黑体" w:cs="Times New Roman"/>
      <w:b/>
      <w:bCs/>
      <w:color w:val="auto"/>
      <w:kern w:val="24"/>
    </w:rPr>
  </w:style>
  <w:style w:type="character" w:customStyle="1" w:styleId="27">
    <w:name w:val="标题 3 字符"/>
    <w:basedOn w:val="20"/>
    <w:link w:val="4"/>
    <w:uiPriority w:val="9"/>
    <w:rPr>
      <w:rFonts w:ascii="Times New Roman" w:eastAsia="黑体" w:cs="Times New Roman"/>
      <w:b/>
      <w:bCs/>
      <w:color w:val="auto"/>
      <w:kern w:val="24"/>
      <w:sz w:val="28"/>
      <w:szCs w:val="28"/>
    </w:rPr>
  </w:style>
  <w:style w:type="character" w:customStyle="1" w:styleId="28">
    <w:name w:val="标题 4 字符"/>
    <w:basedOn w:val="20"/>
    <w:link w:val="5"/>
    <w:semiHidden/>
    <w:qFormat/>
    <w:uiPriority w:val="0"/>
    <w:rPr>
      <w:rFonts w:ascii="Cambria" w:hAnsi="Cambria" w:eastAsia="黑体" w:cs="Times New Roman"/>
      <w:bCs/>
      <w:color w:val="auto"/>
      <w:kern w:val="0"/>
      <w:sz w:val="24"/>
      <w:szCs w:val="28"/>
    </w:rPr>
  </w:style>
  <w:style w:type="paragraph" w:customStyle="1" w:styleId="29">
    <w:name w:val="TOC Heading"/>
    <w:basedOn w:val="2"/>
    <w:next w:val="1"/>
    <w:unhideWhenUsed/>
    <w:uiPriority w:val="39"/>
    <w:pPr>
      <w:widowControl/>
      <w:spacing w:before="240" w:after="0" w:line="259" w:lineRule="auto"/>
      <w:ind w:firstLine="0" w:firstLineChars="0"/>
      <w:jc w:val="left"/>
      <w:outlineLvl w:val="9"/>
    </w:pPr>
    <w:rPr>
      <w:rFonts w:hint="default"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30">
    <w:name w:val="文档结构图 字符"/>
    <w:basedOn w:val="20"/>
    <w:link w:val="6"/>
    <w:qFormat/>
    <w:uiPriority w:val="0"/>
    <w:rPr>
      <w:rFonts w:ascii="宋体" w:eastAsia="宋体"/>
      <w:color w:val="auto"/>
      <w:sz w:val="18"/>
      <w:szCs w:val="18"/>
    </w:rPr>
  </w:style>
  <w:style w:type="character" w:customStyle="1" w:styleId="31">
    <w:name w:val="批注文字 字符"/>
    <w:basedOn w:val="20"/>
    <w:link w:val="7"/>
    <w:qFormat/>
    <w:uiPriority w:val="0"/>
    <w:rPr>
      <w:rFonts w:ascii="宋体" w:hAnsi="宋体" w:eastAsia="宋体" w:cs="Times New Roman"/>
      <w:color w:val="auto"/>
      <w:sz w:val="24"/>
      <w:szCs w:val="24"/>
    </w:rPr>
  </w:style>
  <w:style w:type="character" w:customStyle="1" w:styleId="32">
    <w:name w:val="正文文本 字符"/>
    <w:basedOn w:val="20"/>
    <w:link w:val="8"/>
    <w:uiPriority w:val="0"/>
    <w:rPr>
      <w:rFonts w:ascii="Times New Roman" w:eastAsia="宋体"/>
      <w:color w:val="000000" w:themeColor="text1"/>
      <w:kern w:val="21"/>
      <w:sz w:val="24"/>
      <w:szCs w:val="24"/>
      <w14:textFill>
        <w14:solidFill>
          <w14:schemeClr w14:val="tx1"/>
        </w14:solidFill>
      </w14:textFill>
    </w:rPr>
  </w:style>
  <w:style w:type="character" w:customStyle="1" w:styleId="33">
    <w:name w:val="正文文本缩进 字符"/>
    <w:basedOn w:val="20"/>
    <w:link w:val="9"/>
    <w:qFormat/>
    <w:uiPriority w:val="0"/>
    <w:rPr>
      <w:rFonts w:ascii="Times New Roman" w:eastAsia="宋体"/>
      <w:color w:val="auto"/>
      <w:sz w:val="24"/>
      <w:szCs w:val="24"/>
    </w:rPr>
  </w:style>
  <w:style w:type="character" w:customStyle="1" w:styleId="34">
    <w:name w:val="批注框文本 字符"/>
    <w:basedOn w:val="20"/>
    <w:link w:val="11"/>
    <w:qFormat/>
    <w:uiPriority w:val="0"/>
    <w:rPr>
      <w:rFonts w:ascii="Times New Roman" w:eastAsia="宋体"/>
      <w:color w:val="auto"/>
      <w:sz w:val="18"/>
      <w:szCs w:val="18"/>
    </w:rPr>
  </w:style>
  <w:style w:type="character" w:customStyle="1" w:styleId="35">
    <w:name w:val="批注主题 字符"/>
    <w:basedOn w:val="31"/>
    <w:link w:val="17"/>
    <w:qFormat/>
    <w:uiPriority w:val="0"/>
    <w:rPr>
      <w:rFonts w:ascii="Times New Roman" w:hAnsi="宋体" w:eastAsia="宋体" w:cs="Times New Roman"/>
      <w:b/>
      <w:bCs/>
      <w:color w:val="auto"/>
      <w:sz w:val="24"/>
      <w:szCs w:val="24"/>
    </w:rPr>
  </w:style>
  <w:style w:type="paragraph" w:customStyle="1" w:styleId="36">
    <w:name w:val="英文摘要"/>
    <w:basedOn w:val="1"/>
    <w:uiPriority w:val="0"/>
    <w:pPr>
      <w:spacing w:line="276" w:lineRule="auto"/>
      <w:ind w:firstLine="562" w:firstLineChars="200"/>
    </w:pPr>
    <w:rPr>
      <w:rFonts w:hint="eastAsia" w:ascii="Times New Roman" w:eastAsia="宋体"/>
      <w:color w:val="auto"/>
      <w:sz w:val="24"/>
      <w:szCs w:val="24"/>
    </w:rPr>
  </w:style>
  <w:style w:type="paragraph" w:customStyle="1" w:styleId="37">
    <w:name w:val="参考文献正文"/>
    <w:basedOn w:val="1"/>
    <w:uiPriority w:val="0"/>
    <w:pPr>
      <w:spacing w:line="276" w:lineRule="auto"/>
    </w:pPr>
    <w:rPr>
      <w:rFonts w:hint="eastAsia" w:ascii="Times New Roman" w:eastAsia="宋体" w:cs="宋体"/>
      <w:color w:val="auto"/>
      <w:sz w:val="24"/>
      <w:szCs w:val="24"/>
    </w:rPr>
  </w:style>
  <w:style w:type="paragraph" w:customStyle="1" w:styleId="38">
    <w:name w:val="事项名称"/>
    <w:basedOn w:val="1"/>
    <w:next w:val="1"/>
    <w:uiPriority w:val="0"/>
    <w:pPr>
      <w:spacing w:line="276" w:lineRule="auto"/>
      <w:ind w:firstLine="562" w:firstLineChars="200"/>
    </w:pPr>
    <w:rPr>
      <w:rFonts w:hint="eastAsia" w:ascii="Times New Roman" w:eastAsia="宋体"/>
      <w:b/>
      <w:bCs/>
      <w:color w:val="auto"/>
      <w:sz w:val="24"/>
      <w:szCs w:val="24"/>
    </w:rPr>
  </w:style>
  <w:style w:type="paragraph" w:customStyle="1" w:styleId="39">
    <w:name w:val="样式1【标准】"/>
    <w:uiPriority w:val="0"/>
    <w:pPr>
      <w:keepNext/>
      <w:keepLines/>
      <w:widowControl w:val="0"/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 w:firstLineChars="200"/>
      <w:jc w:val="center"/>
      <w:outlineLvl w:val="0"/>
    </w:pPr>
    <w:rPr>
      <w:rFonts w:ascii="Times New Roman" w:hAnsi="Times New Roman" w:eastAsia="黑体" w:cs="Times New Roman"/>
      <w:b/>
      <w:color w:val="auto"/>
      <w:kern w:val="24"/>
      <w:sz w:val="36"/>
      <w:szCs w:val="36"/>
      <w:lang w:val="en-US" w:eastAsia="zh-CN" w:bidi="ar-SA"/>
    </w:rPr>
  </w:style>
  <w:style w:type="paragraph" w:customStyle="1" w:styleId="40">
    <w:name w:val="二级标题"/>
    <w:uiPriority w:val="0"/>
    <w:pPr>
      <w:widowControl w:val="0"/>
      <w:spacing w:beforeLines="300" w:afterLines="150" w:line="360" w:lineRule="auto"/>
      <w:ind w:firstLine="643" w:firstLineChars="200"/>
      <w:jc w:val="both"/>
      <w:outlineLvl w:val="1"/>
    </w:pPr>
    <w:rPr>
      <w:rFonts w:ascii="Times New Roman" w:hAnsi="Times New Roman" w:eastAsia="黑体" w:cs="Times New Roman"/>
      <w:b/>
      <w:bCs/>
      <w:color w:val="auto"/>
      <w:kern w:val="2"/>
      <w:sz w:val="32"/>
      <w:szCs w:val="32"/>
      <w:lang w:val="en-US" w:eastAsia="zh-CN" w:bidi="ar-SA"/>
    </w:rPr>
  </w:style>
  <w:style w:type="paragraph" w:customStyle="1" w:styleId="41">
    <w:name w:val="3 sunshine"/>
    <w:uiPriority w:val="0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color w:val="auto"/>
      <w:kern w:val="24"/>
      <w:sz w:val="28"/>
      <w:szCs w:val="28"/>
      <w:lang w:val="en-US" w:eastAsia="zh-CN" w:bidi="ar-SA"/>
    </w:rPr>
  </w:style>
  <w:style w:type="paragraph" w:customStyle="1" w:styleId="42">
    <w:name w:val="【事项名称】"/>
    <w:qFormat/>
    <w:uiPriority w:val="0"/>
    <w:pPr>
      <w:widowControl w:val="0"/>
      <w:adjustRightInd w:val="0"/>
      <w:snapToGrid w:val="0"/>
      <w:spacing w:line="360" w:lineRule="auto"/>
      <w:ind w:firstLine="480" w:firstLineChars="200"/>
      <w:jc w:val="both"/>
    </w:pPr>
    <w:rPr>
      <w:rFonts w:ascii="黑体" w:hAnsi="黑体" w:eastAsia="黑体" w:cs="Times New Roman"/>
      <w:bCs/>
      <w:color w:val="auto"/>
      <w:kern w:val="2"/>
      <w:sz w:val="24"/>
      <w:szCs w:val="24"/>
      <w:lang w:val="en-US" w:eastAsia="zh-CN" w:bidi="ar-SA"/>
    </w:rPr>
  </w:style>
  <w:style w:type="paragraph" w:customStyle="1" w:styleId="43">
    <w:name w:val="材料 表头"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color w:val="auto"/>
      <w:kern w:val="2"/>
      <w:sz w:val="21"/>
      <w:szCs w:val="21"/>
      <w:lang w:val="zh-CN" w:eastAsia="zh-CN" w:bidi="ar-SA"/>
    </w:rPr>
  </w:style>
  <w:style w:type="paragraph" w:customStyle="1" w:styleId="44">
    <w:name w:val="政策 表头"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color w:val="auto"/>
      <w:kern w:val="2"/>
      <w:sz w:val="21"/>
      <w:szCs w:val="21"/>
      <w:lang w:val="zh-CN" w:eastAsia="zh-CN" w:bidi="ar-SA"/>
    </w:rPr>
  </w:style>
  <w:style w:type="paragraph" w:customStyle="1" w:styleId="45">
    <w:name w:val="材料 文本"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color w:val="auto"/>
      <w:kern w:val="2"/>
      <w:sz w:val="18"/>
      <w:szCs w:val="18"/>
      <w:lang w:val="en-US" w:eastAsia="zh-CN" w:bidi="ar-SA"/>
    </w:rPr>
  </w:style>
  <w:style w:type="paragraph" w:customStyle="1" w:styleId="46">
    <w:name w:val="3.1.1 增值税一般纳税人申报"/>
    <w:qFormat/>
    <w:uiPriority w:val="0"/>
    <w:pPr>
      <w:keepNext/>
      <w:widowControl w:val="0"/>
      <w:topLinePunct/>
      <w:adjustRightInd w:val="0"/>
      <w:snapToGrid w:val="0"/>
      <w:spacing w:beforeLines="150" w:afterLines="15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color w:val="auto"/>
      <w:kern w:val="24"/>
      <w:sz w:val="28"/>
      <w:szCs w:val="28"/>
      <w:lang w:val="en-US" w:eastAsia="zh-CN" w:bidi="ar-SA"/>
    </w:rPr>
  </w:style>
  <w:style w:type="paragraph" w:customStyle="1" w:styleId="47">
    <w:name w:val="目录3"/>
    <w:unhideWhenUsed/>
    <w:qFormat/>
    <w:uiPriority w:val="0"/>
    <w:pPr>
      <w:widowControl w:val="0"/>
      <w:tabs>
        <w:tab w:val="right" w:leader="dot" w:pos="8278"/>
      </w:tabs>
      <w:adjustRightInd w:val="0"/>
      <w:snapToGrid w:val="0"/>
      <w:spacing w:line="360" w:lineRule="auto"/>
      <w:ind w:left="964" w:firstLine="200" w:firstLineChars="200"/>
      <w:jc w:val="both"/>
    </w:pPr>
    <w:rPr>
      <w:rFonts w:ascii="宋体" w:hAnsi="宋体" w:eastAsia="黑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48">
    <w:name w:val="中间 式样"/>
    <w:uiPriority w:val="0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color w:val="auto"/>
      <w:kern w:val="24"/>
      <w:sz w:val="28"/>
      <w:szCs w:val="28"/>
      <w:lang w:val="en-US" w:eastAsia="zh-CN" w:bidi="ar-SA"/>
    </w:rPr>
  </w:style>
  <w:style w:type="paragraph" w:customStyle="1" w:styleId="4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50">
    <w:name w:val="正文部分 字符"/>
    <w:link w:val="51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51">
    <w:name w:val="正文部分"/>
    <w:link w:val="50"/>
    <w:qFormat/>
    <w:uiPriority w:val="0"/>
    <w:pPr>
      <w:widowControl w:val="0"/>
      <w:adjustRightInd w:val="0"/>
      <w:snapToGrid w:val="0"/>
      <w:spacing w:line="360" w:lineRule="auto"/>
      <w:ind w:firstLine="480" w:firstLineChars="200"/>
      <w:jc w:val="both"/>
    </w:pPr>
    <w:rPr>
      <w:rFonts w:ascii="宋体" w:hAnsi="宋体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52">
    <w:name w:val="正文正文"/>
    <w:qFormat/>
    <w:uiPriority w:val="0"/>
    <w:pPr>
      <w:widowControl w:val="0"/>
      <w:adjustRightInd w:val="0"/>
      <w:snapToGrid w:val="0"/>
      <w:spacing w:line="360" w:lineRule="auto"/>
      <w:ind w:firstLine="480" w:firstLineChars="200"/>
      <w:jc w:val="both"/>
    </w:pPr>
    <w:rPr>
      <w:rFonts w:ascii="宋体" w:hAnsi="宋体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53">
    <w:name w:val="WPSOffice手动目录 1"/>
    <w:qFormat/>
    <w:uiPriority w:val="0"/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ar-SA"/>
    </w:rPr>
  </w:style>
  <w:style w:type="paragraph" w:customStyle="1" w:styleId="5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ar-SA"/>
    </w:rPr>
  </w:style>
  <w:style w:type="paragraph" w:customStyle="1" w:styleId="55">
    <w:name w:val="WPSOffice手动目录 3"/>
    <w:uiPriority w:val="0"/>
    <w:pPr>
      <w:ind w:left="400" w:leftChars="400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ar-SA"/>
    </w:rPr>
  </w:style>
  <w:style w:type="paragraph" w:customStyle="1" w:styleId="56">
    <w:name w:val="目录2"/>
    <w:uiPriority w:val="0"/>
    <w:pPr>
      <w:widowControl w:val="0"/>
      <w:tabs>
        <w:tab w:val="right" w:leader="dot" w:pos="8278"/>
      </w:tabs>
      <w:ind w:firstLine="397"/>
      <w:jc w:val="both"/>
    </w:pPr>
    <w:rPr>
      <w:rFonts w:ascii="Arial" w:hAnsi="Arial" w:eastAsia="黑体" w:cs="Times New Roman"/>
      <w:color w:val="auto"/>
      <w:kern w:val="2"/>
      <w:sz w:val="21"/>
      <w:szCs w:val="22"/>
      <w:lang w:val="en-US" w:eastAsia="zh-CN" w:bidi="ar-SA"/>
    </w:rPr>
  </w:style>
  <w:style w:type="paragraph" w:customStyle="1" w:styleId="57">
    <w:name w:val="政策 文本"/>
    <w:uiPriority w:val="0"/>
    <w:pPr>
      <w:widowControl w:val="0"/>
      <w:adjustRightInd w:val="0"/>
      <w:snapToGrid w:val="0"/>
      <w:spacing w:line="312" w:lineRule="auto"/>
      <w:jc w:val="center"/>
    </w:pPr>
    <w:rPr>
      <w:rFonts w:ascii="宋体" w:hAnsi="宋体" w:eastAsia="宋体" w:cs="Times New Roman"/>
      <w:color w:val="auto"/>
      <w:kern w:val="2"/>
      <w:sz w:val="21"/>
      <w:szCs w:val="21"/>
      <w:lang w:val="en-US" w:eastAsia="zh-CN" w:bidi="ar-SA"/>
    </w:rPr>
  </w:style>
  <w:style w:type="table" w:customStyle="1" w:styleId="58">
    <w:name w:val="网格型1"/>
    <w:qFormat/>
    <w:uiPriority w:val="39"/>
    <w:rPr>
      <w:rFonts w:ascii="等线" w:hAnsi="等线" w:eastAsia="等线" w:cs="Times New Roman"/>
      <w:color w:val="auto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9">
    <w:name w:val="这是正文"/>
    <w:basedOn w:val="1"/>
    <w:uiPriority w:val="0"/>
    <w:pPr>
      <w:spacing w:line="276" w:lineRule="auto"/>
      <w:ind w:firstLine="562" w:firstLineChars="200"/>
    </w:pPr>
    <w:rPr>
      <w:rFonts w:hint="eastAsia" w:ascii="Times New Roman" w:eastAsia="宋体"/>
      <w:color w:val="auto"/>
      <w:sz w:val="24"/>
      <w:szCs w:val="24"/>
    </w:rPr>
  </w:style>
  <w:style w:type="paragraph" w:customStyle="1" w:styleId="60">
    <w:name w:val="Table Paragraph"/>
    <w:basedOn w:val="1"/>
    <w:uiPriority w:val="1"/>
    <w:pPr>
      <w:spacing w:line="276" w:lineRule="auto"/>
      <w:ind w:firstLine="562" w:firstLineChars="200"/>
    </w:pPr>
    <w:rPr>
      <w:rFonts w:hint="eastAsia" w:ascii="宋体" w:hAnsi="宋体" w:eastAsia="宋体" w:cs="宋体"/>
      <w:color w:val="auto"/>
      <w:sz w:val="24"/>
      <w:szCs w:val="24"/>
      <w:lang w:val="zh-CN" w:bidi="zh-CN"/>
    </w:rPr>
  </w:style>
  <w:style w:type="paragraph" w:styleId="61">
    <w:name w:val="List Paragraph"/>
    <w:basedOn w:val="1"/>
    <w:uiPriority w:val="1"/>
    <w:pPr>
      <w:spacing w:before="22" w:line="276" w:lineRule="auto"/>
      <w:ind w:left="952" w:hanging="421" w:firstLineChars="200"/>
    </w:pPr>
    <w:rPr>
      <w:rFonts w:hint="eastAsia" w:ascii="宋体" w:hAnsi="宋体" w:eastAsia="宋体" w:cs="宋体"/>
      <w:color w:val="auto"/>
      <w:sz w:val="24"/>
      <w:szCs w:val="24"/>
      <w:lang w:val="zh-CN" w:bidi="zh-CN"/>
    </w:rPr>
  </w:style>
  <w:style w:type="paragraph" w:customStyle="1" w:styleId="62">
    <w:name w:val="正文1"/>
    <w:uiPriority w:val="0"/>
    <w:pPr>
      <w:widowControl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63">
    <w:name w:val="【事项描】"/>
    <w:basedOn w:val="1"/>
    <w:uiPriority w:val="0"/>
    <w:pPr>
      <w:adjustRightInd w:val="0"/>
      <w:snapToGrid w:val="0"/>
      <w:spacing w:line="360" w:lineRule="auto"/>
      <w:ind w:firstLine="482" w:firstLineChars="200"/>
    </w:pPr>
    <w:rPr>
      <w:rFonts w:ascii="宋体" w:hAnsi="宋体" w:eastAsiaTheme="minorEastAsia"/>
      <w:b/>
      <w:color w:val="auto"/>
      <w:sz w:val="24"/>
      <w:szCs w:val="24"/>
    </w:rPr>
  </w:style>
  <w:style w:type="character" w:customStyle="1" w:styleId="64">
    <w:name w:val="hao11"/>
    <w:basedOn w:val="20"/>
    <w:uiPriority w:val="0"/>
    <w:rPr>
      <w:color w:val="DF0000"/>
      <w:sz w:val="21"/>
      <w:szCs w:val="21"/>
    </w:rPr>
  </w:style>
  <w:style w:type="character" w:customStyle="1" w:styleId="65">
    <w:name w:val="dhgao2"/>
    <w:basedOn w:val="20"/>
    <w:uiPriority w:val="0"/>
  </w:style>
  <w:style w:type="paragraph" w:styleId="66">
    <w:name w:val="No Spacing"/>
    <w:uiPriority w:val="1"/>
    <w:pPr>
      <w:widowControl w:val="0"/>
      <w:jc w:val="both"/>
    </w:pPr>
    <w:rPr>
      <w:rFonts w:ascii="仿宋_GB2312" w:hAnsi="Times New Roman" w:eastAsia="仿宋_GB2312" w:cstheme="minorBidi"/>
      <w:color w:val="000000"/>
      <w:kern w:val="2"/>
      <w:sz w:val="32"/>
      <w:szCs w:val="32"/>
      <w:lang w:val="en-US" w:eastAsia="zh-CN" w:bidi="ar-SA"/>
    </w:rPr>
  </w:style>
  <w:style w:type="paragraph" w:customStyle="1" w:styleId="67">
    <w:name w:val="1.1"/>
    <w:basedOn w:val="1"/>
    <w:link w:val="69"/>
    <w:qFormat/>
    <w:uiPriority w:val="0"/>
    <w:pPr>
      <w:ind w:firstLine="753" w:firstLineChars="250"/>
      <w:outlineLvl w:val="1"/>
    </w:pPr>
    <w:rPr>
      <w:rFonts w:ascii="楷体_GB2312" w:eastAsia="楷体_GB2312"/>
      <w:b/>
      <w:bCs/>
      <w:sz w:val="30"/>
      <w:szCs w:val="30"/>
      <w:lang w:val="zh-CN"/>
    </w:rPr>
  </w:style>
  <w:style w:type="paragraph" w:customStyle="1" w:styleId="68">
    <w:name w:val="1"/>
    <w:basedOn w:val="1"/>
    <w:link w:val="71"/>
    <w:qFormat/>
    <w:uiPriority w:val="0"/>
    <w:pPr>
      <w:ind w:firstLine="450" w:firstLineChars="150"/>
      <w:outlineLvl w:val="0"/>
    </w:pPr>
    <w:rPr>
      <w:rFonts w:ascii="黑体" w:hAnsi="黑体" w:eastAsia="黑体"/>
      <w:sz w:val="30"/>
      <w:szCs w:val="30"/>
      <w:lang w:val="zh-CN"/>
    </w:rPr>
  </w:style>
  <w:style w:type="character" w:customStyle="1" w:styleId="69">
    <w:name w:val="1.1 字符"/>
    <w:basedOn w:val="20"/>
    <w:link w:val="67"/>
    <w:uiPriority w:val="0"/>
    <w:rPr>
      <w:rFonts w:ascii="楷体_GB2312" w:eastAsia="楷体_GB2312"/>
      <w:b/>
      <w:bCs/>
      <w:sz w:val="30"/>
      <w:szCs w:val="30"/>
      <w:lang w:val="zh-CN"/>
    </w:rPr>
  </w:style>
  <w:style w:type="paragraph" w:customStyle="1" w:styleId="70">
    <w:name w:val="1.1.1"/>
    <w:basedOn w:val="1"/>
    <w:link w:val="72"/>
    <w:qFormat/>
    <w:uiPriority w:val="0"/>
    <w:pPr>
      <w:ind w:firstLine="1120" w:firstLineChars="400"/>
      <w:outlineLvl w:val="2"/>
    </w:pPr>
    <w:rPr>
      <w:rFonts w:ascii="楷体_GB2312" w:eastAsia="楷体_GB2312"/>
      <w:sz w:val="28"/>
      <w:szCs w:val="28"/>
      <w:lang w:val="zh-CN"/>
    </w:rPr>
  </w:style>
  <w:style w:type="character" w:customStyle="1" w:styleId="71">
    <w:name w:val="1 字符"/>
    <w:basedOn w:val="20"/>
    <w:link w:val="68"/>
    <w:uiPriority w:val="0"/>
    <w:rPr>
      <w:rFonts w:ascii="黑体" w:hAnsi="黑体" w:eastAsia="黑体"/>
      <w:sz w:val="30"/>
      <w:szCs w:val="30"/>
      <w:lang w:val="zh-CN"/>
    </w:rPr>
  </w:style>
  <w:style w:type="character" w:customStyle="1" w:styleId="72">
    <w:name w:val="1.1.1 字符"/>
    <w:basedOn w:val="20"/>
    <w:link w:val="70"/>
    <w:uiPriority w:val="0"/>
    <w:rPr>
      <w:rFonts w:ascii="楷体_GB2312" w:eastAsia="楷体_GB2312"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871</Words>
  <Characters>4968</Characters>
  <Lines>41</Lines>
  <Paragraphs>11</Paragraphs>
  <TotalTime>18</TotalTime>
  <ScaleCrop>false</ScaleCrop>
  <LinksUpToDate>false</LinksUpToDate>
  <CharactersWithSpaces>5828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2019-08-31T11:49:00Z</dcterms:created>
  <dc:creator>周周</dc:creator>
  <cp:lastModifiedBy>微波凌步(邓小波)</cp:lastModifiedBy>
  <dcterms:modified xsi:type="dcterms:W3CDTF">2021-03-06T15:30:06Z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57A656E88DC14B3C89107991754EB975</vt:lpwstr>
  </property>
</Properties>
</file>