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A94" w:rsidRDefault="00FE78A5">
      <w:pPr>
        <w:wordWrap w:val="0"/>
        <w:spacing w:after="260"/>
        <w:ind w:firstLineChars="0" w:firstLine="0"/>
        <w:outlineLvl w:val="0"/>
        <w:rPr>
          <w:rFonts w:ascii="黑体" w:eastAsia="黑体" w:hAnsi="Arial" w:cs="Times New Roman" w:hint="default"/>
          <w:bCs/>
          <w:color w:val="000000" w:themeColor="text1"/>
          <w:kern w:val="24"/>
          <w:sz w:val="32"/>
          <w:szCs w:val="32"/>
        </w:rPr>
      </w:pPr>
      <w:r>
        <w:rPr>
          <w:rFonts w:ascii="黑体" w:eastAsia="黑体" w:hAnsi="Arial" w:cs="黑体"/>
          <w:bCs/>
          <w:color w:val="000000" w:themeColor="text1"/>
          <w:kern w:val="24"/>
          <w:sz w:val="32"/>
          <w:szCs w:val="32"/>
        </w:rPr>
        <w:t>附录一</w:t>
      </w:r>
    </w:p>
    <w:p w:rsidR="00B10A94" w:rsidRDefault="00FE78A5">
      <w:pPr>
        <w:wordWrap w:val="0"/>
        <w:spacing w:afterLines="100" w:after="317" w:line="360" w:lineRule="auto"/>
        <w:ind w:firstLineChars="0" w:firstLine="0"/>
        <w:jc w:val="center"/>
        <w:rPr>
          <w:rFonts w:ascii="楷体_GB2312" w:eastAsia="楷体_GB2312" w:hAnsi="楷体_GB2312" w:cs="楷体_GB2312" w:hint="default"/>
          <w:color w:val="000000" w:themeColor="text1"/>
          <w:kern w:val="24"/>
        </w:rPr>
      </w:pPr>
      <w:bookmarkStart w:id="0" w:name="_Toc31557"/>
      <w:bookmarkStart w:id="1" w:name="_Toc7336"/>
      <w:bookmarkStart w:id="2" w:name="_Toc4905"/>
      <w:bookmarkStart w:id="3" w:name="_Toc5483"/>
      <w:bookmarkStart w:id="4" w:name="_Toc12890"/>
      <w:bookmarkStart w:id="5" w:name="_Toc9586"/>
      <w:bookmarkStart w:id="6" w:name="_Toc27555"/>
      <w:bookmarkStart w:id="7" w:name="_Toc18106"/>
      <w:bookmarkStart w:id="8" w:name="_Toc5034"/>
      <w:bookmarkStart w:id="9" w:name="_Toc15286"/>
      <w:r>
        <w:rPr>
          <w:rFonts w:ascii="黑体" w:eastAsia="黑体" w:hAnsi="黑体" w:cs="黑体"/>
          <w:b/>
          <w:bCs/>
          <w:color w:val="000000" w:themeColor="text1"/>
          <w:kern w:val="24"/>
          <w:sz w:val="32"/>
          <w:szCs w:val="32"/>
        </w:rPr>
        <w:t>纳税服务术语解释</w:t>
      </w:r>
      <w:bookmarkEnd w:id="0"/>
      <w:bookmarkEnd w:id="1"/>
      <w:bookmarkEnd w:id="2"/>
      <w:bookmarkEnd w:id="3"/>
      <w:bookmarkEnd w:id="4"/>
      <w:bookmarkEnd w:id="5"/>
      <w:bookmarkEnd w:id="6"/>
      <w:bookmarkEnd w:id="7"/>
      <w:bookmarkEnd w:id="8"/>
      <w:bookmarkEnd w:id="9"/>
    </w:p>
    <w:p w:rsidR="00B10A94" w:rsidRDefault="00FE78A5">
      <w:pPr>
        <w:wordWrap w:val="0"/>
        <w:spacing w:line="360" w:lineRule="auto"/>
        <w:ind w:firstLineChars="0" w:firstLine="510"/>
        <w:rPr>
          <w:rFonts w:cs="Times New Roman" w:hint="default"/>
          <w:color w:val="000000" w:themeColor="text1"/>
          <w:kern w:val="24"/>
        </w:rPr>
      </w:pPr>
      <w:r>
        <w:rPr>
          <w:rFonts w:ascii="楷体_GB2312" w:eastAsia="楷体_GB2312" w:hAnsi="楷体_GB2312" w:cs="楷体_GB2312"/>
          <w:color w:val="000000" w:themeColor="text1"/>
          <w:kern w:val="24"/>
        </w:rPr>
        <w:t>基本规范</w:t>
      </w:r>
      <w:r>
        <w:rPr>
          <w:rFonts w:eastAsia="楷体_GB2312" w:cs="楷体_GB2312"/>
          <w:color w:val="000000" w:themeColor="text1"/>
          <w:kern w:val="24"/>
        </w:rPr>
        <w:t xml:space="preserve">　</w:t>
      </w:r>
      <w:r>
        <w:rPr>
          <w:rFonts w:cs="Times New Roman"/>
          <w:color w:val="000000" w:themeColor="text1"/>
          <w:kern w:val="24"/>
        </w:rPr>
        <w:t>基于现</w:t>
      </w:r>
      <w:bookmarkStart w:id="10" w:name="_GoBack"/>
      <w:bookmarkEnd w:id="10"/>
      <w:r>
        <w:rPr>
          <w:rFonts w:cs="Times New Roman"/>
          <w:color w:val="000000" w:themeColor="text1"/>
          <w:kern w:val="24"/>
        </w:rPr>
        <w:t>行制度规定和征管流程，结合税收工作实际制定的税务机关和税务人员必须遵循的基础性服务规范。</w:t>
      </w:r>
    </w:p>
    <w:p w:rsidR="00B10A94" w:rsidRDefault="00FE78A5">
      <w:pPr>
        <w:wordWrap w:val="0"/>
        <w:spacing w:line="360" w:lineRule="auto"/>
        <w:ind w:firstLineChars="0" w:firstLine="510"/>
        <w:rPr>
          <w:rFonts w:cs="Times New Roman" w:hint="default"/>
          <w:color w:val="000000" w:themeColor="text1"/>
          <w:kern w:val="24"/>
        </w:rPr>
      </w:pPr>
      <w:r>
        <w:rPr>
          <w:rFonts w:ascii="楷体_GB2312" w:eastAsia="楷体_GB2312" w:hAnsi="楷体_GB2312" w:cs="楷体_GB2312"/>
          <w:color w:val="000000" w:themeColor="text1"/>
          <w:kern w:val="24"/>
        </w:rPr>
        <w:t>升级规范</w:t>
      </w:r>
      <w:r>
        <w:rPr>
          <w:rFonts w:eastAsia="楷体_GB2312" w:cs="楷体_GB2312"/>
          <w:color w:val="000000" w:themeColor="text1"/>
          <w:kern w:val="24"/>
        </w:rPr>
        <w:t xml:space="preserve">　</w:t>
      </w:r>
      <w:r>
        <w:rPr>
          <w:rFonts w:cs="Times New Roman"/>
          <w:color w:val="000000" w:themeColor="text1"/>
          <w:kern w:val="24"/>
        </w:rPr>
        <w:t>基于总结归纳部分地区已经实现的创新服务措施，按照税收现代化要求，制定的高于基本规范的提升性服务规范，由各地税务机关结合当地实际情况选择性执行。随着全国纳税服务水平的提高，升级规范将逐步改为基本规范。</w:t>
      </w:r>
    </w:p>
    <w:p w:rsidR="00B10A94" w:rsidRDefault="00FE78A5">
      <w:pPr>
        <w:wordWrap w:val="0"/>
        <w:spacing w:line="360" w:lineRule="auto"/>
        <w:ind w:firstLineChars="0" w:firstLine="510"/>
        <w:rPr>
          <w:rFonts w:cs="Times New Roman" w:hint="default"/>
          <w:color w:val="000000" w:themeColor="text1"/>
          <w:kern w:val="24"/>
        </w:rPr>
      </w:pPr>
      <w:r>
        <w:rPr>
          <w:rFonts w:ascii="楷体_GB2312" w:eastAsia="楷体_GB2312" w:hAnsi="楷体_GB2312" w:cs="楷体_GB2312"/>
          <w:color w:val="000000" w:themeColor="text1"/>
          <w:kern w:val="24"/>
        </w:rPr>
        <w:t>办税服务厅（场所）</w:t>
      </w:r>
      <w:r>
        <w:rPr>
          <w:rFonts w:eastAsia="楷体_GB2312" w:cs="楷体_GB2312"/>
          <w:color w:val="000000" w:themeColor="text1"/>
          <w:kern w:val="24"/>
        </w:rPr>
        <w:t xml:space="preserve">　</w:t>
      </w:r>
      <w:r>
        <w:rPr>
          <w:rFonts w:cs="Times New Roman"/>
          <w:color w:val="000000" w:themeColor="text1"/>
          <w:kern w:val="24"/>
        </w:rPr>
        <w:t>税务机关为纳税人、缴费人、扣缴义务人集中办理涉税事项提供纳税服务的机构和场所。</w:t>
      </w:r>
    </w:p>
    <w:p w:rsidR="00B10A94" w:rsidRDefault="00FE78A5">
      <w:pPr>
        <w:wordWrap w:val="0"/>
        <w:spacing w:line="360" w:lineRule="auto"/>
        <w:ind w:firstLineChars="0" w:firstLine="510"/>
        <w:rPr>
          <w:rFonts w:cs="Times New Roman" w:hint="default"/>
          <w:color w:val="000000" w:themeColor="text1"/>
          <w:kern w:val="24"/>
        </w:rPr>
      </w:pPr>
      <w:r>
        <w:rPr>
          <w:rFonts w:ascii="楷体_GB2312" w:eastAsia="楷体_GB2312" w:hAnsi="楷体_GB2312" w:cs="楷体_GB2312"/>
          <w:color w:val="000000" w:themeColor="text1"/>
          <w:kern w:val="24"/>
        </w:rPr>
        <w:t xml:space="preserve">税务登记证件　</w:t>
      </w:r>
      <w:r>
        <w:rPr>
          <w:rFonts w:cs="Times New Roman"/>
          <w:color w:val="000000" w:themeColor="text1"/>
          <w:kern w:val="24"/>
        </w:rPr>
        <w:t>包括税务登记证及其副本、临时税务登记证及其副本和按照“多证合一”、“两证整合”登记制度领取由登记管理部门核发加载法人和其他组织统一社会信用代码（以下称统一代码）的营业执照或登记证书。</w:t>
      </w:r>
    </w:p>
    <w:p w:rsidR="00B10A94" w:rsidRDefault="00FE78A5">
      <w:pPr>
        <w:wordWrap w:val="0"/>
        <w:spacing w:line="360" w:lineRule="auto"/>
        <w:ind w:firstLineChars="0" w:firstLine="510"/>
        <w:rPr>
          <w:rFonts w:cs="Times New Roman" w:hint="default"/>
          <w:color w:val="000000" w:themeColor="text1"/>
          <w:kern w:val="24"/>
        </w:rPr>
      </w:pPr>
      <w:r>
        <w:rPr>
          <w:rFonts w:ascii="楷体_GB2312" w:eastAsia="楷体_GB2312" w:hAnsi="楷体_GB2312" w:cs="Times New Roman"/>
          <w:color w:val="000000" w:themeColor="text1"/>
          <w:kern w:val="24"/>
        </w:rPr>
        <w:t>“一照一码”登</w:t>
      </w:r>
      <w:r>
        <w:rPr>
          <w:rFonts w:ascii="楷体_GB2312" w:eastAsia="楷体_GB2312" w:hAnsi="楷体_GB2312" w:cs="Times New Roman"/>
          <w:color w:val="000000" w:themeColor="text1"/>
          <w:kern w:val="24"/>
        </w:rPr>
        <w:t>记制度</w:t>
      </w:r>
      <w:r>
        <w:rPr>
          <w:rFonts w:cs="Times New Roman"/>
          <w:color w:val="000000" w:themeColor="text1"/>
          <w:kern w:val="24"/>
        </w:rPr>
        <w:t xml:space="preserve">　企业等单位设立登记时依次申请，分别由登记管理部门核发营业执照或登记证件、质量技术监督部门核发组织机构代码证、税务部门核发税务登记证、其他部门核发其他证件，改为一次申请、由登记管理部门核发一个营业执照或登记证件并加载统一社会信用代码的登记制度。</w:t>
      </w:r>
    </w:p>
    <w:p w:rsidR="00B10A94" w:rsidRDefault="00FE78A5">
      <w:pPr>
        <w:wordWrap w:val="0"/>
        <w:spacing w:line="360" w:lineRule="auto"/>
        <w:ind w:firstLineChars="0" w:firstLine="510"/>
        <w:rPr>
          <w:rFonts w:cs="Times New Roman" w:hint="default"/>
          <w:color w:val="000000" w:themeColor="text1"/>
          <w:kern w:val="24"/>
        </w:rPr>
      </w:pPr>
      <w:r>
        <w:rPr>
          <w:rFonts w:ascii="楷体_GB2312" w:eastAsia="楷体_GB2312" w:hAnsi="楷体_GB2312" w:cs="Times New Roman"/>
          <w:color w:val="000000" w:themeColor="text1"/>
          <w:kern w:val="24"/>
        </w:rPr>
        <w:t xml:space="preserve">“两证整合”登记制度　</w:t>
      </w:r>
      <w:r>
        <w:rPr>
          <w:rFonts w:cs="Times New Roman" w:hint="default"/>
          <w:color w:val="000000" w:themeColor="text1"/>
          <w:kern w:val="24"/>
        </w:rPr>
        <w:t>指将个体工商户登记时依次申请，分别由工商行政管理部门核发营业执照、税务部门核发税务登记证，改为一次申请、由工商行政管理部门核发一个营业执照的登记制度。</w:t>
      </w:r>
    </w:p>
    <w:p w:rsidR="00B10A94" w:rsidRDefault="00FE78A5">
      <w:pPr>
        <w:wordWrap w:val="0"/>
        <w:spacing w:line="360" w:lineRule="auto"/>
        <w:ind w:firstLineChars="0" w:firstLine="510"/>
        <w:rPr>
          <w:rFonts w:cs="Times New Roman" w:hint="default"/>
          <w:color w:val="000000" w:themeColor="text1"/>
          <w:kern w:val="24"/>
        </w:rPr>
      </w:pPr>
      <w:r>
        <w:rPr>
          <w:rFonts w:ascii="楷体_GB2312" w:eastAsia="楷体_GB2312" w:hAnsi="楷体_GB2312" w:cs="楷体_GB2312"/>
          <w:color w:val="000000" w:themeColor="text1"/>
          <w:kern w:val="24"/>
        </w:rPr>
        <w:t>金税盘、税控盘</w:t>
      </w:r>
      <w:r>
        <w:rPr>
          <w:rFonts w:eastAsia="楷体_GB2312" w:cs="楷体_GB2312"/>
          <w:color w:val="000000" w:themeColor="text1"/>
          <w:kern w:val="24"/>
        </w:rPr>
        <w:t xml:space="preserve">　</w:t>
      </w:r>
      <w:r>
        <w:rPr>
          <w:rFonts w:cs="Times New Roman"/>
          <w:color w:val="000000" w:themeColor="text1"/>
          <w:kern w:val="24"/>
        </w:rPr>
        <w:t>税控系统配套使用的专用设备，该设备通过逐级发行后，可为税控系统提供数据加解密、发票管理、网上申报、抄报税资料监控等功能，实现对增值税发票的防伪和税控的双重功效。</w:t>
      </w:r>
    </w:p>
    <w:p w:rsidR="00B10A94" w:rsidRDefault="00FE78A5">
      <w:pPr>
        <w:wordWrap w:val="0"/>
        <w:spacing w:line="360" w:lineRule="auto"/>
        <w:ind w:firstLineChars="0" w:firstLine="510"/>
        <w:rPr>
          <w:rFonts w:cs="Times New Roman" w:hint="default"/>
          <w:color w:val="000000" w:themeColor="text1"/>
          <w:kern w:val="24"/>
        </w:rPr>
      </w:pPr>
      <w:r>
        <w:rPr>
          <w:rFonts w:ascii="楷体_GB2312" w:eastAsia="楷体_GB2312" w:hAnsi="楷体_GB2312" w:cs="楷体_GB2312"/>
          <w:color w:val="000000" w:themeColor="text1"/>
          <w:kern w:val="24"/>
        </w:rPr>
        <w:t xml:space="preserve">报税盘　</w:t>
      </w:r>
      <w:r>
        <w:rPr>
          <w:rFonts w:cs="Times New Roman"/>
          <w:color w:val="000000" w:themeColor="text1"/>
          <w:kern w:val="24"/>
        </w:rPr>
        <w:t>税控系统的可选附件，配合金税盘、税控盘使用，具有为纳税人提供购买发票、分发发票、退票、抄报税等功能。</w:t>
      </w:r>
    </w:p>
    <w:p w:rsidR="00B10A94" w:rsidRDefault="00FE78A5">
      <w:pPr>
        <w:wordWrap w:val="0"/>
        <w:spacing w:line="360" w:lineRule="auto"/>
        <w:ind w:firstLineChars="0" w:firstLine="510"/>
        <w:rPr>
          <w:rFonts w:cs="Times New Roman" w:hint="default"/>
          <w:color w:val="000000" w:themeColor="text1"/>
          <w:kern w:val="24"/>
        </w:rPr>
      </w:pPr>
      <w:r>
        <w:rPr>
          <w:rFonts w:ascii="楷体_GB2312" w:eastAsia="楷体_GB2312" w:hAnsi="楷体_GB2312" w:cs="楷体_GB2312"/>
          <w:color w:val="000000" w:themeColor="text1"/>
          <w:kern w:val="24"/>
        </w:rPr>
        <w:t>税收业务专用章</w:t>
      </w:r>
      <w:r>
        <w:rPr>
          <w:rFonts w:cs="Times New Roman"/>
          <w:color w:val="000000" w:themeColor="text1"/>
          <w:kern w:val="24"/>
        </w:rPr>
        <w:t xml:space="preserve">　办税服务厅办理即时办结涉税业务时，确认资料或出具文书使用的专用公章。纳税人申请办理的即办事项涉及第三方的，如：纳税证明</w:t>
      </w:r>
      <w:r>
        <w:rPr>
          <w:rFonts w:cs="Times New Roman"/>
          <w:color w:val="000000" w:themeColor="text1"/>
          <w:kern w:val="24"/>
        </w:rPr>
        <w:lastRenderedPageBreak/>
        <w:t>等，使用单位行政公章。业务专用章的名称为“×××税务局税收业务专用章”。办理非即办事项或印章种类有明确要求</w:t>
      </w:r>
      <w:r>
        <w:rPr>
          <w:rFonts w:cs="Times New Roman"/>
          <w:color w:val="000000" w:themeColor="text1"/>
          <w:kern w:val="24"/>
        </w:rPr>
        <w:t>的，按相关规定办理。</w:t>
      </w:r>
    </w:p>
    <w:p w:rsidR="00B10A94" w:rsidRDefault="00FE78A5">
      <w:pPr>
        <w:wordWrap w:val="0"/>
        <w:spacing w:line="360" w:lineRule="auto"/>
        <w:ind w:firstLineChars="0" w:firstLine="510"/>
        <w:rPr>
          <w:rFonts w:cs="Times New Roman" w:hint="default"/>
          <w:color w:val="000000" w:themeColor="text1"/>
          <w:kern w:val="24"/>
        </w:rPr>
      </w:pPr>
      <w:r>
        <w:rPr>
          <w:rFonts w:ascii="楷体_GB2312" w:eastAsia="楷体_GB2312" w:hAnsi="楷体_GB2312" w:cs="楷体_GB2312"/>
          <w:color w:val="000000" w:themeColor="text1"/>
          <w:kern w:val="24"/>
        </w:rPr>
        <w:t>签章</w:t>
      </w:r>
      <w:r>
        <w:rPr>
          <w:rFonts w:ascii="楷体_GB2312" w:eastAsia="楷体_GB2312" w:hAnsi="楷体_GB2312" w:cs="Times New Roman"/>
          <w:color w:val="000000" w:themeColor="text1"/>
          <w:kern w:val="24"/>
        </w:rPr>
        <w:t xml:space="preserve">　</w:t>
      </w:r>
      <w:r>
        <w:rPr>
          <w:rFonts w:cs="Times New Roman"/>
          <w:color w:val="000000" w:themeColor="text1"/>
          <w:kern w:val="24"/>
        </w:rPr>
        <w:t>根据《中华人民共和国票据法（</w:t>
      </w:r>
      <w:r>
        <w:rPr>
          <w:rFonts w:cs="Times New Roman"/>
          <w:color w:val="000000" w:themeColor="text1"/>
          <w:kern w:val="24"/>
        </w:rPr>
        <w:t>2004</w:t>
      </w:r>
      <w:r>
        <w:rPr>
          <w:rFonts w:cs="Times New Roman"/>
          <w:color w:val="000000" w:themeColor="text1"/>
          <w:kern w:val="24"/>
        </w:rPr>
        <w:t>修正）》第七条票据上的签章，为签名、盖章或者签名加盖章；法释〔</w:t>
      </w:r>
      <w:r>
        <w:rPr>
          <w:rFonts w:cs="Times New Roman"/>
          <w:color w:val="000000" w:themeColor="text1"/>
          <w:kern w:val="24"/>
        </w:rPr>
        <w:t>2009</w:t>
      </w:r>
      <w:r>
        <w:rPr>
          <w:rFonts w:cs="Times New Roman"/>
          <w:color w:val="000000" w:themeColor="text1"/>
          <w:kern w:val="24"/>
        </w:rPr>
        <w:t>〕</w:t>
      </w:r>
      <w:r>
        <w:rPr>
          <w:rFonts w:cs="Times New Roman"/>
          <w:color w:val="000000" w:themeColor="text1"/>
          <w:kern w:val="24"/>
        </w:rPr>
        <w:t>5</w:t>
      </w:r>
      <w:r>
        <w:rPr>
          <w:rFonts w:cs="Times New Roman"/>
          <w:color w:val="000000" w:themeColor="text1"/>
          <w:kern w:val="24"/>
        </w:rPr>
        <w:t>号最高人民法院关于适用《中华人民共和国合同法》若干问题的解释（二）第五条：“当事人采用合同书形式订立合同的，应当签字或者盖章。当事人在合同书上摁手印的，人民法院应当认定其具有与签字或者盖章同等的法律效力。</w:t>
      </w:r>
    </w:p>
    <w:p w:rsidR="00B10A94" w:rsidRDefault="00FE78A5">
      <w:pPr>
        <w:wordWrap w:val="0"/>
        <w:spacing w:line="360" w:lineRule="auto"/>
        <w:ind w:firstLineChars="0" w:firstLine="510"/>
        <w:rPr>
          <w:rFonts w:cs="Times New Roman" w:hint="default"/>
          <w:color w:val="000000" w:themeColor="text1"/>
          <w:kern w:val="24"/>
        </w:rPr>
      </w:pPr>
      <w:r>
        <w:rPr>
          <w:rFonts w:ascii="楷体_GB2312" w:eastAsia="楷体_GB2312" w:hAnsi="楷体_GB2312" w:cs="楷体_GB2312"/>
          <w:color w:val="000000" w:themeColor="text1"/>
          <w:kern w:val="24"/>
        </w:rPr>
        <w:t>纳税信用级别</w:t>
      </w:r>
      <w:r>
        <w:rPr>
          <w:rFonts w:eastAsia="楷体_GB2312" w:cs="楷体_GB2312"/>
          <w:color w:val="000000" w:themeColor="text1"/>
          <w:kern w:val="24"/>
        </w:rPr>
        <w:t xml:space="preserve">　</w:t>
      </w:r>
      <w:r>
        <w:rPr>
          <w:rFonts w:cs="Times New Roman"/>
          <w:color w:val="000000" w:themeColor="text1"/>
          <w:kern w:val="24"/>
        </w:rPr>
        <w:t>根据《纳税信用管理办法》的评价方式对纳税人纳税信用情况作出的级别评价。纳税信用级别分为</w:t>
      </w:r>
      <w:r>
        <w:rPr>
          <w:rFonts w:cs="Times New Roman" w:hint="default"/>
          <w:color w:val="000000" w:themeColor="text1"/>
          <w:kern w:val="24"/>
        </w:rPr>
        <w:t>A</w:t>
      </w:r>
      <w:r>
        <w:rPr>
          <w:rFonts w:cs="Times New Roman"/>
          <w:color w:val="000000" w:themeColor="text1"/>
          <w:kern w:val="24"/>
        </w:rPr>
        <w:t>、</w:t>
      </w:r>
      <w:r>
        <w:rPr>
          <w:rFonts w:cs="Times New Roman" w:hint="default"/>
          <w:color w:val="000000" w:themeColor="text1"/>
          <w:kern w:val="24"/>
        </w:rPr>
        <w:t>B</w:t>
      </w:r>
      <w:r>
        <w:rPr>
          <w:rFonts w:cs="Times New Roman"/>
          <w:color w:val="000000" w:themeColor="text1"/>
          <w:kern w:val="24"/>
        </w:rPr>
        <w:t>、</w:t>
      </w:r>
      <w:r>
        <w:rPr>
          <w:rFonts w:cs="Times New Roman"/>
          <w:color w:val="000000" w:themeColor="text1"/>
          <w:kern w:val="24"/>
        </w:rPr>
        <w:t>M</w:t>
      </w:r>
      <w:r>
        <w:rPr>
          <w:rFonts w:cs="Times New Roman"/>
          <w:color w:val="000000" w:themeColor="text1"/>
          <w:kern w:val="24"/>
        </w:rPr>
        <w:t>、</w:t>
      </w:r>
      <w:r>
        <w:rPr>
          <w:rFonts w:cs="Times New Roman" w:hint="default"/>
          <w:color w:val="000000" w:themeColor="text1"/>
          <w:kern w:val="24"/>
        </w:rPr>
        <w:t>C</w:t>
      </w:r>
      <w:r>
        <w:rPr>
          <w:rFonts w:cs="Times New Roman"/>
          <w:color w:val="000000" w:themeColor="text1"/>
          <w:kern w:val="24"/>
        </w:rPr>
        <w:t>、</w:t>
      </w:r>
      <w:r>
        <w:rPr>
          <w:rFonts w:cs="Times New Roman" w:hint="default"/>
          <w:color w:val="000000" w:themeColor="text1"/>
          <w:kern w:val="24"/>
        </w:rPr>
        <w:t>D</w:t>
      </w:r>
      <w:r>
        <w:rPr>
          <w:rFonts w:cs="Times New Roman" w:hint="default"/>
          <w:color w:val="000000" w:themeColor="text1"/>
          <w:kern w:val="24"/>
        </w:rPr>
        <w:t>五</w:t>
      </w:r>
      <w:r>
        <w:rPr>
          <w:rFonts w:cs="Times New Roman"/>
          <w:color w:val="000000" w:themeColor="text1"/>
          <w:kern w:val="24"/>
        </w:rPr>
        <w:t>级。</w:t>
      </w:r>
    </w:p>
    <w:p w:rsidR="00B10A94" w:rsidRDefault="00FE78A5">
      <w:pPr>
        <w:wordWrap w:val="0"/>
        <w:spacing w:line="360" w:lineRule="auto"/>
        <w:ind w:firstLineChars="0" w:firstLine="510"/>
        <w:rPr>
          <w:rFonts w:ascii="仿宋_GB2312" w:eastAsia="仿宋_GB2312" w:hAnsi="宋体" w:cs="Times New Roman" w:hint="default"/>
          <w:color w:val="000000" w:themeColor="text1"/>
          <w:kern w:val="24"/>
          <w:sz w:val="32"/>
          <w:szCs w:val="32"/>
        </w:rPr>
      </w:pPr>
      <w:r>
        <w:rPr>
          <w:rFonts w:ascii="楷体_GB2312" w:eastAsia="楷体_GB2312" w:hAnsi="楷体_GB2312" w:cs="楷体_GB2312"/>
          <w:color w:val="000000" w:themeColor="text1"/>
          <w:kern w:val="24"/>
        </w:rPr>
        <w:t xml:space="preserve">增值税发票管理新系统　</w:t>
      </w:r>
      <w:r>
        <w:rPr>
          <w:rFonts w:cs="Times New Roman"/>
          <w:color w:val="000000" w:themeColor="text1"/>
          <w:kern w:val="24"/>
        </w:rPr>
        <w:t>增值税防伪税控系统、增值税电子普通发票（机动车销售发票）税控系统、稽核系统及税务数字证书系统等的整合升级。实现纳税人经过税务数字证书安全认证、加密开具带商品编码的发票数据，通过互联网实时上传税务机关，生成增值税发票电子底账，作为纳税申报、数据查验以及税源管理、数据分析利用的依据。</w:t>
      </w:r>
    </w:p>
    <w:p w:rsidR="00B10A94" w:rsidRDefault="00FE78A5">
      <w:pPr>
        <w:wordWrap w:val="0"/>
        <w:spacing w:line="360" w:lineRule="auto"/>
        <w:ind w:firstLineChars="0" w:firstLine="510"/>
        <w:rPr>
          <w:rFonts w:cs="Times New Roman" w:hint="default"/>
          <w:color w:val="000000" w:themeColor="text1"/>
          <w:kern w:val="24"/>
        </w:rPr>
      </w:pPr>
      <w:r>
        <w:rPr>
          <w:rFonts w:ascii="楷体_GB2312" w:eastAsia="楷体_GB2312" w:hAnsi="楷体_GB2312" w:cs="楷体_GB2312"/>
          <w:color w:val="000000" w:themeColor="text1"/>
          <w:kern w:val="24"/>
        </w:rPr>
        <w:t xml:space="preserve">离线开票时限　</w:t>
      </w:r>
      <w:r>
        <w:rPr>
          <w:rFonts w:cs="Times New Roman"/>
          <w:color w:val="000000" w:themeColor="text1"/>
          <w:kern w:val="24"/>
        </w:rPr>
        <w:t>使用增值税发票管理新系统的增值税纳税人，自第一份离线发票开具时间起开始计算可离线开具的最长时限。</w:t>
      </w:r>
    </w:p>
    <w:p w:rsidR="00B10A94" w:rsidRDefault="00FE78A5">
      <w:pPr>
        <w:wordWrap w:val="0"/>
        <w:spacing w:line="360" w:lineRule="auto"/>
        <w:ind w:firstLineChars="0" w:firstLine="510"/>
        <w:rPr>
          <w:rFonts w:cs="Times New Roman" w:hint="default"/>
          <w:color w:val="000000" w:themeColor="text1"/>
          <w:kern w:val="24"/>
        </w:rPr>
      </w:pPr>
      <w:r>
        <w:rPr>
          <w:rFonts w:ascii="楷体_GB2312" w:eastAsia="楷体_GB2312" w:hAnsi="楷体_GB2312" w:cs="楷体_GB2312"/>
          <w:color w:val="000000" w:themeColor="text1"/>
          <w:kern w:val="24"/>
        </w:rPr>
        <w:t xml:space="preserve">离线开票总金额　</w:t>
      </w:r>
      <w:r>
        <w:rPr>
          <w:rFonts w:cs="Times New Roman"/>
          <w:color w:val="000000" w:themeColor="text1"/>
          <w:kern w:val="24"/>
        </w:rPr>
        <w:t>使用增值税发票管理新系统的增值税纳税人，可开具离线发票的累计不含税总金额，离线开票总金额按不同票种分别</w:t>
      </w:r>
      <w:r>
        <w:rPr>
          <w:rFonts w:cs="Times New Roman"/>
          <w:color w:val="000000" w:themeColor="text1"/>
          <w:kern w:val="24"/>
        </w:rPr>
        <w:t>计算。</w:t>
      </w:r>
    </w:p>
    <w:p w:rsidR="00B10A94" w:rsidRDefault="00FE78A5">
      <w:pPr>
        <w:wordWrap w:val="0"/>
        <w:spacing w:line="360" w:lineRule="auto"/>
        <w:ind w:firstLine="480"/>
        <w:rPr>
          <w:rFonts w:ascii="Calibri" w:eastAsia="楷体_GB2312" w:hAnsi="Calibri" w:cs="Times New Roman" w:hint="default"/>
          <w:b/>
          <w:color w:val="000000" w:themeColor="text1"/>
          <w:kern w:val="24"/>
        </w:rPr>
      </w:pPr>
      <w:r>
        <w:rPr>
          <w:rFonts w:ascii="Calibri" w:eastAsia="楷体_GB2312" w:hAnsi="Calibri" w:cs="Times New Roman"/>
          <w:bCs/>
          <w:color w:val="000000" w:themeColor="text1"/>
          <w:kern w:val="24"/>
        </w:rPr>
        <w:t>申报享受税收减免</w:t>
      </w:r>
      <w:r>
        <w:rPr>
          <w:rFonts w:ascii="楷体_GB2312" w:eastAsia="楷体_GB2312" w:hAnsi="楷体_GB2312" w:cs="楷体_GB2312"/>
          <w:b/>
          <w:color w:val="000000" w:themeColor="text1"/>
        </w:rPr>
        <w:t xml:space="preserve">　</w:t>
      </w:r>
      <w:r>
        <w:rPr>
          <w:rFonts w:ascii="宋体" w:hAnsi="宋体" w:cs="Times New Roman"/>
          <w:color w:val="000000" w:themeColor="text1"/>
        </w:rPr>
        <w:t>是符合减免税条件的纳税人，无需向税务机关申请税收减免备案或者核准，在办理纳税申报时直接享受税收减免。</w:t>
      </w:r>
    </w:p>
    <w:p w:rsidR="00B10A94" w:rsidRDefault="00FE78A5">
      <w:pPr>
        <w:wordWrap w:val="0"/>
        <w:spacing w:line="360" w:lineRule="auto"/>
        <w:ind w:firstLineChars="0" w:firstLine="510"/>
        <w:rPr>
          <w:rFonts w:cs="Times New Roman" w:hint="default"/>
          <w:color w:val="000000" w:themeColor="text1"/>
          <w:kern w:val="24"/>
        </w:rPr>
      </w:pPr>
      <w:r>
        <w:rPr>
          <w:rFonts w:ascii="楷体_GB2312" w:eastAsia="楷体_GB2312" w:hAnsi="楷体_GB2312" w:cs="楷体_GB2312"/>
          <w:color w:val="000000" w:themeColor="text1"/>
          <w:kern w:val="24"/>
        </w:rPr>
        <w:t xml:space="preserve">核准类优惠　</w:t>
      </w:r>
      <w:r>
        <w:rPr>
          <w:rFonts w:cs="Times New Roman"/>
          <w:color w:val="000000" w:themeColor="text1"/>
          <w:kern w:val="24"/>
        </w:rPr>
        <w:t>按照法律、法规规定，经依法具有批准权限的税务机关核准确认后执行的减免税。</w:t>
      </w:r>
    </w:p>
    <w:p w:rsidR="00B10A94" w:rsidRDefault="00FE78A5">
      <w:pPr>
        <w:wordWrap w:val="0"/>
        <w:spacing w:line="360" w:lineRule="auto"/>
        <w:ind w:firstLineChars="0" w:firstLine="510"/>
        <w:rPr>
          <w:rFonts w:cs="Times New Roman" w:hint="default"/>
          <w:color w:val="000000" w:themeColor="text1"/>
          <w:kern w:val="24"/>
        </w:rPr>
      </w:pPr>
      <w:r>
        <w:rPr>
          <w:rFonts w:ascii="楷体_GB2312" w:eastAsia="楷体_GB2312" w:hAnsi="楷体_GB2312" w:cs="楷体_GB2312"/>
          <w:color w:val="000000" w:themeColor="text1"/>
          <w:kern w:val="24"/>
        </w:rPr>
        <w:t>备案类优惠</w:t>
      </w:r>
      <w:r>
        <w:rPr>
          <w:rFonts w:cs="Times New Roman"/>
          <w:color w:val="000000" w:themeColor="text1"/>
          <w:kern w:val="24"/>
        </w:rPr>
        <w:t xml:space="preserve">　具备相应减免税资质的纳税人，履行规定的备案手续后，不需要税务机关核准即可执行的减免税。</w:t>
      </w:r>
    </w:p>
    <w:p w:rsidR="00B10A94" w:rsidRDefault="00FE78A5">
      <w:pPr>
        <w:wordWrap w:val="0"/>
        <w:spacing w:line="360" w:lineRule="auto"/>
        <w:ind w:firstLineChars="0" w:firstLine="480"/>
        <w:rPr>
          <w:rFonts w:cs="宋体" w:hint="default"/>
          <w:color w:val="000000" w:themeColor="text1"/>
          <w:kern w:val="24"/>
        </w:rPr>
      </w:pPr>
      <w:r>
        <w:rPr>
          <w:rFonts w:eastAsia="楷体_GB2312" w:cs="Times New Roman"/>
          <w:color w:val="000000" w:themeColor="text1"/>
          <w:kern w:val="24"/>
        </w:rPr>
        <w:t>纳税人注意事项</w:t>
      </w:r>
      <w:r>
        <w:rPr>
          <w:rFonts w:ascii="Calibri" w:eastAsia="楷体_GB2312" w:hAnsi="Calibri" w:cs="Times New Roman"/>
          <w:color w:val="000000" w:themeColor="text1"/>
          <w:kern w:val="24"/>
        </w:rPr>
        <w:t xml:space="preserve">　</w:t>
      </w:r>
      <w:r>
        <w:rPr>
          <w:rFonts w:cs="宋体"/>
          <w:color w:val="000000" w:themeColor="text1"/>
          <w:kern w:val="24"/>
        </w:rPr>
        <w:t>是税务机关为最大限度便利纳税人，推出的一项指导性、提示性服务措施，主要包括纳税人在办理涉税事项时希望预先了解的事项或可能发生的涉税风险等内容。纳税人注意事项中所列内容，是税务机关根据纳税服务工作经验提炼，仅供纳税人参考，具体以法律、法规及相关规定为准，纳税人自行承担未正确全面履行纳税义务的法律责任。</w:t>
      </w:r>
    </w:p>
    <w:p w:rsidR="00B10A94" w:rsidRDefault="00FE78A5">
      <w:pPr>
        <w:wordWrap w:val="0"/>
        <w:spacing w:line="360" w:lineRule="auto"/>
        <w:ind w:firstLineChars="0" w:firstLine="480"/>
        <w:rPr>
          <w:rFonts w:cs="宋体" w:hint="default"/>
          <w:color w:val="000000" w:themeColor="text1"/>
          <w:kern w:val="24"/>
        </w:rPr>
      </w:pPr>
      <w:r>
        <w:rPr>
          <w:rFonts w:ascii="楷体_GB2312" w:eastAsia="楷体_GB2312" w:hAnsi="楷体_GB2312" w:cs="楷体_GB2312"/>
          <w:color w:val="000000" w:themeColor="text1"/>
          <w:kern w:val="24"/>
        </w:rPr>
        <w:lastRenderedPageBreak/>
        <w:t xml:space="preserve">实名办税　</w:t>
      </w:r>
      <w:r>
        <w:rPr>
          <w:rFonts w:cs="宋体"/>
          <w:color w:val="000000" w:themeColor="text1"/>
          <w:kern w:val="24"/>
        </w:rPr>
        <w:t>税务机关在纳税人办理涉税事项前，对相关人员的实名信息，进行采集和验证的制度。经过实名信息验证的办税人员，再次办理相关涉税事项时，不再提供登记证件和身份证件复印件等资料。</w:t>
      </w:r>
    </w:p>
    <w:p w:rsidR="00B10A94" w:rsidRDefault="00FE78A5">
      <w:pPr>
        <w:wordWrap w:val="0"/>
        <w:spacing w:line="360" w:lineRule="auto"/>
        <w:ind w:firstLineChars="0" w:firstLine="480"/>
        <w:rPr>
          <w:rFonts w:cs="宋体" w:hint="default"/>
          <w:color w:val="000000" w:themeColor="text1"/>
          <w:kern w:val="24"/>
        </w:rPr>
      </w:pPr>
      <w:r>
        <w:rPr>
          <w:rFonts w:ascii="Calibri" w:eastAsia="楷体_GB2312" w:hAnsi="Calibri" w:cs="Times New Roman"/>
          <w:color w:val="000000" w:themeColor="text1"/>
          <w:kern w:val="24"/>
        </w:rPr>
        <w:t xml:space="preserve">“套餐式”服务　</w:t>
      </w:r>
      <w:r>
        <w:rPr>
          <w:rFonts w:cs="宋体" w:hint="default"/>
          <w:color w:val="000000" w:themeColor="text1"/>
          <w:kern w:val="24"/>
        </w:rPr>
        <w:t>在确保税收风险可控的基础上，依托电子税务局，实现纳税人法定义务事项和相关办税事项一并办理，集中处理涉税事项的服务模式。</w:t>
      </w:r>
    </w:p>
    <w:p w:rsidR="00B10A94" w:rsidRDefault="00FE78A5">
      <w:pPr>
        <w:wordWrap w:val="0"/>
        <w:spacing w:line="360" w:lineRule="auto"/>
        <w:ind w:firstLineChars="0" w:firstLine="480"/>
        <w:rPr>
          <w:rFonts w:cs="宋体" w:hint="default"/>
          <w:color w:val="000000" w:themeColor="text1"/>
          <w:kern w:val="24"/>
        </w:rPr>
      </w:pPr>
      <w:r>
        <w:rPr>
          <w:rFonts w:ascii="Calibri" w:eastAsia="楷体_GB2312" w:hAnsi="Calibri" w:cs="Times New Roman"/>
          <w:color w:val="000000" w:themeColor="text1"/>
          <w:kern w:val="24"/>
        </w:rPr>
        <w:t>同城通办</w:t>
      </w:r>
      <w:r>
        <w:rPr>
          <w:rFonts w:cs="宋体"/>
          <w:color w:val="000000" w:themeColor="text1"/>
          <w:kern w:val="24"/>
        </w:rPr>
        <w:t xml:space="preserve">　税务机关通过办税服务厅、自助办税终端等渠道为纳税人提供不受主管税务机关区域限制的同城办税服务，范围包括但不限于《国家税务总局关于加快推行办税事项同城通办的通知》（税总发〔</w:t>
      </w:r>
      <w:r>
        <w:rPr>
          <w:rFonts w:cs="Times New Roman"/>
          <w:color w:val="000000" w:themeColor="text1"/>
          <w:kern w:val="24"/>
        </w:rPr>
        <w:t>2016</w:t>
      </w:r>
      <w:r>
        <w:rPr>
          <w:rFonts w:cs="宋体"/>
          <w:color w:val="000000" w:themeColor="text1"/>
          <w:kern w:val="24"/>
        </w:rPr>
        <w:t>〕</w:t>
      </w:r>
      <w:r>
        <w:rPr>
          <w:rFonts w:cs="Times New Roman"/>
          <w:color w:val="000000" w:themeColor="text1"/>
          <w:kern w:val="24"/>
        </w:rPr>
        <w:t>46</w:t>
      </w:r>
      <w:r>
        <w:rPr>
          <w:rFonts w:cs="宋体"/>
          <w:color w:val="000000" w:themeColor="text1"/>
          <w:kern w:val="24"/>
        </w:rPr>
        <w:t>号）规定的</w:t>
      </w:r>
      <w:r>
        <w:rPr>
          <w:rFonts w:cs="Times New Roman"/>
          <w:color w:val="000000" w:themeColor="text1"/>
          <w:kern w:val="24"/>
        </w:rPr>
        <w:t>7</w:t>
      </w:r>
      <w:r>
        <w:rPr>
          <w:rFonts w:cs="宋体"/>
          <w:color w:val="000000" w:themeColor="text1"/>
          <w:kern w:val="24"/>
        </w:rPr>
        <w:t>大类</w:t>
      </w:r>
      <w:r>
        <w:rPr>
          <w:rFonts w:cs="Times New Roman"/>
          <w:color w:val="000000" w:themeColor="text1"/>
          <w:kern w:val="24"/>
        </w:rPr>
        <w:t>53</w:t>
      </w:r>
      <w:r>
        <w:rPr>
          <w:rFonts w:cs="宋体"/>
          <w:color w:val="000000" w:themeColor="text1"/>
          <w:kern w:val="24"/>
        </w:rPr>
        <w:t>个事项。</w:t>
      </w:r>
    </w:p>
    <w:p w:rsidR="00B10A94" w:rsidRDefault="00FE78A5">
      <w:pPr>
        <w:wordWrap w:val="0"/>
        <w:spacing w:line="360" w:lineRule="auto"/>
        <w:ind w:firstLineChars="0" w:firstLine="480"/>
        <w:rPr>
          <w:rFonts w:cs="宋体" w:hint="default"/>
          <w:color w:val="000000" w:themeColor="text1"/>
          <w:kern w:val="24"/>
        </w:rPr>
      </w:pPr>
      <w:r>
        <w:rPr>
          <w:rFonts w:ascii="Calibri" w:eastAsia="楷体_GB2312" w:hAnsi="Calibri" w:cs="Times New Roman"/>
          <w:color w:val="000000" w:themeColor="text1"/>
          <w:kern w:val="24"/>
        </w:rPr>
        <w:t>省内通办</w:t>
      </w:r>
      <w:r>
        <w:rPr>
          <w:rFonts w:cs="宋体"/>
          <w:color w:val="000000" w:themeColor="text1"/>
          <w:kern w:val="24"/>
        </w:rPr>
        <w:t xml:space="preserve">　税务机关通过办税服务厅、自助办税终端等渠道为纳税人提供不受主管税务机关区域限制的省内办税服务，范围包括但不限于《国家税务总局关于开展办税事项省内通办工作的通知》（税总发〔</w:t>
      </w:r>
      <w:r>
        <w:rPr>
          <w:rFonts w:cs="Times New Roman"/>
          <w:color w:val="000000" w:themeColor="text1"/>
          <w:kern w:val="24"/>
        </w:rPr>
        <w:t>2016</w:t>
      </w:r>
      <w:r>
        <w:rPr>
          <w:rFonts w:cs="宋体"/>
          <w:color w:val="000000" w:themeColor="text1"/>
          <w:kern w:val="24"/>
        </w:rPr>
        <w:t>〕</w:t>
      </w:r>
      <w:r>
        <w:rPr>
          <w:rFonts w:cs="Times New Roman"/>
          <w:color w:val="000000" w:themeColor="text1"/>
          <w:kern w:val="24"/>
        </w:rPr>
        <w:t>104</w:t>
      </w:r>
      <w:r>
        <w:rPr>
          <w:rFonts w:cs="宋体"/>
          <w:color w:val="000000" w:themeColor="text1"/>
          <w:kern w:val="24"/>
        </w:rPr>
        <w:t>号）规定的</w:t>
      </w:r>
      <w:r>
        <w:rPr>
          <w:rFonts w:cs="Times New Roman"/>
          <w:color w:val="000000" w:themeColor="text1"/>
          <w:kern w:val="24"/>
        </w:rPr>
        <w:t>4</w:t>
      </w:r>
      <w:r>
        <w:rPr>
          <w:rFonts w:cs="宋体"/>
          <w:color w:val="000000" w:themeColor="text1"/>
          <w:kern w:val="24"/>
        </w:rPr>
        <w:t>大类</w:t>
      </w:r>
      <w:r>
        <w:rPr>
          <w:rFonts w:cs="Times New Roman"/>
          <w:color w:val="000000" w:themeColor="text1"/>
          <w:kern w:val="24"/>
        </w:rPr>
        <w:t>21</w:t>
      </w:r>
      <w:r>
        <w:rPr>
          <w:rFonts w:cs="宋体"/>
          <w:color w:val="000000" w:themeColor="text1"/>
          <w:kern w:val="24"/>
        </w:rPr>
        <w:t>个事项。</w:t>
      </w:r>
    </w:p>
    <w:p w:rsidR="00B10A94" w:rsidRDefault="00FE78A5">
      <w:pPr>
        <w:wordWrap w:val="0"/>
        <w:spacing w:line="360" w:lineRule="auto"/>
        <w:ind w:firstLineChars="0" w:firstLine="480"/>
        <w:rPr>
          <w:rFonts w:cs="宋体" w:hint="default"/>
          <w:color w:val="000000" w:themeColor="text1"/>
          <w:kern w:val="24"/>
        </w:rPr>
      </w:pPr>
      <w:r>
        <w:rPr>
          <w:rFonts w:ascii="Calibri" w:eastAsia="楷体_GB2312" w:hAnsi="Calibri" w:cs="Times New Roman"/>
          <w:color w:val="000000" w:themeColor="text1"/>
          <w:kern w:val="24"/>
        </w:rPr>
        <w:t>全国通办</w:t>
      </w:r>
      <w:r>
        <w:rPr>
          <w:rFonts w:cs="宋体"/>
          <w:color w:val="000000" w:themeColor="text1"/>
          <w:kern w:val="24"/>
        </w:rPr>
        <w:t xml:space="preserve">　在税收预算级次和收入归属、主管税务机关不改变的前提下，税务机关为跨省（自治区、直辖市、计划单列市）经营企业提供不受区域限制的全国办税服务，范围包括《国家税务总局关于跨省经营企业涉税事项全国通办的通知》（税总发〔</w:t>
      </w:r>
      <w:r>
        <w:rPr>
          <w:rFonts w:cs="Times New Roman"/>
          <w:color w:val="000000" w:themeColor="text1"/>
          <w:kern w:val="24"/>
        </w:rPr>
        <w:t>2017</w:t>
      </w:r>
      <w:r>
        <w:rPr>
          <w:rFonts w:cs="宋体"/>
          <w:color w:val="000000" w:themeColor="text1"/>
          <w:kern w:val="24"/>
        </w:rPr>
        <w:t>〕</w:t>
      </w:r>
      <w:r>
        <w:rPr>
          <w:rFonts w:cs="Times New Roman"/>
          <w:color w:val="000000" w:themeColor="text1"/>
          <w:kern w:val="24"/>
        </w:rPr>
        <w:t>102</w:t>
      </w:r>
      <w:r>
        <w:rPr>
          <w:rFonts w:cs="宋体"/>
          <w:color w:val="000000" w:themeColor="text1"/>
          <w:kern w:val="24"/>
        </w:rPr>
        <w:t>号）规定的</w:t>
      </w:r>
      <w:r>
        <w:rPr>
          <w:rFonts w:cs="Times New Roman"/>
          <w:color w:val="000000" w:themeColor="text1"/>
          <w:kern w:val="24"/>
        </w:rPr>
        <w:t>4</w:t>
      </w:r>
      <w:r>
        <w:rPr>
          <w:rFonts w:cs="宋体"/>
          <w:color w:val="000000" w:themeColor="text1"/>
          <w:kern w:val="24"/>
        </w:rPr>
        <w:t>大类</w:t>
      </w:r>
      <w:r>
        <w:rPr>
          <w:rFonts w:cs="Times New Roman"/>
          <w:color w:val="000000" w:themeColor="text1"/>
          <w:kern w:val="24"/>
        </w:rPr>
        <w:t>15</w:t>
      </w:r>
      <w:r>
        <w:rPr>
          <w:rFonts w:cs="宋体"/>
          <w:color w:val="000000" w:themeColor="text1"/>
          <w:kern w:val="24"/>
        </w:rPr>
        <w:t>个事项。</w:t>
      </w:r>
    </w:p>
    <w:p w:rsidR="00B10A94" w:rsidRDefault="00FE78A5">
      <w:pPr>
        <w:wordWrap w:val="0"/>
        <w:ind w:firstLine="480"/>
        <w:rPr>
          <w:rFonts w:cs="宋体" w:hint="default"/>
          <w:color w:val="000000" w:themeColor="text1"/>
          <w:kern w:val="24"/>
        </w:rPr>
        <w:sectPr w:rsidR="00B10A94">
          <w:headerReference w:type="even" r:id="rId7"/>
          <w:headerReference w:type="default" r:id="rId8"/>
          <w:footerReference w:type="even" r:id="rId9"/>
          <w:footerReference w:type="default" r:id="rId10"/>
          <w:headerReference w:type="first" r:id="rId11"/>
          <w:footerReference w:type="first" r:id="rId12"/>
          <w:pgSz w:w="11906" w:h="16838"/>
          <w:pgMar w:top="1440" w:right="1803" w:bottom="1440" w:left="1803" w:header="851" w:footer="992" w:gutter="0"/>
          <w:cols w:space="0"/>
          <w:docGrid w:type="lines" w:linePitch="317"/>
        </w:sectPr>
      </w:pPr>
      <w:r>
        <w:rPr>
          <w:rFonts w:cs="宋体"/>
          <w:color w:val="000000" w:themeColor="text1"/>
          <w:kern w:val="24"/>
        </w:rPr>
        <w:br w:type="page"/>
      </w:r>
    </w:p>
    <w:p w:rsidR="00B10A94" w:rsidRDefault="00B10A94">
      <w:pPr>
        <w:ind w:firstLineChars="0" w:firstLine="0"/>
        <w:rPr>
          <w:rFonts w:hint="default"/>
        </w:rPr>
      </w:pPr>
    </w:p>
    <w:sectPr w:rsidR="00B10A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8A5" w:rsidRDefault="00FE78A5">
      <w:pPr>
        <w:spacing w:line="240" w:lineRule="auto"/>
        <w:ind w:firstLine="480"/>
        <w:rPr>
          <w:rFonts w:hint="default"/>
        </w:rPr>
      </w:pPr>
      <w:r>
        <w:separator/>
      </w:r>
    </w:p>
  </w:endnote>
  <w:endnote w:type="continuationSeparator" w:id="0">
    <w:p w:rsidR="00FE78A5" w:rsidRDefault="00FE78A5">
      <w:pPr>
        <w:spacing w:line="240" w:lineRule="auto"/>
        <w:ind w:firstLine="48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85" w:rsidRDefault="00864585">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A94" w:rsidRDefault="00FE78A5">
    <w:pPr>
      <w:pStyle w:val="a6"/>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1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10A94" w:rsidRDefault="00FE78A5">
                          <w:pPr>
                            <w:pStyle w:val="a6"/>
                            <w:ind w:firstLine="360"/>
                          </w:pPr>
                          <w:r>
                            <w:fldChar w:fldCharType="begin"/>
                          </w:r>
                          <w:r>
                            <w:instrText xml:space="preserve"> PAGE  \* MERGEFORMAT </w:instrText>
                          </w:r>
                          <w:r>
                            <w:fldChar w:fldCharType="separate"/>
                          </w:r>
                          <w:r>
                            <w:rPr>
                              <w:rFonts w:ascii="Times New Roman" w:hAnsi="Times New Roman" w:hint="eastAsia"/>
                            </w:rPr>
                            <w:t>690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nQvKhx4CAAAZBAAADgAAAAAAAAAAAAAAAAAuAgAAZHJzL2Uyb0RvYy54bWxQSwECLQAUAAYA&#10;CAAAACEAcarRudcAAAAFAQAADwAAAAAAAAAAAAAAAAB4BAAAZHJzL2Rvd25yZXYueG1sUEsFBgAA&#10;AAAEAAQA8wAAAHwFAAAAAA==&#10;" filled="f" stroked="f" strokeweight=".5pt">
              <v:textbox style="mso-fit-shape-to-text:t" inset="0,0,0,0">
                <w:txbxContent>
                  <w:p w:rsidR="00B10A94" w:rsidRDefault="00FE78A5">
                    <w:pPr>
                      <w:pStyle w:val="a6"/>
                      <w:ind w:firstLine="360"/>
                    </w:pPr>
                    <w:r>
                      <w:fldChar w:fldCharType="begin"/>
                    </w:r>
                    <w:r>
                      <w:instrText xml:space="preserve"> PAGE  \* MERGEFORMAT </w:instrText>
                    </w:r>
                    <w:r>
                      <w:fldChar w:fldCharType="separate"/>
                    </w:r>
                    <w:r>
                      <w:rPr>
                        <w:rFonts w:ascii="Times New Roman" w:hAnsi="Times New Roman" w:hint="eastAsia"/>
                      </w:rPr>
                      <w:t>690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85" w:rsidRDefault="00864585">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8A5" w:rsidRDefault="00FE78A5">
      <w:pPr>
        <w:spacing w:line="240" w:lineRule="auto"/>
        <w:ind w:firstLine="480"/>
        <w:rPr>
          <w:rFonts w:hint="default"/>
        </w:rPr>
      </w:pPr>
      <w:r>
        <w:separator/>
      </w:r>
    </w:p>
  </w:footnote>
  <w:footnote w:type="continuationSeparator" w:id="0">
    <w:p w:rsidR="00FE78A5" w:rsidRDefault="00FE78A5">
      <w:pPr>
        <w:spacing w:line="240" w:lineRule="auto"/>
        <w:ind w:firstLine="48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85" w:rsidRDefault="00864585">
    <w:pPr>
      <w:pStyle w:val="aa"/>
      <w:ind w:firstLine="36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85" w:rsidRDefault="00864585">
    <w:pPr>
      <w:pStyle w:val="aa"/>
      <w:ind w:firstLine="36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85" w:rsidRDefault="00864585">
    <w:pPr>
      <w:pStyle w:val="aa"/>
      <w:ind w:firstLine="360"/>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2D86CE2"/>
    <w:rsid w:val="00864585"/>
    <w:rsid w:val="00B10A94"/>
    <w:rsid w:val="00FE78A5"/>
    <w:rsid w:val="052154B4"/>
    <w:rsid w:val="0ED54422"/>
    <w:rsid w:val="12A362B9"/>
    <w:rsid w:val="1CED1C98"/>
    <w:rsid w:val="22D86CE2"/>
    <w:rsid w:val="24F854E5"/>
    <w:rsid w:val="25045130"/>
    <w:rsid w:val="30A770E6"/>
    <w:rsid w:val="3791054E"/>
    <w:rsid w:val="3D344164"/>
    <w:rsid w:val="455C21A5"/>
    <w:rsid w:val="4F99108C"/>
    <w:rsid w:val="5D744F94"/>
    <w:rsid w:val="5F5742AD"/>
    <w:rsid w:val="69091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8D9FB"/>
  <w15:docId w15:val="{4555F91C-59C9-4F5E-8B65-7001C4A6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spacing w:line="276" w:lineRule="auto"/>
      <w:ind w:firstLineChars="200" w:firstLine="562"/>
      <w:jc w:val="both"/>
    </w:pPr>
    <w:rPr>
      <w:rFonts w:ascii="Times New Roman" w:hAnsi="Times New Roman" w:cstheme="minorBidi" w:hint="eastAsia"/>
      <w:kern w:val="2"/>
      <w:sz w:val="24"/>
      <w:szCs w:val="24"/>
    </w:rPr>
  </w:style>
  <w:style w:type="paragraph" w:styleId="4">
    <w:name w:val="heading 4"/>
    <w:basedOn w:val="a"/>
    <w:next w:val="a"/>
    <w:link w:val="40"/>
    <w:semiHidden/>
    <w:unhideWhenUsed/>
    <w:qFormat/>
    <w:pPr>
      <w:keepNext/>
      <w:keepLines/>
      <w:widowControl/>
      <w:tabs>
        <w:tab w:val="left" w:pos="377"/>
      </w:tabs>
      <w:spacing w:before="280" w:after="290" w:line="360" w:lineRule="auto"/>
      <w:jc w:val="left"/>
      <w:outlineLvl w:val="3"/>
    </w:pPr>
    <w:rPr>
      <w:rFonts w:ascii="Cambria" w:eastAsia="黑体" w:hAnsi="Cambria" w:cs="Times New Roman"/>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ind w:firstLine="643"/>
    </w:pPr>
    <w:rPr>
      <w:color w:val="000000" w:themeColor="text1"/>
      <w:kern w:val="21"/>
    </w:rPr>
  </w:style>
  <w:style w:type="paragraph" w:styleId="a4">
    <w:name w:val="Body Text Indent"/>
    <w:basedOn w:val="a"/>
    <w:link w:val="a5"/>
    <w:pPr>
      <w:widowControl/>
      <w:tabs>
        <w:tab w:val="left" w:pos="377"/>
      </w:tabs>
      <w:spacing w:after="120" w:line="300" w:lineRule="auto"/>
      <w:ind w:leftChars="200" w:left="420" w:firstLine="200"/>
    </w:pPr>
  </w:style>
  <w:style w:type="paragraph" w:styleId="a6">
    <w:name w:val="footer"/>
    <w:uiPriority w:val="99"/>
    <w:qFormat/>
    <w:pPr>
      <w:widowControl w:val="0"/>
      <w:tabs>
        <w:tab w:val="center" w:pos="4153"/>
        <w:tab w:val="right" w:pos="8306"/>
      </w:tabs>
      <w:adjustRightInd w:val="0"/>
      <w:snapToGrid w:val="0"/>
      <w:spacing w:line="360" w:lineRule="auto"/>
      <w:ind w:firstLineChars="200" w:firstLine="480"/>
    </w:pPr>
    <w:rPr>
      <w:kern w:val="2"/>
      <w:sz w:val="18"/>
      <w:szCs w:val="18"/>
    </w:rPr>
  </w:style>
  <w:style w:type="character" w:customStyle="1" w:styleId="40">
    <w:name w:val="标题 4 字符"/>
    <w:link w:val="4"/>
    <w:rPr>
      <w:rFonts w:ascii="Cambria" w:eastAsia="黑体" w:hAnsi="Cambria" w:cs="Times New Roman"/>
      <w:bCs/>
      <w:sz w:val="24"/>
      <w:szCs w:val="28"/>
      <w:lang w:val="en-US" w:eastAsia="zh-CN" w:bidi="ar-SA"/>
    </w:rPr>
  </w:style>
  <w:style w:type="character" w:customStyle="1" w:styleId="a5">
    <w:name w:val="正文文本缩进 字符"/>
    <w:link w:val="a4"/>
    <w:rPr>
      <w:rFonts w:eastAsia="宋体"/>
      <w:sz w:val="24"/>
      <w:szCs w:val="24"/>
      <w:lang w:val="en-US" w:eastAsia="zh-CN" w:bidi="ar-SA"/>
    </w:rPr>
  </w:style>
  <w:style w:type="paragraph" w:customStyle="1" w:styleId="a7">
    <w:name w:val="英文摘要"/>
    <w:basedOn w:val="a"/>
  </w:style>
  <w:style w:type="paragraph" w:customStyle="1" w:styleId="a8">
    <w:name w:val="参考文献正文"/>
    <w:basedOn w:val="a"/>
    <w:pPr>
      <w:ind w:firstLineChars="0" w:firstLine="0"/>
    </w:pPr>
    <w:rPr>
      <w:rFonts w:cs="宋体"/>
    </w:rPr>
  </w:style>
  <w:style w:type="paragraph" w:customStyle="1" w:styleId="a9">
    <w:name w:val="事项名称"/>
    <w:basedOn w:val="a"/>
    <w:next w:val="a"/>
    <w:rPr>
      <w:b/>
      <w:bCs/>
    </w:rPr>
  </w:style>
  <w:style w:type="paragraph" w:styleId="aa">
    <w:name w:val="header"/>
    <w:basedOn w:val="a"/>
    <w:link w:val="ab"/>
    <w:rsid w:val="00864585"/>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rsid w:val="00864585"/>
    <w:rPr>
      <w:rFonts w:ascii="Times New Roman" w:hAnsi="Times New Roman"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周周</dc:creator>
  <cp:lastModifiedBy>周周</cp:lastModifiedBy>
  <cp:revision>2</cp:revision>
  <dcterms:created xsi:type="dcterms:W3CDTF">2019-08-21T08:16:00Z</dcterms:created>
  <dcterms:modified xsi:type="dcterms:W3CDTF">2019-08-31T12:08:00Z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