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1440"/>
        <w:jc w:val="center"/>
        <w:rPr>
          <w:rFonts w:eastAsia="方正小标宋_GBK"/>
          <w:bCs/>
          <w:sz w:val="72"/>
          <w:szCs w:val="72"/>
        </w:rPr>
      </w:pPr>
      <w:bookmarkStart w:id="0" w:name="_Toc1223"/>
      <w:bookmarkStart w:id="1" w:name="_Toc3470"/>
    </w:p>
    <w:p>
      <w:pPr>
        <w:ind w:firstLine="0" w:firstLineChars="0"/>
        <w:jc w:val="center"/>
        <w:rPr>
          <w:rFonts w:eastAsia="方正小标宋_GBK"/>
          <w:bCs/>
          <w:sz w:val="72"/>
          <w:szCs w:val="72"/>
        </w:rPr>
      </w:pPr>
      <w:r>
        <w:rPr>
          <w:rFonts w:eastAsia="方正小标宋_GBK"/>
          <w:bCs/>
          <w:sz w:val="72"/>
          <w:szCs w:val="72"/>
        </w:rPr>
        <w:t>建设项目环境影响报告表</w:t>
      </w:r>
      <w:bookmarkEnd w:id="0"/>
      <w:bookmarkEnd w:id="1"/>
    </w:p>
    <w:p>
      <w:pPr>
        <w:ind w:firstLine="0" w:firstLineChars="0"/>
        <w:jc w:val="center"/>
        <w:rPr>
          <w:rFonts w:eastAsia="楷体_GB2312"/>
          <w:bCs/>
          <w:sz w:val="48"/>
          <w:szCs w:val="48"/>
        </w:rPr>
      </w:pPr>
      <w:r>
        <w:rPr>
          <w:rFonts w:eastAsia="楷体_GB2312"/>
          <w:bCs/>
          <w:sz w:val="48"/>
          <w:szCs w:val="48"/>
        </w:rPr>
        <w:t>（污染影响类）</w:t>
      </w:r>
    </w:p>
    <w:p>
      <w:pPr>
        <w:ind w:firstLine="0" w:firstLineChars="0"/>
        <w:rPr>
          <w:rFonts w:eastAsia="仿宋"/>
          <w:sz w:val="44"/>
          <w:szCs w:val="44"/>
        </w:rPr>
      </w:pPr>
    </w:p>
    <w:p>
      <w:pPr>
        <w:ind w:firstLine="0" w:firstLineChars="0"/>
        <w:rPr>
          <w:rFonts w:eastAsia="仿宋"/>
          <w:sz w:val="44"/>
          <w:szCs w:val="44"/>
        </w:rPr>
      </w:pPr>
    </w:p>
    <w:p>
      <w:pPr>
        <w:ind w:firstLine="0" w:firstLineChars="0"/>
        <w:rPr>
          <w:rFonts w:eastAsia="仿宋"/>
          <w:sz w:val="44"/>
          <w:szCs w:val="44"/>
        </w:rPr>
      </w:pPr>
    </w:p>
    <w:p>
      <w:pPr>
        <w:ind w:firstLine="0" w:firstLineChars="0"/>
        <w:rPr>
          <w:rFonts w:eastAsia="仿宋"/>
          <w:sz w:val="44"/>
          <w:szCs w:val="44"/>
        </w:rPr>
      </w:pPr>
    </w:p>
    <w:p>
      <w:pPr>
        <w:ind w:firstLine="0" w:firstLineChars="0"/>
        <w:rPr>
          <w:rFonts w:eastAsia="仿宋"/>
          <w:sz w:val="44"/>
          <w:szCs w:val="44"/>
        </w:rPr>
      </w:pPr>
    </w:p>
    <w:p>
      <w:pPr>
        <w:ind w:firstLine="0" w:firstLineChars="0"/>
        <w:rPr>
          <w:rFonts w:eastAsia="仿宋"/>
          <w:sz w:val="44"/>
          <w:szCs w:val="44"/>
        </w:rPr>
      </w:pPr>
    </w:p>
    <w:p>
      <w:pPr>
        <w:ind w:firstLine="0" w:firstLineChars="0"/>
        <w:rPr>
          <w:rFonts w:eastAsia="仿宋"/>
          <w:sz w:val="44"/>
          <w:szCs w:val="44"/>
        </w:rPr>
      </w:pPr>
    </w:p>
    <w:p>
      <w:pPr>
        <w:ind w:firstLine="0" w:firstLineChars="0"/>
        <w:rPr>
          <w:rFonts w:eastAsia="仿宋_GB2312"/>
          <w:sz w:val="32"/>
          <w:szCs w:val="32"/>
          <w:u w:val="single"/>
        </w:rPr>
      </w:pPr>
      <w:r>
        <w:rPr>
          <w:rFonts w:eastAsia="仿宋_GB2312"/>
          <w:sz w:val="32"/>
          <w:szCs w:val="32"/>
        </w:rPr>
        <w:t>项目名称：</w:t>
      </w:r>
      <w:r>
        <w:rPr>
          <w:rFonts w:hint="eastAsia" w:eastAsia="仿宋_GB2312"/>
          <w:sz w:val="32"/>
          <w:szCs w:val="32"/>
          <w:u w:val="single"/>
        </w:rPr>
        <w:t>年产2</w:t>
      </w:r>
      <w:r>
        <w:rPr>
          <w:rFonts w:eastAsia="仿宋_GB2312"/>
          <w:sz w:val="32"/>
          <w:szCs w:val="32"/>
          <w:u w:val="single"/>
        </w:rPr>
        <w:t>6</w:t>
      </w:r>
      <w:r>
        <w:rPr>
          <w:rFonts w:hint="eastAsia" w:eastAsia="仿宋_GB2312"/>
          <w:sz w:val="32"/>
          <w:szCs w:val="32"/>
          <w:u w:val="single"/>
        </w:rPr>
        <w:t xml:space="preserve">万米合成树脂瓦建设项目 </w:t>
      </w:r>
      <w:r>
        <w:rPr>
          <w:rFonts w:eastAsia="仿宋_GB2312"/>
          <w:sz w:val="32"/>
          <w:szCs w:val="32"/>
          <w:u w:val="single"/>
        </w:rPr>
        <w:t xml:space="preserve">             </w:t>
      </w:r>
      <w:r>
        <w:rPr>
          <w:rFonts w:eastAsia="仿宋_GB2312"/>
          <w:sz w:val="2"/>
          <w:szCs w:val="2"/>
          <w:u w:val="single"/>
        </w:rPr>
        <w:t xml:space="preserve">. </w:t>
      </w:r>
    </w:p>
    <w:p>
      <w:pPr>
        <w:ind w:firstLine="0" w:firstLineChars="0"/>
        <w:rPr>
          <w:rFonts w:eastAsia="仿宋_GB2312"/>
          <w:sz w:val="32"/>
          <w:szCs w:val="32"/>
          <w:u w:val="single"/>
        </w:rPr>
      </w:pPr>
      <w:r>
        <w:rPr>
          <w:rFonts w:eastAsia="仿宋_GB2312"/>
          <w:sz w:val="32"/>
          <w:szCs w:val="32"/>
        </w:rPr>
        <w:t>建设单位（盖章）：</w:t>
      </w:r>
      <w:r>
        <w:rPr>
          <w:rFonts w:hint="eastAsia" w:eastAsia="仿宋_GB2312"/>
          <w:sz w:val="32"/>
          <w:szCs w:val="32"/>
          <w:u w:val="single"/>
        </w:rPr>
        <w:t xml:space="preserve"> </w:t>
      </w:r>
      <w:r>
        <w:rPr>
          <w:rFonts w:eastAsia="仿宋_GB2312"/>
          <w:sz w:val="32"/>
          <w:szCs w:val="32"/>
          <w:u w:val="single"/>
        </w:rPr>
        <w:t xml:space="preserve">    </w:t>
      </w:r>
      <w:r>
        <w:rPr>
          <w:rFonts w:hint="eastAsia" w:eastAsia="仿宋_GB2312"/>
          <w:sz w:val="32"/>
          <w:szCs w:val="32"/>
          <w:u w:val="single"/>
        </w:rPr>
        <w:t xml:space="preserve">永州经开区中建合成树脂瓦厂 </w:t>
      </w:r>
      <w:r>
        <w:rPr>
          <w:rFonts w:eastAsia="仿宋_GB2312"/>
          <w:sz w:val="32"/>
          <w:szCs w:val="32"/>
          <w:u w:val="single"/>
        </w:rPr>
        <w:t xml:space="preserve">          </w:t>
      </w:r>
    </w:p>
    <w:p>
      <w:pPr>
        <w:ind w:firstLine="0" w:firstLineChars="0"/>
        <w:rPr>
          <w:rFonts w:eastAsia="仿宋_GB2312"/>
          <w:sz w:val="36"/>
          <w:szCs w:val="36"/>
          <w:u w:val="single"/>
        </w:rPr>
      </w:pPr>
      <w:r>
        <w:rPr>
          <w:rFonts w:eastAsia="仿宋_GB2312"/>
          <w:sz w:val="32"/>
          <w:szCs w:val="32"/>
        </w:rPr>
        <w:t>编制日期：</w:t>
      </w:r>
      <w:r>
        <w:rPr>
          <w:rFonts w:hint="eastAsia" w:eastAsia="仿宋_GB2312"/>
          <w:sz w:val="32"/>
          <w:szCs w:val="32"/>
          <w:u w:val="single"/>
        </w:rPr>
        <w:t xml:space="preserve"> </w:t>
      </w:r>
      <w:r>
        <w:rPr>
          <w:rFonts w:eastAsia="仿宋_GB2312"/>
          <w:sz w:val="32"/>
          <w:szCs w:val="32"/>
          <w:u w:val="single"/>
        </w:rPr>
        <w:t xml:space="preserve">                          2023</w:t>
      </w:r>
      <w:r>
        <w:rPr>
          <w:rFonts w:hint="eastAsia" w:eastAsia="仿宋_GB2312"/>
          <w:sz w:val="32"/>
          <w:szCs w:val="32"/>
          <w:u w:val="single"/>
        </w:rPr>
        <w:t>年</w:t>
      </w:r>
      <w:r>
        <w:rPr>
          <w:rFonts w:eastAsia="仿宋_GB2312"/>
          <w:sz w:val="32"/>
          <w:szCs w:val="32"/>
          <w:u w:val="single"/>
        </w:rPr>
        <w:t>1</w:t>
      </w:r>
      <w:r>
        <w:rPr>
          <w:rFonts w:hint="eastAsia" w:eastAsia="仿宋_GB2312"/>
          <w:sz w:val="32"/>
          <w:szCs w:val="32"/>
          <w:u w:val="single"/>
        </w:rPr>
        <w:t xml:space="preserve">月 </w:t>
      </w:r>
      <w:r>
        <w:rPr>
          <w:rFonts w:eastAsia="仿宋_GB2312"/>
          <w:sz w:val="32"/>
          <w:szCs w:val="32"/>
          <w:u w:val="single"/>
        </w:rPr>
        <w:t xml:space="preserve">                      </w:t>
      </w:r>
      <w:r>
        <w:rPr>
          <w:rFonts w:eastAsia="仿宋_GB2312"/>
          <w:sz w:val="2"/>
          <w:szCs w:val="2"/>
          <w:u w:val="single"/>
        </w:rPr>
        <w:t>.</w:t>
      </w:r>
    </w:p>
    <w:p>
      <w:pPr>
        <w:ind w:firstLine="0" w:firstLineChars="0"/>
        <w:rPr>
          <w:rFonts w:eastAsia="仿宋_GB2312"/>
          <w:sz w:val="36"/>
          <w:szCs w:val="36"/>
        </w:rPr>
      </w:pPr>
      <w:bookmarkStart w:id="2" w:name="_Hlk57884087"/>
    </w:p>
    <w:p>
      <w:pPr>
        <w:adjustRightInd w:val="0"/>
        <w:snapToGrid w:val="0"/>
        <w:spacing w:line="288" w:lineRule="auto"/>
        <w:ind w:firstLine="0" w:firstLineChars="0"/>
        <w:rPr>
          <w:rFonts w:eastAsia="仿宋_GB2312"/>
          <w:sz w:val="36"/>
          <w:szCs w:val="36"/>
        </w:rPr>
      </w:pPr>
    </w:p>
    <w:p>
      <w:pPr>
        <w:pStyle w:val="8"/>
        <w:ind w:firstLine="0" w:firstLineChars="0"/>
      </w:pPr>
    </w:p>
    <w:p>
      <w:pPr>
        <w:pStyle w:val="24"/>
        <w:ind w:firstLine="0" w:firstLineChars="0"/>
      </w:pPr>
    </w:p>
    <w:p>
      <w:pPr>
        <w:ind w:firstLine="0" w:firstLineChars="0"/>
      </w:pPr>
    </w:p>
    <w:p>
      <w:pPr>
        <w:pStyle w:val="8"/>
        <w:ind w:firstLine="0" w:firstLineChars="0"/>
      </w:pPr>
    </w:p>
    <w:bookmarkEnd w:id="2"/>
    <w:p>
      <w:pPr>
        <w:ind w:firstLine="720"/>
        <w:jc w:val="center"/>
        <w:rPr>
          <w:rFonts w:eastAsia="楷体_GB2312"/>
          <w:sz w:val="36"/>
          <w:szCs w:val="36"/>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docGrid w:type="lines" w:linePitch="312" w:charSpace="0"/>
        </w:sectPr>
      </w:pPr>
      <w:r>
        <w:rPr>
          <w:rFonts w:eastAsia="楷体_GB2312"/>
          <w:sz w:val="36"/>
          <w:szCs w:val="36"/>
        </w:rPr>
        <w:t>中华人民共和国生态环境部制</w:t>
      </w:r>
    </w:p>
    <w:p>
      <w:pPr>
        <w:ind w:firstLine="0" w:firstLineChars="0"/>
        <w:jc w:val="center"/>
      </w:pPr>
      <w:r>
        <w:drawing>
          <wp:inline distT="0" distB="0" distL="0" distR="0">
            <wp:extent cx="5274310" cy="744918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274310" cy="7449185"/>
                    </a:xfrm>
                    <a:prstGeom prst="rect">
                      <a:avLst/>
                    </a:prstGeom>
                    <a:noFill/>
                    <a:ln>
                      <a:noFill/>
                    </a:ln>
                  </pic:spPr>
                </pic:pic>
              </a:graphicData>
            </a:graphic>
          </wp:inline>
        </w:drawing>
      </w:r>
    </w:p>
    <w:p>
      <w:pPr>
        <w:ind w:firstLine="0" w:firstLineChars="0"/>
      </w:pPr>
      <w:r>
        <w:drawing>
          <wp:inline distT="0" distB="0" distL="0" distR="0">
            <wp:extent cx="5274310" cy="744918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274310" cy="7449185"/>
                    </a:xfrm>
                    <a:prstGeom prst="rect">
                      <a:avLst/>
                    </a:prstGeom>
                    <a:noFill/>
                    <a:ln>
                      <a:noFill/>
                    </a:ln>
                  </pic:spPr>
                </pic:pic>
              </a:graphicData>
            </a:graphic>
          </wp:inline>
        </w:drawing>
      </w:r>
    </w:p>
    <w:p>
      <w:pPr>
        <w:ind w:firstLine="0" w:firstLineChars="0"/>
      </w:pPr>
      <w:r>
        <w:rPr>
          <w:rFonts w:hint="eastAsia"/>
        </w:rPr>
        <w:drawing>
          <wp:inline distT="0" distB="0" distL="0" distR="0">
            <wp:extent cx="5274310" cy="744918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74310" cy="7449185"/>
                    </a:xfrm>
                    <a:prstGeom prst="rect">
                      <a:avLst/>
                    </a:prstGeom>
                    <a:noFill/>
                    <a:ln>
                      <a:noFill/>
                    </a:ln>
                  </pic:spPr>
                </pic:pic>
              </a:graphicData>
            </a:graphic>
          </wp:inline>
        </w:drawing>
      </w:r>
    </w:p>
    <w:p>
      <w:pPr>
        <w:ind w:firstLine="0" w:firstLineChars="0"/>
      </w:pPr>
      <w:r>
        <w:rPr>
          <w:rFonts w:hint="eastAsia"/>
        </w:rPr>
        <w:drawing>
          <wp:inline distT="0" distB="0" distL="0" distR="0">
            <wp:extent cx="5274310" cy="744918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274310" cy="7449185"/>
                    </a:xfrm>
                    <a:prstGeom prst="rect">
                      <a:avLst/>
                    </a:prstGeom>
                    <a:noFill/>
                    <a:ln>
                      <a:noFill/>
                    </a:ln>
                  </pic:spPr>
                </pic:pic>
              </a:graphicData>
            </a:graphic>
          </wp:inline>
        </w:drawing>
      </w:r>
    </w:p>
    <w:p>
      <w:pPr>
        <w:ind w:firstLine="0" w:firstLineChars="0"/>
      </w:pPr>
      <w:r>
        <w:rPr>
          <w:rFonts w:hint="eastAsia"/>
        </w:rPr>
        <w:drawing>
          <wp:inline distT="0" distB="0" distL="0" distR="0">
            <wp:extent cx="5274310" cy="744918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274310" cy="7449185"/>
                    </a:xfrm>
                    <a:prstGeom prst="rect">
                      <a:avLst/>
                    </a:prstGeom>
                    <a:noFill/>
                    <a:ln>
                      <a:noFill/>
                    </a:ln>
                  </pic:spPr>
                </pic:pic>
              </a:graphicData>
            </a:graphic>
          </wp:inline>
        </w:drawing>
      </w:r>
    </w:p>
    <w:p>
      <w:pPr>
        <w:ind w:firstLine="0" w:firstLineChars="0"/>
      </w:pPr>
      <w:r>
        <w:rPr>
          <w:rFonts w:hint="eastAsia"/>
        </w:rPr>
        <w:drawing>
          <wp:inline distT="0" distB="0" distL="0" distR="0">
            <wp:extent cx="5274310" cy="744918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274310" cy="7449185"/>
                    </a:xfrm>
                    <a:prstGeom prst="rect">
                      <a:avLst/>
                    </a:prstGeom>
                    <a:noFill/>
                    <a:ln>
                      <a:noFill/>
                    </a:ln>
                  </pic:spPr>
                </pic:pic>
              </a:graphicData>
            </a:graphic>
          </wp:inline>
        </w:drawing>
      </w:r>
    </w:p>
    <w:p>
      <w:pPr>
        <w:ind w:firstLine="0" w:firstLineChars="0"/>
        <w:sectPr>
          <w:pgSz w:w="11906" w:h="16838"/>
          <w:pgMar w:top="1440" w:right="1800" w:bottom="1440" w:left="1800" w:header="851" w:footer="992" w:gutter="0"/>
          <w:cols w:space="425" w:num="1"/>
          <w:docGrid w:type="lines" w:linePitch="312" w:charSpace="0"/>
        </w:sectPr>
      </w:pPr>
      <w:r>
        <w:rPr>
          <w:rFonts w:hint="eastAsia"/>
        </w:rPr>
        <w:drawing>
          <wp:inline distT="0" distB="0" distL="0" distR="0">
            <wp:extent cx="5274310" cy="744918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274310" cy="7449185"/>
                    </a:xfrm>
                    <a:prstGeom prst="rect">
                      <a:avLst/>
                    </a:prstGeom>
                    <a:noFill/>
                    <a:ln>
                      <a:noFill/>
                    </a:ln>
                  </pic:spPr>
                </pic:pic>
              </a:graphicData>
            </a:graphic>
          </wp:inline>
        </w:drawing>
      </w:r>
    </w:p>
    <w:p>
      <w:pPr>
        <w:tabs>
          <w:tab w:val="center" w:pos="4153"/>
        </w:tabs>
        <w:ind w:firstLine="0" w:firstLineChars="0"/>
      </w:pPr>
      <w:r>
        <w:tab/>
      </w:r>
    </w:p>
    <w:p>
      <w:pPr>
        <w:ind w:firstLine="480"/>
        <w:sectPr>
          <w:pgSz w:w="11906" w:h="16838"/>
          <w:pgMar w:top="1440" w:right="1800" w:bottom="1440" w:left="1800" w:header="851" w:footer="992" w:gutter="0"/>
          <w:cols w:space="425" w:num="1"/>
          <w:docGrid w:type="lines" w:linePitch="312" w:charSpace="0"/>
        </w:sectPr>
      </w:pPr>
    </w:p>
    <w:sdt>
      <w:sdtPr>
        <w:rPr>
          <w:rFonts w:ascii="Times New Roman" w:hAnsi="Times New Roman" w:eastAsia="宋体" w:cs="Times New Roman"/>
          <w:color w:val="auto"/>
          <w:kern w:val="2"/>
          <w:sz w:val="24"/>
          <w:szCs w:val="24"/>
          <w:lang w:val="zh-CN"/>
        </w:rPr>
        <w:id w:val="908665406"/>
        <w:docPartObj>
          <w:docPartGallery w:val="Table of Contents"/>
          <w:docPartUnique/>
        </w:docPartObj>
      </w:sdtPr>
      <w:sdtEndPr>
        <w:rPr>
          <w:rFonts w:ascii="Times New Roman" w:hAnsi="Times New Roman" w:eastAsia="宋体" w:cs="Times New Roman"/>
          <w:b/>
          <w:bCs/>
          <w:color w:val="auto"/>
          <w:kern w:val="2"/>
          <w:sz w:val="24"/>
          <w:szCs w:val="24"/>
          <w:lang w:val="zh-CN"/>
        </w:rPr>
      </w:sdtEndPr>
      <w:sdtContent>
        <w:p>
          <w:pPr>
            <w:pStyle w:val="111"/>
            <w:ind w:firstLine="480"/>
            <w:jc w:val="center"/>
          </w:pPr>
          <w:r>
            <w:rPr>
              <w:lang w:val="zh-CN"/>
            </w:rPr>
            <w:t>目录</w:t>
          </w:r>
        </w:p>
        <w:p>
          <w:pPr>
            <w:pStyle w:val="14"/>
            <w:tabs>
              <w:tab w:val="right" w:leader="dot" w:pos="8296"/>
            </w:tabs>
            <w:ind w:firstLine="480"/>
            <w:rPr>
              <w:rFonts w:asciiTheme="minorHAnsi" w:hAnsiTheme="minorHAnsi" w:eastAsiaTheme="minorEastAsia" w:cstheme="minorBidi"/>
              <w:sz w:val="21"/>
              <w:szCs w:val="22"/>
            </w:rPr>
          </w:pPr>
          <w:r>
            <w:fldChar w:fldCharType="begin"/>
          </w:r>
          <w:r>
            <w:instrText xml:space="preserve"> TOC \o "1-3" \h \z \u </w:instrText>
          </w:r>
          <w:r>
            <w:fldChar w:fldCharType="separate"/>
          </w:r>
          <w:r>
            <w:fldChar w:fldCharType="begin"/>
          </w:r>
          <w:r>
            <w:instrText xml:space="preserve"> HYPERLINK \l "_Toc105443174" </w:instrText>
          </w:r>
          <w:r>
            <w:fldChar w:fldCharType="separate"/>
          </w:r>
          <w:r>
            <w:rPr>
              <w:rStyle w:val="37"/>
            </w:rPr>
            <w:t>一、建设项目基本情况</w:t>
          </w:r>
          <w:r>
            <w:tab/>
          </w:r>
          <w:r>
            <w:fldChar w:fldCharType="begin"/>
          </w:r>
          <w:r>
            <w:instrText xml:space="preserve"> PAGEREF _Toc105443174 \h </w:instrText>
          </w:r>
          <w:r>
            <w:fldChar w:fldCharType="separate"/>
          </w:r>
          <w:r>
            <w:t>1</w:t>
          </w:r>
          <w:r>
            <w:fldChar w:fldCharType="end"/>
          </w:r>
          <w:r>
            <w:fldChar w:fldCharType="end"/>
          </w:r>
        </w:p>
        <w:p>
          <w:pPr>
            <w:pStyle w:val="14"/>
            <w:tabs>
              <w:tab w:val="right" w:leader="dot" w:pos="8296"/>
            </w:tabs>
            <w:ind w:firstLine="480"/>
            <w:rPr>
              <w:rFonts w:asciiTheme="minorHAnsi" w:hAnsiTheme="minorHAnsi" w:eastAsiaTheme="minorEastAsia" w:cstheme="minorBidi"/>
              <w:sz w:val="21"/>
              <w:szCs w:val="22"/>
            </w:rPr>
          </w:pPr>
          <w:r>
            <w:fldChar w:fldCharType="begin"/>
          </w:r>
          <w:r>
            <w:instrText xml:space="preserve"> HYPERLINK \l "_Toc105443175" </w:instrText>
          </w:r>
          <w:r>
            <w:fldChar w:fldCharType="separate"/>
          </w:r>
          <w:r>
            <w:rPr>
              <w:rStyle w:val="37"/>
            </w:rPr>
            <w:t>二、建设项目工程分析</w:t>
          </w:r>
          <w:r>
            <w:tab/>
          </w:r>
          <w:r>
            <w:fldChar w:fldCharType="begin"/>
          </w:r>
          <w:r>
            <w:instrText xml:space="preserve"> PAGEREF _Toc105443175 \h </w:instrText>
          </w:r>
          <w:r>
            <w:fldChar w:fldCharType="separate"/>
          </w:r>
          <w:r>
            <w:t>15</w:t>
          </w:r>
          <w:r>
            <w:fldChar w:fldCharType="end"/>
          </w:r>
          <w:r>
            <w:fldChar w:fldCharType="end"/>
          </w:r>
        </w:p>
        <w:p>
          <w:pPr>
            <w:pStyle w:val="14"/>
            <w:tabs>
              <w:tab w:val="right" w:leader="dot" w:pos="8296"/>
            </w:tabs>
            <w:ind w:firstLine="480"/>
            <w:rPr>
              <w:rFonts w:asciiTheme="minorHAnsi" w:hAnsiTheme="minorHAnsi" w:eastAsiaTheme="minorEastAsia" w:cstheme="minorBidi"/>
              <w:sz w:val="21"/>
              <w:szCs w:val="22"/>
            </w:rPr>
          </w:pPr>
          <w:r>
            <w:fldChar w:fldCharType="begin"/>
          </w:r>
          <w:r>
            <w:instrText xml:space="preserve"> HYPERLINK \l "_Toc105443176" </w:instrText>
          </w:r>
          <w:r>
            <w:fldChar w:fldCharType="separate"/>
          </w:r>
          <w:r>
            <w:rPr>
              <w:rStyle w:val="37"/>
              <w:snapToGrid w:val="0"/>
            </w:rPr>
            <w:t>三、区域环境质量现状、环境保护目标及评价标准</w:t>
          </w:r>
          <w:r>
            <w:tab/>
          </w:r>
          <w:r>
            <w:fldChar w:fldCharType="begin"/>
          </w:r>
          <w:r>
            <w:instrText xml:space="preserve"> PAGEREF _Toc105443176 \h </w:instrText>
          </w:r>
          <w:r>
            <w:fldChar w:fldCharType="separate"/>
          </w:r>
          <w:r>
            <w:t>22</w:t>
          </w:r>
          <w:r>
            <w:fldChar w:fldCharType="end"/>
          </w:r>
          <w:r>
            <w:fldChar w:fldCharType="end"/>
          </w:r>
        </w:p>
        <w:p>
          <w:pPr>
            <w:pStyle w:val="14"/>
            <w:tabs>
              <w:tab w:val="right" w:leader="dot" w:pos="8296"/>
            </w:tabs>
            <w:ind w:firstLine="480"/>
            <w:rPr>
              <w:rFonts w:asciiTheme="minorHAnsi" w:hAnsiTheme="minorHAnsi" w:eastAsiaTheme="minorEastAsia" w:cstheme="minorBidi"/>
              <w:sz w:val="21"/>
              <w:szCs w:val="22"/>
            </w:rPr>
          </w:pPr>
          <w:r>
            <w:fldChar w:fldCharType="begin"/>
          </w:r>
          <w:r>
            <w:instrText xml:space="preserve"> HYPERLINK \l "_Toc105443177" </w:instrText>
          </w:r>
          <w:r>
            <w:fldChar w:fldCharType="separate"/>
          </w:r>
          <w:r>
            <w:rPr>
              <w:rStyle w:val="37"/>
              <w:snapToGrid w:val="0"/>
            </w:rPr>
            <w:t>四、主要环境影响和保护措施</w:t>
          </w:r>
          <w:r>
            <w:tab/>
          </w:r>
          <w:r>
            <w:fldChar w:fldCharType="begin"/>
          </w:r>
          <w:r>
            <w:instrText xml:space="preserve"> PAGEREF _Toc105443177 \h </w:instrText>
          </w:r>
          <w:r>
            <w:fldChar w:fldCharType="separate"/>
          </w:r>
          <w:r>
            <w:t>28</w:t>
          </w:r>
          <w:r>
            <w:fldChar w:fldCharType="end"/>
          </w:r>
          <w:r>
            <w:fldChar w:fldCharType="end"/>
          </w:r>
        </w:p>
        <w:p>
          <w:pPr>
            <w:pStyle w:val="14"/>
            <w:tabs>
              <w:tab w:val="right" w:leader="dot" w:pos="8296"/>
            </w:tabs>
            <w:ind w:firstLine="480"/>
            <w:rPr>
              <w:rFonts w:asciiTheme="minorHAnsi" w:hAnsiTheme="minorHAnsi" w:eastAsiaTheme="minorEastAsia" w:cstheme="minorBidi"/>
              <w:sz w:val="21"/>
              <w:szCs w:val="22"/>
            </w:rPr>
          </w:pPr>
          <w:r>
            <w:fldChar w:fldCharType="begin"/>
          </w:r>
          <w:r>
            <w:instrText xml:space="preserve"> HYPERLINK \l "_Toc105443178" </w:instrText>
          </w:r>
          <w:r>
            <w:fldChar w:fldCharType="separate"/>
          </w:r>
          <w:r>
            <w:rPr>
              <w:rStyle w:val="37"/>
              <w:snapToGrid w:val="0"/>
            </w:rPr>
            <w:t>五、环境保护措施监督检查清单</w:t>
          </w:r>
          <w:r>
            <w:tab/>
          </w:r>
          <w:r>
            <w:fldChar w:fldCharType="begin"/>
          </w:r>
          <w:r>
            <w:instrText xml:space="preserve"> PAGEREF _Toc105443178 \h </w:instrText>
          </w:r>
          <w:r>
            <w:fldChar w:fldCharType="separate"/>
          </w:r>
          <w:r>
            <w:t>45</w:t>
          </w:r>
          <w:r>
            <w:fldChar w:fldCharType="end"/>
          </w:r>
          <w:r>
            <w:fldChar w:fldCharType="end"/>
          </w:r>
        </w:p>
        <w:p>
          <w:pPr>
            <w:pStyle w:val="14"/>
            <w:tabs>
              <w:tab w:val="right" w:leader="dot" w:pos="8296"/>
            </w:tabs>
            <w:ind w:firstLine="480"/>
            <w:rPr>
              <w:rFonts w:asciiTheme="minorHAnsi" w:hAnsiTheme="minorHAnsi" w:eastAsiaTheme="minorEastAsia" w:cstheme="minorBidi"/>
              <w:sz w:val="21"/>
              <w:szCs w:val="22"/>
            </w:rPr>
          </w:pPr>
          <w:r>
            <w:fldChar w:fldCharType="begin"/>
          </w:r>
          <w:r>
            <w:instrText xml:space="preserve"> HYPERLINK \l "_Toc105443179" </w:instrText>
          </w:r>
          <w:r>
            <w:fldChar w:fldCharType="separate"/>
          </w:r>
          <w:r>
            <w:rPr>
              <w:rStyle w:val="37"/>
              <w:snapToGrid w:val="0"/>
            </w:rPr>
            <w:t>六、结论</w:t>
          </w:r>
          <w:r>
            <w:tab/>
          </w:r>
          <w:r>
            <w:fldChar w:fldCharType="begin"/>
          </w:r>
          <w:r>
            <w:instrText xml:space="preserve"> PAGEREF _Toc105443179 \h </w:instrText>
          </w:r>
          <w:r>
            <w:fldChar w:fldCharType="separate"/>
          </w:r>
          <w:r>
            <w:t>47</w:t>
          </w:r>
          <w:r>
            <w:fldChar w:fldCharType="end"/>
          </w:r>
          <w:r>
            <w:fldChar w:fldCharType="end"/>
          </w:r>
        </w:p>
        <w:p>
          <w:pPr>
            <w:pStyle w:val="14"/>
            <w:tabs>
              <w:tab w:val="right" w:leader="dot" w:pos="8296"/>
            </w:tabs>
            <w:ind w:firstLine="480"/>
            <w:rPr>
              <w:rFonts w:asciiTheme="minorHAnsi" w:hAnsiTheme="minorHAnsi" w:eastAsiaTheme="minorEastAsia" w:cstheme="minorBidi"/>
              <w:sz w:val="21"/>
              <w:szCs w:val="22"/>
            </w:rPr>
          </w:pPr>
          <w:r>
            <w:fldChar w:fldCharType="begin"/>
          </w:r>
          <w:r>
            <w:instrText xml:space="preserve"> HYPERLINK \l "_Toc105443180" </w:instrText>
          </w:r>
          <w:r>
            <w:fldChar w:fldCharType="separate"/>
          </w:r>
          <w:r>
            <w:rPr>
              <w:rStyle w:val="37"/>
              <w:snapToGrid w:val="0"/>
            </w:rPr>
            <w:t>附表</w:t>
          </w:r>
          <w:r>
            <w:tab/>
          </w:r>
          <w:r>
            <w:fldChar w:fldCharType="begin"/>
          </w:r>
          <w:r>
            <w:instrText xml:space="preserve"> PAGEREF _Toc105443180 \h </w:instrText>
          </w:r>
          <w:r>
            <w:fldChar w:fldCharType="separate"/>
          </w:r>
          <w:r>
            <w:t>48</w:t>
          </w:r>
          <w:r>
            <w:fldChar w:fldCharType="end"/>
          </w:r>
          <w:r>
            <w:fldChar w:fldCharType="end"/>
          </w:r>
        </w:p>
        <w:p>
          <w:pPr>
            <w:pStyle w:val="14"/>
            <w:tabs>
              <w:tab w:val="right" w:leader="dot" w:pos="8296"/>
            </w:tabs>
            <w:ind w:firstLine="480"/>
            <w:rPr>
              <w:rFonts w:asciiTheme="minorHAnsi" w:hAnsiTheme="minorHAnsi" w:eastAsiaTheme="minorEastAsia" w:cstheme="minorBidi"/>
              <w:sz w:val="21"/>
              <w:szCs w:val="22"/>
            </w:rPr>
          </w:pPr>
          <w:r>
            <w:fldChar w:fldCharType="begin"/>
          </w:r>
          <w:r>
            <w:instrText xml:space="preserve"> HYPERLINK \l "_Toc105443181" </w:instrText>
          </w:r>
          <w:r>
            <w:fldChar w:fldCharType="separate"/>
          </w:r>
          <w:r>
            <w:rPr>
              <w:rStyle w:val="37"/>
            </w:rPr>
            <w:t>附件</w:t>
          </w:r>
          <w:r>
            <w:tab/>
          </w:r>
          <w:r>
            <w:fldChar w:fldCharType="begin"/>
          </w:r>
          <w:r>
            <w:instrText xml:space="preserve"> PAGEREF _Toc105443181 \h </w:instrText>
          </w:r>
          <w:r>
            <w:fldChar w:fldCharType="separate"/>
          </w:r>
          <w:r>
            <w:t>49</w:t>
          </w:r>
          <w:r>
            <w:fldChar w:fldCharType="end"/>
          </w:r>
          <w:r>
            <w:fldChar w:fldCharType="end"/>
          </w:r>
        </w:p>
        <w:p>
          <w:pPr>
            <w:pStyle w:val="23"/>
            <w:tabs>
              <w:tab w:val="right" w:leader="dot" w:pos="8296"/>
            </w:tabs>
            <w:ind w:left="480" w:firstLine="480"/>
            <w:rPr>
              <w:rFonts w:asciiTheme="minorHAnsi" w:hAnsiTheme="minorHAnsi" w:eastAsiaTheme="minorEastAsia" w:cstheme="minorBidi"/>
              <w:sz w:val="21"/>
              <w:szCs w:val="22"/>
            </w:rPr>
          </w:pPr>
          <w:r>
            <w:fldChar w:fldCharType="begin"/>
          </w:r>
          <w:r>
            <w:instrText xml:space="preserve"> HYPERLINK \l "_Toc105443182" </w:instrText>
          </w:r>
          <w:r>
            <w:fldChar w:fldCharType="separate"/>
          </w:r>
          <w:r>
            <w:rPr>
              <w:rStyle w:val="37"/>
            </w:rPr>
            <w:t>附件1委托书</w:t>
          </w:r>
          <w:r>
            <w:tab/>
          </w:r>
          <w:r>
            <w:fldChar w:fldCharType="begin"/>
          </w:r>
          <w:r>
            <w:instrText xml:space="preserve"> PAGEREF _Toc105443182 \h </w:instrText>
          </w:r>
          <w:r>
            <w:fldChar w:fldCharType="separate"/>
          </w:r>
          <w:r>
            <w:t>49</w:t>
          </w:r>
          <w:r>
            <w:fldChar w:fldCharType="end"/>
          </w:r>
          <w:r>
            <w:fldChar w:fldCharType="end"/>
          </w:r>
        </w:p>
        <w:p>
          <w:pPr>
            <w:pStyle w:val="23"/>
            <w:tabs>
              <w:tab w:val="right" w:leader="dot" w:pos="8296"/>
            </w:tabs>
            <w:ind w:left="480" w:firstLine="480"/>
            <w:rPr>
              <w:rFonts w:asciiTheme="minorHAnsi" w:hAnsiTheme="minorHAnsi" w:eastAsiaTheme="minorEastAsia" w:cstheme="minorBidi"/>
              <w:sz w:val="21"/>
              <w:szCs w:val="22"/>
            </w:rPr>
          </w:pPr>
          <w:r>
            <w:fldChar w:fldCharType="begin"/>
          </w:r>
          <w:r>
            <w:instrText xml:space="preserve"> HYPERLINK \l "_Toc105443183" </w:instrText>
          </w:r>
          <w:r>
            <w:fldChar w:fldCharType="separate"/>
          </w:r>
          <w:r>
            <w:rPr>
              <w:rStyle w:val="37"/>
            </w:rPr>
            <w:t>附件2发改委备案文件</w:t>
          </w:r>
          <w:r>
            <w:tab/>
          </w:r>
          <w:r>
            <w:fldChar w:fldCharType="begin"/>
          </w:r>
          <w:r>
            <w:instrText xml:space="preserve"> PAGEREF _Toc105443183 \h </w:instrText>
          </w:r>
          <w:r>
            <w:fldChar w:fldCharType="separate"/>
          </w:r>
          <w:r>
            <w:t>50</w:t>
          </w:r>
          <w:r>
            <w:fldChar w:fldCharType="end"/>
          </w:r>
          <w:r>
            <w:fldChar w:fldCharType="end"/>
          </w:r>
        </w:p>
        <w:p>
          <w:pPr>
            <w:pStyle w:val="23"/>
            <w:tabs>
              <w:tab w:val="right" w:leader="dot" w:pos="8296"/>
            </w:tabs>
            <w:ind w:left="480" w:firstLine="480"/>
            <w:rPr>
              <w:rFonts w:asciiTheme="minorHAnsi" w:hAnsiTheme="minorHAnsi" w:eastAsiaTheme="minorEastAsia" w:cstheme="minorBidi"/>
              <w:sz w:val="21"/>
              <w:szCs w:val="22"/>
            </w:rPr>
          </w:pPr>
          <w:r>
            <w:fldChar w:fldCharType="begin"/>
          </w:r>
          <w:r>
            <w:instrText xml:space="preserve"> HYPERLINK \l "_Toc105443184" </w:instrText>
          </w:r>
          <w:r>
            <w:fldChar w:fldCharType="separate"/>
          </w:r>
          <w:r>
            <w:rPr>
              <w:rStyle w:val="37"/>
            </w:rPr>
            <w:t>附件3用地证明</w:t>
          </w:r>
          <w:r>
            <w:tab/>
          </w:r>
          <w:r>
            <w:fldChar w:fldCharType="begin"/>
          </w:r>
          <w:r>
            <w:instrText xml:space="preserve"> PAGEREF _Toc105443184 \h </w:instrText>
          </w:r>
          <w:r>
            <w:fldChar w:fldCharType="separate"/>
          </w:r>
          <w:r>
            <w:t>52</w:t>
          </w:r>
          <w:r>
            <w:fldChar w:fldCharType="end"/>
          </w:r>
          <w:r>
            <w:fldChar w:fldCharType="end"/>
          </w:r>
        </w:p>
        <w:p>
          <w:pPr>
            <w:pStyle w:val="23"/>
            <w:tabs>
              <w:tab w:val="right" w:leader="dot" w:pos="8296"/>
            </w:tabs>
            <w:ind w:left="480" w:firstLine="480"/>
            <w:rPr>
              <w:rFonts w:asciiTheme="minorHAnsi" w:hAnsiTheme="minorHAnsi" w:eastAsiaTheme="minorEastAsia" w:cstheme="minorBidi"/>
              <w:sz w:val="21"/>
              <w:szCs w:val="22"/>
            </w:rPr>
          </w:pPr>
          <w:r>
            <w:fldChar w:fldCharType="begin"/>
          </w:r>
          <w:r>
            <w:instrText xml:space="preserve"> HYPERLINK \l "_Toc105443185" </w:instrText>
          </w:r>
          <w:r>
            <w:fldChar w:fldCharType="separate"/>
          </w:r>
          <w:r>
            <w:rPr>
              <w:rStyle w:val="37"/>
            </w:rPr>
            <w:t>附件4营业执照</w:t>
          </w:r>
          <w:r>
            <w:tab/>
          </w:r>
          <w:r>
            <w:fldChar w:fldCharType="begin"/>
          </w:r>
          <w:r>
            <w:instrText xml:space="preserve"> PAGEREF _Toc105443185 \h </w:instrText>
          </w:r>
          <w:r>
            <w:fldChar w:fldCharType="separate"/>
          </w:r>
          <w:r>
            <w:t>53</w:t>
          </w:r>
          <w:r>
            <w:fldChar w:fldCharType="end"/>
          </w:r>
          <w:r>
            <w:fldChar w:fldCharType="end"/>
          </w:r>
        </w:p>
        <w:p>
          <w:pPr>
            <w:pStyle w:val="23"/>
            <w:tabs>
              <w:tab w:val="right" w:leader="dot" w:pos="8296"/>
            </w:tabs>
            <w:ind w:left="480" w:firstLine="480"/>
            <w:rPr>
              <w:rFonts w:asciiTheme="minorHAnsi" w:hAnsiTheme="minorHAnsi" w:eastAsiaTheme="minorEastAsia" w:cstheme="minorBidi"/>
              <w:sz w:val="21"/>
              <w:szCs w:val="22"/>
            </w:rPr>
          </w:pPr>
          <w:r>
            <w:fldChar w:fldCharType="begin"/>
          </w:r>
          <w:r>
            <w:instrText xml:space="preserve"> HYPERLINK \l "_Toc105443186" </w:instrText>
          </w:r>
          <w:r>
            <w:fldChar w:fldCharType="separate"/>
          </w:r>
          <w:r>
            <w:rPr>
              <w:rStyle w:val="37"/>
            </w:rPr>
            <w:t>附件5检测报告</w:t>
          </w:r>
          <w:r>
            <w:tab/>
          </w:r>
          <w:r>
            <w:fldChar w:fldCharType="begin"/>
          </w:r>
          <w:r>
            <w:instrText xml:space="preserve"> PAGEREF _Toc105443186 \h </w:instrText>
          </w:r>
          <w:r>
            <w:fldChar w:fldCharType="separate"/>
          </w:r>
          <w:r>
            <w:t>54</w:t>
          </w:r>
          <w:r>
            <w:fldChar w:fldCharType="end"/>
          </w:r>
          <w:r>
            <w:fldChar w:fldCharType="end"/>
          </w:r>
        </w:p>
        <w:p>
          <w:pPr>
            <w:pStyle w:val="14"/>
            <w:tabs>
              <w:tab w:val="right" w:leader="dot" w:pos="8296"/>
            </w:tabs>
            <w:ind w:firstLine="480"/>
            <w:rPr>
              <w:rFonts w:asciiTheme="minorHAnsi" w:hAnsiTheme="minorHAnsi" w:eastAsiaTheme="minorEastAsia" w:cstheme="minorBidi"/>
              <w:sz w:val="21"/>
              <w:szCs w:val="22"/>
            </w:rPr>
          </w:pPr>
          <w:r>
            <w:fldChar w:fldCharType="begin"/>
          </w:r>
          <w:r>
            <w:instrText xml:space="preserve"> HYPERLINK \l "_Toc105443187" </w:instrText>
          </w:r>
          <w:r>
            <w:fldChar w:fldCharType="separate"/>
          </w:r>
          <w:r>
            <w:rPr>
              <w:rStyle w:val="37"/>
            </w:rPr>
            <w:t>附图</w:t>
          </w:r>
          <w:r>
            <w:tab/>
          </w:r>
          <w:r>
            <w:fldChar w:fldCharType="begin"/>
          </w:r>
          <w:r>
            <w:instrText xml:space="preserve"> PAGEREF _Toc105443187 \h </w:instrText>
          </w:r>
          <w:r>
            <w:fldChar w:fldCharType="separate"/>
          </w:r>
          <w:r>
            <w:t>63</w:t>
          </w:r>
          <w:r>
            <w:fldChar w:fldCharType="end"/>
          </w:r>
          <w:r>
            <w:fldChar w:fldCharType="end"/>
          </w:r>
        </w:p>
        <w:p>
          <w:pPr>
            <w:pStyle w:val="23"/>
            <w:tabs>
              <w:tab w:val="right" w:leader="dot" w:pos="8296"/>
            </w:tabs>
            <w:ind w:left="480" w:firstLine="480"/>
            <w:rPr>
              <w:rFonts w:asciiTheme="minorHAnsi" w:hAnsiTheme="minorHAnsi" w:eastAsiaTheme="minorEastAsia" w:cstheme="minorBidi"/>
              <w:sz w:val="21"/>
              <w:szCs w:val="22"/>
            </w:rPr>
          </w:pPr>
          <w:r>
            <w:fldChar w:fldCharType="begin"/>
          </w:r>
          <w:r>
            <w:instrText xml:space="preserve"> HYPERLINK \l "_Toc105443188" </w:instrText>
          </w:r>
          <w:r>
            <w:fldChar w:fldCharType="separate"/>
          </w:r>
          <w:r>
            <w:rPr>
              <w:rStyle w:val="37"/>
            </w:rPr>
            <w:t>附图1  项目地理位置及区域水系图</w:t>
          </w:r>
          <w:r>
            <w:tab/>
          </w:r>
          <w:r>
            <w:fldChar w:fldCharType="begin"/>
          </w:r>
          <w:r>
            <w:instrText xml:space="preserve"> PAGEREF _Toc105443188 \h </w:instrText>
          </w:r>
          <w:r>
            <w:fldChar w:fldCharType="separate"/>
          </w:r>
          <w:r>
            <w:t>63</w:t>
          </w:r>
          <w:r>
            <w:fldChar w:fldCharType="end"/>
          </w:r>
          <w:r>
            <w:fldChar w:fldCharType="end"/>
          </w:r>
        </w:p>
        <w:p>
          <w:pPr>
            <w:pStyle w:val="23"/>
            <w:tabs>
              <w:tab w:val="right" w:leader="dot" w:pos="8296"/>
            </w:tabs>
            <w:ind w:left="480" w:firstLine="480"/>
            <w:rPr>
              <w:rFonts w:asciiTheme="minorHAnsi" w:hAnsiTheme="minorHAnsi" w:eastAsiaTheme="minorEastAsia" w:cstheme="minorBidi"/>
              <w:sz w:val="21"/>
              <w:szCs w:val="22"/>
            </w:rPr>
          </w:pPr>
          <w:r>
            <w:fldChar w:fldCharType="begin"/>
          </w:r>
          <w:r>
            <w:instrText xml:space="preserve"> HYPERLINK \l "_Toc105443189" </w:instrText>
          </w:r>
          <w:r>
            <w:fldChar w:fldCharType="separate"/>
          </w:r>
          <w:r>
            <w:rPr>
              <w:rStyle w:val="37"/>
            </w:rPr>
            <w:t>附图2  项目总平面总布置图</w:t>
          </w:r>
          <w:r>
            <w:tab/>
          </w:r>
          <w:r>
            <w:fldChar w:fldCharType="begin"/>
          </w:r>
          <w:r>
            <w:instrText xml:space="preserve"> PAGEREF _Toc105443189 \h </w:instrText>
          </w:r>
          <w:r>
            <w:fldChar w:fldCharType="separate"/>
          </w:r>
          <w:r>
            <w:t>64</w:t>
          </w:r>
          <w:r>
            <w:fldChar w:fldCharType="end"/>
          </w:r>
          <w:r>
            <w:fldChar w:fldCharType="end"/>
          </w:r>
        </w:p>
        <w:p>
          <w:pPr>
            <w:pStyle w:val="23"/>
            <w:tabs>
              <w:tab w:val="right" w:leader="dot" w:pos="8296"/>
            </w:tabs>
            <w:ind w:left="480" w:firstLine="480"/>
            <w:rPr>
              <w:rFonts w:asciiTheme="minorHAnsi" w:hAnsiTheme="minorHAnsi" w:eastAsiaTheme="minorEastAsia" w:cstheme="minorBidi"/>
              <w:sz w:val="21"/>
              <w:szCs w:val="22"/>
            </w:rPr>
          </w:pPr>
          <w:r>
            <w:fldChar w:fldCharType="begin"/>
          </w:r>
          <w:r>
            <w:instrText xml:space="preserve"> HYPERLINK \l "_Toc105443190" </w:instrText>
          </w:r>
          <w:r>
            <w:fldChar w:fldCharType="separate"/>
          </w:r>
          <w:r>
            <w:rPr>
              <w:rStyle w:val="37"/>
            </w:rPr>
            <w:t>附图4  项目周边敏感点分布图</w:t>
          </w:r>
          <w:r>
            <w:tab/>
          </w:r>
          <w:r>
            <w:fldChar w:fldCharType="begin"/>
          </w:r>
          <w:r>
            <w:instrText xml:space="preserve"> PAGEREF _Toc105443190 \h </w:instrText>
          </w:r>
          <w:r>
            <w:fldChar w:fldCharType="separate"/>
          </w:r>
          <w:r>
            <w:t>65</w:t>
          </w:r>
          <w:r>
            <w:fldChar w:fldCharType="end"/>
          </w:r>
          <w:r>
            <w:fldChar w:fldCharType="end"/>
          </w:r>
        </w:p>
        <w:p>
          <w:pPr>
            <w:pStyle w:val="23"/>
            <w:tabs>
              <w:tab w:val="right" w:leader="dot" w:pos="8296"/>
            </w:tabs>
            <w:ind w:left="480" w:firstLine="480"/>
            <w:rPr>
              <w:rFonts w:asciiTheme="minorHAnsi" w:hAnsiTheme="minorHAnsi" w:eastAsiaTheme="minorEastAsia" w:cstheme="minorBidi"/>
              <w:sz w:val="21"/>
              <w:szCs w:val="22"/>
            </w:rPr>
          </w:pPr>
          <w:r>
            <w:fldChar w:fldCharType="begin"/>
          </w:r>
          <w:r>
            <w:instrText xml:space="preserve"> HYPERLINK \l "_Toc105443191" </w:instrText>
          </w:r>
          <w:r>
            <w:fldChar w:fldCharType="separate"/>
          </w:r>
          <w:r>
            <w:rPr>
              <w:rStyle w:val="37"/>
            </w:rPr>
            <w:t>附图5  环境监测布点图</w:t>
          </w:r>
          <w:r>
            <w:tab/>
          </w:r>
          <w:r>
            <w:fldChar w:fldCharType="begin"/>
          </w:r>
          <w:r>
            <w:instrText xml:space="preserve"> PAGEREF _Toc105443191 \h </w:instrText>
          </w:r>
          <w:r>
            <w:fldChar w:fldCharType="separate"/>
          </w:r>
          <w:r>
            <w:t>66</w:t>
          </w:r>
          <w:r>
            <w:fldChar w:fldCharType="end"/>
          </w:r>
          <w:r>
            <w:fldChar w:fldCharType="end"/>
          </w:r>
        </w:p>
        <w:p>
          <w:pPr>
            <w:ind w:firstLine="482"/>
          </w:pPr>
          <w:r>
            <w:rPr>
              <w:b/>
              <w:bCs/>
              <w:lang w:val="zh-CN"/>
            </w:rPr>
            <w:fldChar w:fldCharType="end"/>
          </w:r>
        </w:p>
      </w:sdtContent>
    </w:sdt>
    <w:p>
      <w:pPr>
        <w:ind w:firstLine="0" w:firstLineChars="0"/>
        <w:sectPr>
          <w:pgSz w:w="11906" w:h="16838"/>
          <w:pgMar w:top="1440" w:right="1800" w:bottom="1440" w:left="1800" w:header="851" w:footer="992" w:gutter="0"/>
          <w:cols w:space="425" w:num="1"/>
          <w:docGrid w:type="lines" w:linePitch="312" w:charSpace="0"/>
        </w:sectPr>
      </w:pPr>
    </w:p>
    <w:p>
      <w:pPr>
        <w:pStyle w:val="2"/>
      </w:pPr>
      <w:bookmarkStart w:id="3" w:name="_Toc105443174"/>
      <w:r>
        <w:rPr>
          <w:rFonts w:hint="eastAsia"/>
        </w:rPr>
        <w:t>一、建设项目基本情况</w:t>
      </w:r>
      <w:bookmarkEnd w:id="3"/>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799"/>
        <w:gridCol w:w="1946"/>
        <w:gridCol w:w="2064"/>
        <w:gridCol w:w="252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tcMar>
              <w:top w:w="16" w:type="dxa"/>
              <w:left w:w="16" w:type="dxa"/>
              <w:right w:w="16" w:type="dxa"/>
            </w:tcMar>
            <w:vAlign w:val="center"/>
          </w:tcPr>
          <w:p>
            <w:pPr>
              <w:adjustRightInd w:val="0"/>
              <w:snapToGrid w:val="0"/>
              <w:ind w:firstLine="0" w:firstLineChars="0"/>
              <w:jc w:val="center"/>
              <w:rPr>
                <w:rFonts w:cs="宋体"/>
                <w:color w:val="000000"/>
              </w:rPr>
            </w:pPr>
            <w:r>
              <w:rPr>
                <w:rFonts w:hint="eastAsia" w:cs="宋体"/>
                <w:color w:val="000000"/>
              </w:rPr>
              <w:t>建设项目名称</w:t>
            </w:r>
          </w:p>
        </w:tc>
        <w:tc>
          <w:tcPr>
            <w:tcW w:w="7103" w:type="dxa"/>
            <w:gridSpan w:val="3"/>
            <w:vAlign w:val="center"/>
          </w:tcPr>
          <w:p>
            <w:pPr>
              <w:adjustRightInd w:val="0"/>
              <w:snapToGrid w:val="0"/>
              <w:ind w:firstLine="0" w:firstLineChars="0"/>
              <w:jc w:val="center"/>
              <w:rPr>
                <w:rFonts w:cs="宋体"/>
                <w:color w:val="000000"/>
              </w:rPr>
            </w:pPr>
            <w:r>
              <w:rPr>
                <w:rFonts w:hint="eastAsia" w:cs="宋体"/>
                <w:color w:val="000000"/>
              </w:rPr>
              <w:t>年产2</w:t>
            </w:r>
            <w:r>
              <w:rPr>
                <w:rFonts w:cs="宋体"/>
                <w:color w:val="000000"/>
              </w:rPr>
              <w:t>6</w:t>
            </w:r>
            <w:r>
              <w:rPr>
                <w:rFonts w:hint="eastAsia" w:cs="宋体"/>
                <w:color w:val="000000"/>
              </w:rPr>
              <w:t>万米合成树脂瓦建设项目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tcMar>
              <w:top w:w="16" w:type="dxa"/>
              <w:left w:w="16" w:type="dxa"/>
              <w:right w:w="16" w:type="dxa"/>
            </w:tcMar>
            <w:vAlign w:val="center"/>
          </w:tcPr>
          <w:p>
            <w:pPr>
              <w:adjustRightInd w:val="0"/>
              <w:snapToGrid w:val="0"/>
              <w:ind w:firstLine="0" w:firstLineChars="0"/>
              <w:jc w:val="center"/>
              <w:rPr>
                <w:rFonts w:cs="宋体"/>
                <w:color w:val="000000"/>
              </w:rPr>
            </w:pPr>
            <w:r>
              <w:rPr>
                <w:rFonts w:hint="eastAsia" w:cs="宋体"/>
                <w:color w:val="000000"/>
              </w:rPr>
              <w:t>项目代码</w:t>
            </w:r>
          </w:p>
        </w:tc>
        <w:tc>
          <w:tcPr>
            <w:tcW w:w="7103" w:type="dxa"/>
            <w:gridSpan w:val="3"/>
            <w:vAlign w:val="center"/>
          </w:tcPr>
          <w:p>
            <w:pPr>
              <w:adjustRightInd w:val="0"/>
              <w:snapToGrid w:val="0"/>
              <w:ind w:firstLine="0" w:firstLineChars="0"/>
              <w:jc w:val="center"/>
              <w:rPr>
                <w:rFonts w:cs="宋体"/>
                <w:color w:val="000000"/>
              </w:rPr>
            </w:pPr>
            <w:r>
              <w:rPr>
                <w:rFonts w:cs="宋体"/>
                <w:color w:val="000000"/>
              </w:rPr>
              <w:t>2104-431171-04-05-111387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tcMar>
              <w:top w:w="16" w:type="dxa"/>
              <w:left w:w="16" w:type="dxa"/>
              <w:right w:w="16" w:type="dxa"/>
            </w:tcMar>
            <w:vAlign w:val="center"/>
          </w:tcPr>
          <w:p>
            <w:pPr>
              <w:adjustRightInd w:val="0"/>
              <w:snapToGrid w:val="0"/>
              <w:ind w:firstLine="0" w:firstLineChars="0"/>
              <w:jc w:val="center"/>
              <w:rPr>
                <w:rFonts w:cs="宋体"/>
                <w:color w:val="000000"/>
              </w:rPr>
            </w:pPr>
            <w:r>
              <w:rPr>
                <w:rFonts w:hint="eastAsia" w:cs="宋体"/>
                <w:color w:val="000000"/>
              </w:rPr>
              <w:t>建设单位联系人</w:t>
            </w:r>
          </w:p>
        </w:tc>
        <w:tc>
          <w:tcPr>
            <w:tcW w:w="2142" w:type="dxa"/>
            <w:vAlign w:val="center"/>
          </w:tcPr>
          <w:p>
            <w:pPr>
              <w:adjustRightInd w:val="0"/>
              <w:snapToGrid w:val="0"/>
              <w:ind w:firstLine="0" w:firstLineChars="0"/>
              <w:jc w:val="center"/>
              <w:rPr>
                <w:color w:val="000000"/>
              </w:rPr>
            </w:pPr>
            <w:r>
              <w:rPr>
                <w:rFonts w:hint="eastAsia"/>
                <w:color w:val="000000"/>
              </w:rPr>
              <w:t>张海华</w:t>
            </w:r>
          </w:p>
        </w:tc>
        <w:tc>
          <w:tcPr>
            <w:tcW w:w="2262" w:type="dxa"/>
            <w:vAlign w:val="center"/>
          </w:tcPr>
          <w:p>
            <w:pPr>
              <w:adjustRightInd w:val="0"/>
              <w:snapToGrid w:val="0"/>
              <w:ind w:firstLine="0" w:firstLineChars="0"/>
              <w:jc w:val="center"/>
              <w:rPr>
                <w:color w:val="000000"/>
              </w:rPr>
            </w:pPr>
            <w:r>
              <w:rPr>
                <w:color w:val="000000"/>
              </w:rPr>
              <w:t>联系方式</w:t>
            </w:r>
          </w:p>
        </w:tc>
        <w:tc>
          <w:tcPr>
            <w:tcW w:w="2699" w:type="dxa"/>
            <w:vAlign w:val="center"/>
          </w:tcPr>
          <w:p>
            <w:pPr>
              <w:adjustRightInd w:val="0"/>
              <w:snapToGrid w:val="0"/>
              <w:ind w:firstLine="0" w:firstLineChars="0"/>
              <w:jc w:val="center"/>
              <w:rPr>
                <w:color w:val="000000"/>
              </w:rPr>
            </w:pPr>
            <w:r>
              <w:rPr>
                <w:color w:val="000000"/>
              </w:rPr>
              <w:t>13974613202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tcMar>
              <w:top w:w="16" w:type="dxa"/>
              <w:left w:w="16" w:type="dxa"/>
              <w:right w:w="16" w:type="dxa"/>
            </w:tcMar>
            <w:vAlign w:val="center"/>
          </w:tcPr>
          <w:p>
            <w:pPr>
              <w:adjustRightInd w:val="0"/>
              <w:snapToGrid w:val="0"/>
              <w:ind w:firstLine="0" w:firstLineChars="0"/>
              <w:jc w:val="center"/>
              <w:rPr>
                <w:rFonts w:cs="宋体"/>
                <w:color w:val="000000"/>
              </w:rPr>
            </w:pPr>
            <w:r>
              <w:rPr>
                <w:rFonts w:hint="eastAsia" w:cs="宋体"/>
                <w:color w:val="000000"/>
              </w:rPr>
              <w:t>建设地点</w:t>
            </w:r>
          </w:p>
        </w:tc>
        <w:tc>
          <w:tcPr>
            <w:tcW w:w="7103" w:type="dxa"/>
            <w:gridSpan w:val="3"/>
            <w:vAlign w:val="center"/>
          </w:tcPr>
          <w:p>
            <w:pPr>
              <w:adjustRightInd w:val="0"/>
              <w:snapToGrid w:val="0"/>
              <w:ind w:firstLine="0" w:firstLineChars="0"/>
              <w:jc w:val="center"/>
              <w:rPr>
                <w:color w:val="000000"/>
              </w:rPr>
            </w:pPr>
            <w:r>
              <w:rPr>
                <w:rFonts w:hint="eastAsia"/>
                <w:color w:val="000000"/>
              </w:rPr>
              <w:t>永州经济技术开发区仁湾街道东山里村毛立山组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tcMar>
              <w:top w:w="16" w:type="dxa"/>
              <w:left w:w="16" w:type="dxa"/>
              <w:right w:w="16" w:type="dxa"/>
            </w:tcMar>
            <w:vAlign w:val="center"/>
          </w:tcPr>
          <w:p>
            <w:pPr>
              <w:adjustRightInd w:val="0"/>
              <w:snapToGrid w:val="0"/>
              <w:ind w:firstLine="0" w:firstLineChars="0"/>
              <w:jc w:val="center"/>
              <w:rPr>
                <w:rFonts w:cs="宋体"/>
                <w:color w:val="000000"/>
              </w:rPr>
            </w:pPr>
            <w:r>
              <w:rPr>
                <w:rFonts w:hint="eastAsia" w:cs="宋体"/>
                <w:color w:val="000000"/>
              </w:rPr>
              <w:t>地理坐标</w:t>
            </w:r>
          </w:p>
        </w:tc>
        <w:tc>
          <w:tcPr>
            <w:tcW w:w="7103" w:type="dxa"/>
            <w:gridSpan w:val="3"/>
            <w:vAlign w:val="center"/>
          </w:tcPr>
          <w:p>
            <w:pPr>
              <w:ind w:firstLine="0" w:firstLineChars="0"/>
              <w:jc w:val="center"/>
              <w:rPr>
                <w:color w:val="000000"/>
              </w:rPr>
            </w:pPr>
            <w:r>
              <w:rPr>
                <w:color w:val="000000"/>
              </w:rPr>
              <w:t>经度：</w:t>
            </w:r>
            <w:r>
              <w:rPr>
                <w:rFonts w:hint="eastAsia"/>
                <w:color w:val="000000"/>
              </w:rPr>
              <w:t>111°35′47.238″，</w:t>
            </w:r>
            <w:r>
              <w:rPr>
                <w:color w:val="000000"/>
              </w:rPr>
              <w:t>纬度：</w:t>
            </w:r>
            <w:r>
              <w:rPr>
                <w:rFonts w:hint="eastAsia"/>
                <w:color w:val="000000"/>
              </w:rPr>
              <w:t>26°21′46.58″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968" w:type="dxa"/>
            <w:tcMar>
              <w:top w:w="16" w:type="dxa"/>
              <w:left w:w="16" w:type="dxa"/>
              <w:right w:w="16" w:type="dxa"/>
            </w:tcMar>
            <w:vAlign w:val="center"/>
          </w:tcPr>
          <w:p>
            <w:pPr>
              <w:adjustRightInd w:val="0"/>
              <w:snapToGrid w:val="0"/>
              <w:ind w:firstLine="0" w:firstLineChars="0"/>
              <w:jc w:val="center"/>
              <w:rPr>
                <w:rFonts w:cs="宋体"/>
                <w:color w:val="000000"/>
              </w:rPr>
            </w:pPr>
            <w:r>
              <w:rPr>
                <w:rFonts w:hint="eastAsia" w:cs="宋体"/>
                <w:color w:val="000000"/>
              </w:rPr>
              <w:t>国民经济</w:t>
            </w:r>
          </w:p>
          <w:p>
            <w:pPr>
              <w:adjustRightInd w:val="0"/>
              <w:snapToGrid w:val="0"/>
              <w:ind w:firstLine="0" w:firstLineChars="0"/>
              <w:jc w:val="center"/>
              <w:rPr>
                <w:rFonts w:cs="宋体"/>
                <w:color w:val="000000"/>
              </w:rPr>
            </w:pPr>
            <w:r>
              <w:rPr>
                <w:rFonts w:hint="eastAsia" w:cs="宋体"/>
                <w:color w:val="000000"/>
              </w:rPr>
              <w:t>行业类别</w:t>
            </w:r>
          </w:p>
        </w:tc>
        <w:tc>
          <w:tcPr>
            <w:tcW w:w="2142" w:type="dxa"/>
            <w:vAlign w:val="center"/>
          </w:tcPr>
          <w:p>
            <w:pPr>
              <w:adjustRightInd w:val="0"/>
              <w:snapToGrid w:val="0"/>
              <w:ind w:firstLine="0" w:firstLineChars="0"/>
              <w:jc w:val="center"/>
              <w:rPr>
                <w:rFonts w:cs="宋体"/>
                <w:color w:val="000000"/>
              </w:rPr>
            </w:pPr>
            <w:r>
              <w:rPr>
                <w:rFonts w:hint="eastAsia" w:cs="宋体"/>
                <w:color w:val="000000"/>
              </w:rPr>
              <w:t>C</w:t>
            </w:r>
            <w:r>
              <w:rPr>
                <w:rFonts w:cs="宋体"/>
                <w:color w:val="000000"/>
              </w:rPr>
              <w:t>2922</w:t>
            </w:r>
            <w:r>
              <w:rPr>
                <w:rFonts w:hint="eastAsia" w:cs="宋体"/>
                <w:color w:val="000000"/>
              </w:rPr>
              <w:t>塑料板、管、型材制造</w:t>
            </w:r>
          </w:p>
        </w:tc>
        <w:tc>
          <w:tcPr>
            <w:tcW w:w="2262" w:type="dxa"/>
            <w:vAlign w:val="center"/>
          </w:tcPr>
          <w:p>
            <w:pPr>
              <w:adjustRightInd w:val="0"/>
              <w:snapToGrid w:val="0"/>
              <w:ind w:firstLine="0" w:firstLineChars="0"/>
              <w:jc w:val="center"/>
              <w:rPr>
                <w:rFonts w:cs="宋体"/>
                <w:color w:val="000000"/>
              </w:rPr>
            </w:pPr>
            <w:bookmarkStart w:id="4" w:name="_Hlk49843745"/>
            <w:r>
              <w:rPr>
                <w:rFonts w:hint="eastAsia" w:cs="宋体"/>
                <w:color w:val="000000"/>
              </w:rPr>
              <w:t>建设项目</w:t>
            </w:r>
          </w:p>
          <w:p>
            <w:pPr>
              <w:adjustRightInd w:val="0"/>
              <w:snapToGrid w:val="0"/>
              <w:ind w:firstLine="0" w:firstLineChars="0"/>
              <w:jc w:val="center"/>
              <w:rPr>
                <w:rFonts w:cs="宋体"/>
                <w:color w:val="000000"/>
              </w:rPr>
            </w:pPr>
            <w:r>
              <w:rPr>
                <w:rFonts w:hint="eastAsia" w:cs="宋体"/>
                <w:color w:val="000000"/>
              </w:rPr>
              <w:t>行业类别</w:t>
            </w:r>
            <w:bookmarkEnd w:id="4"/>
          </w:p>
        </w:tc>
        <w:tc>
          <w:tcPr>
            <w:tcW w:w="2699" w:type="dxa"/>
            <w:vAlign w:val="center"/>
          </w:tcPr>
          <w:p>
            <w:pPr>
              <w:pStyle w:val="64"/>
              <w:ind w:firstLine="0" w:firstLineChars="0"/>
              <w:rPr>
                <w:rFonts w:hint="default" w:ascii="Times New Roman" w:hAnsi="Times New Roman"/>
              </w:rPr>
            </w:pPr>
            <w:r>
              <w:rPr>
                <w:rFonts w:ascii="Times New Roman" w:hAnsi="Times New Roman"/>
              </w:rPr>
              <w:t>二十六、橡胶和塑料制品业 29-5</w:t>
            </w:r>
            <w:r>
              <w:rPr>
                <w:rFonts w:hint="default" w:ascii="Times New Roman" w:hAnsi="Times New Roman"/>
              </w:rPr>
              <w:t>3</w:t>
            </w:r>
            <w:r>
              <w:rPr>
                <w:rFonts w:ascii="Times New Roman" w:hAnsi="Times New Roman"/>
              </w:rPr>
              <w:t>、塑料制品业2</w:t>
            </w:r>
            <w:r>
              <w:rPr>
                <w:rFonts w:hint="default" w:ascii="Times New Roman" w:hAnsi="Times New Roman"/>
              </w:rPr>
              <w:t>92-</w:t>
            </w:r>
            <w:r>
              <w:rPr>
                <w:rFonts w:ascii="Times New Roman" w:hAnsi="Times New Roman"/>
              </w:rPr>
              <w:t>其他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968" w:type="dxa"/>
            <w:tcMar>
              <w:top w:w="16" w:type="dxa"/>
              <w:left w:w="16" w:type="dxa"/>
              <w:right w:w="16" w:type="dxa"/>
            </w:tcMar>
            <w:vAlign w:val="center"/>
          </w:tcPr>
          <w:p>
            <w:pPr>
              <w:adjustRightInd w:val="0"/>
              <w:snapToGrid w:val="0"/>
              <w:ind w:firstLine="0" w:firstLineChars="0"/>
              <w:jc w:val="center"/>
              <w:rPr>
                <w:rFonts w:cs="宋体"/>
                <w:color w:val="000000"/>
              </w:rPr>
            </w:pPr>
            <w:r>
              <w:rPr>
                <w:rFonts w:hint="eastAsia" w:cs="宋体"/>
                <w:color w:val="000000"/>
              </w:rPr>
              <w:t>建设性质</w:t>
            </w:r>
          </w:p>
        </w:tc>
        <w:tc>
          <w:tcPr>
            <w:tcW w:w="2142" w:type="dxa"/>
            <w:vAlign w:val="center"/>
          </w:tcPr>
          <w:p>
            <w:pPr>
              <w:ind w:firstLine="0" w:firstLineChars="0"/>
              <w:jc w:val="left"/>
              <w:rPr>
                <w:rFonts w:cs="宋体"/>
                <w:color w:val="000000"/>
              </w:rPr>
            </w:pPr>
            <w:r>
              <w:rPr>
                <w:rFonts w:hint="eastAsia" w:cs="宋体"/>
                <w:color w:val="000000"/>
              </w:rPr>
              <w:sym w:font="Wingdings" w:char="00FE"/>
            </w:r>
            <w:r>
              <w:rPr>
                <w:rFonts w:hint="eastAsia" w:cs="宋体"/>
                <w:color w:val="000000"/>
              </w:rPr>
              <w:t>新建（迁建）</w:t>
            </w:r>
          </w:p>
          <w:p>
            <w:pPr>
              <w:ind w:firstLine="0" w:firstLineChars="0"/>
              <w:jc w:val="left"/>
              <w:rPr>
                <w:rFonts w:cs="宋体"/>
                <w:color w:val="000000"/>
              </w:rPr>
            </w:pPr>
            <w:r>
              <w:rPr>
                <w:rFonts w:hint="eastAsia" w:cs="宋体"/>
                <w:color w:val="000000"/>
              </w:rPr>
              <w:sym w:font="Wingdings" w:char="00A8"/>
            </w:r>
            <w:r>
              <w:rPr>
                <w:rFonts w:hint="eastAsia" w:cs="宋体"/>
                <w:color w:val="000000"/>
              </w:rPr>
              <w:t>改建</w:t>
            </w:r>
          </w:p>
          <w:p>
            <w:pPr>
              <w:ind w:firstLine="0" w:firstLineChars="0"/>
              <w:jc w:val="left"/>
              <w:rPr>
                <w:rFonts w:cs="宋体"/>
                <w:color w:val="000000"/>
              </w:rPr>
            </w:pPr>
            <w:r>
              <w:rPr>
                <w:rFonts w:hint="eastAsia" w:cs="宋体"/>
                <w:color w:val="000000"/>
              </w:rPr>
              <w:sym w:font="Wingdings" w:char="00A8"/>
            </w:r>
            <w:r>
              <w:rPr>
                <w:rFonts w:hint="eastAsia" w:cs="宋体"/>
                <w:color w:val="000000"/>
              </w:rPr>
              <w:t>扩建</w:t>
            </w:r>
          </w:p>
          <w:p>
            <w:pPr>
              <w:ind w:firstLine="0" w:firstLineChars="0"/>
              <w:jc w:val="left"/>
              <w:rPr>
                <w:rFonts w:cs="宋体"/>
                <w:color w:val="000000"/>
              </w:rPr>
            </w:pPr>
            <w:r>
              <w:rPr>
                <w:rFonts w:hint="eastAsia" w:cs="宋体"/>
                <w:color w:val="000000"/>
              </w:rPr>
              <w:sym w:font="Wingdings" w:char="00A8"/>
            </w:r>
            <w:r>
              <w:rPr>
                <w:rFonts w:hint="eastAsia" w:cs="宋体"/>
                <w:color w:val="000000"/>
              </w:rPr>
              <w:t>技术改造</w:t>
            </w:r>
          </w:p>
        </w:tc>
        <w:tc>
          <w:tcPr>
            <w:tcW w:w="2262" w:type="dxa"/>
            <w:vAlign w:val="center"/>
          </w:tcPr>
          <w:p>
            <w:pPr>
              <w:adjustRightInd w:val="0"/>
              <w:snapToGrid w:val="0"/>
              <w:ind w:firstLine="0" w:firstLineChars="0"/>
              <w:jc w:val="center"/>
              <w:rPr>
                <w:rFonts w:cs="宋体"/>
                <w:color w:val="000000"/>
              </w:rPr>
            </w:pPr>
            <w:r>
              <w:rPr>
                <w:rFonts w:hint="eastAsia" w:cs="宋体"/>
                <w:color w:val="000000"/>
              </w:rPr>
              <w:t>建设项目</w:t>
            </w:r>
          </w:p>
          <w:p>
            <w:pPr>
              <w:adjustRightInd w:val="0"/>
              <w:snapToGrid w:val="0"/>
              <w:ind w:firstLine="0" w:firstLineChars="0"/>
              <w:jc w:val="center"/>
              <w:rPr>
                <w:rFonts w:cs="宋体"/>
                <w:color w:val="000000"/>
              </w:rPr>
            </w:pPr>
            <w:r>
              <w:rPr>
                <w:rFonts w:hint="eastAsia" w:cs="宋体"/>
                <w:color w:val="000000"/>
              </w:rPr>
              <w:t>申报情形</w:t>
            </w:r>
          </w:p>
        </w:tc>
        <w:tc>
          <w:tcPr>
            <w:tcW w:w="2699" w:type="dxa"/>
            <w:vAlign w:val="center"/>
          </w:tcPr>
          <w:p>
            <w:pPr>
              <w:ind w:firstLine="0" w:firstLineChars="0"/>
              <w:jc w:val="left"/>
              <w:rPr>
                <w:rFonts w:cs="宋体"/>
                <w:color w:val="000000"/>
              </w:rPr>
            </w:pPr>
            <w:r>
              <w:rPr>
                <w:rFonts w:hint="eastAsia" w:cs="宋体"/>
                <w:color w:val="000000"/>
              </w:rPr>
              <w:sym w:font="Wingdings 2" w:char="0052"/>
            </w:r>
            <w:r>
              <w:rPr>
                <w:rFonts w:hint="eastAsia" w:cs="宋体"/>
                <w:color w:val="000000"/>
              </w:rPr>
              <w:t>首次申报项目</w:t>
            </w:r>
          </w:p>
          <w:p>
            <w:pPr>
              <w:ind w:firstLine="0" w:firstLineChars="0"/>
              <w:jc w:val="left"/>
              <w:rPr>
                <w:rFonts w:cs="宋体"/>
                <w:color w:val="000000"/>
              </w:rPr>
            </w:pPr>
            <w:r>
              <w:rPr>
                <w:rFonts w:hint="eastAsia" w:cs="宋体"/>
                <w:color w:val="000000"/>
              </w:rPr>
              <w:t>□不予批准后再次申报项目</w:t>
            </w:r>
          </w:p>
          <w:p>
            <w:pPr>
              <w:ind w:firstLine="0" w:firstLineChars="0"/>
              <w:jc w:val="left"/>
              <w:rPr>
                <w:rFonts w:cs="宋体"/>
                <w:color w:val="000000"/>
              </w:rPr>
            </w:pPr>
            <w:r>
              <w:rPr>
                <w:rFonts w:hint="eastAsia" w:cs="宋体"/>
                <w:color w:val="000000"/>
              </w:rPr>
              <w:t>□超五年重新审核项目</w:t>
            </w:r>
            <w:r>
              <w:rPr>
                <w:rFonts w:cs="宋体"/>
                <w:color w:val="000000"/>
              </w:rPr>
              <w:t xml:space="preserve">     </w:t>
            </w:r>
          </w:p>
          <w:p>
            <w:pPr>
              <w:ind w:firstLine="0" w:firstLineChars="0"/>
              <w:jc w:val="left"/>
              <w:rPr>
                <w:rFonts w:cs="宋体"/>
                <w:color w:val="000000"/>
              </w:rPr>
            </w:pPr>
            <w:r>
              <w:rPr>
                <w:rFonts w:hint="eastAsia" w:cs="宋体"/>
                <w:color w:val="000000"/>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968" w:type="dxa"/>
            <w:tcMar>
              <w:top w:w="16" w:type="dxa"/>
              <w:left w:w="16" w:type="dxa"/>
              <w:right w:w="16" w:type="dxa"/>
            </w:tcMar>
            <w:vAlign w:val="center"/>
          </w:tcPr>
          <w:p>
            <w:pPr>
              <w:adjustRightInd w:val="0"/>
              <w:snapToGrid w:val="0"/>
              <w:ind w:firstLine="0" w:firstLineChars="0"/>
              <w:jc w:val="center"/>
              <w:rPr>
                <w:rFonts w:cs="宋体"/>
                <w:color w:val="000000"/>
              </w:rPr>
            </w:pPr>
            <w:r>
              <w:rPr>
                <w:rFonts w:hint="eastAsia" w:cs="宋体"/>
                <w:color w:val="000000"/>
              </w:rPr>
              <w:t>项目审批（核准</w:t>
            </w:r>
            <w:r>
              <w:rPr>
                <w:rFonts w:cs="宋体"/>
                <w:color w:val="000000"/>
              </w:rPr>
              <w:t>/</w:t>
            </w:r>
          </w:p>
          <w:p>
            <w:pPr>
              <w:adjustRightInd w:val="0"/>
              <w:snapToGrid w:val="0"/>
              <w:ind w:firstLine="0" w:firstLineChars="0"/>
              <w:jc w:val="center"/>
              <w:rPr>
                <w:rFonts w:cs="宋体"/>
                <w:color w:val="000000"/>
              </w:rPr>
            </w:pPr>
            <w:r>
              <w:rPr>
                <w:rFonts w:hint="eastAsia" w:cs="宋体"/>
                <w:color w:val="000000"/>
              </w:rPr>
              <w:t>备案）部门（选填）</w:t>
            </w:r>
          </w:p>
        </w:tc>
        <w:tc>
          <w:tcPr>
            <w:tcW w:w="2142" w:type="dxa"/>
            <w:vAlign w:val="center"/>
          </w:tcPr>
          <w:p>
            <w:pPr>
              <w:adjustRightInd w:val="0"/>
              <w:snapToGrid w:val="0"/>
              <w:ind w:firstLine="0" w:firstLineChars="0"/>
              <w:jc w:val="center"/>
              <w:rPr>
                <w:rFonts w:cs="宋体"/>
                <w:color w:val="000000"/>
              </w:rPr>
            </w:pPr>
            <w:r>
              <w:rPr>
                <w:rFonts w:hint="eastAsia" w:cs="宋体"/>
                <w:color w:val="000000"/>
              </w:rPr>
              <w:t>永州经济技术开发区经济发展局</w:t>
            </w:r>
          </w:p>
        </w:tc>
        <w:tc>
          <w:tcPr>
            <w:tcW w:w="2262" w:type="dxa"/>
            <w:vAlign w:val="center"/>
          </w:tcPr>
          <w:p>
            <w:pPr>
              <w:adjustRightInd w:val="0"/>
              <w:snapToGrid w:val="0"/>
              <w:ind w:firstLine="0" w:firstLineChars="0"/>
              <w:jc w:val="center"/>
              <w:rPr>
                <w:rFonts w:cs="宋体"/>
                <w:color w:val="000000"/>
              </w:rPr>
            </w:pPr>
            <w:r>
              <w:rPr>
                <w:rFonts w:hint="eastAsia" w:cs="宋体"/>
                <w:color w:val="000000"/>
              </w:rPr>
              <w:t>项目审批（核准</w:t>
            </w:r>
            <w:r>
              <w:rPr>
                <w:rFonts w:cs="宋体"/>
                <w:color w:val="000000"/>
              </w:rPr>
              <w:t>/</w:t>
            </w:r>
          </w:p>
          <w:p>
            <w:pPr>
              <w:adjustRightInd w:val="0"/>
              <w:snapToGrid w:val="0"/>
              <w:ind w:firstLine="0" w:firstLineChars="0"/>
              <w:jc w:val="center"/>
              <w:rPr>
                <w:rFonts w:cs="宋体"/>
                <w:color w:val="000000"/>
              </w:rPr>
            </w:pPr>
            <w:r>
              <w:rPr>
                <w:rFonts w:hint="eastAsia" w:cs="宋体"/>
                <w:color w:val="000000"/>
              </w:rPr>
              <w:t>备案）文号（选填）</w:t>
            </w:r>
          </w:p>
        </w:tc>
        <w:tc>
          <w:tcPr>
            <w:tcW w:w="2699" w:type="dxa"/>
            <w:vAlign w:val="center"/>
          </w:tcPr>
          <w:p>
            <w:pPr>
              <w:adjustRightInd w:val="0"/>
              <w:snapToGrid w:val="0"/>
              <w:ind w:firstLine="0" w:firstLineChars="0"/>
              <w:jc w:val="center"/>
              <w:rPr>
                <w:rFonts w:cs="宋体"/>
                <w:color w:val="000000"/>
              </w:rPr>
            </w:pPr>
            <w:r>
              <w:rPr>
                <w:rFonts w:hint="eastAsia" w:cs="宋体"/>
                <w:color w:val="000000"/>
              </w:rPr>
              <w:t>永经开经发备字[2021</w:t>
            </w:r>
            <w:r>
              <w:rPr>
                <w:rFonts w:cs="宋体"/>
                <w:color w:val="000000"/>
              </w:rPr>
              <w:t>]29</w:t>
            </w:r>
            <w:r>
              <w:rPr>
                <w:rFonts w:hint="eastAsia" w:cs="宋体"/>
                <w:color w:val="000000"/>
              </w:rPr>
              <w:t>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tcMar>
              <w:top w:w="16" w:type="dxa"/>
              <w:left w:w="16" w:type="dxa"/>
              <w:right w:w="16" w:type="dxa"/>
            </w:tcMar>
            <w:vAlign w:val="center"/>
          </w:tcPr>
          <w:p>
            <w:pPr>
              <w:adjustRightInd w:val="0"/>
              <w:snapToGrid w:val="0"/>
              <w:ind w:firstLine="0" w:firstLineChars="0"/>
              <w:jc w:val="center"/>
              <w:rPr>
                <w:rFonts w:cs="宋体"/>
                <w:color w:val="000000"/>
              </w:rPr>
            </w:pPr>
            <w:r>
              <w:rPr>
                <w:rFonts w:hint="eastAsia" w:cs="宋体"/>
                <w:color w:val="000000"/>
              </w:rPr>
              <w:t>总投资（万元）</w:t>
            </w:r>
          </w:p>
        </w:tc>
        <w:tc>
          <w:tcPr>
            <w:tcW w:w="2142" w:type="dxa"/>
            <w:vAlign w:val="center"/>
          </w:tcPr>
          <w:p>
            <w:pPr>
              <w:adjustRightInd w:val="0"/>
              <w:snapToGrid w:val="0"/>
              <w:ind w:firstLine="0" w:firstLineChars="0"/>
              <w:jc w:val="center"/>
              <w:rPr>
                <w:color w:val="000000"/>
              </w:rPr>
            </w:pPr>
            <w:r>
              <w:rPr>
                <w:color w:val="000000"/>
              </w:rPr>
              <w:t>500</w:t>
            </w:r>
          </w:p>
        </w:tc>
        <w:tc>
          <w:tcPr>
            <w:tcW w:w="2262" w:type="dxa"/>
            <w:tcMar>
              <w:top w:w="16" w:type="dxa"/>
              <w:left w:w="16" w:type="dxa"/>
              <w:right w:w="16" w:type="dxa"/>
            </w:tcMar>
            <w:vAlign w:val="center"/>
          </w:tcPr>
          <w:p>
            <w:pPr>
              <w:adjustRightInd w:val="0"/>
              <w:snapToGrid w:val="0"/>
              <w:ind w:firstLine="0" w:firstLineChars="0"/>
              <w:jc w:val="center"/>
              <w:rPr>
                <w:color w:val="000000"/>
              </w:rPr>
            </w:pPr>
            <w:r>
              <w:rPr>
                <w:color w:val="000000"/>
              </w:rPr>
              <w:t>环保投资（万元）</w:t>
            </w:r>
          </w:p>
        </w:tc>
        <w:tc>
          <w:tcPr>
            <w:tcW w:w="2699" w:type="dxa"/>
            <w:vAlign w:val="center"/>
          </w:tcPr>
          <w:p>
            <w:pPr>
              <w:adjustRightInd w:val="0"/>
              <w:snapToGrid w:val="0"/>
              <w:ind w:firstLine="0" w:firstLineChars="0"/>
              <w:jc w:val="center"/>
              <w:rPr>
                <w:color w:val="000000"/>
              </w:rPr>
            </w:pPr>
            <w:r>
              <w:rPr>
                <w:rFonts w:hint="eastAsia"/>
                <w:color w:val="000000"/>
              </w:rPr>
              <w:t>3</w:t>
            </w:r>
            <w:r>
              <w:rPr>
                <w:color w:val="000000"/>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tcMar>
              <w:top w:w="16" w:type="dxa"/>
              <w:left w:w="16" w:type="dxa"/>
              <w:right w:w="16" w:type="dxa"/>
            </w:tcMar>
            <w:vAlign w:val="center"/>
          </w:tcPr>
          <w:p>
            <w:pPr>
              <w:adjustRightInd w:val="0"/>
              <w:snapToGrid w:val="0"/>
              <w:ind w:firstLine="0" w:firstLineChars="0"/>
              <w:jc w:val="center"/>
              <w:rPr>
                <w:rFonts w:cs="宋体"/>
                <w:color w:val="000000"/>
              </w:rPr>
            </w:pPr>
            <w:r>
              <w:rPr>
                <w:rFonts w:hint="eastAsia" w:cs="宋体"/>
                <w:color w:val="000000"/>
              </w:rPr>
              <w:t>环保投资占比（</w:t>
            </w:r>
            <w:r>
              <w:rPr>
                <w:rFonts w:cs="宋体"/>
                <w:color w:val="000000"/>
              </w:rPr>
              <w:t>%</w:t>
            </w:r>
            <w:r>
              <w:rPr>
                <w:rFonts w:hint="eastAsia" w:cs="宋体"/>
                <w:color w:val="000000"/>
              </w:rPr>
              <w:t>）</w:t>
            </w:r>
          </w:p>
        </w:tc>
        <w:tc>
          <w:tcPr>
            <w:tcW w:w="2142" w:type="dxa"/>
            <w:vAlign w:val="center"/>
          </w:tcPr>
          <w:p>
            <w:pPr>
              <w:adjustRightInd w:val="0"/>
              <w:snapToGrid w:val="0"/>
              <w:ind w:firstLine="0" w:firstLineChars="0"/>
              <w:jc w:val="center"/>
              <w:rPr>
                <w:color w:val="000000"/>
              </w:rPr>
            </w:pPr>
            <w:r>
              <w:rPr>
                <w:rFonts w:hint="eastAsia"/>
                <w:color w:val="000000"/>
              </w:rPr>
              <w:t>6</w:t>
            </w:r>
            <w:r>
              <w:rPr>
                <w:color w:val="000000"/>
              </w:rPr>
              <w:t>.04</w:t>
            </w:r>
          </w:p>
        </w:tc>
        <w:tc>
          <w:tcPr>
            <w:tcW w:w="2262" w:type="dxa"/>
            <w:tcMar>
              <w:top w:w="16" w:type="dxa"/>
              <w:left w:w="16" w:type="dxa"/>
              <w:right w:w="16" w:type="dxa"/>
            </w:tcMar>
            <w:vAlign w:val="center"/>
          </w:tcPr>
          <w:p>
            <w:pPr>
              <w:adjustRightInd w:val="0"/>
              <w:snapToGrid w:val="0"/>
              <w:ind w:firstLine="0" w:firstLineChars="0"/>
              <w:jc w:val="center"/>
              <w:rPr>
                <w:color w:val="000000"/>
              </w:rPr>
            </w:pPr>
            <w:r>
              <w:rPr>
                <w:color w:val="000000"/>
              </w:rPr>
              <w:t>施工工期</w:t>
            </w:r>
          </w:p>
        </w:tc>
        <w:tc>
          <w:tcPr>
            <w:tcW w:w="2699" w:type="dxa"/>
            <w:vAlign w:val="center"/>
          </w:tcPr>
          <w:p>
            <w:pPr>
              <w:adjustRightInd w:val="0"/>
              <w:snapToGrid w:val="0"/>
              <w:ind w:firstLine="0" w:firstLineChars="0"/>
              <w:jc w:val="center"/>
              <w:rPr>
                <w:color w:val="000000"/>
              </w:rPr>
            </w:pPr>
            <w:r>
              <w:rPr>
                <w:color w:val="000000"/>
              </w:rPr>
              <w:t>6个月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tcMar>
              <w:top w:w="16" w:type="dxa"/>
              <w:left w:w="16" w:type="dxa"/>
              <w:right w:w="16" w:type="dxa"/>
            </w:tcMar>
            <w:vAlign w:val="center"/>
          </w:tcPr>
          <w:p>
            <w:pPr>
              <w:adjustRightInd w:val="0"/>
              <w:snapToGrid w:val="0"/>
              <w:ind w:firstLine="0" w:firstLineChars="0"/>
              <w:jc w:val="center"/>
              <w:rPr>
                <w:rFonts w:cs="宋体"/>
                <w:color w:val="000000"/>
                <w:u w:val="single"/>
              </w:rPr>
            </w:pPr>
            <w:r>
              <w:rPr>
                <w:rFonts w:hint="eastAsia" w:cs="宋体"/>
                <w:color w:val="000000"/>
                <w:u w:val="single"/>
              </w:rPr>
              <w:t>是否开工建设</w:t>
            </w:r>
          </w:p>
        </w:tc>
        <w:tc>
          <w:tcPr>
            <w:tcW w:w="2142" w:type="dxa"/>
            <w:vAlign w:val="center"/>
          </w:tcPr>
          <w:p>
            <w:pPr>
              <w:adjustRightInd w:val="0"/>
              <w:snapToGrid w:val="0"/>
              <w:ind w:firstLine="0" w:firstLineChars="0"/>
              <w:rPr>
                <w:color w:val="000000"/>
                <w:u w:val="single"/>
              </w:rPr>
            </w:pPr>
            <w:r>
              <w:rPr>
                <w:color w:val="000000"/>
                <w:u w:val="single"/>
              </w:rPr>
              <w:sym w:font="Wingdings 2" w:char="0052"/>
            </w:r>
            <w:r>
              <w:rPr>
                <w:color w:val="000000"/>
                <w:u w:val="single"/>
              </w:rPr>
              <w:t>否</w:t>
            </w:r>
          </w:p>
          <w:p>
            <w:pPr>
              <w:adjustRightInd w:val="0"/>
              <w:snapToGrid w:val="0"/>
              <w:ind w:firstLine="0" w:firstLineChars="0"/>
              <w:rPr>
                <w:color w:val="000000"/>
                <w:u w:val="single"/>
              </w:rPr>
            </w:pPr>
            <w:r>
              <w:rPr>
                <w:rFonts w:ascii="Segoe UI Symbol" w:hAnsi="Segoe UI Symbol" w:cs="Segoe UI Symbol"/>
                <w:color w:val="000000"/>
                <w:u w:val="single"/>
              </w:rPr>
              <w:t>☐</w:t>
            </w:r>
            <w:r>
              <w:rPr>
                <w:color w:val="000000"/>
                <w:u w:val="single"/>
              </w:rPr>
              <w:t xml:space="preserve">是：            </w:t>
            </w:r>
          </w:p>
        </w:tc>
        <w:tc>
          <w:tcPr>
            <w:tcW w:w="2262" w:type="dxa"/>
            <w:tcMar>
              <w:top w:w="16" w:type="dxa"/>
              <w:left w:w="16" w:type="dxa"/>
              <w:right w:w="16" w:type="dxa"/>
            </w:tcMar>
            <w:vAlign w:val="center"/>
          </w:tcPr>
          <w:p>
            <w:pPr>
              <w:adjustRightInd w:val="0"/>
              <w:snapToGrid w:val="0"/>
              <w:ind w:firstLine="0" w:firstLineChars="0"/>
              <w:jc w:val="center"/>
              <w:rPr>
                <w:color w:val="000000"/>
                <w:spacing w:val="-6"/>
                <w:u w:val="single"/>
              </w:rPr>
            </w:pPr>
            <w:r>
              <w:rPr>
                <w:color w:val="000000"/>
                <w:spacing w:val="-6"/>
                <w:u w:val="single"/>
              </w:rPr>
              <w:t>用地（用海）</w:t>
            </w:r>
          </w:p>
          <w:p>
            <w:pPr>
              <w:adjustRightInd w:val="0"/>
              <w:snapToGrid w:val="0"/>
              <w:ind w:firstLine="0" w:firstLineChars="0"/>
              <w:jc w:val="center"/>
              <w:rPr>
                <w:color w:val="000000"/>
                <w:u w:val="single"/>
              </w:rPr>
            </w:pPr>
            <w:r>
              <w:rPr>
                <w:color w:val="000000"/>
                <w:spacing w:val="-6"/>
                <w:u w:val="single"/>
              </w:rPr>
              <w:t>面积（m</w:t>
            </w:r>
            <w:r>
              <w:rPr>
                <w:color w:val="000000"/>
                <w:spacing w:val="-6"/>
                <w:u w:val="single"/>
                <w:vertAlign w:val="superscript"/>
              </w:rPr>
              <w:t>2</w:t>
            </w:r>
            <w:r>
              <w:rPr>
                <w:color w:val="000000"/>
                <w:spacing w:val="-6"/>
                <w:u w:val="single"/>
              </w:rPr>
              <w:t>）</w:t>
            </w:r>
          </w:p>
        </w:tc>
        <w:tc>
          <w:tcPr>
            <w:tcW w:w="2699" w:type="dxa"/>
            <w:vAlign w:val="center"/>
          </w:tcPr>
          <w:p>
            <w:pPr>
              <w:adjustRightInd w:val="0"/>
              <w:snapToGrid w:val="0"/>
              <w:ind w:firstLine="0" w:firstLineChars="0"/>
              <w:jc w:val="center"/>
              <w:rPr>
                <w:color w:val="000000"/>
                <w:u w:val="single"/>
              </w:rPr>
            </w:pPr>
            <w:r>
              <w:rPr>
                <w:color w:val="000000"/>
                <w:u w:val="single"/>
              </w:rPr>
              <w:t>5073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1968" w:type="dxa"/>
            <w:vAlign w:val="center"/>
          </w:tcPr>
          <w:p>
            <w:pPr>
              <w:autoSpaceDE w:val="0"/>
              <w:autoSpaceDN w:val="0"/>
              <w:adjustRightInd w:val="0"/>
              <w:snapToGrid w:val="0"/>
              <w:ind w:firstLine="0" w:firstLineChars="0"/>
              <w:jc w:val="center"/>
              <w:rPr>
                <w:rFonts w:cs="宋体"/>
                <w:color w:val="000000"/>
                <w:kern w:val="0"/>
              </w:rPr>
            </w:pPr>
            <w:r>
              <w:rPr>
                <w:rFonts w:hint="eastAsia" w:cs="宋体"/>
                <w:color w:val="000000"/>
                <w:kern w:val="0"/>
              </w:rPr>
              <w:t>专项评价</w:t>
            </w:r>
          </w:p>
          <w:p>
            <w:pPr>
              <w:autoSpaceDE w:val="0"/>
              <w:autoSpaceDN w:val="0"/>
              <w:adjustRightInd w:val="0"/>
              <w:snapToGrid w:val="0"/>
              <w:ind w:firstLine="0" w:firstLineChars="0"/>
              <w:jc w:val="center"/>
              <w:rPr>
                <w:rFonts w:cs="宋体"/>
                <w:color w:val="000000"/>
                <w:kern w:val="0"/>
              </w:rPr>
            </w:pPr>
            <w:r>
              <w:rPr>
                <w:rFonts w:hint="eastAsia" w:cs="宋体"/>
                <w:color w:val="000000"/>
                <w:kern w:val="0"/>
              </w:rPr>
              <w:t>设置情况</w:t>
            </w:r>
          </w:p>
        </w:tc>
        <w:tc>
          <w:tcPr>
            <w:tcW w:w="7103" w:type="dxa"/>
            <w:gridSpan w:val="3"/>
            <w:vAlign w:val="center"/>
          </w:tcPr>
          <w:p>
            <w:pPr>
              <w:autoSpaceDE w:val="0"/>
              <w:autoSpaceDN w:val="0"/>
              <w:adjustRightInd w:val="0"/>
              <w:snapToGrid w:val="0"/>
              <w:ind w:firstLine="480"/>
              <w:jc w:val="center"/>
              <w:rPr>
                <w:rFonts w:cs="宋体"/>
                <w:color w:val="000000"/>
                <w:kern w:val="0"/>
              </w:rPr>
            </w:pPr>
            <w:r>
              <w:rPr>
                <w:rFonts w:hint="eastAsia" w:cs="宋体"/>
                <w:color w:val="000000"/>
                <w:kern w:val="0"/>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1968" w:type="dxa"/>
            <w:vAlign w:val="center"/>
          </w:tcPr>
          <w:p>
            <w:pPr>
              <w:autoSpaceDE w:val="0"/>
              <w:autoSpaceDN w:val="0"/>
              <w:adjustRightInd w:val="0"/>
              <w:snapToGrid w:val="0"/>
              <w:ind w:firstLine="0" w:firstLineChars="0"/>
              <w:jc w:val="center"/>
              <w:rPr>
                <w:rFonts w:cs="宋体"/>
                <w:color w:val="000000"/>
                <w:kern w:val="0"/>
              </w:rPr>
            </w:pPr>
            <w:r>
              <w:rPr>
                <w:rFonts w:hint="eastAsia" w:cs="宋体"/>
                <w:color w:val="000000"/>
              </w:rPr>
              <w:t>规划情况</w:t>
            </w:r>
          </w:p>
        </w:tc>
        <w:tc>
          <w:tcPr>
            <w:tcW w:w="7103" w:type="dxa"/>
            <w:gridSpan w:val="3"/>
            <w:vAlign w:val="center"/>
          </w:tcPr>
          <w:p>
            <w:pPr>
              <w:ind w:firstLine="480"/>
            </w:pPr>
            <w:r>
              <w:rPr>
                <w:rFonts w:hint="eastAsia"/>
              </w:rPr>
              <w:t>1、规划名称：永州市经济技术开发区总体规划（2013-2020）；</w:t>
            </w:r>
          </w:p>
          <w:p>
            <w:pPr>
              <w:ind w:firstLine="480"/>
            </w:pPr>
            <w:r>
              <w:rPr>
                <w:rFonts w:hint="eastAsia"/>
              </w:rPr>
              <w:t>审批机关：湖南省人民政府</w:t>
            </w:r>
          </w:p>
          <w:p>
            <w:pPr>
              <w:ind w:firstLine="480"/>
            </w:pPr>
            <w:r>
              <w:rPr>
                <w:rFonts w:hint="eastAsia"/>
              </w:rPr>
              <w:t>审批文件名称及文号：湘政函[2016] 177号</w:t>
            </w:r>
          </w:p>
          <w:p>
            <w:pPr>
              <w:ind w:firstLine="480"/>
            </w:pPr>
            <w:r>
              <w:rPr>
                <w:rFonts w:hint="eastAsia"/>
              </w:rPr>
              <w:t>2、规划名称：永州经济技术开发区(北部片区、南部片区)控制性详细规划；</w:t>
            </w:r>
          </w:p>
          <w:p>
            <w:pPr>
              <w:ind w:firstLine="480"/>
            </w:pPr>
            <w:r>
              <w:rPr>
                <w:rFonts w:hint="eastAsia"/>
              </w:rPr>
              <w:t>审批机关：永州市人民政府</w:t>
            </w:r>
          </w:p>
          <w:p>
            <w:pPr>
              <w:ind w:firstLine="480"/>
              <w:rPr>
                <w:color w:val="000000"/>
              </w:rPr>
            </w:pPr>
            <w:r>
              <w:rPr>
                <w:rFonts w:hint="eastAsia"/>
              </w:rPr>
              <w:t>审批文件名称及文号：永政函[2014]132号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1968" w:type="dxa"/>
            <w:vAlign w:val="center"/>
          </w:tcPr>
          <w:p>
            <w:pPr>
              <w:adjustRightInd w:val="0"/>
              <w:snapToGrid w:val="0"/>
              <w:ind w:firstLine="0" w:firstLineChars="0"/>
              <w:jc w:val="center"/>
              <w:rPr>
                <w:rFonts w:cs="宋体"/>
                <w:color w:val="000000"/>
              </w:rPr>
            </w:pPr>
            <w:r>
              <w:rPr>
                <w:rFonts w:hint="eastAsia" w:cs="宋体"/>
                <w:color w:val="000000"/>
              </w:rPr>
              <w:t>规划环境影响</w:t>
            </w:r>
          </w:p>
          <w:p>
            <w:pPr>
              <w:adjustRightInd w:val="0"/>
              <w:snapToGrid w:val="0"/>
              <w:ind w:firstLine="0" w:firstLineChars="0"/>
              <w:jc w:val="center"/>
              <w:rPr>
                <w:rFonts w:cs="宋体"/>
                <w:color w:val="000000"/>
                <w:kern w:val="0"/>
              </w:rPr>
            </w:pPr>
            <w:r>
              <w:rPr>
                <w:rFonts w:hint="eastAsia" w:cs="宋体"/>
                <w:color w:val="000000"/>
              </w:rPr>
              <w:t>评价情况</w:t>
            </w:r>
          </w:p>
        </w:tc>
        <w:tc>
          <w:tcPr>
            <w:tcW w:w="7103" w:type="dxa"/>
            <w:gridSpan w:val="3"/>
            <w:vAlign w:val="center"/>
          </w:tcPr>
          <w:p>
            <w:pPr>
              <w:ind w:firstLine="480"/>
            </w:pPr>
            <w:r>
              <w:rPr>
                <w:rFonts w:hint="eastAsia"/>
              </w:rPr>
              <w:t>（1）规划环境影响评价文件名称：《永州市经济开发区环境影响报告书》</w:t>
            </w:r>
          </w:p>
          <w:p>
            <w:pPr>
              <w:ind w:firstLine="480"/>
            </w:pPr>
            <w:r>
              <w:rPr>
                <w:rFonts w:hint="eastAsia"/>
              </w:rPr>
              <w:t>审查机关：湖南省环境保护厅</w:t>
            </w:r>
          </w:p>
          <w:p>
            <w:pPr>
              <w:ind w:firstLine="480"/>
            </w:pPr>
            <w:r>
              <w:rPr>
                <w:rFonts w:hint="eastAsia"/>
              </w:rPr>
              <w:t>审查文件名称及文号：《湖南省环境保护厅关于永州市经济开发区环境影响报告书的批复》（湘环评[2013] 306号；</w:t>
            </w:r>
          </w:p>
          <w:p>
            <w:pPr>
              <w:ind w:firstLine="480"/>
            </w:pPr>
            <w:r>
              <w:rPr>
                <w:rFonts w:hint="eastAsia"/>
              </w:rPr>
              <w:t>（2）跟踪评价文件名称：《永州经济技术开发区环境影响跟踪评价报告书》；</w:t>
            </w:r>
          </w:p>
          <w:p>
            <w:pPr>
              <w:ind w:firstLine="480"/>
            </w:pPr>
            <w:r>
              <w:rPr>
                <w:rFonts w:hint="eastAsia"/>
              </w:rPr>
              <w:t>审查机关：湖南省生态环境听</w:t>
            </w:r>
          </w:p>
          <w:p>
            <w:pPr>
              <w:ind w:firstLine="480"/>
              <w:rPr>
                <w:rFonts w:cs="宋体"/>
                <w:color w:val="000000"/>
                <w:kern w:val="0"/>
              </w:rPr>
            </w:pPr>
            <w:r>
              <w:rPr>
                <w:rFonts w:hint="eastAsia"/>
              </w:rPr>
              <w:t>审查文件名称及文号：《湖南省生态环境厅关于永州市经济开发区环境影响跟踪评价工作意见的函》（湘环函评[20</w:t>
            </w:r>
            <w:r>
              <w:t>22</w:t>
            </w:r>
            <w:r>
              <w:rPr>
                <w:rFonts w:hint="eastAsia"/>
              </w:rPr>
              <w:t>]</w:t>
            </w:r>
            <w:r>
              <w:t>15</w:t>
            </w:r>
            <w:r>
              <w:rPr>
                <w:rFonts w:hint="eastAsia"/>
              </w:rPr>
              <w:t>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6" w:hRule="atLeast"/>
          <w:jc w:val="center"/>
        </w:trPr>
        <w:tc>
          <w:tcPr>
            <w:tcW w:w="1968" w:type="dxa"/>
            <w:vAlign w:val="center"/>
          </w:tcPr>
          <w:p>
            <w:pPr>
              <w:autoSpaceDE w:val="0"/>
              <w:autoSpaceDN w:val="0"/>
              <w:adjustRightInd w:val="0"/>
              <w:snapToGrid w:val="0"/>
              <w:ind w:firstLine="0" w:firstLineChars="0"/>
              <w:jc w:val="center"/>
              <w:rPr>
                <w:rFonts w:cs="宋体"/>
                <w:color w:val="000000"/>
                <w:kern w:val="0"/>
              </w:rPr>
            </w:pPr>
            <w:r>
              <w:rPr>
                <w:rFonts w:hint="eastAsia" w:cs="宋体"/>
                <w:color w:val="000000"/>
                <w:kern w:val="0"/>
              </w:rPr>
              <w:t>规划及规划环境</w:t>
            </w:r>
          </w:p>
          <w:p>
            <w:pPr>
              <w:autoSpaceDE w:val="0"/>
              <w:autoSpaceDN w:val="0"/>
              <w:adjustRightInd w:val="0"/>
              <w:snapToGrid w:val="0"/>
              <w:ind w:firstLine="0" w:firstLineChars="0"/>
              <w:jc w:val="center"/>
              <w:rPr>
                <w:rFonts w:cs="宋体"/>
                <w:color w:val="000000"/>
                <w:kern w:val="0"/>
              </w:rPr>
            </w:pPr>
            <w:r>
              <w:rPr>
                <w:rFonts w:hint="eastAsia" w:cs="宋体"/>
                <w:color w:val="000000"/>
                <w:kern w:val="0"/>
              </w:rPr>
              <w:t>影响评价符合性分析</w:t>
            </w:r>
          </w:p>
        </w:tc>
        <w:tc>
          <w:tcPr>
            <w:tcW w:w="7103" w:type="dxa"/>
            <w:gridSpan w:val="3"/>
            <w:vAlign w:val="center"/>
          </w:tcPr>
          <w:p>
            <w:pPr>
              <w:ind w:firstLine="480"/>
            </w:pPr>
            <w:r>
              <w:rPr>
                <w:rFonts w:hint="eastAsia"/>
              </w:rPr>
              <w:t>1、</w:t>
            </w:r>
            <w:r>
              <w:t>《永州市经济技术开发区环境影响报告书》中明确了园区准入条件如下：</w:t>
            </w:r>
          </w:p>
          <w:p>
            <w:pPr>
              <w:ind w:firstLine="480"/>
            </w:pPr>
            <w:r>
              <w:rPr>
                <w:rFonts w:hint="eastAsia"/>
              </w:rPr>
              <w:t>a、</w:t>
            </w:r>
            <w:r>
              <w:t>园区准入原则</w:t>
            </w:r>
          </w:p>
          <w:p>
            <w:pPr>
              <w:ind w:firstLine="480"/>
            </w:pPr>
            <w:r>
              <w:rPr>
                <w:rFonts w:hint="eastAsia" w:ascii="宋体" w:hAnsi="宋体" w:cs="宋体"/>
              </w:rPr>
              <w:t>①</w:t>
            </w:r>
            <w:r>
              <w:t>符合国家产业政策；</w:t>
            </w:r>
          </w:p>
          <w:p>
            <w:pPr>
              <w:ind w:firstLine="480"/>
            </w:pPr>
            <w:r>
              <w:rPr>
                <w:rFonts w:hint="eastAsia" w:ascii="宋体" w:hAnsi="宋体" w:cs="宋体"/>
              </w:rPr>
              <w:t>②</w:t>
            </w:r>
            <w:r>
              <w:t>生产方法、生产工艺及设施装备必须符合国家技术政策要求，达到相应产业的国内清洁生产水平；</w:t>
            </w:r>
          </w:p>
          <w:p>
            <w:pPr>
              <w:ind w:firstLine="480"/>
            </w:pPr>
            <w:r>
              <w:rPr>
                <w:rFonts w:hint="eastAsia" w:ascii="宋体" w:hAnsi="宋体" w:cs="宋体"/>
              </w:rPr>
              <w:t>③</w:t>
            </w:r>
            <w:r>
              <w:t>符合经开区各工业园区产业规划；</w:t>
            </w:r>
          </w:p>
          <w:p>
            <w:pPr>
              <w:ind w:firstLine="480"/>
            </w:pPr>
            <w:r>
              <w:rPr>
                <w:rFonts w:hint="eastAsia" w:ascii="宋体" w:hAnsi="宋体" w:cs="宋体"/>
              </w:rPr>
              <w:t>④</w:t>
            </w:r>
            <w:r>
              <w:t>低能耗、低污染、且污染防治技术成熟、清洁生产水平高的项目；</w:t>
            </w:r>
          </w:p>
          <w:p>
            <w:pPr>
              <w:ind w:firstLine="480"/>
            </w:pPr>
            <w:r>
              <w:rPr>
                <w:rFonts w:hint="eastAsia" w:ascii="宋体" w:hAnsi="宋体" w:cs="宋体"/>
              </w:rPr>
              <w:t>⑤</w:t>
            </w:r>
            <w:r>
              <w:t>禁止“十八小”、“新五小”等污染企业或行业进入园区；</w:t>
            </w:r>
          </w:p>
          <w:p>
            <w:pPr>
              <w:ind w:firstLine="480"/>
            </w:pPr>
            <w:r>
              <w:rPr>
                <w:rFonts w:hint="eastAsia" w:ascii="宋体" w:hAnsi="宋体" w:cs="宋体"/>
              </w:rPr>
              <w:t>⑥</w:t>
            </w:r>
            <w:r>
              <w:t>对虽符合（1）~（4）项条款，但对产出的污染物无具体、妥善的污染防治措施，污染物排放满足不了园区总量控制要求，资源利用率、水重复利用率不符合清洁生产水平的，各企业废水经内部处理未能达《污水综合排放标准》（GB8978-1996）表1和表4中三级标准，同时必须达到下河线污水处理厂进水水质标准要求的企业一律不得入区。</w:t>
            </w:r>
          </w:p>
          <w:p>
            <w:pPr>
              <w:ind w:firstLine="480"/>
            </w:pPr>
            <w:r>
              <w:rPr>
                <w:rFonts w:hint="eastAsia"/>
              </w:rPr>
              <w:t>b</w:t>
            </w:r>
            <w:r>
              <w:t>、经开区准入与限制行业类型</w:t>
            </w:r>
          </w:p>
          <w:p>
            <w:pPr>
              <w:ind w:firstLine="480"/>
            </w:pPr>
            <w:r>
              <w:t>根据经开区的产业定位，结合《产业结构调整目录2011年本》（2013年修正）的相关规定，以及国家对工业企业建设的生产工艺、生产设备、污染物排放要求的相关规定，确定本经开区的企业引进的准入行业、条件见</w:t>
            </w:r>
            <w:r>
              <w:rPr>
                <w:rFonts w:hint="eastAsia"/>
              </w:rPr>
              <w:t>下</w:t>
            </w:r>
            <w:r>
              <w:t>表。</w:t>
            </w:r>
          </w:p>
          <w:p>
            <w:pPr>
              <w:pStyle w:val="110"/>
              <w:ind w:firstLine="480"/>
              <w:jc w:val="center"/>
              <w:rPr>
                <w:rFonts w:ascii="Times New Roman" w:hAnsi="Times New Roman" w:eastAsia="宋体" w:cs="Times New Roman"/>
                <w:sz w:val="24"/>
              </w:rPr>
            </w:pPr>
            <w:r>
              <w:rPr>
                <w:rFonts w:ascii="Times New Roman" w:hAnsi="Times New Roman" w:eastAsia="宋体" w:cs="Times New Roman"/>
                <w:sz w:val="24"/>
              </w:rPr>
              <w:t>表1-1经开区准入行业、条件一览表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3"/>
              <w:gridCol w:w="56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2" w:type="pct"/>
                  <w:vAlign w:val="center"/>
                </w:tcPr>
                <w:p>
                  <w:pPr>
                    <w:spacing w:line="240" w:lineRule="auto"/>
                    <w:ind w:firstLine="0" w:firstLineChars="0"/>
                    <w:jc w:val="center"/>
                    <w:rPr>
                      <w:sz w:val="21"/>
                      <w:szCs w:val="21"/>
                    </w:rPr>
                  </w:pPr>
                  <w:r>
                    <w:rPr>
                      <w:rFonts w:hint="eastAsia"/>
                      <w:sz w:val="21"/>
                      <w:szCs w:val="21"/>
                    </w:rPr>
                    <w:t>类型</w:t>
                  </w:r>
                </w:p>
              </w:tc>
              <w:tc>
                <w:tcPr>
                  <w:tcW w:w="4498" w:type="pct"/>
                  <w:vAlign w:val="center"/>
                </w:tcPr>
                <w:p>
                  <w:pPr>
                    <w:spacing w:line="240" w:lineRule="auto"/>
                    <w:ind w:firstLine="0" w:firstLineChars="0"/>
                    <w:jc w:val="center"/>
                    <w:rPr>
                      <w:sz w:val="21"/>
                      <w:szCs w:val="21"/>
                    </w:rPr>
                  </w:pPr>
                  <w:r>
                    <w:rPr>
                      <w:rFonts w:hint="eastAsia"/>
                      <w:sz w:val="21"/>
                      <w:szCs w:val="21"/>
                    </w:rPr>
                    <w:t>行业类别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2" w:type="pct"/>
                  <w:vAlign w:val="center"/>
                </w:tcPr>
                <w:p>
                  <w:pPr>
                    <w:spacing w:line="240" w:lineRule="auto"/>
                    <w:ind w:firstLine="0" w:firstLineChars="0"/>
                    <w:jc w:val="center"/>
                    <w:rPr>
                      <w:sz w:val="21"/>
                      <w:szCs w:val="21"/>
                    </w:rPr>
                  </w:pPr>
                  <w:r>
                    <w:rPr>
                      <w:rFonts w:hint="eastAsia"/>
                      <w:sz w:val="21"/>
                      <w:szCs w:val="21"/>
                    </w:rPr>
                    <w:t>鼓励类</w:t>
                  </w:r>
                </w:p>
              </w:tc>
              <w:tc>
                <w:tcPr>
                  <w:tcW w:w="4498" w:type="pct"/>
                  <w:vAlign w:val="center"/>
                </w:tcPr>
                <w:p>
                  <w:pPr>
                    <w:spacing w:line="240" w:lineRule="auto"/>
                    <w:ind w:left="-60" w:leftChars="-25" w:right="-60" w:rightChars="-25" w:firstLine="0" w:firstLineChars="0"/>
                    <w:rPr>
                      <w:sz w:val="21"/>
                      <w:szCs w:val="21"/>
                    </w:rPr>
                  </w:pPr>
                  <w:r>
                    <w:rPr>
                      <w:rFonts w:hint="eastAsia"/>
                      <w:sz w:val="21"/>
                      <w:szCs w:val="21"/>
                    </w:rPr>
                    <w:t>凤凰工业园（经开区北部片区）：重点发展民族制药、特色食品产业，鼓励如中药饮片生产、中药材GMP生产行业，鼓励民族药物开发和</w:t>
                  </w:r>
                  <w:r>
                    <w:rPr>
                      <w:sz w:val="21"/>
                      <w:szCs w:val="21"/>
                    </w:rPr>
                    <w:t>生产等行业。</w:t>
                  </w:r>
                </w:p>
                <w:p>
                  <w:pPr>
                    <w:spacing w:line="240" w:lineRule="auto"/>
                    <w:ind w:left="-60" w:leftChars="-25" w:right="-60" w:rightChars="-25" w:firstLine="0" w:firstLineChars="0"/>
                    <w:rPr>
                      <w:sz w:val="21"/>
                      <w:szCs w:val="21"/>
                    </w:rPr>
                  </w:pPr>
                  <w:r>
                    <w:rPr>
                      <w:sz w:val="21"/>
                      <w:szCs w:val="21"/>
                    </w:rPr>
                    <w:t>冷水滩工业园（经开区北部片区）：主要发展电子信息、商贸物流等产业，鼓励如医疗电子、金融电子、航空航天仪器仪表电子。传感器电子等产品制造；药品物流配送（含冷链）技术应用和设施建设，药品物流质量安全控制技术服务等产业。</w:t>
                  </w:r>
                </w:p>
                <w:p>
                  <w:pPr>
                    <w:spacing w:line="240" w:lineRule="auto"/>
                    <w:ind w:left="-60" w:leftChars="-25" w:right="-60" w:rightChars="-25" w:firstLine="0" w:firstLineChars="0"/>
                    <w:rPr>
                      <w:sz w:val="21"/>
                      <w:szCs w:val="21"/>
                    </w:rPr>
                  </w:pPr>
                  <w:r>
                    <w:rPr>
                      <w:sz w:val="21"/>
                      <w:szCs w:val="21"/>
                    </w:rPr>
                    <w:t>先进装备产业园（经开区南部片区、长丰工业园）：重点发展汽车装配及零部件配套工业，鼓励如汽车关键零部件：汽油机增压器、电涡流缓速器、轮胎气压监测系统（TPMS）、随动前照灯系统、LED前照灯、数字化仪表、电控系统执行机构用电磁阀、低地板大型客车专用车桥、空气悬架、吸能式转向系统、大中型客车变频空调、高强度钢车轮、载重车</w:t>
                  </w:r>
                  <w:r>
                    <w:rPr>
                      <w:rFonts w:hint="eastAsia"/>
                      <w:sz w:val="21"/>
                      <w:szCs w:val="21"/>
                    </w:rPr>
                    <w:t>后盘式制动器；汽车产品开发、试验、检测设备及设施建设等产业。</w:t>
                  </w:r>
                </w:p>
                <w:p>
                  <w:pPr>
                    <w:pStyle w:val="9"/>
                    <w:spacing w:after="0" w:line="240" w:lineRule="auto"/>
                    <w:ind w:left="-60" w:leftChars="-25" w:right="-60" w:rightChars="-25" w:firstLine="0" w:firstLineChars="0"/>
                    <w:rPr>
                      <w:sz w:val="21"/>
                      <w:szCs w:val="21"/>
                    </w:rPr>
                  </w:pPr>
                  <w:r>
                    <w:rPr>
                      <w:rFonts w:hint="eastAsia"/>
                      <w:sz w:val="21"/>
                      <w:szCs w:val="21"/>
                    </w:rPr>
                    <w:t>电子信息产业园（经开区南部片区）：主要发展电子信息、商贸物流等产业，鼓励新型电子元器件（片式元器件、频率元器件、混合集成电路、电力电子器件、光电子器件；敏感元器件及传感器、新型机电元件）制造；液晶显示器配件：粮食、棉花、食用油、食糖、化肥、石油等重要商品现代化物流设施建设；农产品物流配送（含冷链）设施建设，食品物流质量安全控制技术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2" w:type="pct"/>
                  <w:vAlign w:val="center"/>
                </w:tcPr>
                <w:p>
                  <w:pPr>
                    <w:spacing w:line="240" w:lineRule="auto"/>
                    <w:ind w:firstLine="0" w:firstLineChars="0"/>
                    <w:jc w:val="center"/>
                    <w:rPr>
                      <w:sz w:val="21"/>
                      <w:szCs w:val="21"/>
                    </w:rPr>
                  </w:pPr>
                  <w:r>
                    <w:rPr>
                      <w:rFonts w:hint="eastAsia"/>
                      <w:sz w:val="21"/>
                      <w:szCs w:val="21"/>
                    </w:rPr>
                    <w:t>允许类</w:t>
                  </w:r>
                </w:p>
              </w:tc>
              <w:tc>
                <w:tcPr>
                  <w:tcW w:w="4498" w:type="pct"/>
                  <w:vAlign w:val="center"/>
                </w:tcPr>
                <w:p>
                  <w:pPr>
                    <w:spacing w:line="240" w:lineRule="auto"/>
                    <w:ind w:left="-60" w:leftChars="-25" w:right="-60" w:rightChars="-25" w:firstLine="0" w:firstLineChars="0"/>
                    <w:rPr>
                      <w:sz w:val="21"/>
                      <w:szCs w:val="21"/>
                    </w:rPr>
                  </w:pPr>
                  <w:r>
                    <w:rPr>
                      <w:sz w:val="21"/>
                      <w:szCs w:val="21"/>
                    </w:rPr>
                    <w:t>符合国家产业政策、园区产业定位和工业用地类型的排水量小的生物制药如中药饮片、制剂等、机械制造如普通机械制造、专用设备制造、交通运输设备制造业、汽车零部件制造等；污水排放量较小的糖果、饮料、干湿冻制品、饲料等农副产品加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2" w:type="pct"/>
                  <w:vAlign w:val="center"/>
                </w:tcPr>
                <w:p>
                  <w:pPr>
                    <w:spacing w:line="240" w:lineRule="auto"/>
                    <w:ind w:firstLine="0" w:firstLineChars="0"/>
                    <w:jc w:val="center"/>
                    <w:rPr>
                      <w:sz w:val="21"/>
                      <w:szCs w:val="21"/>
                    </w:rPr>
                  </w:pPr>
                  <w:r>
                    <w:rPr>
                      <w:rFonts w:hint="eastAsia"/>
                      <w:sz w:val="21"/>
                      <w:szCs w:val="21"/>
                    </w:rPr>
                    <w:t>限制类</w:t>
                  </w:r>
                </w:p>
              </w:tc>
              <w:tc>
                <w:tcPr>
                  <w:tcW w:w="4498" w:type="pct"/>
                  <w:vAlign w:val="center"/>
                </w:tcPr>
                <w:p>
                  <w:pPr>
                    <w:spacing w:line="240" w:lineRule="auto"/>
                    <w:ind w:left="-60" w:leftChars="-25" w:right="-60" w:rightChars="-25" w:firstLine="0" w:firstLineChars="0"/>
                    <w:rPr>
                      <w:sz w:val="21"/>
                      <w:szCs w:val="21"/>
                    </w:rPr>
                  </w:pPr>
                  <w:r>
                    <w:rPr>
                      <w:sz w:val="21"/>
                      <w:szCs w:val="21"/>
                    </w:rPr>
                    <w:t>凤凰工业园（经开区北部片区）：限制新建、扩建古龙酸和维生素C原粉（包括药用、食品用和饲料用、化妆品用）生产装置。CRT黑白及彩色电视机项目。</w:t>
                  </w:r>
                </w:p>
                <w:p>
                  <w:pPr>
                    <w:spacing w:line="240" w:lineRule="auto"/>
                    <w:ind w:left="-60" w:leftChars="-25" w:right="-60" w:rightChars="-25" w:firstLine="0" w:firstLineChars="0"/>
                    <w:rPr>
                      <w:sz w:val="21"/>
                      <w:szCs w:val="21"/>
                    </w:rPr>
                  </w:pPr>
                  <w:r>
                    <w:rPr>
                      <w:sz w:val="21"/>
                      <w:szCs w:val="21"/>
                    </w:rPr>
                    <w:t>先进装备产业园（经开区南部片区、长丰工业园）：限制低速汽车（三轮汽车、低速货车）（自2015年起执行与轻型卡车同等的节能与排放标准）。</w:t>
                  </w:r>
                </w:p>
                <w:p>
                  <w:pPr>
                    <w:pStyle w:val="9"/>
                    <w:spacing w:after="0" w:line="240" w:lineRule="auto"/>
                    <w:ind w:left="-60" w:leftChars="-25" w:right="-60" w:rightChars="-25" w:firstLine="0" w:firstLineChars="0"/>
                    <w:rPr>
                      <w:sz w:val="21"/>
                      <w:szCs w:val="21"/>
                    </w:rPr>
                  </w:pPr>
                  <w:r>
                    <w:rPr>
                      <w:sz w:val="21"/>
                      <w:szCs w:val="21"/>
                    </w:rPr>
                    <w:t>电子信息产业园（经开区南部片区）：限制激光视盘机生产线（VCD系列整机产品）：模拟CRT黑白及彩色电视机项目。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2" w:type="pct"/>
                  <w:vAlign w:val="center"/>
                </w:tcPr>
                <w:p>
                  <w:pPr>
                    <w:spacing w:line="240" w:lineRule="auto"/>
                    <w:ind w:firstLine="0" w:firstLineChars="0"/>
                    <w:jc w:val="center"/>
                    <w:rPr>
                      <w:sz w:val="21"/>
                      <w:szCs w:val="21"/>
                    </w:rPr>
                  </w:pPr>
                  <w:r>
                    <w:rPr>
                      <w:rFonts w:hint="eastAsia"/>
                      <w:sz w:val="21"/>
                      <w:szCs w:val="21"/>
                    </w:rPr>
                    <w:t>禁止类</w:t>
                  </w:r>
                </w:p>
              </w:tc>
              <w:tc>
                <w:tcPr>
                  <w:tcW w:w="4498" w:type="pct"/>
                  <w:vAlign w:val="center"/>
                </w:tcPr>
                <w:p>
                  <w:pPr>
                    <w:spacing w:line="240" w:lineRule="auto"/>
                    <w:ind w:left="-60" w:leftChars="-25" w:right="-60" w:rightChars="-25" w:firstLine="0" w:firstLineChars="0"/>
                    <w:rPr>
                      <w:sz w:val="21"/>
                      <w:szCs w:val="21"/>
                    </w:rPr>
                  </w:pPr>
                  <w:r>
                    <w:rPr>
                      <w:rFonts w:hint="eastAsia"/>
                      <w:sz w:val="21"/>
                      <w:szCs w:val="21"/>
                    </w:rPr>
                    <w:t>食品加工业禁止引入饮料、发酵类等耗水型，生物制药禁止引入醇提等耗水型企业；一类工业用地禁止引进二、三类企业，二类工业用地禁止引进三类企业；禁止新建排放水污染物涉及重金属的项目。</w:t>
                  </w:r>
                </w:p>
              </w:tc>
            </w:tr>
          </w:tbl>
          <w:p>
            <w:pPr>
              <w:pStyle w:val="110"/>
              <w:ind w:firstLine="480"/>
              <w:rPr>
                <w:rFonts w:eastAsia="宋体"/>
                <w:sz w:val="24"/>
              </w:rPr>
            </w:pPr>
            <w:r>
              <w:rPr>
                <w:rFonts w:hint="eastAsia" w:eastAsia="宋体"/>
                <w:sz w:val="24"/>
              </w:rPr>
              <w:t>c</w:t>
            </w:r>
            <w:r>
              <w:rPr>
                <w:rFonts w:eastAsia="宋体"/>
                <w:sz w:val="24"/>
              </w:rPr>
              <w:t>、相符性分析</w:t>
            </w:r>
          </w:p>
          <w:p>
            <w:pPr>
              <w:pStyle w:val="110"/>
              <w:ind w:firstLine="480"/>
              <w:rPr>
                <w:rFonts w:eastAsia="宋体"/>
                <w:sz w:val="24"/>
              </w:rPr>
            </w:pPr>
            <w:r>
              <w:rPr>
                <w:rFonts w:hint="eastAsia" w:eastAsia="宋体"/>
                <w:sz w:val="24"/>
              </w:rPr>
              <w:t>本项目位于永州经济技术开发区，经对比经开区准入行业、条件，项目不属于其中的“淘汰类”、“限制类”及“鼓励类”，属于“允许类”，项目建设符合经开区准入行业、条件。</w:t>
            </w:r>
          </w:p>
          <w:p>
            <w:pPr>
              <w:pStyle w:val="110"/>
              <w:ind w:firstLine="480"/>
              <w:rPr>
                <w:rFonts w:eastAsia="宋体"/>
                <w:sz w:val="24"/>
              </w:rPr>
            </w:pPr>
            <w:r>
              <w:rPr>
                <w:rFonts w:hint="eastAsia" w:eastAsia="宋体"/>
                <w:sz w:val="24"/>
              </w:rPr>
              <w:t>综上分析，项目符合经开区环评要求，选址合理。</w:t>
            </w:r>
          </w:p>
          <w:p>
            <w:pPr>
              <w:ind w:firstLine="480"/>
            </w:pPr>
            <w:r>
              <w:rPr>
                <w:rFonts w:hint="eastAsia"/>
              </w:rPr>
              <w:t>C、本项目选址与园区环评批文符合性分析</w:t>
            </w:r>
          </w:p>
          <w:p>
            <w:pPr>
              <w:ind w:firstLine="480"/>
            </w:pPr>
            <w:r>
              <w:t>根据</w:t>
            </w:r>
            <w:r>
              <w:rPr>
                <w:rFonts w:hint="eastAsia"/>
              </w:rPr>
              <w:t>“</w:t>
            </w:r>
            <w:r>
              <w:t>湘环评[2013]306号</w:t>
            </w:r>
            <w:r>
              <w:rPr>
                <w:rFonts w:hint="eastAsia"/>
              </w:rPr>
              <w:t>”</w:t>
            </w:r>
            <w:r>
              <w:t>批文内容：</w:t>
            </w:r>
          </w:p>
          <w:p>
            <w:pPr>
              <w:ind w:firstLine="480"/>
            </w:pPr>
            <w:r>
              <w:rPr>
                <w:rFonts w:hint="eastAsia" w:ascii="宋体" w:hAnsi="宋体" w:cs="宋体"/>
              </w:rPr>
              <w:t>①</w:t>
            </w:r>
            <w:r>
              <w:t>对交通干线两侧35m范围内不得设置对噪声敏感的建筑物，确保功能区划明确、产业相对集中、生态环境优良，减轻功能区相互干扰影响。</w:t>
            </w:r>
          </w:p>
          <w:p>
            <w:pPr>
              <w:ind w:firstLine="480"/>
            </w:pPr>
            <w:r>
              <w:rPr>
                <w:rFonts w:hint="eastAsia" w:ascii="宋体" w:hAnsi="宋体" w:cs="宋体"/>
              </w:rPr>
              <w:t>②</w:t>
            </w:r>
            <w:r>
              <w:t>严格执行经开区入园企业准入制度、入园项目选址必须符合湖南省湘江保护条例、经开区总体发展规划、用地规划、环保规划及主导产业定位要求，不得引进国家明令淘汰和禁止发展的能耗物耗高、环境污染严重、不符合产业政策的建设项目，禁止新引进三类工业以及线路板、电镀等排水涉重金属或持久性污染物的企业，严格限制水型污染企业进入；在拟发展的食品加工业中限制饮料、发酵型生产方式等耗水型生产项目，生物制药产业中限制原料药、化学合成药生产等水型污染复杂企业；北部片区禁止引进气型污染企业。在入园项目前期和建设期，必须严格执行建设项目环境影响评价和“三同时”管理制度，推行清洁生产工艺，确保排污浓度、总量满足达标排放和总量控制要求，加强对经开区内企业环境监管，确保建成项目污染设施正常运营、达标排放，符合地方环保管理要求。</w:t>
            </w:r>
          </w:p>
          <w:p>
            <w:pPr>
              <w:ind w:firstLine="480"/>
            </w:pPr>
            <w:r>
              <w:rPr>
                <w:rFonts w:hint="eastAsia" w:ascii="宋体" w:hAnsi="宋体" w:cs="宋体"/>
              </w:rPr>
              <w:t>③</w:t>
            </w:r>
            <w:r>
              <w:t>落实经开区水污染控制措施。经开区内所有排水全部纳入永州下河线污水处理厂处理。</w:t>
            </w:r>
          </w:p>
          <w:p>
            <w:pPr>
              <w:ind w:firstLine="480"/>
            </w:pPr>
            <w:r>
              <w:rPr>
                <w:rFonts w:hint="eastAsia" w:ascii="宋体" w:hAnsi="宋体" w:cs="宋体"/>
              </w:rPr>
              <w:t>④</w:t>
            </w:r>
            <w:r>
              <w:t>经开区做好大气污染控制措施。园区内不得燃用中、高硫煤，不得新建4t/h以下燃煤锅炉；管委会应积极推广清洁能源，加快园区天然气管网引进和建设，逐步减少燃煤用量，建立经开区清洁生产管理考核机制，对各企业工艺废气产出的生产节点，应配置废气收集与净化处理装置，确保达标排放；园区企业废气须处理达到相应的行业排放标准及《大气污染物综合排放标准》中二级标准要求。</w:t>
            </w:r>
          </w:p>
          <w:p>
            <w:pPr>
              <w:ind w:firstLine="480"/>
            </w:pPr>
            <w:r>
              <w:rPr>
                <w:rFonts w:hint="eastAsia" w:ascii="宋体" w:hAnsi="宋体" w:cs="宋体"/>
              </w:rPr>
              <w:t>④</w:t>
            </w:r>
            <w:r>
              <w:t>做好经开区工业固体废物和生活垃圾的分类收集、转运、综合利用和无害化处理，建立统一的固废收集、贮存、运输、综合利用和安全处置的运营管理体系。</w:t>
            </w:r>
          </w:p>
          <w:p>
            <w:pPr>
              <w:pStyle w:val="110"/>
              <w:ind w:firstLine="480"/>
              <w:rPr>
                <w:rFonts w:eastAsia="宋体"/>
                <w:sz w:val="24"/>
              </w:rPr>
            </w:pPr>
            <w:r>
              <w:rPr>
                <w:rFonts w:hint="eastAsia" w:eastAsia="宋体"/>
                <w:sz w:val="24"/>
              </w:rPr>
              <w:t>本项目位于永州经济技术开发区，</w:t>
            </w:r>
            <w:r>
              <w:rPr>
                <w:rFonts w:eastAsia="宋体"/>
                <w:sz w:val="24"/>
              </w:rPr>
              <w:t>项目符合国家产业政策，建设用地属工业用地，项目</w:t>
            </w:r>
            <w:r>
              <w:rPr>
                <w:rFonts w:hint="eastAsia" w:eastAsia="宋体"/>
                <w:sz w:val="24"/>
              </w:rPr>
              <w:t>使用</w:t>
            </w:r>
            <w:r>
              <w:rPr>
                <w:rFonts w:eastAsia="宋体"/>
                <w:sz w:val="24"/>
              </w:rPr>
              <w:t>电能清洁能源。项目各污染物拟采取的环保治理措施可行，各类废气达标排放；生活污水（如厕污水）经化粪池处理</w:t>
            </w:r>
            <w:r>
              <w:rPr>
                <w:rFonts w:hint="eastAsia" w:eastAsia="宋体"/>
                <w:sz w:val="24"/>
              </w:rPr>
              <w:t>经化粪池处理后用于周边农田施肥</w:t>
            </w:r>
            <w:r>
              <w:rPr>
                <w:rFonts w:eastAsia="宋体"/>
                <w:sz w:val="24"/>
              </w:rPr>
              <w:t>；各类机械设备产生的噪声经治理后达标排放；各类工业固体废物妥善处置，生活垃圾委托环卫部门清运。项目符合园区企业准入制度。</w:t>
            </w:r>
          </w:p>
          <w:p>
            <w:pPr>
              <w:pStyle w:val="110"/>
              <w:ind w:firstLine="480"/>
              <w:rPr>
                <w:rFonts w:eastAsia="宋体"/>
                <w:sz w:val="24"/>
              </w:rPr>
            </w:pPr>
            <w:r>
              <w:rPr>
                <w:rFonts w:eastAsia="宋体"/>
                <w:sz w:val="24"/>
              </w:rPr>
              <w:t>综上分析，本项目符合永州经济开发区环境影响报告书批文要求，选址合理。</w:t>
            </w:r>
          </w:p>
          <w:p>
            <w:pPr>
              <w:ind w:firstLine="480"/>
              <w:rPr>
                <w:bCs/>
                <w:spacing w:val="6"/>
              </w:rPr>
            </w:pPr>
            <w:r>
              <w:t>综上可知，</w:t>
            </w:r>
            <w:r>
              <w:rPr>
                <w:bCs/>
                <w:spacing w:val="6"/>
              </w:rPr>
              <w:t>项目选址合理。</w:t>
            </w:r>
          </w:p>
          <w:p>
            <w:pPr>
              <w:ind w:firstLine="492"/>
              <w:rPr>
                <w:bCs/>
                <w:spacing w:val="6"/>
              </w:rPr>
            </w:pPr>
            <w:r>
              <w:rPr>
                <w:rFonts w:hint="eastAsia"/>
                <w:bCs/>
                <w:spacing w:val="6"/>
              </w:rPr>
              <w:t>2、与《永州经济技术开发区环境影响跟踪评价报告书》及其批复符合性分析</w:t>
            </w:r>
          </w:p>
          <w:p>
            <w:pPr>
              <w:autoSpaceDE w:val="0"/>
              <w:autoSpaceDN w:val="0"/>
              <w:adjustRightInd w:val="0"/>
              <w:snapToGrid w:val="0"/>
              <w:ind w:firstLine="480"/>
              <w:jc w:val="left"/>
              <w:rPr>
                <w:kern w:val="0"/>
                <w:szCs w:val="21"/>
              </w:rPr>
            </w:pPr>
            <w:r>
              <w:rPr>
                <w:rFonts w:hint="eastAsia"/>
                <w:kern w:val="0"/>
                <w:szCs w:val="21"/>
              </w:rPr>
              <w:t>根据《永州经济技术开发区环境影响跟踪评价报告书》及其批复对永州经济技术开发区提出如下环保要求：</w:t>
            </w:r>
          </w:p>
          <w:p>
            <w:pPr>
              <w:autoSpaceDE w:val="0"/>
              <w:autoSpaceDN w:val="0"/>
              <w:adjustRightInd w:val="0"/>
              <w:snapToGrid w:val="0"/>
              <w:ind w:firstLine="480"/>
              <w:jc w:val="left"/>
              <w:rPr>
                <w:kern w:val="0"/>
                <w:szCs w:val="21"/>
              </w:rPr>
            </w:pPr>
          </w:p>
          <w:p>
            <w:pPr>
              <w:autoSpaceDE w:val="0"/>
              <w:autoSpaceDN w:val="0"/>
              <w:adjustRightInd w:val="0"/>
              <w:snapToGrid w:val="0"/>
              <w:ind w:firstLine="480"/>
              <w:jc w:val="left"/>
              <w:rPr>
                <w:kern w:val="0"/>
                <w:szCs w:val="21"/>
              </w:rPr>
            </w:pPr>
          </w:p>
          <w:p>
            <w:pPr>
              <w:pStyle w:val="54"/>
              <w:spacing w:before="156"/>
            </w:pPr>
            <w:r>
              <w:rPr>
                <w:rFonts w:hint="eastAsia"/>
              </w:rPr>
              <w:t>表1</w:t>
            </w:r>
            <w:r>
              <w:t xml:space="preserve">-2  </w:t>
            </w:r>
            <w:r>
              <w:rPr>
                <w:rFonts w:hint="eastAsia"/>
              </w:rPr>
              <w:t>项目与跟踪评价及其批复符合性分析表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8"/>
              <w:gridCol w:w="3145"/>
              <w:gridCol w:w="1679"/>
              <w:gridCol w:w="10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63" w:type="pct"/>
                  <w:vAlign w:val="center"/>
                </w:tcPr>
                <w:p>
                  <w:pPr>
                    <w:pStyle w:val="50"/>
                  </w:pPr>
                  <w:r>
                    <w:rPr>
                      <w:rFonts w:hint="eastAsia"/>
                    </w:rPr>
                    <w:t>序号</w:t>
                  </w:r>
                </w:p>
              </w:tc>
              <w:tc>
                <w:tcPr>
                  <w:tcW w:w="2493" w:type="pct"/>
                  <w:vAlign w:val="center"/>
                </w:tcPr>
                <w:p>
                  <w:pPr>
                    <w:pStyle w:val="50"/>
                  </w:pPr>
                  <w:r>
                    <w:rPr>
                      <w:rFonts w:hint="eastAsia"/>
                    </w:rPr>
                    <w:t>批复要求</w:t>
                  </w:r>
                </w:p>
              </w:tc>
              <w:tc>
                <w:tcPr>
                  <w:tcW w:w="1331" w:type="pct"/>
                  <w:vAlign w:val="center"/>
                </w:tcPr>
                <w:p>
                  <w:pPr>
                    <w:pStyle w:val="50"/>
                  </w:pPr>
                  <w:r>
                    <w:rPr>
                      <w:rFonts w:hint="eastAsia"/>
                    </w:rPr>
                    <w:t>项目情况</w:t>
                  </w:r>
                </w:p>
              </w:tc>
              <w:tc>
                <w:tcPr>
                  <w:tcW w:w="812" w:type="pct"/>
                  <w:vAlign w:val="center"/>
                </w:tcPr>
                <w:p>
                  <w:pPr>
                    <w:pStyle w:val="50"/>
                  </w:pPr>
                  <w:r>
                    <w:rPr>
                      <w:rFonts w:hint="eastAsia"/>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3" w:type="pct"/>
                  <w:vAlign w:val="center"/>
                </w:tcPr>
                <w:p>
                  <w:pPr>
                    <w:pStyle w:val="50"/>
                  </w:pPr>
                  <w:r>
                    <w:rPr>
                      <w:rFonts w:hint="eastAsia"/>
                    </w:rPr>
                    <w:t>1</w:t>
                  </w:r>
                </w:p>
              </w:tc>
              <w:tc>
                <w:tcPr>
                  <w:tcW w:w="2493" w:type="pct"/>
                  <w:vAlign w:val="center"/>
                </w:tcPr>
                <w:p>
                  <w:pPr>
                    <w:pStyle w:val="50"/>
                  </w:pPr>
                  <w:r>
                    <w:rPr>
                      <w:rFonts w:hint="eastAsia"/>
                    </w:rPr>
                    <w:t>按程序做好经开区规划调整。规划实施以来，经开区未严格按照规划功能分区进行布置，存在不同性质的工业企业、企业与居住区间交错布设，致使区域整体产业布局较为混杂;存在区域实际开发用地现状、产业定位与规划不符等情形: 经国家核准的面积范围内有 1.476km'用地超出原规划环评范围，但经开区并未及时开展环境影响评价工作。应结合永州市国土空间规划和环境可行性结论，尽快按规定程序开展规划调整工作，通过优化空间布局、用地性质调整、引导产业集中、严格控规等措施因地制宜地调整产业区功能布局和产业布局，并按规划修编相关要求完善国土、规划、环保等相关手续，做到规范、有序和可持续发展。临近仁湾镇中学、永州市长丰医院等生态环境敏感区四周的工业企业应强化污染防治设施的治理效果，最大程度地避免对邻近生态环境敏感区的不良环境影响。后续引进企业，应合理弓早企业布局，确保各行业企业在其相应的规划产业片区内发展严禁跨红线布局。</w:t>
                  </w:r>
                </w:p>
              </w:tc>
              <w:tc>
                <w:tcPr>
                  <w:tcW w:w="1331" w:type="pct"/>
                  <w:vAlign w:val="center"/>
                </w:tcPr>
                <w:p>
                  <w:pPr>
                    <w:pStyle w:val="50"/>
                  </w:pPr>
                  <w:r>
                    <w:rPr>
                      <w:rFonts w:hint="eastAsia"/>
                    </w:rPr>
                    <w:t>本项目位于国家核准的面积范围内，项目属于塑料制品行业，符合园区产业定位，项目所处地块规划用地性质为二类工业用地，本项目用地符合产业布局要求</w:t>
                  </w:r>
                </w:p>
              </w:tc>
              <w:tc>
                <w:tcPr>
                  <w:tcW w:w="812" w:type="pct"/>
                  <w:vAlign w:val="center"/>
                </w:tcPr>
                <w:p>
                  <w:pPr>
                    <w:pStyle w:val="50"/>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3" w:type="pct"/>
                  <w:vAlign w:val="center"/>
                </w:tcPr>
                <w:p>
                  <w:pPr>
                    <w:pStyle w:val="50"/>
                  </w:pPr>
                  <w:r>
                    <w:rPr>
                      <w:rFonts w:hint="eastAsia"/>
                    </w:rPr>
                    <w:t>2</w:t>
                  </w:r>
                </w:p>
              </w:tc>
              <w:tc>
                <w:tcPr>
                  <w:tcW w:w="2493" w:type="pct"/>
                  <w:vAlign w:val="center"/>
                </w:tcPr>
                <w:p>
                  <w:pPr>
                    <w:pStyle w:val="50"/>
                  </w:pPr>
                  <w:r>
                    <w:rPr>
                      <w:rFonts w:hint="eastAsia"/>
                    </w:rPr>
                    <w:t>永州经开区后续发展与规划调整须符合经开区“三线一单”环境准入要求、湖南省湘江保护条例及《报告书》提出的环境准入条件和负面清单要求。经开区管委会须切实履行承诺，对于核准范围内用地性质不符合规划的企业及核准范围外、纳入原规划环评范围内的企业，在国土空间规划统筹划定三条控制线等工作前，区域范围内的不得新增排污量、现有企业不得扩大生产规模。对于超出原规划环评范围的1.476km'用地在未按要求完善相关环保手续前，不得再引入工业企业。入驻企业应按照《关于加强重点行业建设项目区域削减措施监督管理的通知》等有关文件要求，依据区域环境质量改善目标，制定配套区域污染物削减方案，采取有效的污染物区域削减措施，腾出足够的环境容量。入驻企业应优先考虑使用清洁能源能耗低、技术工艺先进、清洁生产和环境管理水平高、污染防治技术成熟的企业，须严格执行环境保护“三同时”制度，确保外排污染物满足排污许可证管控要求。</w:t>
                  </w:r>
                </w:p>
              </w:tc>
              <w:tc>
                <w:tcPr>
                  <w:tcW w:w="1331" w:type="pct"/>
                  <w:vAlign w:val="center"/>
                </w:tcPr>
                <w:p>
                  <w:pPr>
                    <w:pStyle w:val="50"/>
                  </w:pPr>
                  <w:r>
                    <w:rPr>
                      <w:rFonts w:hint="eastAsia"/>
                    </w:rPr>
                    <w:t>本项目建设符合经开区“三线一单”环境准入要求、湖南省湘江保护条例及《报告书》提出的环境准入条件和负面清单要求。</w:t>
                  </w:r>
                </w:p>
              </w:tc>
              <w:tc>
                <w:tcPr>
                  <w:tcW w:w="812" w:type="pct"/>
                  <w:vAlign w:val="center"/>
                </w:tcPr>
                <w:p>
                  <w:pPr>
                    <w:pStyle w:val="50"/>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3" w:type="pct"/>
                  <w:vAlign w:val="center"/>
                </w:tcPr>
                <w:p>
                  <w:pPr>
                    <w:pStyle w:val="50"/>
                  </w:pPr>
                  <w:r>
                    <w:rPr>
                      <w:rFonts w:hint="eastAsia"/>
                    </w:rPr>
                    <w:t>3</w:t>
                  </w:r>
                </w:p>
              </w:tc>
              <w:tc>
                <w:tcPr>
                  <w:tcW w:w="2493" w:type="pct"/>
                  <w:vAlign w:val="center"/>
                </w:tcPr>
                <w:p>
                  <w:pPr>
                    <w:pStyle w:val="50"/>
                  </w:pPr>
                  <w:r>
                    <w:rPr>
                      <w:rFonts w:hint="eastAsia"/>
                    </w:rPr>
                    <w:t>抓紧完善区域雨污分流和污污分流系统、污水收集管网及下河线污水处理厂提质扩容建设，确保经开区废水应收尽收;基于区域受纳水体较为敏感且下河线污水处理厂处理规模已超负荷，且拟投产的永州经开区污水处理厂尾水须经下河线污水处理厂处理后再由现有排污口外排，排口设于冷水滩湘江省级湿地公园的恢复区，应加快完善污水处理厂入河排污口设置论证手续，确保依法依规排污。在取得污水处理厂入河排污口设置论证手续或有妥善解决方案前，区域应禁止引进水型污染企业。优化能源结构，推广清洁能源。加强经开区大气污染防治，加大对区内重点排污企业废气治理措施运行情况及废气无组织排放的监管，确保大气污染物达标排放，对治理设施不能有效运行的企业，采取停产措施。做好工业固体废物和生活垃圾的分类收集、转运、综合利用和无害化处理，建立完善的固废管理体系。对危险废物应严格按照国家有关规定综合利用或妥善处置，对危险废物产生企业和经营单位，应强化日常环境监管。经开区范围内仍有企业存在环保手续履行不到位的情形，须严格落实排污许可制度和污染物排放总量控制，重点抓好企业环保手续的完善工作。</w:t>
                  </w:r>
                </w:p>
              </w:tc>
              <w:tc>
                <w:tcPr>
                  <w:tcW w:w="1331" w:type="pct"/>
                  <w:vAlign w:val="center"/>
                </w:tcPr>
                <w:p>
                  <w:pPr>
                    <w:pStyle w:val="50"/>
                  </w:pPr>
                  <w:r>
                    <w:rPr>
                      <w:rFonts w:hint="eastAsia"/>
                    </w:rPr>
                    <w:t>项目厂区实现了雨污分流、污污分流，项目无生产废水产生，生活污水用于周边农田施肥；本项目废气均采用废气净化措施净化后排放，均能够达标排放。</w:t>
                  </w:r>
                </w:p>
              </w:tc>
              <w:tc>
                <w:tcPr>
                  <w:tcW w:w="812" w:type="pct"/>
                  <w:vAlign w:val="center"/>
                </w:tcPr>
                <w:p>
                  <w:pPr>
                    <w:pStyle w:val="50"/>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3" w:type="pct"/>
                  <w:vAlign w:val="center"/>
                </w:tcPr>
                <w:p>
                  <w:pPr>
                    <w:pStyle w:val="50"/>
                  </w:pPr>
                  <w:r>
                    <w:rPr>
                      <w:rFonts w:hint="eastAsia"/>
                    </w:rPr>
                    <w:t>4</w:t>
                  </w:r>
                </w:p>
              </w:tc>
              <w:tc>
                <w:tcPr>
                  <w:tcW w:w="2493" w:type="pct"/>
                  <w:vAlign w:val="center"/>
                </w:tcPr>
                <w:p>
                  <w:pPr>
                    <w:pStyle w:val="50"/>
                  </w:pPr>
                  <w:r>
                    <w:rPr>
                      <w:rFonts w:hint="eastAsia"/>
                    </w:rPr>
                    <w:t>严格落实跟踪评价提出的监测方案，基于经开区周边设有冷水滩湘江省级湿地公园、饮用水水源保护区等生态环境敏感区，应结合经开区规划的功能分区产业布局、重点企业分布、特征污染物的排放种类和状况、环境敏感目标分布等，建立健全环境空气、地表水、地下水、土壤等环境要素的监控体系，并按《报告书》提出的要求，对相应点位(断面) 开展的跟踪监测。加强对经开区重点排放单位、环保投诉较多企业的监督性监测。</w:t>
                  </w:r>
                </w:p>
              </w:tc>
              <w:tc>
                <w:tcPr>
                  <w:tcW w:w="1331" w:type="pct"/>
                  <w:vAlign w:val="center"/>
                </w:tcPr>
                <w:p>
                  <w:pPr>
                    <w:pStyle w:val="50"/>
                  </w:pPr>
                  <w:r>
                    <w:rPr>
                      <w:rFonts w:hint="eastAsia"/>
                    </w:rPr>
                    <w:t>与本项目无关</w:t>
                  </w:r>
                </w:p>
              </w:tc>
              <w:tc>
                <w:tcPr>
                  <w:tcW w:w="812" w:type="pct"/>
                  <w:vAlign w:val="center"/>
                </w:tcPr>
                <w:p>
                  <w:pPr>
                    <w:pStyle w:val="50"/>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3" w:type="pct"/>
                  <w:vAlign w:val="center"/>
                </w:tcPr>
                <w:p>
                  <w:pPr>
                    <w:pStyle w:val="50"/>
                  </w:pPr>
                  <w:r>
                    <w:rPr>
                      <w:rFonts w:hint="eastAsia"/>
                    </w:rPr>
                    <w:t>5</w:t>
                  </w:r>
                </w:p>
              </w:tc>
              <w:tc>
                <w:tcPr>
                  <w:tcW w:w="2493" w:type="pct"/>
                  <w:vAlign w:val="center"/>
                </w:tcPr>
                <w:p>
                  <w:pPr>
                    <w:pStyle w:val="50"/>
                  </w:pPr>
                  <w:r>
                    <w:rPr>
                      <w:rFonts w:hint="eastAsia"/>
                    </w:rPr>
                    <w:t>加强经开区重要环境风险源管控，加强经开区危险化学品储运的环境风险管理，严格落实应急响应联动机制，确保区域环境安全。</w:t>
                  </w:r>
                </w:p>
              </w:tc>
              <w:tc>
                <w:tcPr>
                  <w:tcW w:w="1331" w:type="pct"/>
                  <w:vAlign w:val="center"/>
                </w:tcPr>
                <w:p>
                  <w:pPr>
                    <w:pStyle w:val="50"/>
                  </w:pPr>
                  <w:r>
                    <w:rPr>
                      <w:rFonts w:hint="eastAsia"/>
                    </w:rPr>
                    <w:t>本项目环境风险较低，环评已提出环境风险防控要求，项目落实环评所提措施后环境风险可以接受</w:t>
                  </w:r>
                </w:p>
              </w:tc>
              <w:tc>
                <w:tcPr>
                  <w:tcW w:w="812" w:type="pct"/>
                  <w:vAlign w:val="center"/>
                </w:tcPr>
                <w:p>
                  <w:pPr>
                    <w:pStyle w:val="50"/>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3" w:type="pct"/>
                  <w:vAlign w:val="center"/>
                </w:tcPr>
                <w:p>
                  <w:pPr>
                    <w:pStyle w:val="50"/>
                  </w:pPr>
                  <w:r>
                    <w:rPr>
                      <w:rFonts w:hint="eastAsia"/>
                    </w:rPr>
                    <w:t>6</w:t>
                  </w:r>
                </w:p>
              </w:tc>
              <w:tc>
                <w:tcPr>
                  <w:tcW w:w="2493" w:type="pct"/>
                  <w:vAlign w:val="center"/>
                </w:tcPr>
                <w:p>
                  <w:pPr>
                    <w:pStyle w:val="50"/>
                  </w:pPr>
                  <w:r>
                    <w:rPr>
                      <w:rFonts w:hint="eastAsia"/>
                    </w:rPr>
                    <w:t>严格做好控规，杜绝在规划的工业用地上新增环境敏感目标、建设居民区。做好商业用地、居住用地周边的规划控制，在下一轮规划调整中应从提升指导性可操作性的角度出发推动产业集中布局、降低环境影响，强化产城融合度较高区域产业准入，严格控制气型污染企业入驻，加强对现有企业的污染防治措施。按要求做好功能区及具体项目用地周边规划控制，永州经开区应根据开发规划统筹制定拆迁安置方案，落实移民生产生活安置措施，防治移民再次安置和次生环境问题。</w:t>
                  </w:r>
                </w:p>
              </w:tc>
              <w:tc>
                <w:tcPr>
                  <w:tcW w:w="1331" w:type="pct"/>
                  <w:vAlign w:val="center"/>
                </w:tcPr>
                <w:p>
                  <w:pPr>
                    <w:pStyle w:val="50"/>
                  </w:pPr>
                  <w:r>
                    <w:rPr>
                      <w:rFonts w:hint="eastAsia"/>
                    </w:rPr>
                    <w:t>本项目占地不涉及拆迁安置，位于规划的二类工业用地，项目周边敏感点较少，最近的规划敏感目标为北侧毛立山组居民点，距离项目</w:t>
                  </w:r>
                  <w:r>
                    <w:t>30</w:t>
                  </w:r>
                  <w:r>
                    <w:rPr>
                      <w:rFonts w:hint="eastAsia"/>
                    </w:rPr>
                    <w:t>m，项目废气排放量较少，对周边环境影响可以接受</w:t>
                  </w:r>
                </w:p>
              </w:tc>
              <w:tc>
                <w:tcPr>
                  <w:tcW w:w="812" w:type="pct"/>
                  <w:vAlign w:val="center"/>
                </w:tcPr>
                <w:p>
                  <w:pPr>
                    <w:pStyle w:val="50"/>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3" w:type="pct"/>
                  <w:vAlign w:val="center"/>
                </w:tcPr>
                <w:p>
                  <w:pPr>
                    <w:pStyle w:val="50"/>
                  </w:pPr>
                  <w:r>
                    <w:rPr>
                      <w:rFonts w:hint="eastAsia"/>
                    </w:rPr>
                    <w:t>7</w:t>
                  </w:r>
                </w:p>
              </w:tc>
              <w:tc>
                <w:tcPr>
                  <w:tcW w:w="2493" w:type="pct"/>
                  <w:vAlign w:val="center"/>
                </w:tcPr>
                <w:p>
                  <w:pPr>
                    <w:pStyle w:val="50"/>
                  </w:pPr>
                  <w:r>
                    <w:rPr>
                      <w:rFonts w:hint="eastAsia"/>
                    </w:rPr>
                    <w:t>尽可能保留自然水体，施工期对土石方开挖、堆存及回填要实施围挡、护坡等措施，裸露地及时恢复植被，防止后续开发建设中的扬尘污染和水土流失</w:t>
                  </w:r>
                </w:p>
              </w:tc>
              <w:tc>
                <w:tcPr>
                  <w:tcW w:w="1331" w:type="pct"/>
                  <w:vAlign w:val="center"/>
                </w:tcPr>
                <w:p>
                  <w:pPr>
                    <w:pStyle w:val="50"/>
                  </w:pPr>
                  <w:r>
                    <w:rPr>
                      <w:rFonts w:hint="eastAsia"/>
                    </w:rPr>
                    <w:t>本项目施工期已经结束，现场踏勘无施工遗留环境问题</w:t>
                  </w:r>
                </w:p>
              </w:tc>
              <w:tc>
                <w:tcPr>
                  <w:tcW w:w="812" w:type="pct"/>
                  <w:vAlign w:val="center"/>
                </w:tcPr>
                <w:p>
                  <w:pPr>
                    <w:pStyle w:val="50"/>
                  </w:pPr>
                  <w:r>
                    <w:rPr>
                      <w:rFonts w:hint="eastAsia"/>
                    </w:rPr>
                    <w:t>符合</w:t>
                  </w:r>
                </w:p>
              </w:tc>
            </w:tr>
          </w:tbl>
          <w:p>
            <w:pPr>
              <w:ind w:firstLine="48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32" w:hRule="atLeast"/>
          <w:jc w:val="center"/>
        </w:trPr>
        <w:tc>
          <w:tcPr>
            <w:tcW w:w="1968" w:type="dxa"/>
            <w:vAlign w:val="center"/>
          </w:tcPr>
          <w:p>
            <w:pPr>
              <w:autoSpaceDE w:val="0"/>
              <w:autoSpaceDN w:val="0"/>
              <w:adjustRightInd w:val="0"/>
              <w:snapToGrid w:val="0"/>
              <w:ind w:firstLine="0" w:firstLineChars="0"/>
              <w:jc w:val="center"/>
              <w:rPr>
                <w:color w:val="000000"/>
                <w:kern w:val="0"/>
              </w:rPr>
            </w:pPr>
            <w:r>
              <w:rPr>
                <w:color w:val="000000"/>
                <w:kern w:val="0"/>
              </w:rPr>
              <w:t>其他符合性分析</w:t>
            </w:r>
          </w:p>
        </w:tc>
        <w:tc>
          <w:tcPr>
            <w:tcW w:w="7103" w:type="dxa"/>
            <w:gridSpan w:val="3"/>
            <w:vAlign w:val="center"/>
          </w:tcPr>
          <w:p>
            <w:pPr>
              <w:ind w:firstLine="482"/>
              <w:rPr>
                <w:b/>
                <w:bCs/>
                <w:color w:val="000000"/>
              </w:rPr>
            </w:pPr>
            <w:r>
              <w:rPr>
                <w:b/>
                <w:bCs/>
                <w:color w:val="000000"/>
              </w:rPr>
              <w:t>1、产业政策符合性分析</w:t>
            </w:r>
          </w:p>
          <w:p>
            <w:pPr>
              <w:ind w:firstLine="480"/>
              <w:rPr>
                <w:color w:val="000000"/>
              </w:rPr>
            </w:pPr>
            <w:r>
              <w:rPr>
                <w:color w:val="000000"/>
              </w:rPr>
              <w:t>根据《产业结构调整指导目录（2019年本）》，本项目不属于</w:t>
            </w:r>
            <w:r>
              <w:rPr>
                <w:rFonts w:hint="eastAsia"/>
                <w:color w:val="000000"/>
              </w:rPr>
              <w:t>“淘汰类”、“限制类”及“鼓励类”项目</w:t>
            </w:r>
            <w:r>
              <w:rPr>
                <w:color w:val="000000"/>
              </w:rPr>
              <w:t>，本项目所用设备不属于《部分工业行业淘汰落后工艺装备和产品指导目录（2010年本）》中所列项目，因此，本项目符合国家、地方产业政策。</w:t>
            </w:r>
          </w:p>
          <w:p>
            <w:pPr>
              <w:pStyle w:val="62"/>
              <w:autoSpaceDE/>
              <w:autoSpaceDN/>
              <w:adjustRightInd/>
              <w:spacing w:before="156" w:beforeLines="50"/>
              <w:ind w:firstLine="361" w:firstLineChars="150"/>
              <w:jc w:val="both"/>
              <w:textAlignment w:val="auto"/>
              <w:rPr>
                <w:rFonts w:ascii="Times New Roman" w:hAnsi="Times New Roman"/>
                <w:b/>
                <w:color w:val="000000"/>
                <w:szCs w:val="24"/>
              </w:rPr>
            </w:pPr>
            <w:r>
              <w:rPr>
                <w:rFonts w:ascii="Times New Roman" w:hAnsi="Times New Roman"/>
                <w:b/>
                <w:color w:val="000000"/>
                <w:szCs w:val="24"/>
              </w:rPr>
              <w:t>2、</w:t>
            </w:r>
            <w:r>
              <w:rPr>
                <w:rFonts w:ascii="Times New Roman" w:hAnsi="Times New Roman"/>
                <w:b/>
                <w:bCs/>
                <w:color w:val="000000"/>
              </w:rPr>
              <w:t>与“三线一单”要求相符性分析</w:t>
            </w:r>
          </w:p>
          <w:p>
            <w:pPr>
              <w:ind w:firstLine="480"/>
              <w:rPr>
                <w:color w:val="000000"/>
              </w:rPr>
            </w:pPr>
            <w:r>
              <w:rPr>
                <w:color w:val="000000"/>
              </w:rPr>
              <w:t>根据《关于以改善环境质量为核心加强环境影响评价管理的通知》（环环评[2016]150号）：“为适应以改善环境质量为核心的环境管理要求，切实加强环境影响评价管理，落实“生态保护红线、环境质量底线、资源利用上线和环境准入负面清单”（以下简称“三线一单”）约束”要求，对项目进行“三线一单”符合性判定。</w:t>
            </w:r>
          </w:p>
          <w:p>
            <w:pPr>
              <w:ind w:firstLine="480"/>
              <w:rPr>
                <w:color w:val="000000"/>
              </w:rPr>
            </w:pPr>
            <w:r>
              <w:rPr>
                <w:color w:val="000000"/>
              </w:rPr>
              <w:t>项目“三线一单”符合性判定见表1-2。</w:t>
            </w:r>
          </w:p>
          <w:p>
            <w:pPr>
              <w:ind w:firstLine="482"/>
              <w:jc w:val="center"/>
              <w:rPr>
                <w:b/>
                <w:bCs/>
                <w:color w:val="000000"/>
                <w:szCs w:val="21"/>
              </w:rPr>
            </w:pPr>
            <w:r>
              <w:rPr>
                <w:b/>
                <w:bCs/>
                <w:color w:val="000000"/>
                <w:szCs w:val="21"/>
              </w:rPr>
              <w:t>表1-2  项目“三线一单”符合性分析表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0"/>
              <w:gridCol w:w="4392"/>
              <w:gridCol w:w="8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872" w:type="pct"/>
                  <w:vAlign w:val="center"/>
                </w:tcPr>
                <w:p>
                  <w:pPr>
                    <w:pStyle w:val="50"/>
                  </w:pPr>
                  <w:r>
                    <w:t>内容</w:t>
                  </w:r>
                </w:p>
              </w:tc>
              <w:tc>
                <w:tcPr>
                  <w:tcW w:w="3482" w:type="pct"/>
                  <w:vAlign w:val="center"/>
                </w:tcPr>
                <w:p>
                  <w:pPr>
                    <w:pStyle w:val="50"/>
                  </w:pPr>
                  <w:r>
                    <w:t>符合性分析</w:t>
                  </w:r>
                </w:p>
              </w:tc>
              <w:tc>
                <w:tcPr>
                  <w:tcW w:w="646" w:type="pct"/>
                  <w:vAlign w:val="center"/>
                </w:tcPr>
                <w:p>
                  <w:pPr>
                    <w:pStyle w:val="50"/>
                  </w:pPr>
                  <w: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872" w:type="pct"/>
                  <w:vAlign w:val="center"/>
                </w:tcPr>
                <w:p>
                  <w:pPr>
                    <w:pStyle w:val="50"/>
                  </w:pPr>
                  <w:r>
                    <w:t>生态保</w:t>
                  </w:r>
                </w:p>
                <w:p>
                  <w:pPr>
                    <w:pStyle w:val="50"/>
                  </w:pPr>
                  <w:r>
                    <w:t>护红线</w:t>
                  </w:r>
                </w:p>
              </w:tc>
              <w:tc>
                <w:tcPr>
                  <w:tcW w:w="3482" w:type="pct"/>
                  <w:vAlign w:val="center"/>
                </w:tcPr>
                <w:p>
                  <w:pPr>
                    <w:pStyle w:val="50"/>
                  </w:pPr>
                  <w:r>
                    <w:t>本项目位于</w:t>
                  </w:r>
                  <w:r>
                    <w:rPr>
                      <w:rFonts w:hint="eastAsia"/>
                      <w:color w:val="000000"/>
                    </w:rPr>
                    <w:t>永州经济技术开发区仁湾街道东山里村毛立山组</w:t>
                  </w:r>
                  <w:r>
                    <w:t>，评价范围内不涉及自然保护区、饮用水源保护区、风景名胜区和其他生态环境敏感区域，项目不涉及生态红线。</w:t>
                  </w:r>
                </w:p>
              </w:tc>
              <w:tc>
                <w:tcPr>
                  <w:tcW w:w="646" w:type="pct"/>
                  <w:vAlign w:val="center"/>
                </w:tcPr>
                <w:p>
                  <w:pPr>
                    <w:pStyle w:val="50"/>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872" w:type="pct"/>
                  <w:vAlign w:val="center"/>
                </w:tcPr>
                <w:p>
                  <w:pPr>
                    <w:pStyle w:val="50"/>
                  </w:pPr>
                  <w:r>
                    <w:t>环境质</w:t>
                  </w:r>
                </w:p>
                <w:p>
                  <w:pPr>
                    <w:pStyle w:val="50"/>
                  </w:pPr>
                  <w:r>
                    <w:t>量底线</w:t>
                  </w:r>
                </w:p>
              </w:tc>
              <w:tc>
                <w:tcPr>
                  <w:tcW w:w="3482" w:type="pct"/>
                  <w:vAlign w:val="center"/>
                </w:tcPr>
                <w:p>
                  <w:pPr>
                    <w:pStyle w:val="50"/>
                  </w:pPr>
                  <w:r>
                    <w:rPr>
                      <w:rFonts w:hint="eastAsia"/>
                    </w:rPr>
                    <w:t>永州市2</w:t>
                  </w:r>
                  <w:r>
                    <w:t>021</w:t>
                  </w:r>
                  <w:r>
                    <w:rPr>
                      <w:rFonts w:hint="eastAsia"/>
                    </w:rPr>
                    <w:t>年属于环境空气质量达标区，经补充监测，项目周边TSP、NMHC、氯化氢浓度能够满足环境质量标准要求；湘江永州段水质能够满足标准要求；周边声环境敏感目标声环境质量能够满足</w:t>
                  </w:r>
                  <w:r>
                    <w:t>2</w:t>
                  </w:r>
                  <w:r>
                    <w:rPr>
                      <w:rFonts w:hint="eastAsia"/>
                    </w:rPr>
                    <w:t>类标准要求，项目区域环境质量良好，具有足够的环境容量</w:t>
                  </w:r>
                  <w:r>
                    <w:t>。项目产生的污染物经采取相应的防护措施后可做到达标排放，不会降低区域环境质量等级，对区域环境影响较小。</w:t>
                  </w:r>
                </w:p>
              </w:tc>
              <w:tc>
                <w:tcPr>
                  <w:tcW w:w="646" w:type="pct"/>
                  <w:vAlign w:val="center"/>
                </w:tcPr>
                <w:p>
                  <w:pPr>
                    <w:pStyle w:val="50"/>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872" w:type="pct"/>
                  <w:vAlign w:val="center"/>
                </w:tcPr>
                <w:p>
                  <w:pPr>
                    <w:pStyle w:val="50"/>
                  </w:pPr>
                  <w:r>
                    <w:t>资源利</w:t>
                  </w:r>
                </w:p>
                <w:p>
                  <w:pPr>
                    <w:pStyle w:val="50"/>
                  </w:pPr>
                  <w:r>
                    <w:t>用上线</w:t>
                  </w:r>
                </w:p>
              </w:tc>
              <w:tc>
                <w:tcPr>
                  <w:tcW w:w="3482" w:type="pct"/>
                  <w:vAlign w:val="center"/>
                </w:tcPr>
                <w:p>
                  <w:pPr>
                    <w:pStyle w:val="50"/>
                  </w:pPr>
                  <w:r>
                    <w:t>项目运营过程中消耗一定量的水、电等，项目资源消耗量相对区域资源利用总量较少，项目生产原料资源条件有保障，符合资源利用上线要求。</w:t>
                  </w:r>
                </w:p>
              </w:tc>
              <w:tc>
                <w:tcPr>
                  <w:tcW w:w="646" w:type="pct"/>
                  <w:vAlign w:val="center"/>
                </w:tcPr>
                <w:p>
                  <w:pPr>
                    <w:pStyle w:val="50"/>
                  </w:pPr>
                  <w: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872" w:type="pct"/>
                  <w:vAlign w:val="center"/>
                </w:tcPr>
                <w:p>
                  <w:pPr>
                    <w:pStyle w:val="50"/>
                  </w:pPr>
                  <w:r>
                    <w:t>环境准入</w:t>
                  </w:r>
                </w:p>
                <w:p>
                  <w:pPr>
                    <w:pStyle w:val="50"/>
                  </w:pPr>
                  <w:r>
                    <w:t>负面清单</w:t>
                  </w:r>
                </w:p>
              </w:tc>
              <w:tc>
                <w:tcPr>
                  <w:tcW w:w="3482" w:type="pct"/>
                  <w:vAlign w:val="center"/>
                </w:tcPr>
                <w:p>
                  <w:pPr>
                    <w:pStyle w:val="50"/>
                  </w:pPr>
                  <w:r>
                    <w:t>项目属于</w:t>
                  </w:r>
                  <w:r>
                    <w:rPr>
                      <w:rFonts w:hint="eastAsia"/>
                    </w:rPr>
                    <w:t>C2922塑料板、管、型材制造</w:t>
                  </w:r>
                  <w:r>
                    <w:t>，符合国家及地方产业政策；不属于《市场准入负面清单（2019年版）》中的禁止类别，因此，本项目符合《市场准入负面清单（2019年版）》的要求。本项目位于</w:t>
                  </w:r>
                  <w:r>
                    <w:rPr>
                      <w:rFonts w:hint="eastAsia"/>
                      <w:color w:val="000000"/>
                    </w:rPr>
                    <w:t>永州经济技术开发区仁湾街道东山里毛村立山组</w:t>
                  </w:r>
                  <w:r>
                    <w:t>，</w:t>
                  </w:r>
                  <w:r>
                    <w:rPr>
                      <w:rFonts w:hint="eastAsia"/>
                    </w:rPr>
                    <w:t>根据规划环境影响评价符合性分析可知，项目不属于环境准入负面清单内容</w:t>
                  </w:r>
                  <w:r>
                    <w:t>。</w:t>
                  </w:r>
                </w:p>
              </w:tc>
              <w:tc>
                <w:tcPr>
                  <w:tcW w:w="646" w:type="pct"/>
                  <w:vAlign w:val="center"/>
                </w:tcPr>
                <w:p>
                  <w:pPr>
                    <w:pStyle w:val="50"/>
                  </w:pPr>
                  <w:r>
                    <w:t>符合</w:t>
                  </w:r>
                </w:p>
              </w:tc>
            </w:tr>
          </w:tbl>
          <w:p>
            <w:pPr>
              <w:ind w:firstLine="482"/>
              <w:rPr>
                <w:b/>
                <w:bCs/>
                <w:color w:val="000000"/>
              </w:rPr>
            </w:pPr>
            <w:r>
              <w:rPr>
                <w:b/>
                <w:bCs/>
                <w:color w:val="000000"/>
              </w:rPr>
              <w:t>3、与</w:t>
            </w:r>
            <w:r>
              <w:rPr>
                <w:rFonts w:hint="eastAsia"/>
                <w:b/>
                <w:bCs/>
                <w:color w:val="000000"/>
              </w:rPr>
              <w:t>“三线一单”生态环境管控要求符合性分析</w:t>
            </w:r>
          </w:p>
          <w:p>
            <w:pPr>
              <w:ind w:firstLine="480"/>
            </w:pPr>
            <w:r>
              <w:rPr>
                <w:rFonts w:hint="eastAsia"/>
              </w:rPr>
              <w:t>全省建立“1+4+14+860”的四级生态环境准入清单管控体系，以下简称“准入清单”。本项目所处区域为永州市经济技术开发区，属于省级工业园区，因此对照《湖南省“三线一单”生态环境总体管控要求暨省级以上产业园区生态环境准入清单》要求分析项目符合性，项目与其中的永州市经济技术开发区的生态环境准入清单符合性分析详见下表：</w:t>
            </w:r>
          </w:p>
          <w:p>
            <w:pPr>
              <w:pStyle w:val="54"/>
              <w:spacing w:before="156"/>
            </w:pPr>
            <w:r>
              <w:rPr>
                <w:rFonts w:hint="eastAsia"/>
              </w:rPr>
              <w:t>表1-</w:t>
            </w:r>
            <w:r>
              <w:t xml:space="preserve">4  </w:t>
            </w:r>
            <w:r>
              <w:rPr>
                <w:rFonts w:hint="eastAsia"/>
              </w:rPr>
              <w:t>项目与永州市经开区生态环境准入清单符合性分析表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96"/>
              <w:gridCol w:w="3054"/>
              <w:gridCol w:w="1679"/>
              <w:gridCol w:w="8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Align w:val="center"/>
                </w:tcPr>
                <w:p>
                  <w:pPr>
                    <w:spacing w:line="240" w:lineRule="auto"/>
                    <w:ind w:firstLine="0" w:firstLineChars="0"/>
                    <w:jc w:val="center"/>
                    <w:rPr>
                      <w:sz w:val="21"/>
                      <w:szCs w:val="21"/>
                    </w:rPr>
                  </w:pPr>
                  <w:r>
                    <w:rPr>
                      <w:rFonts w:hint="eastAsia"/>
                      <w:sz w:val="21"/>
                      <w:szCs w:val="21"/>
                    </w:rPr>
                    <w:t>管控维度</w:t>
                  </w:r>
                </w:p>
              </w:tc>
              <w:tc>
                <w:tcPr>
                  <w:tcW w:w="2421" w:type="pct"/>
                  <w:vAlign w:val="center"/>
                </w:tcPr>
                <w:p>
                  <w:pPr>
                    <w:spacing w:line="240" w:lineRule="auto"/>
                    <w:ind w:firstLine="0" w:firstLineChars="0"/>
                    <w:jc w:val="center"/>
                    <w:rPr>
                      <w:sz w:val="21"/>
                      <w:szCs w:val="21"/>
                    </w:rPr>
                  </w:pPr>
                  <w:r>
                    <w:rPr>
                      <w:rFonts w:hint="eastAsia"/>
                      <w:sz w:val="21"/>
                      <w:szCs w:val="21"/>
                    </w:rPr>
                    <w:t>管控要求</w:t>
                  </w:r>
                </w:p>
              </w:tc>
              <w:tc>
                <w:tcPr>
                  <w:tcW w:w="1331" w:type="pct"/>
                  <w:vAlign w:val="center"/>
                </w:tcPr>
                <w:p>
                  <w:pPr>
                    <w:spacing w:line="240" w:lineRule="auto"/>
                    <w:ind w:firstLine="0" w:firstLineChars="0"/>
                    <w:jc w:val="center"/>
                    <w:rPr>
                      <w:sz w:val="21"/>
                      <w:szCs w:val="21"/>
                    </w:rPr>
                  </w:pPr>
                  <w:r>
                    <w:rPr>
                      <w:rFonts w:hint="eastAsia"/>
                      <w:sz w:val="21"/>
                      <w:szCs w:val="21"/>
                    </w:rPr>
                    <w:t>项目情况</w:t>
                  </w:r>
                </w:p>
              </w:tc>
              <w:tc>
                <w:tcPr>
                  <w:tcW w:w="697" w:type="pct"/>
                  <w:vAlign w:val="center"/>
                </w:tcPr>
                <w:p>
                  <w:pPr>
                    <w:spacing w:line="240" w:lineRule="auto"/>
                    <w:ind w:firstLine="0" w:firstLineChars="0"/>
                    <w:jc w:val="center"/>
                    <w:rPr>
                      <w:sz w:val="21"/>
                      <w:szCs w:val="21"/>
                    </w:rPr>
                  </w:pPr>
                  <w:r>
                    <w:rPr>
                      <w:rFonts w:hint="eastAsia"/>
                      <w:sz w:val="21"/>
                      <w:szCs w:val="21"/>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restart"/>
                  <w:vAlign w:val="center"/>
                </w:tcPr>
                <w:p>
                  <w:pPr>
                    <w:spacing w:line="240" w:lineRule="auto"/>
                    <w:ind w:firstLine="0" w:firstLineChars="0"/>
                    <w:jc w:val="center"/>
                    <w:rPr>
                      <w:sz w:val="21"/>
                      <w:szCs w:val="21"/>
                    </w:rPr>
                  </w:pPr>
                  <w:r>
                    <w:rPr>
                      <w:rFonts w:hint="eastAsia"/>
                      <w:sz w:val="21"/>
                      <w:szCs w:val="21"/>
                    </w:rPr>
                    <w:t>空间布局约束</w:t>
                  </w:r>
                </w:p>
              </w:tc>
              <w:tc>
                <w:tcPr>
                  <w:tcW w:w="2421" w:type="pct"/>
                  <w:vAlign w:val="center"/>
                </w:tcPr>
                <w:p>
                  <w:pPr>
                    <w:spacing w:line="240" w:lineRule="auto"/>
                    <w:ind w:firstLine="0" w:firstLineChars="0"/>
                    <w:jc w:val="center"/>
                    <w:rPr>
                      <w:sz w:val="21"/>
                      <w:szCs w:val="21"/>
                    </w:rPr>
                  </w:pPr>
                  <w:r>
                    <w:rPr>
                      <w:rFonts w:hint="eastAsia"/>
                      <w:sz w:val="21"/>
                      <w:szCs w:val="21"/>
                    </w:rPr>
                    <w:t>禁止新引进三类工业以及线路板、电镀等排水涉重金属或持久性污染物的企业。</w:t>
                  </w:r>
                </w:p>
              </w:tc>
              <w:tc>
                <w:tcPr>
                  <w:tcW w:w="1331" w:type="pct"/>
                  <w:vAlign w:val="center"/>
                </w:tcPr>
                <w:p>
                  <w:pPr>
                    <w:spacing w:line="240" w:lineRule="auto"/>
                    <w:ind w:firstLine="0" w:firstLineChars="0"/>
                    <w:jc w:val="center"/>
                    <w:rPr>
                      <w:sz w:val="21"/>
                      <w:szCs w:val="21"/>
                    </w:rPr>
                  </w:pPr>
                  <w:r>
                    <w:rPr>
                      <w:rFonts w:hint="eastAsia"/>
                      <w:sz w:val="21"/>
                      <w:szCs w:val="21"/>
                    </w:rPr>
                    <w:t>本项目属于塑料板制造，属于二类工业，不排放生产废水，不涉及重金属排放</w:t>
                  </w:r>
                </w:p>
              </w:tc>
              <w:tc>
                <w:tcPr>
                  <w:tcW w:w="697" w:type="pct"/>
                  <w:vAlign w:val="center"/>
                </w:tcPr>
                <w:p>
                  <w:pPr>
                    <w:spacing w:line="240" w:lineRule="auto"/>
                    <w:ind w:firstLine="0" w:firstLineChars="0"/>
                    <w:jc w:val="center"/>
                    <w:rPr>
                      <w:sz w:val="21"/>
                      <w:szCs w:val="21"/>
                    </w:rPr>
                  </w:pPr>
                  <w:r>
                    <w:rPr>
                      <w:rFonts w:hint="eastAsia"/>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rPr>
                  </w:pPr>
                </w:p>
              </w:tc>
              <w:tc>
                <w:tcPr>
                  <w:tcW w:w="2421" w:type="pct"/>
                  <w:vAlign w:val="center"/>
                </w:tcPr>
                <w:p>
                  <w:pPr>
                    <w:spacing w:line="240" w:lineRule="auto"/>
                    <w:ind w:firstLine="0" w:firstLineChars="0"/>
                    <w:jc w:val="center"/>
                    <w:rPr>
                      <w:sz w:val="21"/>
                      <w:szCs w:val="21"/>
                    </w:rPr>
                  </w:pPr>
                  <w:r>
                    <w:rPr>
                      <w:rFonts w:hint="eastAsia"/>
                      <w:sz w:val="21"/>
                      <w:szCs w:val="21"/>
                    </w:rPr>
                    <w:t>严格限制水型污染企业进入；在拟发展的食品加工业中限制饮料、发酵型生产方式等耗水型生产项目，生物制药产业中限制原料药、化学合成药生产等水型污染复杂企业。</w:t>
                  </w:r>
                </w:p>
              </w:tc>
              <w:tc>
                <w:tcPr>
                  <w:tcW w:w="1331" w:type="pct"/>
                  <w:vAlign w:val="center"/>
                </w:tcPr>
                <w:p>
                  <w:pPr>
                    <w:spacing w:line="240" w:lineRule="auto"/>
                    <w:ind w:firstLine="0" w:firstLineChars="0"/>
                    <w:jc w:val="center"/>
                    <w:rPr>
                      <w:sz w:val="21"/>
                      <w:szCs w:val="21"/>
                    </w:rPr>
                  </w:pPr>
                  <w:r>
                    <w:rPr>
                      <w:rFonts w:hint="eastAsia"/>
                      <w:sz w:val="21"/>
                      <w:szCs w:val="21"/>
                    </w:rPr>
                    <w:t>本项目不属于水型污染企业，不排放生产废水</w:t>
                  </w:r>
                </w:p>
              </w:tc>
              <w:tc>
                <w:tcPr>
                  <w:tcW w:w="697" w:type="pct"/>
                  <w:vAlign w:val="center"/>
                </w:tcPr>
                <w:p>
                  <w:pPr>
                    <w:spacing w:line="240" w:lineRule="auto"/>
                    <w:ind w:firstLine="0" w:firstLineChars="0"/>
                    <w:jc w:val="center"/>
                    <w:rPr>
                      <w:sz w:val="21"/>
                      <w:szCs w:val="21"/>
                    </w:rPr>
                  </w:pPr>
                  <w:r>
                    <w:rPr>
                      <w:rFonts w:hint="eastAsia"/>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rPr>
                  </w:pPr>
                </w:p>
              </w:tc>
              <w:tc>
                <w:tcPr>
                  <w:tcW w:w="2421" w:type="pct"/>
                  <w:vAlign w:val="center"/>
                </w:tcPr>
                <w:p>
                  <w:pPr>
                    <w:spacing w:line="240" w:lineRule="auto"/>
                    <w:ind w:firstLine="0" w:firstLineChars="0"/>
                    <w:jc w:val="center"/>
                    <w:rPr>
                      <w:sz w:val="21"/>
                      <w:szCs w:val="21"/>
                    </w:rPr>
                  </w:pPr>
                  <w:r>
                    <w:rPr>
                      <w:rFonts w:hint="eastAsia"/>
                      <w:sz w:val="21"/>
                      <w:szCs w:val="21"/>
                    </w:rPr>
                    <w:t>北部片区：禁止引进气型污染企业。</w:t>
                  </w:r>
                </w:p>
              </w:tc>
              <w:tc>
                <w:tcPr>
                  <w:tcW w:w="1331" w:type="pct"/>
                  <w:vAlign w:val="center"/>
                </w:tcPr>
                <w:p>
                  <w:pPr>
                    <w:spacing w:line="240" w:lineRule="auto"/>
                    <w:ind w:firstLine="0" w:firstLineChars="0"/>
                    <w:jc w:val="center"/>
                    <w:rPr>
                      <w:sz w:val="21"/>
                      <w:szCs w:val="21"/>
                    </w:rPr>
                  </w:pPr>
                  <w:r>
                    <w:rPr>
                      <w:rFonts w:hint="eastAsia"/>
                      <w:sz w:val="21"/>
                      <w:szCs w:val="21"/>
                    </w:rPr>
                    <w:t>本项目位于南部片区</w:t>
                  </w:r>
                </w:p>
              </w:tc>
              <w:tc>
                <w:tcPr>
                  <w:tcW w:w="697" w:type="pct"/>
                  <w:vAlign w:val="center"/>
                </w:tcPr>
                <w:p>
                  <w:pPr>
                    <w:spacing w:line="240" w:lineRule="auto"/>
                    <w:ind w:firstLine="0" w:firstLineChars="0"/>
                    <w:jc w:val="center"/>
                    <w:rPr>
                      <w:sz w:val="21"/>
                      <w:szCs w:val="21"/>
                    </w:rPr>
                  </w:pPr>
                  <w:r>
                    <w:rPr>
                      <w:rFonts w:hint="eastAsia"/>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rPr>
                  </w:pPr>
                </w:p>
              </w:tc>
              <w:tc>
                <w:tcPr>
                  <w:tcW w:w="2421" w:type="pct"/>
                  <w:vAlign w:val="center"/>
                </w:tcPr>
                <w:p>
                  <w:pPr>
                    <w:spacing w:line="240" w:lineRule="auto"/>
                    <w:ind w:firstLine="0" w:firstLineChars="0"/>
                    <w:jc w:val="center"/>
                    <w:rPr>
                      <w:sz w:val="21"/>
                      <w:szCs w:val="21"/>
                    </w:rPr>
                  </w:pPr>
                  <w:r>
                    <w:rPr>
                      <w:rFonts w:hint="eastAsia"/>
                      <w:sz w:val="21"/>
                      <w:szCs w:val="21"/>
                    </w:rPr>
                    <w:t>长丰大道与珍珠南路交汇处布置的居住用地同南甸路与仁湾路交汇处南部的二类工业用地功能互换，交通干线两侧一定距离内不得设置对噪声敏感的建筑物。</w:t>
                  </w:r>
                </w:p>
              </w:tc>
              <w:tc>
                <w:tcPr>
                  <w:tcW w:w="1331" w:type="pct"/>
                  <w:vAlign w:val="center"/>
                </w:tcPr>
                <w:p>
                  <w:pPr>
                    <w:spacing w:line="240" w:lineRule="auto"/>
                    <w:ind w:firstLine="0" w:firstLineChars="0"/>
                    <w:jc w:val="center"/>
                    <w:rPr>
                      <w:sz w:val="21"/>
                      <w:szCs w:val="21"/>
                    </w:rPr>
                  </w:pPr>
                  <w:r>
                    <w:rPr>
                      <w:rFonts w:hint="eastAsia"/>
                      <w:sz w:val="21"/>
                      <w:szCs w:val="21"/>
                    </w:rPr>
                    <w:t>本项目不属于功能互换区域，项目南侧紧邻交通干线，未设置噪声敏感建筑</w:t>
                  </w:r>
                </w:p>
              </w:tc>
              <w:tc>
                <w:tcPr>
                  <w:tcW w:w="697" w:type="pct"/>
                  <w:vAlign w:val="center"/>
                </w:tcPr>
                <w:p>
                  <w:pPr>
                    <w:spacing w:line="240" w:lineRule="auto"/>
                    <w:ind w:firstLine="0" w:firstLineChars="0"/>
                    <w:jc w:val="center"/>
                    <w:rPr>
                      <w:sz w:val="21"/>
                      <w:szCs w:val="21"/>
                    </w:rPr>
                  </w:pPr>
                  <w:r>
                    <w:rPr>
                      <w:rFonts w:hint="eastAsia"/>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rPr>
                  </w:pPr>
                </w:p>
              </w:tc>
              <w:tc>
                <w:tcPr>
                  <w:tcW w:w="2421" w:type="pct"/>
                  <w:vAlign w:val="center"/>
                </w:tcPr>
                <w:p>
                  <w:pPr>
                    <w:spacing w:line="240" w:lineRule="auto"/>
                    <w:ind w:firstLine="0" w:firstLineChars="0"/>
                    <w:jc w:val="center"/>
                    <w:rPr>
                      <w:sz w:val="21"/>
                      <w:szCs w:val="21"/>
                    </w:rPr>
                  </w:pPr>
                  <w:r>
                    <w:rPr>
                      <w:rFonts w:hint="eastAsia"/>
                      <w:sz w:val="21"/>
                      <w:szCs w:val="21"/>
                    </w:rPr>
                    <w:t>对不符合产业定位和产业布局要求、现已停产的零陵新型耐火材料厂等限期退出经开区，对其他不符合产业定位或产业布局要求的企业在现址不得扩大规模，适时调整至适宜的规划区。</w:t>
                  </w:r>
                </w:p>
              </w:tc>
              <w:tc>
                <w:tcPr>
                  <w:tcW w:w="1331" w:type="pct"/>
                  <w:vAlign w:val="center"/>
                </w:tcPr>
                <w:p>
                  <w:pPr>
                    <w:spacing w:line="240" w:lineRule="auto"/>
                    <w:ind w:firstLine="0" w:firstLineChars="0"/>
                    <w:jc w:val="center"/>
                    <w:rPr>
                      <w:sz w:val="21"/>
                      <w:szCs w:val="21"/>
                    </w:rPr>
                  </w:pPr>
                  <w:r>
                    <w:rPr>
                      <w:rFonts w:hint="eastAsia"/>
                      <w:sz w:val="21"/>
                      <w:szCs w:val="21"/>
                    </w:rPr>
                    <w:t>项目不属于产业园区规定的“淘汰类”、“限制类”项目，符合产业定位</w:t>
                  </w:r>
                </w:p>
              </w:tc>
              <w:tc>
                <w:tcPr>
                  <w:tcW w:w="697" w:type="pct"/>
                  <w:vAlign w:val="center"/>
                </w:tcPr>
                <w:p>
                  <w:pPr>
                    <w:spacing w:line="240" w:lineRule="auto"/>
                    <w:ind w:firstLine="0" w:firstLineChars="0"/>
                    <w:jc w:val="center"/>
                    <w:rPr>
                      <w:sz w:val="21"/>
                      <w:szCs w:val="21"/>
                    </w:rPr>
                  </w:pPr>
                  <w:r>
                    <w:rPr>
                      <w:rFonts w:hint="eastAsia"/>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rPr>
                  </w:pPr>
                </w:p>
              </w:tc>
              <w:tc>
                <w:tcPr>
                  <w:tcW w:w="2421" w:type="pct"/>
                  <w:vAlign w:val="center"/>
                </w:tcPr>
                <w:p>
                  <w:pPr>
                    <w:spacing w:line="240" w:lineRule="auto"/>
                    <w:ind w:firstLine="0" w:firstLineChars="0"/>
                    <w:jc w:val="center"/>
                    <w:rPr>
                      <w:sz w:val="21"/>
                      <w:szCs w:val="21"/>
                    </w:rPr>
                  </w:pPr>
                  <w:r>
                    <w:rPr>
                      <w:rFonts w:hint="eastAsia"/>
                      <w:sz w:val="21"/>
                      <w:szCs w:val="21"/>
                    </w:rPr>
                    <w:t>湘江干流岸线1 公里范围内不准新增化工园区和化工项目。</w:t>
                  </w:r>
                </w:p>
              </w:tc>
              <w:tc>
                <w:tcPr>
                  <w:tcW w:w="1331" w:type="pct"/>
                  <w:vAlign w:val="center"/>
                </w:tcPr>
                <w:p>
                  <w:pPr>
                    <w:spacing w:line="240" w:lineRule="auto"/>
                    <w:ind w:firstLine="0" w:firstLineChars="0"/>
                    <w:jc w:val="center"/>
                    <w:rPr>
                      <w:sz w:val="21"/>
                      <w:szCs w:val="21"/>
                    </w:rPr>
                  </w:pPr>
                  <w:r>
                    <w:rPr>
                      <w:rFonts w:hint="eastAsia"/>
                      <w:sz w:val="21"/>
                      <w:szCs w:val="21"/>
                    </w:rPr>
                    <w:t>本项目不属于化工项目</w:t>
                  </w:r>
                </w:p>
              </w:tc>
              <w:tc>
                <w:tcPr>
                  <w:tcW w:w="697" w:type="pct"/>
                  <w:vAlign w:val="center"/>
                </w:tcPr>
                <w:p>
                  <w:pPr>
                    <w:spacing w:line="240" w:lineRule="auto"/>
                    <w:ind w:firstLine="0" w:firstLineChars="0"/>
                    <w:jc w:val="center"/>
                    <w:rPr>
                      <w:sz w:val="21"/>
                      <w:szCs w:val="21"/>
                    </w:rPr>
                  </w:pPr>
                  <w:r>
                    <w:rPr>
                      <w:rFonts w:hint="eastAsia"/>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restart"/>
                  <w:vAlign w:val="center"/>
                </w:tcPr>
                <w:p>
                  <w:pPr>
                    <w:spacing w:line="240" w:lineRule="auto"/>
                    <w:ind w:firstLine="0" w:firstLineChars="0"/>
                    <w:jc w:val="center"/>
                    <w:rPr>
                      <w:sz w:val="21"/>
                      <w:szCs w:val="21"/>
                    </w:rPr>
                  </w:pPr>
                  <w:r>
                    <w:rPr>
                      <w:rFonts w:hint="eastAsia"/>
                      <w:sz w:val="21"/>
                      <w:szCs w:val="21"/>
                    </w:rPr>
                    <w:t>污染物排放管控</w:t>
                  </w:r>
                </w:p>
              </w:tc>
              <w:tc>
                <w:tcPr>
                  <w:tcW w:w="2421" w:type="pct"/>
                  <w:vAlign w:val="center"/>
                </w:tcPr>
                <w:p>
                  <w:pPr>
                    <w:spacing w:line="240" w:lineRule="auto"/>
                    <w:ind w:firstLine="0" w:firstLineChars="0"/>
                    <w:jc w:val="center"/>
                    <w:rPr>
                      <w:sz w:val="21"/>
                      <w:szCs w:val="21"/>
                    </w:rPr>
                  </w:pPr>
                  <w:r>
                    <w:rPr>
                      <w:rFonts w:hint="eastAsia"/>
                      <w:sz w:val="21"/>
                      <w:szCs w:val="21"/>
                    </w:rPr>
                    <w:t>废水：经开区排水实施雨污分流，雨水排入湘江。南部片区：加快建设片区生物医药污水处理厂建设，废污水经处理后进入城镇污水处理厂，进一步处理达标后排入湘江。</w:t>
                  </w:r>
                </w:p>
              </w:tc>
              <w:tc>
                <w:tcPr>
                  <w:tcW w:w="1331" w:type="pct"/>
                  <w:vAlign w:val="center"/>
                </w:tcPr>
                <w:p>
                  <w:pPr>
                    <w:spacing w:line="240" w:lineRule="auto"/>
                    <w:ind w:firstLine="0" w:firstLineChars="0"/>
                    <w:jc w:val="center"/>
                    <w:rPr>
                      <w:sz w:val="21"/>
                      <w:szCs w:val="21"/>
                    </w:rPr>
                  </w:pPr>
                  <w:r>
                    <w:rPr>
                      <w:rFonts w:hint="eastAsia"/>
                      <w:sz w:val="21"/>
                      <w:szCs w:val="21"/>
                    </w:rPr>
                    <w:t>本项目不产生生产废水，生活污水经化粪池处理后用于周边农田施肥；初期雨水进入初期雨水池，后期雨水排入周边沟渠，最终进入湘江</w:t>
                  </w:r>
                </w:p>
              </w:tc>
              <w:tc>
                <w:tcPr>
                  <w:tcW w:w="697" w:type="pct"/>
                  <w:vAlign w:val="center"/>
                </w:tcPr>
                <w:p>
                  <w:pPr>
                    <w:spacing w:line="240" w:lineRule="auto"/>
                    <w:ind w:firstLine="0" w:firstLineChars="0"/>
                    <w:jc w:val="center"/>
                    <w:rPr>
                      <w:sz w:val="21"/>
                      <w:szCs w:val="21"/>
                    </w:rPr>
                  </w:pPr>
                  <w:r>
                    <w:rPr>
                      <w:rFonts w:hint="eastAsia"/>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rPr>
                  </w:pPr>
                </w:p>
              </w:tc>
              <w:tc>
                <w:tcPr>
                  <w:tcW w:w="2421" w:type="pct"/>
                  <w:vAlign w:val="center"/>
                </w:tcPr>
                <w:p>
                  <w:pPr>
                    <w:spacing w:line="240" w:lineRule="auto"/>
                    <w:ind w:firstLine="0" w:firstLineChars="0"/>
                    <w:jc w:val="center"/>
                    <w:rPr>
                      <w:sz w:val="21"/>
                      <w:szCs w:val="21"/>
                    </w:rPr>
                  </w:pPr>
                  <w:r>
                    <w:rPr>
                      <w:rFonts w:hint="eastAsia"/>
                      <w:sz w:val="21"/>
                      <w:szCs w:val="21"/>
                    </w:rPr>
                    <w:t>建立经开区清洁生产管理考核机制，对各企业工艺废气产出的生产节点，应配置废气收集与净化处理装置，确保达标排放；加强生产工艺研究与技术改进，采取有效措施，减少入园企业工艺废气的无组织排放。</w:t>
                  </w:r>
                </w:p>
              </w:tc>
              <w:tc>
                <w:tcPr>
                  <w:tcW w:w="1331" w:type="pct"/>
                  <w:vAlign w:val="center"/>
                </w:tcPr>
                <w:p>
                  <w:pPr>
                    <w:spacing w:line="240" w:lineRule="auto"/>
                    <w:ind w:firstLine="0" w:firstLineChars="0"/>
                    <w:jc w:val="center"/>
                    <w:rPr>
                      <w:sz w:val="21"/>
                      <w:szCs w:val="21"/>
                    </w:rPr>
                  </w:pPr>
                  <w:r>
                    <w:rPr>
                      <w:rFonts w:hint="eastAsia"/>
                      <w:sz w:val="21"/>
                      <w:szCs w:val="21"/>
                    </w:rPr>
                    <w:t>本项目各废气均能达标排放</w:t>
                  </w:r>
                </w:p>
              </w:tc>
              <w:tc>
                <w:tcPr>
                  <w:tcW w:w="697" w:type="pct"/>
                  <w:vAlign w:val="center"/>
                </w:tcPr>
                <w:p>
                  <w:pPr>
                    <w:spacing w:line="240" w:lineRule="auto"/>
                    <w:ind w:firstLine="0" w:firstLineChars="0"/>
                    <w:jc w:val="center"/>
                    <w:rPr>
                      <w:sz w:val="21"/>
                      <w:szCs w:val="21"/>
                    </w:rPr>
                  </w:pPr>
                  <w:r>
                    <w:rPr>
                      <w:rFonts w:hint="eastAsia"/>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rPr>
                  </w:pPr>
                </w:p>
              </w:tc>
              <w:tc>
                <w:tcPr>
                  <w:tcW w:w="2421" w:type="pct"/>
                  <w:vAlign w:val="center"/>
                </w:tcPr>
                <w:p>
                  <w:pPr>
                    <w:spacing w:line="240" w:lineRule="auto"/>
                    <w:ind w:firstLine="0" w:firstLineChars="0"/>
                    <w:jc w:val="center"/>
                    <w:rPr>
                      <w:sz w:val="21"/>
                      <w:szCs w:val="21"/>
                    </w:rPr>
                  </w:pPr>
                  <w:r>
                    <w:rPr>
                      <w:rFonts w:hint="eastAsia"/>
                      <w:sz w:val="21"/>
                      <w:szCs w:val="21"/>
                    </w:rPr>
                    <w:t>全面推进生物医药、机械制造等工业VOCs 综合治理，建立VOCs 排放清单信息库，完善企业一企一档制度。加强园区废气特别是有毒有害及恶臭气体的收集和处理，严格控制VOCs 的排放。</w:t>
                  </w:r>
                </w:p>
              </w:tc>
              <w:tc>
                <w:tcPr>
                  <w:tcW w:w="1331" w:type="pct"/>
                  <w:vAlign w:val="center"/>
                </w:tcPr>
                <w:p>
                  <w:pPr>
                    <w:spacing w:line="240" w:lineRule="auto"/>
                    <w:ind w:firstLine="0" w:firstLineChars="0"/>
                    <w:jc w:val="center"/>
                    <w:rPr>
                      <w:sz w:val="21"/>
                      <w:szCs w:val="21"/>
                    </w:rPr>
                  </w:pPr>
                  <w:r>
                    <w:rPr>
                      <w:rFonts w:hint="eastAsia"/>
                      <w:sz w:val="21"/>
                      <w:szCs w:val="21"/>
                    </w:rPr>
                    <w:t>本项目排放少量VOCs，采用活性炭吸附处理后通过1</w:t>
                  </w:r>
                  <w:r>
                    <w:rPr>
                      <w:sz w:val="21"/>
                      <w:szCs w:val="21"/>
                    </w:rPr>
                    <w:t>5</w:t>
                  </w:r>
                  <w:r>
                    <w:rPr>
                      <w:rFonts w:hint="eastAsia"/>
                      <w:sz w:val="21"/>
                      <w:szCs w:val="21"/>
                    </w:rPr>
                    <w:t>m排气筒排放，能够达标排放</w:t>
                  </w:r>
                </w:p>
              </w:tc>
              <w:tc>
                <w:tcPr>
                  <w:tcW w:w="697" w:type="pct"/>
                  <w:vAlign w:val="center"/>
                </w:tcPr>
                <w:p>
                  <w:pPr>
                    <w:spacing w:line="240" w:lineRule="auto"/>
                    <w:ind w:firstLine="0" w:firstLineChars="0"/>
                    <w:jc w:val="center"/>
                    <w:rPr>
                      <w:sz w:val="21"/>
                      <w:szCs w:val="21"/>
                    </w:rPr>
                  </w:pPr>
                  <w:r>
                    <w:rPr>
                      <w:rFonts w:hint="eastAsia"/>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rPr>
                  </w:pPr>
                </w:p>
              </w:tc>
              <w:tc>
                <w:tcPr>
                  <w:tcW w:w="2421" w:type="pct"/>
                  <w:vAlign w:val="center"/>
                </w:tcPr>
                <w:p>
                  <w:pPr>
                    <w:spacing w:line="240" w:lineRule="auto"/>
                    <w:ind w:firstLine="0" w:firstLineChars="0"/>
                    <w:jc w:val="center"/>
                    <w:rPr>
                      <w:sz w:val="21"/>
                      <w:szCs w:val="21"/>
                    </w:rPr>
                  </w:pPr>
                  <w:r>
                    <w:rPr>
                      <w:rFonts w:hint="eastAsia"/>
                      <w:sz w:val="21"/>
                      <w:szCs w:val="21"/>
                    </w:rPr>
                    <w:t>对能耗和污染物排放量相对较大的企业如铜制品、铝制品等企业安装空气在线自动监控系统，对治理设施进行有效监控</w:t>
                  </w:r>
                </w:p>
              </w:tc>
              <w:tc>
                <w:tcPr>
                  <w:tcW w:w="1331" w:type="pct"/>
                  <w:vAlign w:val="center"/>
                </w:tcPr>
                <w:p>
                  <w:pPr>
                    <w:spacing w:line="240" w:lineRule="auto"/>
                    <w:ind w:firstLine="0" w:firstLineChars="0"/>
                    <w:jc w:val="center"/>
                    <w:rPr>
                      <w:sz w:val="21"/>
                      <w:szCs w:val="21"/>
                    </w:rPr>
                  </w:pPr>
                  <w:r>
                    <w:rPr>
                      <w:rFonts w:hint="eastAsia"/>
                      <w:sz w:val="21"/>
                      <w:szCs w:val="21"/>
                    </w:rPr>
                    <w:t>本项目污染物排放量较少，无需设置自动监测</w:t>
                  </w:r>
                </w:p>
              </w:tc>
              <w:tc>
                <w:tcPr>
                  <w:tcW w:w="697" w:type="pct"/>
                  <w:vAlign w:val="center"/>
                </w:tcPr>
                <w:p>
                  <w:pPr>
                    <w:spacing w:line="240" w:lineRule="auto"/>
                    <w:ind w:firstLine="0" w:firstLineChars="0"/>
                    <w:jc w:val="center"/>
                    <w:rPr>
                      <w:sz w:val="21"/>
                      <w:szCs w:val="21"/>
                    </w:rPr>
                  </w:pPr>
                  <w:r>
                    <w:rPr>
                      <w:rFonts w:hint="eastAsia"/>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rPr>
                  </w:pPr>
                </w:p>
              </w:tc>
              <w:tc>
                <w:tcPr>
                  <w:tcW w:w="2421" w:type="pct"/>
                  <w:vAlign w:val="center"/>
                </w:tcPr>
                <w:p>
                  <w:pPr>
                    <w:spacing w:line="240" w:lineRule="auto"/>
                    <w:ind w:firstLine="0" w:firstLineChars="0"/>
                    <w:jc w:val="center"/>
                    <w:rPr>
                      <w:sz w:val="21"/>
                      <w:szCs w:val="21"/>
                    </w:rPr>
                  </w:pPr>
                  <w:r>
                    <w:rPr>
                      <w:rFonts w:hint="eastAsia"/>
                      <w:sz w:val="21"/>
                      <w:szCs w:val="21"/>
                    </w:rPr>
                    <w:t>园区内有色金属等行业及涉锅炉大气污染物排放应满足《湖南省生态环境厅关于执行污染物特别排放限值（第一批）的公告》中的要求。</w:t>
                  </w:r>
                </w:p>
              </w:tc>
              <w:tc>
                <w:tcPr>
                  <w:tcW w:w="1331" w:type="pct"/>
                  <w:vAlign w:val="center"/>
                </w:tcPr>
                <w:p>
                  <w:pPr>
                    <w:spacing w:line="240" w:lineRule="auto"/>
                    <w:ind w:firstLine="0" w:firstLineChars="0"/>
                    <w:jc w:val="center"/>
                    <w:rPr>
                      <w:sz w:val="21"/>
                      <w:szCs w:val="21"/>
                    </w:rPr>
                  </w:pPr>
                  <w:r>
                    <w:rPr>
                      <w:rFonts w:hint="eastAsia"/>
                      <w:sz w:val="21"/>
                      <w:szCs w:val="21"/>
                    </w:rPr>
                    <w:t>本项目不涉及锅炉</w:t>
                  </w:r>
                </w:p>
              </w:tc>
              <w:tc>
                <w:tcPr>
                  <w:tcW w:w="697" w:type="pct"/>
                  <w:vAlign w:val="center"/>
                </w:tcPr>
                <w:p>
                  <w:pPr>
                    <w:spacing w:line="240" w:lineRule="auto"/>
                    <w:ind w:firstLine="0" w:firstLineChars="0"/>
                    <w:jc w:val="center"/>
                    <w:rPr>
                      <w:sz w:val="21"/>
                      <w:szCs w:val="21"/>
                    </w:rPr>
                  </w:pPr>
                  <w:r>
                    <w:rPr>
                      <w:rFonts w:hint="eastAsia"/>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rPr>
                  </w:pPr>
                </w:p>
              </w:tc>
              <w:tc>
                <w:tcPr>
                  <w:tcW w:w="2421" w:type="pct"/>
                  <w:vAlign w:val="center"/>
                </w:tcPr>
                <w:p>
                  <w:pPr>
                    <w:spacing w:line="240" w:lineRule="auto"/>
                    <w:ind w:firstLine="0" w:firstLineChars="0"/>
                    <w:jc w:val="center"/>
                    <w:rPr>
                      <w:sz w:val="21"/>
                      <w:szCs w:val="21"/>
                    </w:rPr>
                  </w:pPr>
                  <w:r>
                    <w:rPr>
                      <w:rFonts w:hint="eastAsia"/>
                      <w:sz w:val="21"/>
                      <w:szCs w:val="21"/>
                    </w:rPr>
                    <w:t>固废：做好经开区工业固体废物和生活垃圾的分类收集、转运、综合利用和无害化处理，建立统一的固废收集、贮存、运输、综合利用和安全处置的运营管理体系。推行清洁生产，减少固体废物产生量；加强固体废物的资源化进程，提高综合利用率；规范固体废物处理措施，严防二次污染。南部片区按相关要求加快建设一般固废处置中心，对一般工业固废进行规范处置。</w:t>
                  </w:r>
                </w:p>
              </w:tc>
              <w:tc>
                <w:tcPr>
                  <w:tcW w:w="1331" w:type="pct"/>
                  <w:vAlign w:val="center"/>
                </w:tcPr>
                <w:p>
                  <w:pPr>
                    <w:spacing w:line="240" w:lineRule="auto"/>
                    <w:ind w:firstLine="0" w:firstLineChars="0"/>
                    <w:jc w:val="center"/>
                    <w:rPr>
                      <w:sz w:val="21"/>
                      <w:szCs w:val="21"/>
                    </w:rPr>
                  </w:pPr>
                  <w:r>
                    <w:rPr>
                      <w:rFonts w:hint="eastAsia"/>
                      <w:sz w:val="21"/>
                      <w:szCs w:val="21"/>
                    </w:rPr>
                    <w:t>本项目生活垃圾分类收集后委托当地环卫部门处理；一般工业固废收集暂存，定期外售其他单位综合利用；危险废物暂存于危险废物暂存间，委托有资质单位定期收集处理</w:t>
                  </w:r>
                </w:p>
              </w:tc>
              <w:tc>
                <w:tcPr>
                  <w:tcW w:w="697" w:type="pct"/>
                  <w:vAlign w:val="center"/>
                </w:tcPr>
                <w:p>
                  <w:pPr>
                    <w:spacing w:line="240" w:lineRule="auto"/>
                    <w:ind w:firstLine="0" w:firstLineChars="0"/>
                    <w:jc w:val="center"/>
                    <w:rPr>
                      <w:sz w:val="21"/>
                      <w:szCs w:val="21"/>
                    </w:rPr>
                  </w:pPr>
                  <w:r>
                    <w:rPr>
                      <w:rFonts w:hint="eastAsia"/>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restart"/>
                  <w:vAlign w:val="center"/>
                </w:tcPr>
                <w:p>
                  <w:pPr>
                    <w:spacing w:line="240" w:lineRule="auto"/>
                    <w:ind w:firstLine="0" w:firstLineChars="0"/>
                    <w:jc w:val="center"/>
                    <w:rPr>
                      <w:sz w:val="21"/>
                      <w:szCs w:val="21"/>
                    </w:rPr>
                  </w:pPr>
                  <w:r>
                    <w:rPr>
                      <w:rFonts w:hint="eastAsia"/>
                      <w:sz w:val="21"/>
                      <w:szCs w:val="21"/>
                    </w:rPr>
                    <w:t>环境风险防控</w:t>
                  </w:r>
                </w:p>
              </w:tc>
              <w:tc>
                <w:tcPr>
                  <w:tcW w:w="2421" w:type="pct"/>
                  <w:vAlign w:val="center"/>
                </w:tcPr>
                <w:p>
                  <w:pPr>
                    <w:spacing w:line="240" w:lineRule="auto"/>
                    <w:ind w:firstLine="0" w:firstLineChars="0"/>
                    <w:jc w:val="center"/>
                    <w:rPr>
                      <w:sz w:val="21"/>
                      <w:szCs w:val="21"/>
                    </w:rPr>
                  </w:pPr>
                  <w:r>
                    <w:rPr>
                      <w:rFonts w:hint="eastAsia"/>
                      <w:sz w:val="21"/>
                      <w:szCs w:val="21"/>
                    </w:rPr>
                    <w:t>经开区应建立健全环境风险防控体系，组织严格落实《永州经济技术开发区突发环境事件应急预案》的相关要求，加强环境风险事故防范和应急管理。应特别关注对重点环境风险防控企业的监管，强化对环境风险物质泄漏、废水废气非正常排放、消防废水外排等</w:t>
                  </w:r>
                </w:p>
                <w:p>
                  <w:pPr>
                    <w:spacing w:line="240" w:lineRule="auto"/>
                    <w:ind w:firstLine="0" w:firstLineChars="0"/>
                    <w:jc w:val="center"/>
                    <w:rPr>
                      <w:sz w:val="21"/>
                      <w:szCs w:val="21"/>
                    </w:rPr>
                  </w:pPr>
                  <w:r>
                    <w:rPr>
                      <w:rFonts w:hint="eastAsia"/>
                      <w:sz w:val="21"/>
                      <w:szCs w:val="21"/>
                    </w:rPr>
                    <w:t>环境风险的防控。</w:t>
                  </w:r>
                </w:p>
              </w:tc>
              <w:tc>
                <w:tcPr>
                  <w:tcW w:w="1331" w:type="pct"/>
                  <w:vMerge w:val="restart"/>
                  <w:vAlign w:val="center"/>
                </w:tcPr>
                <w:p>
                  <w:pPr>
                    <w:spacing w:line="240" w:lineRule="auto"/>
                    <w:ind w:firstLine="0" w:firstLineChars="0"/>
                    <w:jc w:val="center"/>
                    <w:rPr>
                      <w:sz w:val="21"/>
                      <w:szCs w:val="21"/>
                    </w:rPr>
                  </w:pPr>
                  <w:r>
                    <w:rPr>
                      <w:rFonts w:hint="eastAsia"/>
                      <w:sz w:val="21"/>
                      <w:szCs w:val="21"/>
                    </w:rPr>
                    <w:t>环评要求项目在投入运营前必须完成突发环境事件应急预案的编制及备案，并落实相应的环境风险防范及应急措施</w:t>
                  </w:r>
                </w:p>
              </w:tc>
              <w:tc>
                <w:tcPr>
                  <w:tcW w:w="697" w:type="pct"/>
                  <w:vMerge w:val="restart"/>
                  <w:vAlign w:val="center"/>
                </w:tcPr>
                <w:p>
                  <w:pPr>
                    <w:spacing w:line="240" w:lineRule="auto"/>
                    <w:ind w:firstLine="0" w:firstLineChars="0"/>
                    <w:jc w:val="center"/>
                    <w:rPr>
                      <w:sz w:val="21"/>
                      <w:szCs w:val="21"/>
                    </w:rPr>
                  </w:pPr>
                  <w:r>
                    <w:rPr>
                      <w:rFonts w:hint="eastAsia"/>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rPr>
                  </w:pPr>
                </w:p>
              </w:tc>
              <w:tc>
                <w:tcPr>
                  <w:tcW w:w="2421" w:type="pct"/>
                  <w:vAlign w:val="center"/>
                </w:tcPr>
                <w:p>
                  <w:pPr>
                    <w:spacing w:line="240" w:lineRule="auto"/>
                    <w:ind w:firstLine="0" w:firstLineChars="0"/>
                    <w:jc w:val="center"/>
                    <w:rPr>
                      <w:sz w:val="21"/>
                      <w:szCs w:val="21"/>
                    </w:rPr>
                  </w:pPr>
                  <w:r>
                    <w:rPr>
                      <w:rFonts w:hint="eastAsia"/>
                      <w:sz w:val="21"/>
                      <w:szCs w:val="21"/>
                    </w:rPr>
                    <w:t>园区可能发生突发环境事件的污染物排放企业，生产、储存、运输、使用危险化学品的企业，产生、收集、贮存、运输危险废物的企业等应当编制和实施环境应急预案；鼓励其他企业制定单独的环境应急预案，或在突发事件应急预案中制定环境应急预案专章，并备案。</w:t>
                  </w:r>
                </w:p>
              </w:tc>
              <w:tc>
                <w:tcPr>
                  <w:tcW w:w="1331" w:type="pct"/>
                  <w:vMerge w:val="continue"/>
                  <w:vAlign w:val="center"/>
                </w:tcPr>
                <w:p>
                  <w:pPr>
                    <w:spacing w:line="240" w:lineRule="auto"/>
                    <w:ind w:firstLine="0" w:firstLineChars="0"/>
                    <w:jc w:val="center"/>
                    <w:rPr>
                      <w:sz w:val="21"/>
                      <w:szCs w:val="21"/>
                    </w:rPr>
                  </w:pPr>
                </w:p>
              </w:tc>
              <w:tc>
                <w:tcPr>
                  <w:tcW w:w="697" w:type="pct"/>
                  <w:vMerge w:val="continue"/>
                  <w:vAlign w:val="center"/>
                </w:tcPr>
                <w:p>
                  <w:pPr>
                    <w:spacing w:line="240" w:lineRule="auto"/>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rPr>
                  </w:pPr>
                </w:p>
              </w:tc>
              <w:tc>
                <w:tcPr>
                  <w:tcW w:w="2421" w:type="pct"/>
                  <w:vAlign w:val="center"/>
                </w:tcPr>
                <w:p>
                  <w:pPr>
                    <w:spacing w:line="240" w:lineRule="auto"/>
                    <w:ind w:firstLine="0" w:firstLineChars="0"/>
                    <w:jc w:val="center"/>
                    <w:rPr>
                      <w:sz w:val="21"/>
                      <w:szCs w:val="21"/>
                    </w:rPr>
                  </w:pPr>
                  <w:r>
                    <w:rPr>
                      <w:rFonts w:hint="eastAsia"/>
                      <w:sz w:val="21"/>
                      <w:szCs w:val="21"/>
                    </w:rPr>
                    <w:t>排放重点污染物的建设项目，在开展环境影响评价时，要严格落实对土壤环境影响的评价内容，并提出防范土壤污染的具体措施。</w:t>
                  </w:r>
                </w:p>
              </w:tc>
              <w:tc>
                <w:tcPr>
                  <w:tcW w:w="1331" w:type="pct"/>
                  <w:vAlign w:val="center"/>
                </w:tcPr>
                <w:p>
                  <w:pPr>
                    <w:spacing w:line="240" w:lineRule="auto"/>
                    <w:ind w:firstLine="0" w:firstLineChars="0"/>
                    <w:jc w:val="center"/>
                    <w:rPr>
                      <w:sz w:val="21"/>
                      <w:szCs w:val="21"/>
                    </w:rPr>
                  </w:pPr>
                  <w:r>
                    <w:rPr>
                      <w:rFonts w:hint="eastAsia"/>
                      <w:sz w:val="21"/>
                      <w:szCs w:val="21"/>
                    </w:rPr>
                    <w:t>本项目土壤污染风险较小</w:t>
                  </w:r>
                </w:p>
              </w:tc>
              <w:tc>
                <w:tcPr>
                  <w:tcW w:w="697" w:type="pct"/>
                  <w:vAlign w:val="center"/>
                </w:tcPr>
                <w:p>
                  <w:pPr>
                    <w:spacing w:line="240" w:lineRule="auto"/>
                    <w:ind w:firstLine="0" w:firstLineChars="0"/>
                    <w:jc w:val="center"/>
                    <w:rPr>
                      <w:sz w:val="21"/>
                      <w:szCs w:val="21"/>
                    </w:rPr>
                  </w:pPr>
                  <w:r>
                    <w:rPr>
                      <w:rFonts w:hint="eastAsia"/>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restart"/>
                  <w:vAlign w:val="center"/>
                </w:tcPr>
                <w:p>
                  <w:pPr>
                    <w:spacing w:line="240" w:lineRule="auto"/>
                    <w:ind w:firstLine="0" w:firstLineChars="0"/>
                    <w:jc w:val="center"/>
                    <w:rPr>
                      <w:sz w:val="21"/>
                      <w:szCs w:val="21"/>
                    </w:rPr>
                  </w:pPr>
                  <w:r>
                    <w:rPr>
                      <w:rFonts w:hint="eastAsia"/>
                      <w:sz w:val="21"/>
                      <w:szCs w:val="21"/>
                    </w:rPr>
                    <w:t>资源开发效率要求</w:t>
                  </w:r>
                </w:p>
              </w:tc>
              <w:tc>
                <w:tcPr>
                  <w:tcW w:w="2421" w:type="pct"/>
                  <w:vAlign w:val="center"/>
                </w:tcPr>
                <w:p>
                  <w:pPr>
                    <w:spacing w:line="240" w:lineRule="auto"/>
                    <w:ind w:firstLine="0" w:firstLineChars="0"/>
                    <w:jc w:val="center"/>
                    <w:rPr>
                      <w:sz w:val="21"/>
                      <w:szCs w:val="21"/>
                    </w:rPr>
                  </w:pPr>
                  <w:r>
                    <w:rPr>
                      <w:rFonts w:hint="eastAsia"/>
                      <w:sz w:val="21"/>
                      <w:szCs w:val="21"/>
                    </w:rPr>
                    <w:t>经开区位于永州市人民政府划定的高污染燃料禁燃区内，严格执行禁燃区有关要求。经开区内不得燃用中、高硫煤；积极推广清洁能源，北部片区实施集中供热，南部片区加快集中供热设施建设。</w:t>
                  </w:r>
                </w:p>
              </w:tc>
              <w:tc>
                <w:tcPr>
                  <w:tcW w:w="1331" w:type="pct"/>
                  <w:vAlign w:val="center"/>
                </w:tcPr>
                <w:p>
                  <w:pPr>
                    <w:spacing w:line="240" w:lineRule="auto"/>
                    <w:ind w:firstLine="0" w:firstLineChars="0"/>
                    <w:jc w:val="center"/>
                    <w:rPr>
                      <w:sz w:val="21"/>
                      <w:szCs w:val="21"/>
                    </w:rPr>
                  </w:pPr>
                  <w:r>
                    <w:rPr>
                      <w:rFonts w:hint="eastAsia"/>
                      <w:sz w:val="21"/>
                      <w:szCs w:val="21"/>
                    </w:rPr>
                    <w:t>本项目不使用煤等高污染燃料，主要使用电能</w:t>
                  </w:r>
                </w:p>
              </w:tc>
              <w:tc>
                <w:tcPr>
                  <w:tcW w:w="697" w:type="pct"/>
                  <w:vAlign w:val="center"/>
                </w:tcPr>
                <w:p>
                  <w:pPr>
                    <w:spacing w:line="240" w:lineRule="auto"/>
                    <w:ind w:firstLine="0" w:firstLineChars="0"/>
                    <w:jc w:val="center"/>
                    <w:rPr>
                      <w:sz w:val="21"/>
                      <w:szCs w:val="21"/>
                    </w:rPr>
                  </w:pPr>
                  <w:r>
                    <w:rPr>
                      <w:rFonts w:hint="eastAsia"/>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rPr>
                  </w:pPr>
                </w:p>
              </w:tc>
              <w:tc>
                <w:tcPr>
                  <w:tcW w:w="2421" w:type="pct"/>
                  <w:vAlign w:val="center"/>
                </w:tcPr>
                <w:p>
                  <w:pPr>
                    <w:spacing w:line="240" w:lineRule="auto"/>
                    <w:ind w:firstLine="0" w:firstLineChars="0"/>
                    <w:jc w:val="center"/>
                    <w:rPr>
                      <w:sz w:val="21"/>
                      <w:szCs w:val="21"/>
                    </w:rPr>
                  </w:pPr>
                  <w:r>
                    <w:rPr>
                      <w:rFonts w:hint="eastAsia"/>
                      <w:sz w:val="21"/>
                      <w:szCs w:val="21"/>
                    </w:rPr>
                    <w:t>对取用水总量已达到或超过控制指标的行业、单位暂停审批新增取水，对取用水总量接近控制指标的行业、单位限制</w:t>
                  </w:r>
                </w:p>
                <w:p>
                  <w:pPr>
                    <w:spacing w:line="240" w:lineRule="auto"/>
                    <w:ind w:firstLine="0" w:firstLineChars="0"/>
                    <w:jc w:val="center"/>
                    <w:rPr>
                      <w:sz w:val="21"/>
                      <w:szCs w:val="21"/>
                    </w:rPr>
                  </w:pPr>
                  <w:r>
                    <w:rPr>
                      <w:rFonts w:hint="eastAsia"/>
                      <w:sz w:val="21"/>
                      <w:szCs w:val="21"/>
                    </w:rPr>
                    <w:t>审批新增取水。重点开展食品等高耗水工业行业节水技术改造。限期关闭未经批准的和公共供水管网覆盖范围内的自备水井。到2020年，经开区全区年用水总量控制在7076 万立方米以内，万元国内生产总值用水量、万元工业增加值用水量分别比2015 年降低30%和25%。</w:t>
                  </w:r>
                </w:p>
              </w:tc>
              <w:tc>
                <w:tcPr>
                  <w:tcW w:w="1331" w:type="pct"/>
                  <w:vAlign w:val="center"/>
                </w:tcPr>
                <w:p>
                  <w:pPr>
                    <w:spacing w:line="240" w:lineRule="auto"/>
                    <w:ind w:firstLine="0" w:firstLineChars="0"/>
                    <w:jc w:val="center"/>
                    <w:rPr>
                      <w:sz w:val="21"/>
                      <w:szCs w:val="21"/>
                    </w:rPr>
                  </w:pPr>
                  <w:r>
                    <w:rPr>
                      <w:rFonts w:hint="eastAsia"/>
                      <w:sz w:val="21"/>
                      <w:szCs w:val="21"/>
                    </w:rPr>
                    <w:t>本项目用水量较少，符合相关要求</w:t>
                  </w:r>
                </w:p>
              </w:tc>
              <w:tc>
                <w:tcPr>
                  <w:tcW w:w="697" w:type="pct"/>
                  <w:vAlign w:val="center"/>
                </w:tcPr>
                <w:p>
                  <w:pPr>
                    <w:spacing w:line="240" w:lineRule="auto"/>
                    <w:ind w:firstLine="0" w:firstLineChars="0"/>
                    <w:jc w:val="center"/>
                    <w:rPr>
                      <w:sz w:val="21"/>
                      <w:szCs w:val="21"/>
                    </w:rPr>
                  </w:pPr>
                  <w:r>
                    <w:rPr>
                      <w:rFonts w:hint="eastAsia"/>
                      <w:sz w:val="21"/>
                      <w:szCs w:val="21"/>
                    </w:rPr>
                    <w:t>符合</w:t>
                  </w:r>
                </w:p>
              </w:tc>
            </w:tr>
          </w:tbl>
          <w:p>
            <w:pPr>
              <w:ind w:firstLine="480"/>
            </w:pPr>
            <w:r>
              <w:rPr>
                <w:rFonts w:hint="eastAsia"/>
              </w:rPr>
              <w:t>根据上表分析，本项目建设符合《湖南省“三线一单”生态环境总体管控要求暨省级以上产业园区生态环境准入清单》中对永州经济技术开发区的生态环境管控要求。</w:t>
            </w:r>
          </w:p>
          <w:p>
            <w:pPr>
              <w:pStyle w:val="54"/>
              <w:spacing w:before="156"/>
              <w:rPr>
                <w:u w:val="single"/>
              </w:rPr>
            </w:pPr>
            <w:r>
              <w:rPr>
                <w:rFonts w:hint="eastAsia"/>
                <w:u w:val="single"/>
              </w:rPr>
              <w:t>表1</w:t>
            </w:r>
            <w:r>
              <w:rPr>
                <w:u w:val="single"/>
              </w:rPr>
              <w:t xml:space="preserve">-5  </w:t>
            </w:r>
            <w:r>
              <w:rPr>
                <w:rFonts w:hint="eastAsia"/>
                <w:u w:val="single"/>
              </w:rPr>
              <w:t>项目与永州市（仁湾街道）生态环境总体管控要求符合性分析</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96"/>
              <w:gridCol w:w="3054"/>
              <w:gridCol w:w="1679"/>
              <w:gridCol w:w="8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Align w:val="center"/>
                </w:tcPr>
                <w:p>
                  <w:pPr>
                    <w:spacing w:line="240" w:lineRule="auto"/>
                    <w:ind w:firstLine="0" w:firstLineChars="0"/>
                    <w:jc w:val="center"/>
                    <w:rPr>
                      <w:sz w:val="21"/>
                      <w:szCs w:val="21"/>
                      <w:u w:val="single"/>
                    </w:rPr>
                  </w:pPr>
                  <w:r>
                    <w:rPr>
                      <w:rFonts w:hint="eastAsia"/>
                      <w:sz w:val="21"/>
                      <w:szCs w:val="21"/>
                      <w:u w:val="single"/>
                    </w:rPr>
                    <w:t>管控维度</w:t>
                  </w:r>
                </w:p>
              </w:tc>
              <w:tc>
                <w:tcPr>
                  <w:tcW w:w="2421" w:type="pct"/>
                  <w:vAlign w:val="center"/>
                </w:tcPr>
                <w:p>
                  <w:pPr>
                    <w:spacing w:line="240" w:lineRule="auto"/>
                    <w:ind w:firstLine="0" w:firstLineChars="0"/>
                    <w:jc w:val="center"/>
                    <w:rPr>
                      <w:sz w:val="21"/>
                      <w:szCs w:val="21"/>
                      <w:u w:val="single"/>
                    </w:rPr>
                  </w:pPr>
                  <w:r>
                    <w:rPr>
                      <w:rFonts w:hint="eastAsia"/>
                      <w:sz w:val="21"/>
                      <w:szCs w:val="21"/>
                      <w:u w:val="single"/>
                    </w:rPr>
                    <w:t>管控要求</w:t>
                  </w:r>
                </w:p>
              </w:tc>
              <w:tc>
                <w:tcPr>
                  <w:tcW w:w="1331" w:type="pct"/>
                  <w:vAlign w:val="center"/>
                </w:tcPr>
                <w:p>
                  <w:pPr>
                    <w:spacing w:line="240" w:lineRule="auto"/>
                    <w:ind w:firstLine="0" w:firstLineChars="0"/>
                    <w:jc w:val="center"/>
                    <w:rPr>
                      <w:sz w:val="21"/>
                      <w:szCs w:val="21"/>
                      <w:u w:val="single"/>
                    </w:rPr>
                  </w:pPr>
                  <w:r>
                    <w:rPr>
                      <w:rFonts w:hint="eastAsia"/>
                      <w:sz w:val="21"/>
                      <w:szCs w:val="21"/>
                      <w:u w:val="single"/>
                    </w:rPr>
                    <w:t>项目情况</w:t>
                  </w:r>
                </w:p>
              </w:tc>
              <w:tc>
                <w:tcPr>
                  <w:tcW w:w="696" w:type="pct"/>
                  <w:vAlign w:val="center"/>
                </w:tcPr>
                <w:p>
                  <w:pPr>
                    <w:spacing w:line="240" w:lineRule="auto"/>
                    <w:ind w:firstLine="0" w:firstLineChars="0"/>
                    <w:jc w:val="center"/>
                    <w:rPr>
                      <w:sz w:val="21"/>
                      <w:szCs w:val="21"/>
                      <w:u w:val="single"/>
                    </w:rPr>
                  </w:pPr>
                  <w:r>
                    <w:rPr>
                      <w:rFonts w:hint="eastAsia"/>
                      <w:sz w:val="21"/>
                      <w:szCs w:val="21"/>
                      <w:u w:val="single"/>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Align w:val="center"/>
                </w:tcPr>
                <w:p>
                  <w:pPr>
                    <w:spacing w:line="240" w:lineRule="auto"/>
                    <w:ind w:firstLine="0" w:firstLineChars="0"/>
                    <w:jc w:val="center"/>
                    <w:rPr>
                      <w:sz w:val="21"/>
                      <w:szCs w:val="21"/>
                      <w:u w:val="single"/>
                    </w:rPr>
                  </w:pPr>
                  <w:r>
                    <w:rPr>
                      <w:rFonts w:hint="eastAsia"/>
                      <w:sz w:val="21"/>
                      <w:szCs w:val="21"/>
                      <w:u w:val="single"/>
                    </w:rPr>
                    <w:t>空间布局约束</w:t>
                  </w:r>
                </w:p>
              </w:tc>
              <w:tc>
                <w:tcPr>
                  <w:tcW w:w="2421" w:type="pct"/>
                  <w:vAlign w:val="center"/>
                </w:tcPr>
                <w:p>
                  <w:pPr>
                    <w:spacing w:line="240" w:lineRule="auto"/>
                    <w:ind w:firstLine="0" w:firstLineChars="0"/>
                    <w:jc w:val="center"/>
                    <w:rPr>
                      <w:sz w:val="21"/>
                      <w:szCs w:val="21"/>
                      <w:u w:val="single"/>
                    </w:rPr>
                  </w:pPr>
                  <w:r>
                    <w:rPr>
                      <w:rFonts w:hint="eastAsia"/>
                      <w:sz w:val="21"/>
                      <w:szCs w:val="21"/>
                      <w:u w:val="single"/>
                    </w:rPr>
                    <w:t>永州经济开发区调区扩区原则上不应超出省级主管部门确定的拓展空间；对园区外的现有企业加强环境监管，确保污染物达标排放。</w:t>
                  </w:r>
                </w:p>
              </w:tc>
              <w:tc>
                <w:tcPr>
                  <w:tcW w:w="1331" w:type="pct"/>
                  <w:vAlign w:val="center"/>
                </w:tcPr>
                <w:p>
                  <w:pPr>
                    <w:spacing w:line="240" w:lineRule="auto"/>
                    <w:ind w:firstLine="0" w:firstLineChars="0"/>
                    <w:jc w:val="center"/>
                    <w:rPr>
                      <w:sz w:val="21"/>
                      <w:szCs w:val="21"/>
                      <w:u w:val="single"/>
                    </w:rPr>
                  </w:pPr>
                  <w:r>
                    <w:rPr>
                      <w:rFonts w:hint="eastAsia"/>
                      <w:sz w:val="21"/>
                      <w:szCs w:val="21"/>
                      <w:u w:val="single"/>
                    </w:rPr>
                    <w:t>本项目位于永州经济技术开发区内，目前园区已完成规划环评；本项目污染物能够达标排放</w:t>
                  </w:r>
                </w:p>
              </w:tc>
              <w:tc>
                <w:tcPr>
                  <w:tcW w:w="696" w:type="pct"/>
                  <w:vAlign w:val="center"/>
                </w:tcPr>
                <w:p>
                  <w:pPr>
                    <w:spacing w:line="240" w:lineRule="auto"/>
                    <w:ind w:firstLine="0" w:firstLineChars="0"/>
                    <w:jc w:val="center"/>
                    <w:rPr>
                      <w:sz w:val="21"/>
                      <w:szCs w:val="21"/>
                      <w:u w:val="single"/>
                    </w:rPr>
                  </w:pPr>
                  <w:r>
                    <w:rPr>
                      <w:rFonts w:hint="eastAsia"/>
                      <w:sz w:val="21"/>
                      <w:szCs w:val="21"/>
                      <w:u w:val="singl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restart"/>
                  <w:vAlign w:val="center"/>
                </w:tcPr>
                <w:p>
                  <w:pPr>
                    <w:spacing w:line="240" w:lineRule="auto"/>
                    <w:ind w:firstLine="0" w:firstLineChars="0"/>
                    <w:jc w:val="center"/>
                    <w:rPr>
                      <w:sz w:val="21"/>
                      <w:szCs w:val="21"/>
                      <w:u w:val="single"/>
                    </w:rPr>
                  </w:pPr>
                  <w:r>
                    <w:rPr>
                      <w:rFonts w:hint="eastAsia"/>
                      <w:sz w:val="21"/>
                      <w:szCs w:val="21"/>
                      <w:u w:val="single"/>
                    </w:rPr>
                    <w:t>污染物排放管控</w:t>
                  </w:r>
                </w:p>
              </w:tc>
              <w:tc>
                <w:tcPr>
                  <w:tcW w:w="2421" w:type="pct"/>
                  <w:vAlign w:val="center"/>
                </w:tcPr>
                <w:p>
                  <w:pPr>
                    <w:spacing w:line="240" w:lineRule="auto"/>
                    <w:ind w:firstLine="0" w:firstLineChars="0"/>
                    <w:jc w:val="center"/>
                    <w:rPr>
                      <w:sz w:val="21"/>
                      <w:szCs w:val="21"/>
                      <w:u w:val="single"/>
                    </w:rPr>
                  </w:pPr>
                  <w:r>
                    <w:rPr>
                      <w:rFonts w:hint="eastAsia"/>
                      <w:sz w:val="21"/>
                      <w:szCs w:val="21"/>
                      <w:u w:val="single"/>
                    </w:rPr>
                    <w:t>完成“散乱污”企业整治。</w:t>
                  </w:r>
                </w:p>
              </w:tc>
              <w:tc>
                <w:tcPr>
                  <w:tcW w:w="1331" w:type="pct"/>
                  <w:vAlign w:val="center"/>
                </w:tcPr>
                <w:p>
                  <w:pPr>
                    <w:spacing w:line="240" w:lineRule="auto"/>
                    <w:ind w:firstLine="0" w:firstLineChars="0"/>
                    <w:jc w:val="center"/>
                    <w:rPr>
                      <w:sz w:val="21"/>
                      <w:szCs w:val="21"/>
                      <w:u w:val="single"/>
                    </w:rPr>
                  </w:pPr>
                  <w:r>
                    <w:rPr>
                      <w:rFonts w:hint="eastAsia"/>
                      <w:sz w:val="21"/>
                      <w:szCs w:val="21"/>
                      <w:u w:val="single"/>
                    </w:rPr>
                    <w:t>本项目不属于“散乱污”</w:t>
                  </w:r>
                </w:p>
              </w:tc>
              <w:tc>
                <w:tcPr>
                  <w:tcW w:w="696" w:type="pct"/>
                  <w:vAlign w:val="center"/>
                </w:tcPr>
                <w:p>
                  <w:pPr>
                    <w:spacing w:line="240" w:lineRule="auto"/>
                    <w:ind w:firstLine="0" w:firstLineChars="0"/>
                    <w:jc w:val="center"/>
                    <w:rPr>
                      <w:sz w:val="21"/>
                      <w:szCs w:val="21"/>
                      <w:u w:val="single"/>
                    </w:rPr>
                  </w:pPr>
                  <w:r>
                    <w:rPr>
                      <w:rFonts w:hint="eastAsia"/>
                      <w:sz w:val="21"/>
                      <w:szCs w:val="21"/>
                      <w:u w:val="singl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u w:val="single"/>
                    </w:rPr>
                  </w:pPr>
                </w:p>
              </w:tc>
              <w:tc>
                <w:tcPr>
                  <w:tcW w:w="2421" w:type="pct"/>
                  <w:vAlign w:val="center"/>
                </w:tcPr>
                <w:p>
                  <w:pPr>
                    <w:spacing w:line="240" w:lineRule="auto"/>
                    <w:ind w:firstLine="0" w:firstLineChars="0"/>
                    <w:jc w:val="center"/>
                    <w:rPr>
                      <w:sz w:val="21"/>
                      <w:szCs w:val="21"/>
                      <w:u w:val="single"/>
                    </w:rPr>
                  </w:pPr>
                  <w:r>
                    <w:rPr>
                      <w:rFonts w:hint="eastAsia"/>
                      <w:sz w:val="21"/>
                      <w:szCs w:val="21"/>
                      <w:u w:val="single"/>
                    </w:rPr>
                    <w:t>钢铁行业完成所有烧结机旁路拆除，实现全烟气脱硫；水泥、钢铁行业大气污染物执行特别排放限值要求；火电行业完成火力发电机组超低排放改造；有色冶炼行业规范企业废气排放口设置，提高烟气收集率，全面取消脱硫设施旁路；逐步推进企业安装在线监控设施</w:t>
                  </w:r>
                </w:p>
              </w:tc>
              <w:tc>
                <w:tcPr>
                  <w:tcW w:w="1331" w:type="pct"/>
                  <w:vAlign w:val="center"/>
                </w:tcPr>
                <w:p>
                  <w:pPr>
                    <w:spacing w:line="240" w:lineRule="auto"/>
                    <w:ind w:firstLine="0" w:firstLineChars="0"/>
                    <w:jc w:val="center"/>
                    <w:rPr>
                      <w:sz w:val="21"/>
                      <w:szCs w:val="21"/>
                      <w:u w:val="single"/>
                    </w:rPr>
                  </w:pPr>
                  <w:r>
                    <w:rPr>
                      <w:rFonts w:hint="eastAsia"/>
                      <w:sz w:val="21"/>
                      <w:szCs w:val="21"/>
                      <w:u w:val="single"/>
                    </w:rPr>
                    <w:t>不涉及</w:t>
                  </w:r>
                </w:p>
              </w:tc>
              <w:tc>
                <w:tcPr>
                  <w:tcW w:w="696" w:type="pct"/>
                  <w:vAlign w:val="center"/>
                </w:tcPr>
                <w:p>
                  <w:pPr>
                    <w:spacing w:line="240" w:lineRule="auto"/>
                    <w:ind w:firstLine="0" w:firstLineChars="0"/>
                    <w:jc w:val="center"/>
                    <w:rPr>
                      <w:sz w:val="21"/>
                      <w:szCs w:val="21"/>
                      <w:u w:val="single"/>
                    </w:rPr>
                  </w:pPr>
                  <w:r>
                    <w:rPr>
                      <w:rFonts w:hint="eastAsia"/>
                      <w:sz w:val="21"/>
                      <w:szCs w:val="21"/>
                      <w:u w:val="singl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u w:val="single"/>
                    </w:rPr>
                  </w:pPr>
                </w:p>
              </w:tc>
              <w:tc>
                <w:tcPr>
                  <w:tcW w:w="2421" w:type="pct"/>
                  <w:vAlign w:val="center"/>
                </w:tcPr>
                <w:p>
                  <w:pPr>
                    <w:spacing w:line="240" w:lineRule="auto"/>
                    <w:ind w:firstLine="0" w:firstLineChars="0"/>
                    <w:jc w:val="center"/>
                    <w:rPr>
                      <w:sz w:val="21"/>
                      <w:szCs w:val="21"/>
                      <w:u w:val="single"/>
                    </w:rPr>
                  </w:pPr>
                  <w:r>
                    <w:rPr>
                      <w:rFonts w:hint="eastAsia"/>
                      <w:sz w:val="21"/>
                      <w:szCs w:val="21"/>
                      <w:u w:val="single"/>
                    </w:rPr>
                    <w:t>全面推进工业VOCs 综合治理。</w:t>
                  </w:r>
                </w:p>
              </w:tc>
              <w:tc>
                <w:tcPr>
                  <w:tcW w:w="1331" w:type="pct"/>
                  <w:vAlign w:val="center"/>
                </w:tcPr>
                <w:p>
                  <w:pPr>
                    <w:spacing w:line="240" w:lineRule="auto"/>
                    <w:ind w:firstLine="0" w:firstLineChars="0"/>
                    <w:jc w:val="center"/>
                    <w:rPr>
                      <w:sz w:val="21"/>
                      <w:szCs w:val="21"/>
                      <w:u w:val="single"/>
                    </w:rPr>
                  </w:pPr>
                  <w:r>
                    <w:rPr>
                      <w:rFonts w:hint="eastAsia"/>
                      <w:sz w:val="21"/>
                      <w:szCs w:val="21"/>
                      <w:u w:val="single"/>
                    </w:rPr>
                    <w:t>本项目产生的VOCs通过活性炭吸附处理后达标排放</w:t>
                  </w:r>
                </w:p>
              </w:tc>
              <w:tc>
                <w:tcPr>
                  <w:tcW w:w="696" w:type="pct"/>
                  <w:vAlign w:val="center"/>
                </w:tcPr>
                <w:p>
                  <w:pPr>
                    <w:spacing w:line="240" w:lineRule="auto"/>
                    <w:ind w:firstLine="0" w:firstLineChars="0"/>
                    <w:jc w:val="center"/>
                    <w:rPr>
                      <w:sz w:val="21"/>
                      <w:szCs w:val="21"/>
                      <w:u w:val="single"/>
                    </w:rPr>
                  </w:pPr>
                  <w:r>
                    <w:rPr>
                      <w:rFonts w:hint="eastAsia"/>
                      <w:sz w:val="21"/>
                      <w:szCs w:val="21"/>
                      <w:u w:val="singl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u w:val="single"/>
                    </w:rPr>
                  </w:pPr>
                </w:p>
              </w:tc>
              <w:tc>
                <w:tcPr>
                  <w:tcW w:w="2421" w:type="pct"/>
                  <w:vAlign w:val="center"/>
                </w:tcPr>
                <w:p>
                  <w:pPr>
                    <w:spacing w:line="240" w:lineRule="auto"/>
                    <w:ind w:firstLine="0" w:firstLineChars="0"/>
                    <w:jc w:val="center"/>
                    <w:rPr>
                      <w:sz w:val="21"/>
                      <w:szCs w:val="21"/>
                      <w:u w:val="single"/>
                    </w:rPr>
                  </w:pPr>
                  <w:r>
                    <w:rPr>
                      <w:rFonts w:hint="eastAsia"/>
                      <w:sz w:val="21"/>
                      <w:szCs w:val="21"/>
                      <w:u w:val="single"/>
                    </w:rPr>
                    <w:t>建成区餐饮企业安装高效油烟净化设施，完成规模以上餐饮企业污染物排放自动监测。</w:t>
                  </w:r>
                </w:p>
              </w:tc>
              <w:tc>
                <w:tcPr>
                  <w:tcW w:w="1331" w:type="pct"/>
                  <w:vAlign w:val="center"/>
                </w:tcPr>
                <w:p>
                  <w:pPr>
                    <w:spacing w:line="240" w:lineRule="auto"/>
                    <w:ind w:firstLine="0" w:firstLineChars="0"/>
                    <w:jc w:val="center"/>
                    <w:rPr>
                      <w:sz w:val="21"/>
                      <w:szCs w:val="21"/>
                      <w:u w:val="single"/>
                    </w:rPr>
                  </w:pPr>
                  <w:r>
                    <w:rPr>
                      <w:rFonts w:hint="eastAsia"/>
                      <w:sz w:val="21"/>
                      <w:szCs w:val="21"/>
                      <w:u w:val="single"/>
                    </w:rPr>
                    <w:t>不涉及</w:t>
                  </w:r>
                </w:p>
              </w:tc>
              <w:tc>
                <w:tcPr>
                  <w:tcW w:w="696" w:type="pct"/>
                  <w:vAlign w:val="center"/>
                </w:tcPr>
                <w:p>
                  <w:pPr>
                    <w:spacing w:line="240" w:lineRule="auto"/>
                    <w:ind w:firstLine="0" w:firstLineChars="0"/>
                    <w:jc w:val="center"/>
                    <w:rPr>
                      <w:sz w:val="21"/>
                      <w:szCs w:val="21"/>
                      <w:u w:val="single"/>
                    </w:rPr>
                  </w:pPr>
                  <w:r>
                    <w:rPr>
                      <w:rFonts w:hint="eastAsia"/>
                      <w:sz w:val="21"/>
                      <w:szCs w:val="21"/>
                      <w:u w:val="singl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u w:val="single"/>
                    </w:rPr>
                  </w:pPr>
                </w:p>
              </w:tc>
              <w:tc>
                <w:tcPr>
                  <w:tcW w:w="2421" w:type="pct"/>
                  <w:vAlign w:val="center"/>
                </w:tcPr>
                <w:p>
                  <w:pPr>
                    <w:spacing w:line="240" w:lineRule="auto"/>
                    <w:ind w:firstLine="0" w:firstLineChars="0"/>
                    <w:jc w:val="center"/>
                    <w:rPr>
                      <w:sz w:val="21"/>
                      <w:szCs w:val="21"/>
                      <w:u w:val="single"/>
                    </w:rPr>
                  </w:pPr>
                  <w:r>
                    <w:rPr>
                      <w:rFonts w:hint="eastAsia"/>
                      <w:sz w:val="21"/>
                      <w:szCs w:val="21"/>
                      <w:u w:val="single"/>
                    </w:rPr>
                    <w:t>大力推广“三改两分再利用”技术，完成畜禽粪便储存场所和废水收集设施的配套建设、改造，防止畜禽粪便、废水等污染物的渗漏、散落、溢流、气味等对周围环境造成污染。</w:t>
                  </w:r>
                </w:p>
              </w:tc>
              <w:tc>
                <w:tcPr>
                  <w:tcW w:w="1331" w:type="pct"/>
                  <w:vAlign w:val="center"/>
                </w:tcPr>
                <w:p>
                  <w:pPr>
                    <w:spacing w:line="240" w:lineRule="auto"/>
                    <w:ind w:firstLine="0" w:firstLineChars="0"/>
                    <w:jc w:val="center"/>
                    <w:rPr>
                      <w:sz w:val="21"/>
                      <w:szCs w:val="21"/>
                      <w:u w:val="single"/>
                    </w:rPr>
                  </w:pPr>
                  <w:r>
                    <w:rPr>
                      <w:rFonts w:hint="eastAsia"/>
                      <w:sz w:val="21"/>
                      <w:szCs w:val="21"/>
                      <w:u w:val="single"/>
                    </w:rPr>
                    <w:t>不涉及</w:t>
                  </w:r>
                </w:p>
              </w:tc>
              <w:tc>
                <w:tcPr>
                  <w:tcW w:w="696" w:type="pct"/>
                  <w:vAlign w:val="center"/>
                </w:tcPr>
                <w:p>
                  <w:pPr>
                    <w:spacing w:line="240" w:lineRule="auto"/>
                    <w:ind w:firstLine="0" w:firstLineChars="0"/>
                    <w:jc w:val="center"/>
                    <w:rPr>
                      <w:sz w:val="21"/>
                      <w:szCs w:val="21"/>
                      <w:u w:val="single"/>
                    </w:rPr>
                  </w:pPr>
                  <w:r>
                    <w:rPr>
                      <w:rFonts w:hint="eastAsia"/>
                      <w:sz w:val="21"/>
                      <w:szCs w:val="21"/>
                      <w:u w:val="singl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u w:val="single"/>
                    </w:rPr>
                  </w:pPr>
                </w:p>
              </w:tc>
              <w:tc>
                <w:tcPr>
                  <w:tcW w:w="2421" w:type="pct"/>
                  <w:vAlign w:val="center"/>
                </w:tcPr>
                <w:p>
                  <w:pPr>
                    <w:spacing w:line="240" w:lineRule="auto"/>
                    <w:ind w:firstLine="0" w:firstLineChars="0"/>
                    <w:jc w:val="center"/>
                    <w:rPr>
                      <w:sz w:val="21"/>
                      <w:szCs w:val="21"/>
                      <w:u w:val="single"/>
                    </w:rPr>
                  </w:pPr>
                  <w:r>
                    <w:rPr>
                      <w:rFonts w:hint="eastAsia"/>
                      <w:sz w:val="21"/>
                      <w:szCs w:val="21"/>
                      <w:u w:val="single"/>
                    </w:rPr>
                    <w:t>积极推进垃圾分类，建设覆盖城乡的垃圾收运体系和垃圾分类收集系统。</w:t>
                  </w:r>
                </w:p>
              </w:tc>
              <w:tc>
                <w:tcPr>
                  <w:tcW w:w="1331" w:type="pct"/>
                  <w:vAlign w:val="center"/>
                </w:tcPr>
                <w:p>
                  <w:pPr>
                    <w:spacing w:line="240" w:lineRule="auto"/>
                    <w:ind w:firstLine="0" w:firstLineChars="0"/>
                    <w:jc w:val="center"/>
                    <w:rPr>
                      <w:sz w:val="21"/>
                      <w:szCs w:val="21"/>
                      <w:u w:val="single"/>
                    </w:rPr>
                  </w:pPr>
                  <w:r>
                    <w:rPr>
                      <w:rFonts w:hint="eastAsia"/>
                      <w:sz w:val="21"/>
                      <w:szCs w:val="21"/>
                      <w:u w:val="single"/>
                    </w:rPr>
                    <w:t>不涉及</w:t>
                  </w:r>
                </w:p>
              </w:tc>
              <w:tc>
                <w:tcPr>
                  <w:tcW w:w="696" w:type="pct"/>
                  <w:vAlign w:val="center"/>
                </w:tcPr>
                <w:p>
                  <w:pPr>
                    <w:spacing w:line="240" w:lineRule="auto"/>
                    <w:ind w:firstLine="0" w:firstLineChars="0"/>
                    <w:jc w:val="center"/>
                    <w:rPr>
                      <w:sz w:val="21"/>
                      <w:szCs w:val="21"/>
                      <w:u w:val="single"/>
                    </w:rPr>
                  </w:pPr>
                  <w:r>
                    <w:rPr>
                      <w:rFonts w:hint="eastAsia"/>
                      <w:sz w:val="21"/>
                      <w:szCs w:val="21"/>
                      <w:u w:val="singl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u w:val="single"/>
                    </w:rPr>
                  </w:pPr>
                </w:p>
              </w:tc>
              <w:tc>
                <w:tcPr>
                  <w:tcW w:w="2421" w:type="pct"/>
                  <w:vAlign w:val="center"/>
                </w:tcPr>
                <w:p>
                  <w:pPr>
                    <w:spacing w:line="240" w:lineRule="auto"/>
                    <w:ind w:firstLine="0" w:firstLineChars="0"/>
                    <w:jc w:val="center"/>
                    <w:rPr>
                      <w:sz w:val="21"/>
                      <w:szCs w:val="21"/>
                      <w:u w:val="single"/>
                    </w:rPr>
                  </w:pPr>
                  <w:r>
                    <w:rPr>
                      <w:rFonts w:hint="eastAsia"/>
                      <w:sz w:val="21"/>
                      <w:szCs w:val="21"/>
                      <w:u w:val="single"/>
                    </w:rPr>
                    <w:t>永州市下河线污水处理厂要加强监督管理，防止异味扰民。</w:t>
                  </w:r>
                </w:p>
              </w:tc>
              <w:tc>
                <w:tcPr>
                  <w:tcW w:w="1331" w:type="pct"/>
                  <w:vAlign w:val="center"/>
                </w:tcPr>
                <w:p>
                  <w:pPr>
                    <w:spacing w:line="240" w:lineRule="auto"/>
                    <w:ind w:firstLine="0" w:firstLineChars="0"/>
                    <w:jc w:val="center"/>
                    <w:rPr>
                      <w:sz w:val="21"/>
                      <w:szCs w:val="21"/>
                      <w:u w:val="single"/>
                    </w:rPr>
                  </w:pPr>
                  <w:r>
                    <w:rPr>
                      <w:rFonts w:hint="eastAsia"/>
                      <w:sz w:val="21"/>
                      <w:szCs w:val="21"/>
                      <w:u w:val="single"/>
                    </w:rPr>
                    <w:t>不涉及</w:t>
                  </w:r>
                </w:p>
              </w:tc>
              <w:tc>
                <w:tcPr>
                  <w:tcW w:w="696" w:type="pct"/>
                  <w:vAlign w:val="center"/>
                </w:tcPr>
                <w:p>
                  <w:pPr>
                    <w:spacing w:line="240" w:lineRule="auto"/>
                    <w:ind w:firstLine="0" w:firstLineChars="0"/>
                    <w:jc w:val="center"/>
                    <w:rPr>
                      <w:sz w:val="21"/>
                      <w:szCs w:val="21"/>
                      <w:u w:val="single"/>
                    </w:rPr>
                  </w:pPr>
                  <w:r>
                    <w:rPr>
                      <w:rFonts w:hint="eastAsia"/>
                      <w:sz w:val="21"/>
                      <w:szCs w:val="21"/>
                      <w:u w:val="singl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restart"/>
                  <w:vAlign w:val="center"/>
                </w:tcPr>
                <w:p>
                  <w:pPr>
                    <w:spacing w:line="240" w:lineRule="auto"/>
                    <w:ind w:firstLine="0" w:firstLineChars="0"/>
                    <w:jc w:val="center"/>
                    <w:rPr>
                      <w:sz w:val="21"/>
                      <w:szCs w:val="21"/>
                      <w:u w:val="single"/>
                    </w:rPr>
                  </w:pPr>
                  <w:r>
                    <w:rPr>
                      <w:rFonts w:hint="eastAsia"/>
                      <w:sz w:val="21"/>
                      <w:szCs w:val="21"/>
                      <w:u w:val="single"/>
                    </w:rPr>
                    <w:t>环境风险防控</w:t>
                  </w:r>
                </w:p>
              </w:tc>
              <w:tc>
                <w:tcPr>
                  <w:tcW w:w="2421" w:type="pct"/>
                  <w:vAlign w:val="center"/>
                </w:tcPr>
                <w:p>
                  <w:pPr>
                    <w:spacing w:line="240" w:lineRule="auto"/>
                    <w:ind w:firstLine="0" w:firstLineChars="0"/>
                    <w:jc w:val="center"/>
                    <w:rPr>
                      <w:sz w:val="21"/>
                      <w:szCs w:val="21"/>
                      <w:u w:val="single"/>
                    </w:rPr>
                  </w:pPr>
                  <w:r>
                    <w:rPr>
                      <w:rFonts w:hint="eastAsia"/>
                      <w:sz w:val="21"/>
                      <w:szCs w:val="21"/>
                      <w:u w:val="single"/>
                    </w:rPr>
                    <w:t>制定和完善饮用水水源地突发环境事件应急预案。落实责任主体，明确预警预报与响应程序、应急处置及保障措施等内容，依法及时公布预警信息。</w:t>
                  </w:r>
                </w:p>
              </w:tc>
              <w:tc>
                <w:tcPr>
                  <w:tcW w:w="1331" w:type="pct"/>
                  <w:vAlign w:val="center"/>
                </w:tcPr>
                <w:p>
                  <w:pPr>
                    <w:spacing w:line="240" w:lineRule="auto"/>
                    <w:ind w:firstLine="0" w:firstLineChars="0"/>
                    <w:jc w:val="center"/>
                    <w:rPr>
                      <w:sz w:val="21"/>
                      <w:szCs w:val="21"/>
                      <w:u w:val="single"/>
                    </w:rPr>
                  </w:pPr>
                  <w:r>
                    <w:rPr>
                      <w:rFonts w:hint="eastAsia"/>
                      <w:sz w:val="21"/>
                      <w:szCs w:val="21"/>
                      <w:u w:val="single"/>
                    </w:rPr>
                    <w:t>不涉及</w:t>
                  </w:r>
                </w:p>
              </w:tc>
              <w:tc>
                <w:tcPr>
                  <w:tcW w:w="696" w:type="pct"/>
                  <w:vAlign w:val="center"/>
                </w:tcPr>
                <w:p>
                  <w:pPr>
                    <w:spacing w:line="240" w:lineRule="auto"/>
                    <w:ind w:firstLine="0" w:firstLineChars="0"/>
                    <w:jc w:val="center"/>
                    <w:rPr>
                      <w:sz w:val="21"/>
                      <w:szCs w:val="21"/>
                      <w:u w:val="single"/>
                    </w:rPr>
                  </w:pPr>
                  <w:r>
                    <w:rPr>
                      <w:rFonts w:hint="eastAsia"/>
                      <w:sz w:val="21"/>
                      <w:szCs w:val="21"/>
                      <w:u w:val="singl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u w:val="single"/>
                    </w:rPr>
                  </w:pPr>
                </w:p>
              </w:tc>
              <w:tc>
                <w:tcPr>
                  <w:tcW w:w="2421" w:type="pct"/>
                  <w:vAlign w:val="center"/>
                </w:tcPr>
                <w:p>
                  <w:pPr>
                    <w:spacing w:line="240" w:lineRule="auto"/>
                    <w:ind w:firstLine="0" w:firstLineChars="0"/>
                    <w:jc w:val="center"/>
                    <w:rPr>
                      <w:sz w:val="21"/>
                      <w:szCs w:val="21"/>
                      <w:u w:val="single"/>
                    </w:rPr>
                  </w:pPr>
                  <w:r>
                    <w:rPr>
                      <w:rFonts w:hint="eastAsia"/>
                      <w:sz w:val="21"/>
                      <w:szCs w:val="21"/>
                      <w:u w:val="single"/>
                    </w:rPr>
                    <w:t>完善重污染天气预警应急体系，加强污染气象条件和空气污染监测、预报预警和评估能力建设，及时发布区域空气质量预报和重污染预警信息，提高重污染天气预警预报的准确度。</w:t>
                  </w:r>
                </w:p>
              </w:tc>
              <w:tc>
                <w:tcPr>
                  <w:tcW w:w="1331" w:type="pct"/>
                  <w:vAlign w:val="center"/>
                </w:tcPr>
                <w:p>
                  <w:pPr>
                    <w:spacing w:line="240" w:lineRule="auto"/>
                    <w:ind w:firstLine="0" w:firstLineChars="0"/>
                    <w:jc w:val="center"/>
                    <w:rPr>
                      <w:sz w:val="21"/>
                      <w:szCs w:val="21"/>
                      <w:u w:val="single"/>
                    </w:rPr>
                  </w:pPr>
                  <w:r>
                    <w:rPr>
                      <w:rFonts w:hint="eastAsia"/>
                      <w:sz w:val="21"/>
                      <w:szCs w:val="21"/>
                      <w:u w:val="single"/>
                    </w:rPr>
                    <w:t>本项目竣工投产后需及时完成重污染天气预警应急预案</w:t>
                  </w:r>
                </w:p>
              </w:tc>
              <w:tc>
                <w:tcPr>
                  <w:tcW w:w="696" w:type="pct"/>
                  <w:vAlign w:val="center"/>
                </w:tcPr>
                <w:p>
                  <w:pPr>
                    <w:spacing w:line="240" w:lineRule="auto"/>
                    <w:ind w:firstLine="0" w:firstLineChars="0"/>
                    <w:jc w:val="center"/>
                    <w:rPr>
                      <w:sz w:val="21"/>
                      <w:szCs w:val="21"/>
                      <w:u w:val="single"/>
                    </w:rPr>
                  </w:pPr>
                  <w:r>
                    <w:rPr>
                      <w:rFonts w:hint="eastAsia"/>
                      <w:sz w:val="21"/>
                      <w:szCs w:val="21"/>
                      <w:u w:val="singl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restart"/>
                  <w:vAlign w:val="center"/>
                </w:tcPr>
                <w:p>
                  <w:pPr>
                    <w:spacing w:line="240" w:lineRule="auto"/>
                    <w:ind w:firstLine="0" w:firstLineChars="0"/>
                    <w:jc w:val="center"/>
                    <w:rPr>
                      <w:sz w:val="21"/>
                      <w:szCs w:val="21"/>
                      <w:u w:val="single"/>
                    </w:rPr>
                  </w:pPr>
                  <w:r>
                    <w:rPr>
                      <w:rFonts w:hint="eastAsia"/>
                      <w:sz w:val="21"/>
                      <w:szCs w:val="21"/>
                      <w:u w:val="single"/>
                    </w:rPr>
                    <w:t>资源开发效率要求</w:t>
                  </w:r>
                </w:p>
              </w:tc>
              <w:tc>
                <w:tcPr>
                  <w:tcW w:w="2421" w:type="pct"/>
                  <w:vAlign w:val="center"/>
                </w:tcPr>
                <w:p>
                  <w:pPr>
                    <w:spacing w:line="240" w:lineRule="auto"/>
                    <w:ind w:firstLine="0" w:firstLineChars="0"/>
                    <w:jc w:val="center"/>
                    <w:rPr>
                      <w:sz w:val="21"/>
                      <w:szCs w:val="21"/>
                      <w:u w:val="single"/>
                    </w:rPr>
                  </w:pPr>
                  <w:r>
                    <w:rPr>
                      <w:rFonts w:hint="eastAsia"/>
                      <w:sz w:val="21"/>
                      <w:szCs w:val="21"/>
                      <w:u w:val="single"/>
                    </w:rPr>
                    <w:t>城区建成区淘汰10 蒸吨及以下燃煤锅炉。鼓励居民户改用清洁能源。</w:t>
                  </w:r>
                </w:p>
              </w:tc>
              <w:tc>
                <w:tcPr>
                  <w:tcW w:w="1331" w:type="pct"/>
                  <w:vAlign w:val="center"/>
                </w:tcPr>
                <w:p>
                  <w:pPr>
                    <w:spacing w:line="240" w:lineRule="auto"/>
                    <w:ind w:firstLine="0" w:firstLineChars="0"/>
                    <w:jc w:val="center"/>
                    <w:rPr>
                      <w:sz w:val="21"/>
                      <w:szCs w:val="21"/>
                      <w:u w:val="single"/>
                    </w:rPr>
                  </w:pPr>
                  <w:r>
                    <w:rPr>
                      <w:rFonts w:hint="eastAsia"/>
                      <w:sz w:val="21"/>
                      <w:szCs w:val="21"/>
                      <w:u w:val="single"/>
                    </w:rPr>
                    <w:t>本项目不使用锅炉</w:t>
                  </w:r>
                </w:p>
              </w:tc>
              <w:tc>
                <w:tcPr>
                  <w:tcW w:w="696" w:type="pct"/>
                  <w:vAlign w:val="center"/>
                </w:tcPr>
                <w:p>
                  <w:pPr>
                    <w:spacing w:line="240" w:lineRule="auto"/>
                    <w:ind w:firstLine="0" w:firstLineChars="0"/>
                    <w:jc w:val="center"/>
                    <w:rPr>
                      <w:sz w:val="21"/>
                      <w:szCs w:val="21"/>
                      <w:u w:val="single"/>
                    </w:rPr>
                  </w:pPr>
                  <w:r>
                    <w:rPr>
                      <w:rFonts w:hint="eastAsia"/>
                      <w:sz w:val="21"/>
                      <w:szCs w:val="21"/>
                      <w:u w:val="singl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552" w:type="pct"/>
                  <w:vMerge w:val="continue"/>
                  <w:vAlign w:val="center"/>
                </w:tcPr>
                <w:p>
                  <w:pPr>
                    <w:spacing w:line="240" w:lineRule="auto"/>
                    <w:ind w:firstLine="0" w:firstLineChars="0"/>
                    <w:jc w:val="center"/>
                    <w:rPr>
                      <w:sz w:val="21"/>
                      <w:szCs w:val="21"/>
                      <w:u w:val="single"/>
                    </w:rPr>
                  </w:pPr>
                </w:p>
              </w:tc>
              <w:tc>
                <w:tcPr>
                  <w:tcW w:w="2421" w:type="pct"/>
                  <w:vAlign w:val="center"/>
                </w:tcPr>
                <w:p>
                  <w:pPr>
                    <w:spacing w:line="240" w:lineRule="auto"/>
                    <w:ind w:firstLine="0" w:firstLineChars="0"/>
                    <w:jc w:val="center"/>
                    <w:rPr>
                      <w:sz w:val="21"/>
                      <w:szCs w:val="21"/>
                      <w:u w:val="single"/>
                    </w:rPr>
                  </w:pPr>
                  <w:r>
                    <w:rPr>
                      <w:rFonts w:hint="eastAsia"/>
                      <w:sz w:val="21"/>
                      <w:szCs w:val="21"/>
                      <w:u w:val="single"/>
                    </w:rPr>
                    <w:t>高污染燃料禁燃区严格执行《永州市人民政府关于调整高污染燃料禁燃区的通告》（永政函〔2020〕30 号）的规定。</w:t>
                  </w:r>
                </w:p>
              </w:tc>
              <w:tc>
                <w:tcPr>
                  <w:tcW w:w="1331" w:type="pct"/>
                  <w:vAlign w:val="center"/>
                </w:tcPr>
                <w:p>
                  <w:pPr>
                    <w:spacing w:line="240" w:lineRule="auto"/>
                    <w:ind w:firstLine="0" w:firstLineChars="0"/>
                    <w:jc w:val="center"/>
                    <w:rPr>
                      <w:sz w:val="21"/>
                      <w:szCs w:val="21"/>
                      <w:u w:val="single"/>
                    </w:rPr>
                  </w:pPr>
                  <w:r>
                    <w:rPr>
                      <w:rFonts w:hint="eastAsia"/>
                      <w:sz w:val="21"/>
                      <w:szCs w:val="21"/>
                      <w:u w:val="single"/>
                    </w:rPr>
                    <w:t>本项目不使用燃料</w:t>
                  </w:r>
                </w:p>
              </w:tc>
              <w:tc>
                <w:tcPr>
                  <w:tcW w:w="696" w:type="pct"/>
                  <w:vAlign w:val="center"/>
                </w:tcPr>
                <w:p>
                  <w:pPr>
                    <w:spacing w:line="240" w:lineRule="auto"/>
                    <w:ind w:firstLine="0" w:firstLineChars="0"/>
                    <w:jc w:val="center"/>
                    <w:rPr>
                      <w:sz w:val="21"/>
                      <w:szCs w:val="21"/>
                      <w:u w:val="single"/>
                    </w:rPr>
                  </w:pPr>
                  <w:r>
                    <w:rPr>
                      <w:rFonts w:hint="eastAsia"/>
                      <w:sz w:val="21"/>
                      <w:szCs w:val="21"/>
                      <w:u w:val="single"/>
                    </w:rPr>
                    <w:t>符合</w:t>
                  </w:r>
                </w:p>
              </w:tc>
            </w:tr>
          </w:tbl>
          <w:p>
            <w:pPr>
              <w:ind w:firstLine="480"/>
              <w:rPr>
                <w:u w:val="single"/>
              </w:rPr>
            </w:pPr>
            <w:r>
              <w:rPr>
                <w:rFonts w:hint="eastAsia"/>
                <w:u w:val="single"/>
              </w:rPr>
              <w:t>根据上表分析，本项目建设符合《永州市环境管控单元生态环境准入清单》中对仁湾街道的生态环境管控要求。</w:t>
            </w:r>
          </w:p>
          <w:p>
            <w:pPr>
              <w:ind w:firstLine="480"/>
              <w:rPr>
                <w:u w:val="single"/>
              </w:rPr>
            </w:pPr>
            <w:r>
              <w:rPr>
                <w:rFonts w:hint="eastAsia"/>
                <w:u w:val="single"/>
              </w:rPr>
              <w:t>4、项目选址合理性分析</w:t>
            </w:r>
          </w:p>
          <w:p>
            <w:pPr>
              <w:ind w:firstLine="480"/>
              <w:rPr>
                <w:u w:val="single"/>
              </w:rPr>
            </w:pPr>
            <w:r>
              <w:rPr>
                <w:rFonts w:hint="eastAsia"/>
                <w:u w:val="single"/>
              </w:rPr>
              <w:t>本项目选址位于永州经济技术开发区仁湾街道东山里村毛立山组，位于永州市经济技术开发区范围内，用地性质一部分已调整为工业用地，根据永州市自然资源和规划局经开区事务中心出具的《证明》可知，项目用地合理。</w:t>
            </w:r>
          </w:p>
          <w:p>
            <w:pPr>
              <w:ind w:firstLine="480"/>
              <w:rPr>
                <w:u w:val="single"/>
              </w:rPr>
            </w:pPr>
            <w:r>
              <w:rPr>
                <w:rFonts w:hint="eastAsia"/>
                <w:u w:val="single"/>
              </w:rPr>
              <w:t>5、项目环境制约因素及解决办法</w:t>
            </w:r>
          </w:p>
          <w:p>
            <w:pPr>
              <w:ind w:firstLine="480"/>
              <w:rPr>
                <w:u w:val="single"/>
              </w:rPr>
            </w:pPr>
            <w:r>
              <w:rPr>
                <w:rFonts w:hint="eastAsia"/>
                <w:u w:val="single"/>
              </w:rPr>
              <w:t>（1）制约因素</w:t>
            </w:r>
          </w:p>
          <w:p>
            <w:pPr>
              <w:ind w:firstLine="480"/>
              <w:rPr>
                <w:u w:val="single"/>
              </w:rPr>
            </w:pPr>
            <w:r>
              <w:rPr>
                <w:rFonts w:hint="eastAsia"/>
                <w:u w:val="single"/>
              </w:rPr>
              <w:t>项目占地涉及耕地（普通耕地），用地性质存在问题。</w:t>
            </w:r>
          </w:p>
          <w:p>
            <w:pPr>
              <w:ind w:firstLine="480"/>
              <w:rPr>
                <w:u w:val="single"/>
              </w:rPr>
            </w:pPr>
            <w:r>
              <w:rPr>
                <w:rFonts w:hint="eastAsia"/>
                <w:u w:val="single"/>
              </w:rPr>
              <w:t>（2）解决办法</w:t>
            </w:r>
          </w:p>
          <w:p>
            <w:pPr>
              <w:ind w:firstLine="480"/>
            </w:pPr>
            <w:r>
              <w:rPr>
                <w:rFonts w:hint="eastAsia"/>
                <w:u w:val="single"/>
              </w:rPr>
              <w:t>根据永州市自然资源和规划局经开区事务中心出具的《证明》可知，本项目实际所用地块于2</w:t>
            </w:r>
            <w:r>
              <w:rPr>
                <w:u w:val="single"/>
              </w:rPr>
              <w:t>021</w:t>
            </w:r>
            <w:r>
              <w:rPr>
                <w:rFonts w:hint="eastAsia"/>
                <w:u w:val="single"/>
              </w:rPr>
              <w:t>年末已调整为工业用地。</w:t>
            </w:r>
          </w:p>
        </w:tc>
      </w:tr>
    </w:tbl>
    <w:p>
      <w:pPr>
        <w:ind w:firstLine="0" w:firstLineChars="0"/>
        <w:jc w:val="center"/>
        <w:sectPr>
          <w:footerReference r:id="rId11" w:type="default"/>
          <w:pgSz w:w="11906" w:h="16838"/>
          <w:pgMar w:top="1440" w:right="1800" w:bottom="1440" w:left="1800" w:header="851" w:footer="992" w:gutter="0"/>
          <w:pgNumType w:start="1"/>
          <w:cols w:space="425" w:num="1"/>
          <w:docGrid w:type="lines" w:linePitch="312" w:charSpace="0"/>
        </w:sectPr>
      </w:pPr>
    </w:p>
    <w:p>
      <w:pPr>
        <w:pStyle w:val="2"/>
      </w:pPr>
      <w:bookmarkStart w:id="5" w:name="_Toc105443175"/>
      <w:r>
        <w:rPr>
          <w:rFonts w:hint="eastAsia"/>
        </w:rPr>
        <w:t>二、建设项目工程分析</w:t>
      </w:r>
      <w:bookmarkEnd w:id="5"/>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86"/>
        <w:gridCol w:w="783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7" w:hRule="atLeast"/>
          <w:jc w:val="center"/>
        </w:trPr>
        <w:tc>
          <w:tcPr>
            <w:tcW w:w="831" w:type="dxa"/>
            <w:vAlign w:val="center"/>
          </w:tcPr>
          <w:p>
            <w:pPr>
              <w:pStyle w:val="24"/>
              <w:adjustRightInd w:val="0"/>
              <w:snapToGrid w:val="0"/>
              <w:spacing w:before="0" w:beforeAutospacing="0" w:after="0" w:afterAutospacing="0"/>
              <w:ind w:firstLine="420"/>
              <w:jc w:val="center"/>
              <w:rPr>
                <w:rFonts w:ascii="Times New Roman" w:hAnsi="Times New Roman"/>
                <w:color w:val="000000"/>
                <w:sz w:val="21"/>
                <w:szCs w:val="21"/>
              </w:rPr>
            </w:pPr>
            <w:r>
              <w:rPr>
                <w:rFonts w:ascii="Times New Roman" w:hAnsi="Times New Roman"/>
                <w:color w:val="000000"/>
                <w:sz w:val="21"/>
                <w:szCs w:val="21"/>
              </w:rPr>
              <w:t>建设内容</w:t>
            </w:r>
          </w:p>
        </w:tc>
        <w:tc>
          <w:tcPr>
            <w:tcW w:w="8296" w:type="dxa"/>
          </w:tcPr>
          <w:p>
            <w:pPr>
              <w:ind w:firstLine="480"/>
              <w:rPr>
                <w:shd w:val="clear" w:color="auto" w:fill="FFFFFF"/>
              </w:rPr>
            </w:pPr>
            <w:r>
              <w:rPr>
                <w:shd w:val="clear" w:color="auto" w:fill="FFFFFF"/>
              </w:rPr>
              <w:t>1、项目由来</w:t>
            </w:r>
          </w:p>
          <w:p>
            <w:pPr>
              <w:ind w:firstLine="480"/>
              <w:rPr>
                <w:color w:val="000000"/>
                <w:u w:val="single"/>
              </w:rPr>
            </w:pPr>
            <w:r>
              <w:rPr>
                <w:rFonts w:hint="eastAsia"/>
                <w:u w:val="single"/>
                <w:shd w:val="clear" w:color="auto" w:fill="FFFFFF"/>
              </w:rPr>
              <w:t>近年来永州地区对合成树脂瓦的需求量越来越多大，为顺应市场需求，永州经开区中建合成树脂瓦厂投资5</w:t>
            </w:r>
            <w:r>
              <w:rPr>
                <w:u w:val="single"/>
                <w:shd w:val="clear" w:color="auto" w:fill="FFFFFF"/>
              </w:rPr>
              <w:t>00</w:t>
            </w:r>
            <w:r>
              <w:rPr>
                <w:rFonts w:hint="eastAsia"/>
                <w:u w:val="single"/>
                <w:shd w:val="clear" w:color="auto" w:fill="FFFFFF"/>
              </w:rPr>
              <w:t>万元在</w:t>
            </w:r>
            <w:r>
              <w:rPr>
                <w:rFonts w:hint="eastAsia"/>
                <w:color w:val="000000"/>
                <w:u w:val="single"/>
              </w:rPr>
              <w:t>永州经济技术开发区仁湾街道东山里村毛立山组建设年产2</w:t>
            </w:r>
            <w:r>
              <w:rPr>
                <w:color w:val="000000"/>
                <w:u w:val="single"/>
              </w:rPr>
              <w:t>6</w:t>
            </w:r>
            <w:r>
              <w:rPr>
                <w:rFonts w:hint="eastAsia"/>
                <w:color w:val="000000"/>
                <w:u w:val="single"/>
              </w:rPr>
              <w:t>万米合成树脂瓦建设项目，项目占地面积</w:t>
            </w:r>
            <w:r>
              <w:rPr>
                <w:color w:val="000000"/>
                <w:u w:val="single"/>
              </w:rPr>
              <w:t>5073</w:t>
            </w:r>
            <w:r>
              <w:rPr>
                <w:rFonts w:hint="eastAsia"/>
                <w:color w:val="000000"/>
                <w:u w:val="single"/>
              </w:rPr>
              <w:t>m</w:t>
            </w:r>
            <w:r>
              <w:rPr>
                <w:color w:val="000000"/>
                <w:u w:val="single"/>
                <w:vertAlign w:val="superscript"/>
              </w:rPr>
              <w:t>2</w:t>
            </w:r>
            <w:r>
              <w:rPr>
                <w:rFonts w:hint="eastAsia"/>
                <w:color w:val="000000"/>
                <w:u w:val="single"/>
              </w:rPr>
              <w:t>，设置1条新型合成树脂瓦生产线。</w:t>
            </w:r>
          </w:p>
          <w:p>
            <w:pPr>
              <w:ind w:firstLine="480"/>
              <w:rPr>
                <w:u w:val="single"/>
                <w:shd w:val="clear" w:color="auto" w:fill="FFFFFF"/>
              </w:rPr>
            </w:pPr>
            <w:r>
              <w:rPr>
                <w:rFonts w:hint="eastAsia"/>
                <w:u w:val="single"/>
                <w:shd w:val="clear" w:color="auto" w:fill="FFFFFF"/>
              </w:rPr>
              <w:t>项目主体工程于2</w:t>
            </w:r>
            <w:r>
              <w:rPr>
                <w:u w:val="single"/>
                <w:shd w:val="clear" w:color="auto" w:fill="FFFFFF"/>
              </w:rPr>
              <w:t>019</w:t>
            </w:r>
            <w:r>
              <w:rPr>
                <w:rFonts w:hint="eastAsia"/>
                <w:u w:val="single"/>
                <w:shd w:val="clear" w:color="auto" w:fill="FFFFFF"/>
              </w:rPr>
              <w:t>年1</w:t>
            </w:r>
            <w:r>
              <w:rPr>
                <w:u w:val="single"/>
                <w:shd w:val="clear" w:color="auto" w:fill="FFFFFF"/>
              </w:rPr>
              <w:t>1</w:t>
            </w:r>
            <w:r>
              <w:rPr>
                <w:rFonts w:hint="eastAsia"/>
                <w:u w:val="single"/>
                <w:shd w:val="clear" w:color="auto" w:fill="FFFFFF"/>
              </w:rPr>
              <w:t>月建成，但由于未办理环境保护手续及用地手续问题，一致未投入使用，目前根据相关法律法规要求，补充办理环境影响评价手续，由于项目“未批先建”违法行为已经超过2年追责期，因此无需进行处罚，重新报批环境影响报告即可。</w:t>
            </w:r>
          </w:p>
          <w:p>
            <w:pPr>
              <w:ind w:firstLine="480"/>
            </w:pPr>
            <w:r>
              <w:t>根据《中华人民共和国环境保护法》、《中华人民共和国环境影响评价法》和《建设项目环境保护管理条例》、《建设项目环境影响评价分类管理名录》等法律法规要求，本项目需进行环境影响评价，</w:t>
            </w:r>
            <w:r>
              <w:rPr>
                <w:rFonts w:hint="eastAsia"/>
              </w:rPr>
              <w:t>本项目属于</w:t>
            </w:r>
            <w:r>
              <w:t>《建设项目环境影响评价分类管理名录》</w:t>
            </w:r>
            <w:r>
              <w:rPr>
                <w:rFonts w:hint="eastAsia"/>
              </w:rPr>
              <w:t>中“二十六2</w:t>
            </w:r>
            <w:r>
              <w:t>9</w:t>
            </w:r>
            <w:r>
              <w:rPr>
                <w:rFonts w:hint="eastAsia"/>
              </w:rPr>
              <w:t>-</w:t>
            </w:r>
            <w:r>
              <w:t>53</w:t>
            </w:r>
            <w:r>
              <w:rPr>
                <w:rFonts w:hint="eastAsia"/>
              </w:rPr>
              <w:t>、塑料制品业</w:t>
            </w:r>
            <w:r>
              <w:t>292-</w:t>
            </w:r>
            <w:r>
              <w:rPr>
                <w:rFonts w:hint="eastAsia"/>
              </w:rPr>
              <w:t>其他”，需要</w:t>
            </w:r>
            <w:r>
              <w:t>编制环境影响报告表。</w:t>
            </w:r>
            <w:r>
              <w:rPr>
                <w:rFonts w:hint="eastAsia"/>
              </w:rPr>
              <w:t>2</w:t>
            </w:r>
            <w:r>
              <w:t>021</w:t>
            </w:r>
            <w:r>
              <w:rPr>
                <w:rFonts w:hint="eastAsia"/>
              </w:rPr>
              <w:t>年</w:t>
            </w:r>
            <w:r>
              <w:t>12</w:t>
            </w:r>
            <w:r>
              <w:rPr>
                <w:rFonts w:hint="eastAsia"/>
              </w:rPr>
              <w:t>月</w:t>
            </w:r>
            <w:r>
              <w:rPr>
                <w:rFonts w:hint="eastAsia"/>
                <w:color w:val="000000"/>
              </w:rPr>
              <w:t>永州经开区中建合成树脂瓦厂委托湖南绿清源环保科技有限公司（以下简称“我公司”）承担《永州经开区中建合成树脂瓦厂年产2</w:t>
            </w:r>
            <w:r>
              <w:rPr>
                <w:color w:val="000000"/>
              </w:rPr>
              <w:t>6</w:t>
            </w:r>
            <w:r>
              <w:rPr>
                <w:rFonts w:hint="eastAsia"/>
                <w:color w:val="000000"/>
              </w:rPr>
              <w:t>万米合成树脂瓦建设项目环境影响报告表》的编制工作。</w:t>
            </w:r>
          </w:p>
          <w:p>
            <w:pPr>
              <w:ind w:firstLine="482"/>
              <w:rPr>
                <w:b/>
                <w:bCs/>
                <w:color w:val="000000"/>
              </w:rPr>
            </w:pPr>
            <w:r>
              <w:rPr>
                <w:b/>
                <w:bCs/>
                <w:color w:val="000000"/>
              </w:rPr>
              <w:t>2、建设内容</w:t>
            </w:r>
          </w:p>
          <w:p>
            <w:pPr>
              <w:pStyle w:val="64"/>
              <w:ind w:firstLine="480"/>
              <w:rPr>
                <w:rFonts w:hint="default" w:ascii="Times New Roman" w:hAnsi="Times New Roman"/>
              </w:rPr>
            </w:pPr>
            <w:r>
              <w:rPr>
                <w:rFonts w:hint="default" w:ascii="Times New Roman" w:hAnsi="Times New Roman"/>
              </w:rPr>
              <w:t>本项目位于</w:t>
            </w:r>
            <w:r>
              <w:t>永州经济技术开发区仁湾街道东山里村毛立山组</w:t>
            </w:r>
            <w:r>
              <w:rPr>
                <w:rFonts w:hint="default" w:ascii="Times New Roman" w:hAnsi="Times New Roman"/>
              </w:rPr>
              <w:t>，</w:t>
            </w:r>
            <w:r>
              <w:rPr>
                <w:rFonts w:ascii="Times New Roman" w:hAnsi="Times New Roman"/>
              </w:rPr>
              <w:t>项目</w:t>
            </w:r>
            <w:r>
              <w:rPr>
                <w:rFonts w:hint="default" w:ascii="Times New Roman" w:hAnsi="Times New Roman"/>
              </w:rPr>
              <w:t>总占地面积5073m</w:t>
            </w:r>
            <w:r>
              <w:rPr>
                <w:rFonts w:hint="default" w:ascii="Times New Roman" w:hAnsi="Times New Roman"/>
                <w:vertAlign w:val="superscript"/>
              </w:rPr>
              <w:t>2</w:t>
            </w:r>
            <w:r>
              <w:rPr>
                <w:rFonts w:ascii="Times New Roman" w:hAnsi="Times New Roman"/>
              </w:rPr>
              <w:t>，主要建设生产车间（包括原料混合车间、挤出车间、压饰车间、后处理车间）厂房1</w:t>
            </w:r>
            <w:r>
              <w:rPr>
                <w:rFonts w:hint="default" w:ascii="Times New Roman" w:hAnsi="Times New Roman"/>
              </w:rPr>
              <w:t>700</w:t>
            </w:r>
            <w:r>
              <w:rPr>
                <w:rFonts w:ascii="Times New Roman" w:hAnsi="Times New Roman"/>
              </w:rPr>
              <w:t>m</w:t>
            </w:r>
            <w:r>
              <w:rPr>
                <w:rFonts w:hint="default" w:ascii="Times New Roman" w:hAnsi="Times New Roman"/>
                <w:vertAlign w:val="superscript"/>
              </w:rPr>
              <w:t>2</w:t>
            </w:r>
            <w:r>
              <w:rPr>
                <w:rFonts w:ascii="Times New Roman" w:hAnsi="Times New Roman"/>
              </w:rPr>
              <w:t>、仓库4</w:t>
            </w:r>
            <w:r>
              <w:rPr>
                <w:rFonts w:hint="default" w:ascii="Times New Roman" w:hAnsi="Times New Roman"/>
              </w:rPr>
              <w:t>00</w:t>
            </w:r>
            <w:r>
              <w:rPr>
                <w:rFonts w:ascii="Times New Roman" w:hAnsi="Times New Roman"/>
              </w:rPr>
              <w:t>m</w:t>
            </w:r>
            <w:r>
              <w:rPr>
                <w:rFonts w:hint="default" w:ascii="Times New Roman" w:hAnsi="Times New Roman"/>
                <w:vertAlign w:val="superscript"/>
              </w:rPr>
              <w:t>2</w:t>
            </w:r>
            <w:r>
              <w:rPr>
                <w:rFonts w:ascii="Times New Roman" w:hAnsi="Times New Roman"/>
              </w:rPr>
              <w:t>、办公用房2</w:t>
            </w:r>
            <w:r>
              <w:rPr>
                <w:rFonts w:hint="default" w:ascii="Times New Roman" w:hAnsi="Times New Roman"/>
              </w:rPr>
              <w:t>00</w:t>
            </w:r>
            <w:r>
              <w:rPr>
                <w:rFonts w:ascii="Times New Roman" w:hAnsi="Times New Roman"/>
              </w:rPr>
              <w:t>m</w:t>
            </w:r>
            <w:r>
              <w:rPr>
                <w:rFonts w:hint="default" w:ascii="Times New Roman" w:hAnsi="Times New Roman"/>
                <w:vertAlign w:val="superscript"/>
              </w:rPr>
              <w:t>2</w:t>
            </w:r>
            <w:r>
              <w:rPr>
                <w:rFonts w:ascii="Times New Roman" w:hAnsi="Times New Roman"/>
              </w:rPr>
              <w:t>，并购置新型合成树脂瓦生产线设备一条</w:t>
            </w:r>
            <w:r>
              <w:rPr>
                <w:rFonts w:hint="default" w:ascii="Times New Roman" w:hAnsi="Times New Roman"/>
              </w:rPr>
              <w:t>。</w:t>
            </w:r>
          </w:p>
          <w:p>
            <w:pPr>
              <w:ind w:firstLine="482"/>
              <w:jc w:val="center"/>
              <w:rPr>
                <w:b/>
                <w:bCs/>
                <w:color w:val="000000"/>
                <w:szCs w:val="21"/>
              </w:rPr>
            </w:pPr>
            <w:r>
              <w:rPr>
                <w:b/>
                <w:bCs/>
                <w:color w:val="000000"/>
                <w:szCs w:val="21"/>
              </w:rPr>
              <w:t>表2-1 项目主要组成一览表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1"/>
              <w:gridCol w:w="490"/>
              <w:gridCol w:w="1280"/>
              <w:gridCol w:w="50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487" w:type="pct"/>
                  <w:vAlign w:val="center"/>
                </w:tcPr>
                <w:p>
                  <w:pPr>
                    <w:pStyle w:val="50"/>
                  </w:pPr>
                  <w:r>
                    <w:t>类别</w:t>
                  </w:r>
                </w:p>
              </w:tc>
              <w:tc>
                <w:tcPr>
                  <w:tcW w:w="1163" w:type="pct"/>
                  <w:gridSpan w:val="2"/>
                  <w:vAlign w:val="center"/>
                </w:tcPr>
                <w:p>
                  <w:pPr>
                    <w:pStyle w:val="50"/>
                  </w:pPr>
                  <w:r>
                    <w:t>项目名称</w:t>
                  </w:r>
                </w:p>
              </w:tc>
              <w:tc>
                <w:tcPr>
                  <w:tcW w:w="3350" w:type="pct"/>
                  <w:vAlign w:val="center"/>
                </w:tcPr>
                <w:p>
                  <w:pPr>
                    <w:pStyle w:val="50"/>
                  </w:pPr>
                  <w:r>
                    <w:t>项目内容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487" w:type="pct"/>
                  <w:vMerge w:val="restart"/>
                  <w:vAlign w:val="center"/>
                </w:tcPr>
                <w:p>
                  <w:pPr>
                    <w:pStyle w:val="50"/>
                  </w:pPr>
                  <w:r>
                    <w:rPr>
                      <w:rFonts w:hint="eastAsia"/>
                    </w:rPr>
                    <w:t>主体工程</w:t>
                  </w:r>
                </w:p>
              </w:tc>
              <w:tc>
                <w:tcPr>
                  <w:tcW w:w="1163" w:type="pct"/>
                  <w:gridSpan w:val="2"/>
                  <w:vAlign w:val="center"/>
                </w:tcPr>
                <w:p>
                  <w:pPr>
                    <w:pStyle w:val="50"/>
                  </w:pPr>
                  <w:r>
                    <w:rPr>
                      <w:rFonts w:hint="eastAsia"/>
                    </w:rPr>
                    <w:t>1</w:t>
                  </w:r>
                  <w:r>
                    <w:t>#</w:t>
                  </w:r>
                  <w:r>
                    <w:rPr>
                      <w:rFonts w:hint="eastAsia"/>
                    </w:rPr>
                    <w:t>生产车间</w:t>
                  </w:r>
                </w:p>
              </w:tc>
              <w:tc>
                <w:tcPr>
                  <w:tcW w:w="3350" w:type="pct"/>
                  <w:vAlign w:val="center"/>
                </w:tcPr>
                <w:p>
                  <w:pPr>
                    <w:pStyle w:val="50"/>
                  </w:pPr>
                  <w:r>
                    <w:rPr>
                      <w:rFonts w:hint="eastAsia"/>
                    </w:rPr>
                    <w:t>占地面积</w:t>
                  </w:r>
                  <w:r>
                    <w:t>1000</w:t>
                  </w:r>
                  <w:r>
                    <w:rPr>
                      <w:rFonts w:hint="eastAsia"/>
                    </w:rPr>
                    <w:t>m</w:t>
                  </w:r>
                  <w:r>
                    <w:rPr>
                      <w:vertAlign w:val="superscript"/>
                    </w:rPr>
                    <w:t>2</w:t>
                  </w:r>
                  <w:r>
                    <w:rPr>
                      <w:rFonts w:hint="eastAsia"/>
                    </w:rPr>
                    <w:t>，布设树脂瓦挤出生产线一条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487" w:type="pct"/>
                  <w:vMerge w:val="continue"/>
                  <w:vAlign w:val="center"/>
                </w:tcPr>
                <w:p>
                  <w:pPr>
                    <w:pStyle w:val="50"/>
                  </w:pPr>
                </w:p>
              </w:tc>
              <w:tc>
                <w:tcPr>
                  <w:tcW w:w="1163" w:type="pct"/>
                  <w:gridSpan w:val="2"/>
                  <w:vAlign w:val="center"/>
                </w:tcPr>
                <w:p>
                  <w:pPr>
                    <w:pStyle w:val="50"/>
                  </w:pPr>
                  <w:r>
                    <w:rPr>
                      <w:rFonts w:hint="eastAsia"/>
                    </w:rPr>
                    <w:t>2#生产车间</w:t>
                  </w:r>
                </w:p>
              </w:tc>
              <w:tc>
                <w:tcPr>
                  <w:tcW w:w="3350" w:type="pct"/>
                  <w:vAlign w:val="center"/>
                </w:tcPr>
                <w:p>
                  <w:pPr>
                    <w:pStyle w:val="50"/>
                  </w:pPr>
                  <w:r>
                    <w:rPr>
                      <w:rFonts w:hint="eastAsia"/>
                    </w:rPr>
                    <w:t>占地面积8</w:t>
                  </w:r>
                  <w:r>
                    <w:t>00</w:t>
                  </w:r>
                  <w:r>
                    <w:rPr>
                      <w:rFonts w:hint="eastAsia"/>
                    </w:rPr>
                    <w:t>m</w:t>
                  </w:r>
                  <w:r>
                    <w:rPr>
                      <w:vertAlign w:val="superscript"/>
                    </w:rPr>
                    <w:t>2</w:t>
                  </w:r>
                  <w:r>
                    <w:rPr>
                      <w:rFonts w:hint="eastAsia"/>
                    </w:rPr>
                    <w:t>，布设废弃树脂破碎粉末线一条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487" w:type="pct"/>
                  <w:vAlign w:val="center"/>
                </w:tcPr>
                <w:p>
                  <w:pPr>
                    <w:pStyle w:val="50"/>
                  </w:pPr>
                  <w:r>
                    <w:rPr>
                      <w:rFonts w:hint="eastAsia"/>
                    </w:rPr>
                    <w:t>辅助工程</w:t>
                  </w:r>
                </w:p>
              </w:tc>
              <w:tc>
                <w:tcPr>
                  <w:tcW w:w="1163" w:type="pct"/>
                  <w:gridSpan w:val="2"/>
                  <w:vAlign w:val="center"/>
                </w:tcPr>
                <w:p>
                  <w:pPr>
                    <w:pStyle w:val="50"/>
                  </w:pPr>
                  <w:r>
                    <w:rPr>
                      <w:rFonts w:hint="eastAsia"/>
                    </w:rPr>
                    <w:t>办公用房</w:t>
                  </w:r>
                </w:p>
              </w:tc>
              <w:tc>
                <w:tcPr>
                  <w:tcW w:w="3350" w:type="pct"/>
                  <w:vAlign w:val="center"/>
                </w:tcPr>
                <w:p>
                  <w:pPr>
                    <w:pStyle w:val="50"/>
                  </w:pPr>
                  <w:r>
                    <w:rPr>
                      <w:rFonts w:hint="eastAsia"/>
                    </w:rPr>
                    <w:t>位于2</w:t>
                  </w:r>
                  <w:r>
                    <w:t>#</w:t>
                  </w:r>
                  <w:r>
                    <w:rPr>
                      <w:rFonts w:hint="eastAsia"/>
                    </w:rPr>
                    <w:t>生产车间南侧，2F，占地面积2</w:t>
                  </w:r>
                  <w:r>
                    <w:t>00</w:t>
                  </w:r>
                  <w:r>
                    <w:rPr>
                      <w:rFonts w:hint="eastAsia"/>
                    </w:rPr>
                    <w:t>m</w:t>
                  </w:r>
                  <w:r>
                    <w:rPr>
                      <w:vertAlign w:val="superscript"/>
                    </w:rPr>
                    <w:t>2</w:t>
                  </w:r>
                  <w:r>
                    <w:rPr>
                      <w:rFonts w:hint="eastAsia"/>
                    </w:rPr>
                    <w:t>，建筑面积4</w:t>
                  </w:r>
                  <w:r>
                    <w:t>00</w:t>
                  </w:r>
                  <w:r>
                    <w:rPr>
                      <w:rFonts w:hint="eastAsia"/>
                    </w:rPr>
                    <w:t>m</w:t>
                  </w:r>
                  <w:r>
                    <w:rPr>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7" w:type="pct"/>
                  <w:vAlign w:val="center"/>
                </w:tcPr>
                <w:p>
                  <w:pPr>
                    <w:pStyle w:val="50"/>
                  </w:pPr>
                  <w:r>
                    <w:t>储运工程</w:t>
                  </w:r>
                </w:p>
              </w:tc>
              <w:tc>
                <w:tcPr>
                  <w:tcW w:w="1163" w:type="pct"/>
                  <w:gridSpan w:val="2"/>
                  <w:vAlign w:val="center"/>
                </w:tcPr>
                <w:p>
                  <w:pPr>
                    <w:pStyle w:val="50"/>
                  </w:pPr>
                  <w:r>
                    <w:rPr>
                      <w:rFonts w:hint="eastAsia"/>
                    </w:rPr>
                    <w:t>仓库</w:t>
                  </w:r>
                </w:p>
              </w:tc>
              <w:tc>
                <w:tcPr>
                  <w:tcW w:w="3350" w:type="pct"/>
                  <w:vAlign w:val="center"/>
                </w:tcPr>
                <w:p>
                  <w:pPr>
                    <w:pStyle w:val="50"/>
                  </w:pPr>
                  <w:r>
                    <w:rPr>
                      <w:rFonts w:hint="eastAsia"/>
                    </w:rPr>
                    <w:t>占地面积4</w:t>
                  </w:r>
                  <w:r>
                    <w:t>00</w:t>
                  </w:r>
                  <w:r>
                    <w:rPr>
                      <w:rFonts w:hint="eastAsia"/>
                    </w:rPr>
                    <w:t>m</w:t>
                  </w:r>
                  <w:r>
                    <w:rPr>
                      <w:vertAlign w:val="superscript"/>
                    </w:rPr>
                    <w:t>2</w:t>
                  </w:r>
                  <w:r>
                    <w:rPr>
                      <w:rFonts w:hint="eastAsia"/>
                    </w:rPr>
                    <w:t>，位于办公用房南侧，1F，主要贮存原料、产品及其他杂物；内设危废暂存间5m</w:t>
                  </w:r>
                  <w:r>
                    <w:rPr>
                      <w:vertAlign w:val="superscript"/>
                    </w:rPr>
                    <w:t>2</w:t>
                  </w:r>
                  <w:r>
                    <w:rPr>
                      <w:rFonts w:hint="eastAsia"/>
                    </w:rPr>
                    <w:t>，一般固废暂存间1</w:t>
                  </w:r>
                  <w:r>
                    <w:t>0</w:t>
                  </w:r>
                  <w:r>
                    <w:rPr>
                      <w:rFonts w:hint="eastAsia"/>
                    </w:rPr>
                    <w:t>m</w:t>
                  </w:r>
                  <w:r>
                    <w:rPr>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7" w:type="pct"/>
                  <w:vMerge w:val="restart"/>
                  <w:vAlign w:val="center"/>
                </w:tcPr>
                <w:p>
                  <w:pPr>
                    <w:pStyle w:val="50"/>
                  </w:pPr>
                  <w:r>
                    <w:t>公用工程</w:t>
                  </w:r>
                </w:p>
              </w:tc>
              <w:tc>
                <w:tcPr>
                  <w:tcW w:w="1163" w:type="pct"/>
                  <w:gridSpan w:val="2"/>
                  <w:vAlign w:val="center"/>
                </w:tcPr>
                <w:p>
                  <w:pPr>
                    <w:pStyle w:val="50"/>
                  </w:pPr>
                  <w:r>
                    <w:t>供水</w:t>
                  </w:r>
                </w:p>
              </w:tc>
              <w:tc>
                <w:tcPr>
                  <w:tcW w:w="3350" w:type="pct"/>
                  <w:vAlign w:val="center"/>
                </w:tcPr>
                <w:p>
                  <w:pPr>
                    <w:pStyle w:val="50"/>
                  </w:pPr>
                  <w:r>
                    <w:rPr>
                      <w:rFonts w:hint="eastAsia"/>
                    </w:rPr>
                    <w:t>依托永州经开区自来水管网供水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7" w:type="pct"/>
                  <w:vMerge w:val="continue"/>
                  <w:vAlign w:val="center"/>
                </w:tcPr>
                <w:p>
                  <w:pPr>
                    <w:pStyle w:val="50"/>
                  </w:pPr>
                </w:p>
              </w:tc>
              <w:tc>
                <w:tcPr>
                  <w:tcW w:w="1163" w:type="pct"/>
                  <w:gridSpan w:val="2"/>
                  <w:vAlign w:val="center"/>
                </w:tcPr>
                <w:p>
                  <w:pPr>
                    <w:pStyle w:val="50"/>
                  </w:pPr>
                  <w:r>
                    <w:t>供电</w:t>
                  </w:r>
                </w:p>
              </w:tc>
              <w:tc>
                <w:tcPr>
                  <w:tcW w:w="3350" w:type="pct"/>
                  <w:vAlign w:val="center"/>
                </w:tcPr>
                <w:p>
                  <w:pPr>
                    <w:pStyle w:val="50"/>
                  </w:pPr>
                  <w:r>
                    <w:rPr>
                      <w:rFonts w:hint="eastAsia"/>
                    </w:rPr>
                    <w:t>依托市政电网供电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7" w:type="pct"/>
                  <w:vMerge w:val="restart"/>
                  <w:vAlign w:val="center"/>
                </w:tcPr>
                <w:p>
                  <w:pPr>
                    <w:pStyle w:val="50"/>
                  </w:pPr>
                  <w:r>
                    <w:t>环保设施</w:t>
                  </w:r>
                </w:p>
              </w:tc>
              <w:tc>
                <w:tcPr>
                  <w:tcW w:w="322" w:type="pct"/>
                  <w:vMerge w:val="restart"/>
                  <w:vAlign w:val="center"/>
                </w:tcPr>
                <w:p>
                  <w:pPr>
                    <w:pStyle w:val="50"/>
                  </w:pPr>
                  <w:r>
                    <w:t>废水</w:t>
                  </w:r>
                </w:p>
              </w:tc>
              <w:tc>
                <w:tcPr>
                  <w:tcW w:w="841" w:type="pct"/>
                  <w:vAlign w:val="center"/>
                </w:tcPr>
                <w:p>
                  <w:pPr>
                    <w:pStyle w:val="50"/>
                  </w:pPr>
                  <w:r>
                    <w:t>生活</w:t>
                  </w:r>
                </w:p>
                <w:p>
                  <w:pPr>
                    <w:pStyle w:val="50"/>
                  </w:pPr>
                  <w:r>
                    <w:t>污水</w:t>
                  </w:r>
                </w:p>
              </w:tc>
              <w:tc>
                <w:tcPr>
                  <w:tcW w:w="3350" w:type="pct"/>
                  <w:vAlign w:val="center"/>
                </w:tcPr>
                <w:p>
                  <w:pPr>
                    <w:pStyle w:val="50"/>
                  </w:pPr>
                  <w:r>
                    <w:rPr>
                      <w:rFonts w:hint="eastAsia"/>
                    </w:rPr>
                    <w:t>建设化粪池（3m</w:t>
                  </w:r>
                  <w:r>
                    <w:rPr>
                      <w:vertAlign w:val="superscript"/>
                    </w:rPr>
                    <w:t>3</w:t>
                  </w:r>
                  <w:r>
                    <w:rPr>
                      <w:rFonts w:hint="eastAsia"/>
                    </w:rPr>
                    <w:t>）处理生活污水，生活污水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7" w:type="pct"/>
                  <w:vMerge w:val="continue"/>
                  <w:vAlign w:val="center"/>
                </w:tcPr>
                <w:p>
                  <w:pPr>
                    <w:pStyle w:val="50"/>
                  </w:pPr>
                </w:p>
              </w:tc>
              <w:tc>
                <w:tcPr>
                  <w:tcW w:w="322" w:type="pct"/>
                  <w:vMerge w:val="continue"/>
                  <w:vAlign w:val="center"/>
                </w:tcPr>
                <w:p>
                  <w:pPr>
                    <w:pStyle w:val="50"/>
                  </w:pPr>
                </w:p>
              </w:tc>
              <w:tc>
                <w:tcPr>
                  <w:tcW w:w="841" w:type="pct"/>
                  <w:vAlign w:val="center"/>
                </w:tcPr>
                <w:p>
                  <w:pPr>
                    <w:pStyle w:val="50"/>
                  </w:pPr>
                  <w:r>
                    <w:t>生产</w:t>
                  </w:r>
                </w:p>
                <w:p>
                  <w:pPr>
                    <w:pStyle w:val="50"/>
                  </w:pPr>
                  <w:r>
                    <w:t>废水</w:t>
                  </w:r>
                </w:p>
              </w:tc>
              <w:tc>
                <w:tcPr>
                  <w:tcW w:w="3350" w:type="pct"/>
                  <w:vAlign w:val="center"/>
                </w:tcPr>
                <w:p>
                  <w:pPr>
                    <w:pStyle w:val="50"/>
                  </w:pPr>
                  <w:r>
                    <w:rPr>
                      <w:rFonts w:hint="eastAsia"/>
                    </w:rPr>
                    <w:t>项目生产不用水，不会产生生产废水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7" w:type="pct"/>
                  <w:vMerge w:val="continue"/>
                  <w:vAlign w:val="center"/>
                </w:tcPr>
                <w:p>
                  <w:pPr>
                    <w:pStyle w:val="50"/>
                  </w:pPr>
                </w:p>
              </w:tc>
              <w:tc>
                <w:tcPr>
                  <w:tcW w:w="322" w:type="pct"/>
                  <w:vMerge w:val="continue"/>
                  <w:vAlign w:val="center"/>
                </w:tcPr>
                <w:p>
                  <w:pPr>
                    <w:pStyle w:val="50"/>
                  </w:pPr>
                </w:p>
              </w:tc>
              <w:tc>
                <w:tcPr>
                  <w:tcW w:w="841" w:type="pct"/>
                  <w:vAlign w:val="center"/>
                </w:tcPr>
                <w:p>
                  <w:pPr>
                    <w:pStyle w:val="50"/>
                  </w:pPr>
                  <w:r>
                    <w:t>初期</w:t>
                  </w:r>
                </w:p>
                <w:p>
                  <w:pPr>
                    <w:pStyle w:val="50"/>
                  </w:pPr>
                  <w:r>
                    <w:t>雨水</w:t>
                  </w:r>
                </w:p>
              </w:tc>
              <w:tc>
                <w:tcPr>
                  <w:tcW w:w="3350" w:type="pct"/>
                  <w:vAlign w:val="center"/>
                </w:tcPr>
                <w:p>
                  <w:pPr>
                    <w:pStyle w:val="50"/>
                  </w:pPr>
                  <w:r>
                    <w:rPr>
                      <w:rFonts w:hint="eastAsia"/>
                    </w:rPr>
                    <w:t>厂区西南侧设置初期雨水池</w:t>
                  </w:r>
                  <w:r>
                    <w:t>200</w:t>
                  </w:r>
                  <w:r>
                    <w:rPr>
                      <w:rFonts w:hint="eastAsia"/>
                    </w:rPr>
                    <w:t>m</w:t>
                  </w:r>
                  <w:r>
                    <w:rPr>
                      <w:vertAlign w:val="superscript"/>
                    </w:rPr>
                    <w:t>3</w:t>
                  </w:r>
                  <w:r>
                    <w:rPr>
                      <w:rFonts w:hint="eastAsia"/>
                    </w:rPr>
                    <w:t>，初期雨水排入初期雨水池，经沉淀后上清液排入周边沟渠；后期雨水直接排入周边沟渠，最终进入湘江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7" w:type="pct"/>
                  <w:vMerge w:val="continue"/>
                  <w:vAlign w:val="center"/>
                </w:tcPr>
                <w:p>
                  <w:pPr>
                    <w:pStyle w:val="50"/>
                  </w:pPr>
                </w:p>
              </w:tc>
              <w:tc>
                <w:tcPr>
                  <w:tcW w:w="322" w:type="pct"/>
                  <w:vMerge w:val="restart"/>
                  <w:vAlign w:val="center"/>
                </w:tcPr>
                <w:p>
                  <w:pPr>
                    <w:pStyle w:val="50"/>
                  </w:pPr>
                  <w:r>
                    <w:t>废气</w:t>
                  </w:r>
                </w:p>
              </w:tc>
              <w:tc>
                <w:tcPr>
                  <w:tcW w:w="841" w:type="pct"/>
                  <w:vAlign w:val="center"/>
                </w:tcPr>
                <w:p>
                  <w:pPr>
                    <w:pStyle w:val="50"/>
                  </w:pPr>
                  <w:r>
                    <w:rPr>
                      <w:rFonts w:hint="eastAsia"/>
                    </w:rPr>
                    <w:t>破碎、粉磨颗粒物</w:t>
                  </w:r>
                </w:p>
              </w:tc>
              <w:tc>
                <w:tcPr>
                  <w:tcW w:w="3350" w:type="pct"/>
                  <w:vAlign w:val="center"/>
                </w:tcPr>
                <w:p>
                  <w:pPr>
                    <w:pStyle w:val="50"/>
                  </w:pPr>
                  <w:r>
                    <w:rPr>
                      <w:rFonts w:hint="eastAsia"/>
                    </w:rPr>
                    <w:t>设置集气罩收集，并采用袋式除尘器处理后在车间内无组织排放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7" w:type="pct"/>
                  <w:vMerge w:val="continue"/>
                  <w:vAlign w:val="center"/>
                </w:tcPr>
                <w:p>
                  <w:pPr>
                    <w:pStyle w:val="50"/>
                  </w:pPr>
                </w:p>
              </w:tc>
              <w:tc>
                <w:tcPr>
                  <w:tcW w:w="322" w:type="pct"/>
                  <w:vMerge w:val="continue"/>
                  <w:vAlign w:val="center"/>
                </w:tcPr>
                <w:p>
                  <w:pPr>
                    <w:pStyle w:val="50"/>
                  </w:pPr>
                </w:p>
              </w:tc>
              <w:tc>
                <w:tcPr>
                  <w:tcW w:w="841" w:type="pct"/>
                  <w:vAlign w:val="center"/>
                </w:tcPr>
                <w:p>
                  <w:pPr>
                    <w:pStyle w:val="50"/>
                  </w:pPr>
                  <w:r>
                    <w:rPr>
                      <w:rFonts w:hint="eastAsia"/>
                    </w:rPr>
                    <w:t>挤塑废气</w:t>
                  </w:r>
                </w:p>
              </w:tc>
              <w:tc>
                <w:tcPr>
                  <w:tcW w:w="3350" w:type="pct"/>
                  <w:vAlign w:val="center"/>
                </w:tcPr>
                <w:p>
                  <w:pPr>
                    <w:pStyle w:val="50"/>
                  </w:pPr>
                  <w:r>
                    <w:rPr>
                      <w:rFonts w:hint="eastAsia"/>
                    </w:rPr>
                    <w:t>通过集气罩收集后采用活性炭吸附处理，处理后通过1</w:t>
                  </w:r>
                  <w:r>
                    <w:t>5</w:t>
                  </w:r>
                  <w:r>
                    <w:rPr>
                      <w:rFonts w:hint="eastAsia"/>
                    </w:rPr>
                    <w:t>m排气筒排放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7" w:type="pct"/>
                  <w:vMerge w:val="continue"/>
                  <w:vAlign w:val="center"/>
                </w:tcPr>
                <w:p>
                  <w:pPr>
                    <w:pStyle w:val="50"/>
                  </w:pPr>
                </w:p>
              </w:tc>
              <w:tc>
                <w:tcPr>
                  <w:tcW w:w="1163" w:type="pct"/>
                  <w:gridSpan w:val="2"/>
                  <w:vAlign w:val="center"/>
                </w:tcPr>
                <w:p>
                  <w:pPr>
                    <w:pStyle w:val="50"/>
                  </w:pPr>
                  <w:r>
                    <w:t>噪声</w:t>
                  </w:r>
                </w:p>
              </w:tc>
              <w:tc>
                <w:tcPr>
                  <w:tcW w:w="3350" w:type="pct"/>
                  <w:vAlign w:val="center"/>
                </w:tcPr>
                <w:p>
                  <w:pPr>
                    <w:pStyle w:val="50"/>
                  </w:pPr>
                  <w:r>
                    <w:t>选用低噪声设备，采取基础减震、距离衰减等措施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7" w:type="pct"/>
                  <w:vMerge w:val="continue"/>
                  <w:vAlign w:val="center"/>
                </w:tcPr>
                <w:p>
                  <w:pPr>
                    <w:pStyle w:val="50"/>
                  </w:pPr>
                </w:p>
              </w:tc>
              <w:tc>
                <w:tcPr>
                  <w:tcW w:w="322" w:type="pct"/>
                  <w:vMerge w:val="restart"/>
                  <w:vAlign w:val="center"/>
                </w:tcPr>
                <w:p>
                  <w:pPr>
                    <w:pStyle w:val="50"/>
                  </w:pPr>
                  <w:r>
                    <w:t>固废</w:t>
                  </w:r>
                </w:p>
              </w:tc>
              <w:tc>
                <w:tcPr>
                  <w:tcW w:w="841" w:type="pct"/>
                  <w:vAlign w:val="center"/>
                </w:tcPr>
                <w:p>
                  <w:pPr>
                    <w:pStyle w:val="50"/>
                  </w:pPr>
                  <w:r>
                    <w:rPr>
                      <w:rFonts w:hint="eastAsia"/>
                    </w:rPr>
                    <w:t>裁剪废树脂</w:t>
                  </w:r>
                </w:p>
              </w:tc>
              <w:tc>
                <w:tcPr>
                  <w:tcW w:w="3350" w:type="pct"/>
                  <w:vAlign w:val="center"/>
                </w:tcPr>
                <w:p>
                  <w:pPr>
                    <w:pStyle w:val="50"/>
                  </w:pPr>
                  <w:r>
                    <w:rPr>
                      <w:rFonts w:hint="eastAsia"/>
                    </w:rPr>
                    <w:t>破碎、粉磨处理后回用于生产线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7" w:type="pct"/>
                  <w:vMerge w:val="continue"/>
                  <w:vAlign w:val="center"/>
                </w:tcPr>
                <w:p>
                  <w:pPr>
                    <w:pStyle w:val="50"/>
                  </w:pPr>
                </w:p>
              </w:tc>
              <w:tc>
                <w:tcPr>
                  <w:tcW w:w="322" w:type="pct"/>
                  <w:vMerge w:val="continue"/>
                  <w:vAlign w:val="center"/>
                </w:tcPr>
                <w:p>
                  <w:pPr>
                    <w:pStyle w:val="50"/>
                  </w:pPr>
                </w:p>
              </w:tc>
              <w:tc>
                <w:tcPr>
                  <w:tcW w:w="841" w:type="pct"/>
                  <w:vAlign w:val="center"/>
                </w:tcPr>
                <w:p>
                  <w:pPr>
                    <w:pStyle w:val="50"/>
                  </w:pPr>
                  <w:r>
                    <w:rPr>
                      <w:rFonts w:hint="eastAsia"/>
                    </w:rPr>
                    <w:t>除尘灰</w:t>
                  </w:r>
                </w:p>
              </w:tc>
              <w:tc>
                <w:tcPr>
                  <w:tcW w:w="3350" w:type="pct"/>
                  <w:vAlign w:val="center"/>
                </w:tcPr>
                <w:p>
                  <w:pPr>
                    <w:pStyle w:val="50"/>
                  </w:pPr>
                  <w:r>
                    <w:rPr>
                      <w:rFonts w:hint="eastAsia"/>
                    </w:rPr>
                    <w:t>回用于生产线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7" w:type="pct"/>
                  <w:vMerge w:val="restart"/>
                  <w:vAlign w:val="center"/>
                </w:tcPr>
                <w:p>
                  <w:pPr>
                    <w:pStyle w:val="50"/>
                  </w:pPr>
                  <w:r>
                    <w:t>\</w:t>
                  </w:r>
                </w:p>
              </w:tc>
              <w:tc>
                <w:tcPr>
                  <w:tcW w:w="322" w:type="pct"/>
                  <w:vMerge w:val="continue"/>
                  <w:vAlign w:val="center"/>
                </w:tcPr>
                <w:p>
                  <w:pPr>
                    <w:pStyle w:val="50"/>
                  </w:pPr>
                </w:p>
              </w:tc>
              <w:tc>
                <w:tcPr>
                  <w:tcW w:w="841" w:type="pct"/>
                  <w:vAlign w:val="center"/>
                </w:tcPr>
                <w:p>
                  <w:pPr>
                    <w:pStyle w:val="50"/>
                  </w:pPr>
                  <w:r>
                    <w:t>废机油</w:t>
                  </w:r>
                </w:p>
              </w:tc>
              <w:tc>
                <w:tcPr>
                  <w:tcW w:w="3350" w:type="pct"/>
                  <w:vAlign w:val="center"/>
                </w:tcPr>
                <w:p>
                  <w:pPr>
                    <w:pStyle w:val="50"/>
                  </w:pPr>
                  <w:r>
                    <w:rPr>
                      <w:rFonts w:hint="eastAsia"/>
                    </w:rPr>
                    <w:t>设置1间</w:t>
                  </w:r>
                  <w:r>
                    <w:t>5</w:t>
                  </w:r>
                  <w:r>
                    <w:rPr>
                      <w:rFonts w:hint="eastAsia"/>
                    </w:rPr>
                    <w:t>m</w:t>
                  </w:r>
                  <w:r>
                    <w:rPr>
                      <w:vertAlign w:val="superscript"/>
                    </w:rPr>
                    <w:t>2</w:t>
                  </w:r>
                  <w:r>
                    <w:rPr>
                      <w:rFonts w:hint="eastAsia"/>
                    </w:rPr>
                    <w:t>危险废物暂存间，位于办公用房1F，委托有资质单位定期清运处理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7" w:type="pct"/>
                  <w:vMerge w:val="continue"/>
                  <w:vAlign w:val="center"/>
                </w:tcPr>
                <w:p>
                  <w:pPr>
                    <w:pStyle w:val="50"/>
                  </w:pPr>
                </w:p>
              </w:tc>
              <w:tc>
                <w:tcPr>
                  <w:tcW w:w="322" w:type="pct"/>
                  <w:vMerge w:val="continue"/>
                  <w:vAlign w:val="center"/>
                </w:tcPr>
                <w:p>
                  <w:pPr>
                    <w:pStyle w:val="50"/>
                  </w:pPr>
                </w:p>
              </w:tc>
              <w:tc>
                <w:tcPr>
                  <w:tcW w:w="841" w:type="pct"/>
                  <w:vAlign w:val="center"/>
                </w:tcPr>
                <w:p>
                  <w:pPr>
                    <w:pStyle w:val="50"/>
                  </w:pPr>
                  <w:r>
                    <w:t>生活</w:t>
                  </w:r>
                </w:p>
                <w:p>
                  <w:pPr>
                    <w:pStyle w:val="50"/>
                  </w:pPr>
                  <w:r>
                    <w:t>垃圾</w:t>
                  </w:r>
                </w:p>
              </w:tc>
              <w:tc>
                <w:tcPr>
                  <w:tcW w:w="3350" w:type="pct"/>
                  <w:vAlign w:val="center"/>
                </w:tcPr>
                <w:p>
                  <w:pPr>
                    <w:pStyle w:val="50"/>
                  </w:pPr>
                  <w:r>
                    <w:t>当地环卫部门收集处理</w:t>
                  </w:r>
                </w:p>
              </w:tc>
            </w:tr>
          </w:tbl>
          <w:p>
            <w:pPr>
              <w:ind w:firstLine="482"/>
              <w:rPr>
                <w:b/>
                <w:bCs/>
                <w:color w:val="000000"/>
              </w:rPr>
            </w:pPr>
            <w:r>
              <w:rPr>
                <w:b/>
                <w:bCs/>
                <w:color w:val="000000"/>
              </w:rPr>
              <w:t>3、产品方案</w:t>
            </w:r>
          </w:p>
          <w:p>
            <w:pPr>
              <w:ind w:firstLine="480"/>
              <w:rPr>
                <w:color w:val="000000"/>
              </w:rPr>
            </w:pPr>
            <w:r>
              <w:rPr>
                <w:color w:val="000000"/>
              </w:rPr>
              <w:t>项目产品方案如下：</w:t>
            </w:r>
          </w:p>
          <w:p>
            <w:pPr>
              <w:ind w:firstLine="482"/>
              <w:jc w:val="center"/>
              <w:rPr>
                <w:b/>
                <w:bCs/>
                <w:color w:val="000000"/>
                <w:szCs w:val="21"/>
              </w:rPr>
            </w:pPr>
            <w:r>
              <w:rPr>
                <w:b/>
                <w:bCs/>
                <w:color w:val="000000"/>
                <w:szCs w:val="21"/>
              </w:rPr>
              <w:t>表2-2  项目产品方案</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6"/>
              <w:gridCol w:w="2226"/>
              <w:gridCol w:w="1435"/>
              <w:gridCol w:w="20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6" w:type="dxa"/>
                  <w:vAlign w:val="center"/>
                </w:tcPr>
                <w:p>
                  <w:pPr>
                    <w:pStyle w:val="50"/>
                    <w:rPr>
                      <w:u w:val="single"/>
                    </w:rPr>
                  </w:pPr>
                  <w:r>
                    <w:rPr>
                      <w:u w:val="single"/>
                    </w:rPr>
                    <w:t>产品名称</w:t>
                  </w:r>
                </w:p>
              </w:tc>
              <w:tc>
                <w:tcPr>
                  <w:tcW w:w="2226" w:type="dxa"/>
                  <w:vAlign w:val="center"/>
                </w:tcPr>
                <w:p>
                  <w:pPr>
                    <w:pStyle w:val="50"/>
                    <w:rPr>
                      <w:u w:val="single"/>
                    </w:rPr>
                  </w:pPr>
                  <w:r>
                    <w:rPr>
                      <w:u w:val="single"/>
                    </w:rPr>
                    <w:t>规格（mm）</w:t>
                  </w:r>
                </w:p>
              </w:tc>
              <w:tc>
                <w:tcPr>
                  <w:tcW w:w="1435" w:type="dxa"/>
                  <w:vAlign w:val="center"/>
                </w:tcPr>
                <w:p>
                  <w:pPr>
                    <w:pStyle w:val="50"/>
                    <w:rPr>
                      <w:u w:val="single"/>
                    </w:rPr>
                  </w:pPr>
                  <w:r>
                    <w:rPr>
                      <w:u w:val="single"/>
                    </w:rPr>
                    <w:t>规模</w:t>
                  </w:r>
                </w:p>
              </w:tc>
              <w:tc>
                <w:tcPr>
                  <w:tcW w:w="2073" w:type="dxa"/>
                  <w:vAlign w:val="center"/>
                </w:tcPr>
                <w:p>
                  <w:pPr>
                    <w:pStyle w:val="50"/>
                    <w:rPr>
                      <w:u w:val="single"/>
                    </w:rPr>
                  </w:pPr>
                  <w:r>
                    <w:rPr>
                      <w:u w:val="single"/>
                    </w:rPr>
                    <w:t>重量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6" w:type="dxa"/>
                  <w:vMerge w:val="restart"/>
                  <w:vAlign w:val="center"/>
                </w:tcPr>
                <w:p>
                  <w:pPr>
                    <w:pStyle w:val="50"/>
                    <w:rPr>
                      <w:u w:val="single"/>
                    </w:rPr>
                  </w:pPr>
                  <w:r>
                    <w:rPr>
                      <w:rFonts w:hint="eastAsia"/>
                      <w:u w:val="single"/>
                    </w:rPr>
                    <w:t>树脂瓦</w:t>
                  </w:r>
                </w:p>
              </w:tc>
              <w:tc>
                <w:tcPr>
                  <w:tcW w:w="2226" w:type="dxa"/>
                  <w:vAlign w:val="center"/>
                </w:tcPr>
                <w:p>
                  <w:pPr>
                    <w:pStyle w:val="50"/>
                    <w:rPr>
                      <w:u w:val="single"/>
                    </w:rPr>
                  </w:pPr>
                  <w:r>
                    <w:rPr>
                      <w:rFonts w:hint="eastAsia"/>
                      <w:u w:val="single"/>
                    </w:rPr>
                    <w:t>宽度：1</w:t>
                  </w:r>
                  <w:r>
                    <w:rPr>
                      <w:u w:val="single"/>
                    </w:rPr>
                    <w:t>05</w:t>
                  </w:r>
                  <w:r>
                    <w:rPr>
                      <w:rFonts w:hint="eastAsia"/>
                      <w:u w:val="single"/>
                    </w:rPr>
                    <w:t>mm</w:t>
                  </w:r>
                </w:p>
                <w:p>
                  <w:pPr>
                    <w:pStyle w:val="50"/>
                    <w:rPr>
                      <w:u w:val="single"/>
                    </w:rPr>
                  </w:pPr>
                  <w:r>
                    <w:rPr>
                      <w:rFonts w:hint="eastAsia"/>
                      <w:u w:val="single"/>
                    </w:rPr>
                    <w:t>厚度：2</w:t>
                  </w:r>
                  <w:r>
                    <w:rPr>
                      <w:u w:val="single"/>
                    </w:rPr>
                    <w:t>.5</w:t>
                  </w:r>
                  <w:r>
                    <w:rPr>
                      <w:rFonts w:hint="eastAsia"/>
                      <w:u w:val="single"/>
                    </w:rPr>
                    <w:t>mm</w:t>
                  </w:r>
                </w:p>
              </w:tc>
              <w:tc>
                <w:tcPr>
                  <w:tcW w:w="1435" w:type="dxa"/>
                  <w:vAlign w:val="center"/>
                </w:tcPr>
                <w:p>
                  <w:pPr>
                    <w:pStyle w:val="50"/>
                    <w:rPr>
                      <w:u w:val="single"/>
                    </w:rPr>
                  </w:pPr>
                  <w:r>
                    <w:rPr>
                      <w:u w:val="single"/>
                    </w:rPr>
                    <w:t>13</w:t>
                  </w:r>
                  <w:r>
                    <w:rPr>
                      <w:rFonts w:hint="eastAsia"/>
                      <w:u w:val="single"/>
                    </w:rPr>
                    <w:t>万m/</w:t>
                  </w:r>
                  <w:r>
                    <w:rPr>
                      <w:u w:val="single"/>
                    </w:rPr>
                    <w:t>a</w:t>
                  </w:r>
                </w:p>
              </w:tc>
              <w:tc>
                <w:tcPr>
                  <w:tcW w:w="2073" w:type="dxa"/>
                  <w:vAlign w:val="center"/>
                </w:tcPr>
                <w:p>
                  <w:pPr>
                    <w:pStyle w:val="50"/>
                    <w:rPr>
                      <w:u w:val="single"/>
                    </w:rPr>
                  </w:pPr>
                  <w:r>
                    <w:rPr>
                      <w:u w:val="single"/>
                    </w:rPr>
                    <w:t>31.02t/a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6" w:type="dxa"/>
                  <w:vMerge w:val="continue"/>
                  <w:vAlign w:val="center"/>
                </w:tcPr>
                <w:p>
                  <w:pPr>
                    <w:pStyle w:val="50"/>
                    <w:rPr>
                      <w:u w:val="single"/>
                    </w:rPr>
                  </w:pPr>
                </w:p>
              </w:tc>
              <w:tc>
                <w:tcPr>
                  <w:tcW w:w="2226" w:type="dxa"/>
                  <w:vAlign w:val="center"/>
                </w:tcPr>
                <w:p>
                  <w:pPr>
                    <w:pStyle w:val="50"/>
                    <w:rPr>
                      <w:u w:val="single"/>
                    </w:rPr>
                  </w:pPr>
                  <w:r>
                    <w:rPr>
                      <w:rFonts w:hint="eastAsia"/>
                      <w:u w:val="single"/>
                    </w:rPr>
                    <w:t>宽度：1</w:t>
                  </w:r>
                  <w:r>
                    <w:rPr>
                      <w:u w:val="single"/>
                    </w:rPr>
                    <w:t>05</w:t>
                  </w:r>
                  <w:r>
                    <w:rPr>
                      <w:rFonts w:hint="eastAsia"/>
                      <w:u w:val="single"/>
                    </w:rPr>
                    <w:t>mm</w:t>
                  </w:r>
                </w:p>
                <w:p>
                  <w:pPr>
                    <w:pStyle w:val="50"/>
                    <w:rPr>
                      <w:u w:val="single"/>
                    </w:rPr>
                  </w:pPr>
                  <w:r>
                    <w:rPr>
                      <w:rFonts w:hint="eastAsia"/>
                      <w:u w:val="single"/>
                    </w:rPr>
                    <w:t>厚度：</w:t>
                  </w:r>
                  <w:r>
                    <w:rPr>
                      <w:u w:val="single"/>
                    </w:rPr>
                    <w:t>3.0</w:t>
                  </w:r>
                  <w:r>
                    <w:rPr>
                      <w:rFonts w:hint="eastAsia"/>
                      <w:u w:val="single"/>
                    </w:rPr>
                    <w:t>mm</w:t>
                  </w:r>
                </w:p>
              </w:tc>
              <w:tc>
                <w:tcPr>
                  <w:tcW w:w="1435" w:type="dxa"/>
                  <w:vAlign w:val="center"/>
                </w:tcPr>
                <w:p>
                  <w:pPr>
                    <w:pStyle w:val="50"/>
                    <w:rPr>
                      <w:u w:val="single"/>
                    </w:rPr>
                  </w:pPr>
                  <w:r>
                    <w:rPr>
                      <w:u w:val="single"/>
                    </w:rPr>
                    <w:t>13</w:t>
                  </w:r>
                  <w:r>
                    <w:rPr>
                      <w:rFonts w:hint="eastAsia"/>
                      <w:u w:val="single"/>
                    </w:rPr>
                    <w:t>万m</w:t>
                  </w:r>
                  <w:r>
                    <w:rPr>
                      <w:u w:val="single"/>
                    </w:rPr>
                    <w:t>/a</w:t>
                  </w:r>
                </w:p>
              </w:tc>
              <w:tc>
                <w:tcPr>
                  <w:tcW w:w="2073" w:type="dxa"/>
                  <w:vAlign w:val="center"/>
                </w:tcPr>
                <w:p>
                  <w:pPr>
                    <w:pStyle w:val="50"/>
                    <w:rPr>
                      <w:u w:val="single"/>
                    </w:rPr>
                  </w:pPr>
                  <w:r>
                    <w:rPr>
                      <w:rFonts w:hint="eastAsia"/>
                      <w:u w:val="single"/>
                    </w:rPr>
                    <w:t>3</w:t>
                  </w:r>
                  <w:r>
                    <w:rPr>
                      <w:u w:val="single"/>
                    </w:rPr>
                    <w:t>7.23</w:t>
                  </w:r>
                  <w:r>
                    <w:rPr>
                      <w:rFonts w:hint="eastAsia"/>
                      <w:u w:val="single"/>
                    </w:rPr>
                    <w:t>t</w:t>
                  </w:r>
                  <w:r>
                    <w:rPr>
                      <w:u w:val="singl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76" w:type="dxa"/>
                  <w:vMerge w:val="continue"/>
                  <w:vAlign w:val="center"/>
                </w:tcPr>
                <w:p>
                  <w:pPr>
                    <w:pStyle w:val="50"/>
                    <w:rPr>
                      <w:u w:val="single"/>
                    </w:rPr>
                  </w:pPr>
                </w:p>
              </w:tc>
              <w:tc>
                <w:tcPr>
                  <w:tcW w:w="2226" w:type="dxa"/>
                  <w:vAlign w:val="center"/>
                </w:tcPr>
                <w:p>
                  <w:pPr>
                    <w:pStyle w:val="50"/>
                    <w:rPr>
                      <w:u w:val="single"/>
                    </w:rPr>
                  </w:pPr>
                  <w:r>
                    <w:rPr>
                      <w:rFonts w:hint="eastAsia"/>
                      <w:u w:val="single"/>
                    </w:rPr>
                    <w:t>/</w:t>
                  </w:r>
                </w:p>
              </w:tc>
              <w:tc>
                <w:tcPr>
                  <w:tcW w:w="1435" w:type="dxa"/>
                  <w:vAlign w:val="center"/>
                </w:tcPr>
                <w:p>
                  <w:pPr>
                    <w:pStyle w:val="50"/>
                    <w:rPr>
                      <w:u w:val="single"/>
                    </w:rPr>
                  </w:pPr>
                  <w:r>
                    <w:rPr>
                      <w:rFonts w:hint="eastAsia"/>
                      <w:u w:val="single"/>
                    </w:rPr>
                    <w:t>2</w:t>
                  </w:r>
                  <w:r>
                    <w:rPr>
                      <w:u w:val="single"/>
                    </w:rPr>
                    <w:t>6</w:t>
                  </w:r>
                  <w:r>
                    <w:rPr>
                      <w:rFonts w:hint="eastAsia"/>
                      <w:u w:val="single"/>
                    </w:rPr>
                    <w:t>万m</w:t>
                  </w:r>
                  <w:r>
                    <w:rPr>
                      <w:u w:val="single"/>
                    </w:rPr>
                    <w:t>/a</w:t>
                  </w:r>
                </w:p>
              </w:tc>
              <w:tc>
                <w:tcPr>
                  <w:tcW w:w="2073" w:type="dxa"/>
                  <w:vAlign w:val="center"/>
                </w:tcPr>
                <w:p>
                  <w:pPr>
                    <w:pStyle w:val="50"/>
                    <w:rPr>
                      <w:u w:val="single"/>
                    </w:rPr>
                  </w:pPr>
                  <w:r>
                    <w:rPr>
                      <w:rFonts w:hint="eastAsia"/>
                      <w:u w:val="single"/>
                    </w:rPr>
                    <w:t>6</w:t>
                  </w:r>
                  <w:r>
                    <w:rPr>
                      <w:u w:val="single"/>
                    </w:rPr>
                    <w:t>8.25</w:t>
                  </w:r>
                  <w:r>
                    <w:rPr>
                      <w:rFonts w:hint="eastAsia"/>
                      <w:u w:val="single"/>
                    </w:rPr>
                    <w:t>t</w:t>
                  </w:r>
                  <w:r>
                    <w:rPr>
                      <w:u w:val="single"/>
                    </w:rPr>
                    <w:t>/a</w:t>
                  </w:r>
                </w:p>
              </w:tc>
            </w:tr>
          </w:tbl>
          <w:p>
            <w:pPr>
              <w:ind w:firstLine="482"/>
              <w:rPr>
                <w:b/>
                <w:bCs/>
                <w:color w:val="000000"/>
              </w:rPr>
            </w:pPr>
            <w:r>
              <w:rPr>
                <w:b/>
                <w:bCs/>
                <w:color w:val="000000"/>
              </w:rPr>
              <w:t>4、主要原辅材料及能源消耗</w:t>
            </w:r>
          </w:p>
          <w:p>
            <w:pPr>
              <w:pStyle w:val="22"/>
              <w:spacing w:after="0" w:line="324" w:lineRule="auto"/>
              <w:ind w:left="0" w:leftChars="0" w:firstLine="480" w:firstLineChars="200"/>
              <w:rPr>
                <w:color w:val="000000"/>
                <w:sz w:val="24"/>
                <w:szCs w:val="24"/>
              </w:rPr>
            </w:pPr>
            <w:r>
              <w:rPr>
                <w:color w:val="000000"/>
                <w:sz w:val="24"/>
                <w:szCs w:val="24"/>
              </w:rPr>
              <w:t>根据建设方提供的资料，项目原辅材料及能耗如下表所示：</w:t>
            </w:r>
          </w:p>
          <w:p>
            <w:pPr>
              <w:ind w:firstLine="482"/>
              <w:jc w:val="center"/>
              <w:rPr>
                <w:b/>
                <w:bCs/>
                <w:color w:val="000000"/>
                <w:szCs w:val="21"/>
              </w:rPr>
            </w:pPr>
            <w:r>
              <w:rPr>
                <w:b/>
                <w:bCs/>
                <w:color w:val="000000"/>
                <w:szCs w:val="21"/>
              </w:rPr>
              <w:t>表2-</w:t>
            </w:r>
            <w:r>
              <w:rPr>
                <w:rFonts w:hint="eastAsia"/>
                <w:b/>
                <w:bCs/>
                <w:color w:val="000000"/>
                <w:szCs w:val="21"/>
              </w:rPr>
              <w:t>3</w:t>
            </w:r>
            <w:r>
              <w:rPr>
                <w:b/>
                <w:bCs/>
                <w:color w:val="000000"/>
                <w:szCs w:val="21"/>
              </w:rPr>
              <w:t xml:space="preserve">  原辅材料及能源消耗一览表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0"/>
              <w:gridCol w:w="2616"/>
              <w:gridCol w:w="1630"/>
              <w:gridCol w:w="2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9" w:type="pct"/>
                  <w:gridSpan w:val="2"/>
                  <w:vMerge w:val="restart"/>
                  <w:vAlign w:val="center"/>
                </w:tcPr>
                <w:p>
                  <w:pPr>
                    <w:pStyle w:val="50"/>
                    <w:rPr>
                      <w:u w:val="single"/>
                    </w:rPr>
                  </w:pPr>
                  <w:r>
                    <w:rPr>
                      <w:u w:val="single"/>
                    </w:rPr>
                    <w:t>名称</w:t>
                  </w:r>
                </w:p>
              </w:tc>
              <w:tc>
                <w:tcPr>
                  <w:tcW w:w="2861" w:type="pct"/>
                  <w:gridSpan w:val="2"/>
                  <w:vAlign w:val="center"/>
                </w:tcPr>
                <w:p>
                  <w:pPr>
                    <w:pStyle w:val="50"/>
                    <w:rPr>
                      <w:u w:val="single"/>
                    </w:rPr>
                  </w:pPr>
                  <w:r>
                    <w:rPr>
                      <w:u w:val="single"/>
                    </w:rPr>
                    <w:t>本项目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39" w:type="pct"/>
                  <w:gridSpan w:val="2"/>
                  <w:vMerge w:val="continue"/>
                  <w:vAlign w:val="center"/>
                </w:tcPr>
                <w:p>
                  <w:pPr>
                    <w:pStyle w:val="50"/>
                    <w:rPr>
                      <w:u w:val="single"/>
                    </w:rPr>
                  </w:pPr>
                </w:p>
              </w:tc>
              <w:tc>
                <w:tcPr>
                  <w:tcW w:w="1071" w:type="pct"/>
                  <w:vAlign w:val="center"/>
                </w:tcPr>
                <w:p>
                  <w:pPr>
                    <w:pStyle w:val="50"/>
                    <w:rPr>
                      <w:u w:val="single"/>
                    </w:rPr>
                  </w:pPr>
                  <w:r>
                    <w:rPr>
                      <w:u w:val="single"/>
                    </w:rPr>
                    <w:t>消耗量</w:t>
                  </w:r>
                </w:p>
              </w:tc>
              <w:tc>
                <w:tcPr>
                  <w:tcW w:w="1789" w:type="pct"/>
                  <w:vAlign w:val="center"/>
                </w:tcPr>
                <w:p>
                  <w:pPr>
                    <w:pStyle w:val="50"/>
                    <w:rPr>
                      <w:u w:val="single"/>
                    </w:rPr>
                  </w:pPr>
                  <w:r>
                    <w:rPr>
                      <w:u w:val="singl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0" w:type="pct"/>
                  <w:vMerge w:val="restart"/>
                  <w:vAlign w:val="center"/>
                </w:tcPr>
                <w:p>
                  <w:pPr>
                    <w:pStyle w:val="50"/>
                    <w:rPr>
                      <w:u w:val="single"/>
                    </w:rPr>
                  </w:pPr>
                  <w:r>
                    <w:rPr>
                      <w:u w:val="single"/>
                    </w:rPr>
                    <w:t>原辅材料</w:t>
                  </w:r>
                </w:p>
              </w:tc>
              <w:tc>
                <w:tcPr>
                  <w:tcW w:w="1719" w:type="pct"/>
                  <w:vAlign w:val="center"/>
                </w:tcPr>
                <w:p>
                  <w:pPr>
                    <w:pStyle w:val="50"/>
                    <w:rPr>
                      <w:u w:val="single"/>
                    </w:rPr>
                  </w:pPr>
                  <w:r>
                    <w:rPr>
                      <w:rFonts w:hint="eastAsia"/>
                      <w:u w:val="single"/>
                    </w:rPr>
                    <w:t>聚乙烯树脂粉</w:t>
                  </w:r>
                </w:p>
              </w:tc>
              <w:tc>
                <w:tcPr>
                  <w:tcW w:w="1071" w:type="pct"/>
                  <w:vAlign w:val="center"/>
                </w:tcPr>
                <w:p>
                  <w:pPr>
                    <w:pStyle w:val="50"/>
                    <w:rPr>
                      <w:u w:val="single"/>
                    </w:rPr>
                  </w:pPr>
                  <w:r>
                    <w:rPr>
                      <w:rFonts w:hint="eastAsia"/>
                      <w:u w:val="single"/>
                    </w:rPr>
                    <w:t>1</w:t>
                  </w:r>
                  <w:r>
                    <w:rPr>
                      <w:u w:val="single"/>
                    </w:rPr>
                    <w:t>20</w:t>
                  </w:r>
                  <w:r>
                    <w:rPr>
                      <w:rFonts w:hint="eastAsia"/>
                      <w:u w:val="single"/>
                    </w:rPr>
                    <w:t>t</w:t>
                  </w:r>
                  <w:r>
                    <w:rPr>
                      <w:u w:val="single"/>
                    </w:rPr>
                    <w:t>/a</w:t>
                  </w:r>
                </w:p>
              </w:tc>
              <w:tc>
                <w:tcPr>
                  <w:tcW w:w="1789" w:type="pct"/>
                  <w:vAlign w:val="center"/>
                </w:tcPr>
                <w:p>
                  <w:pPr>
                    <w:pStyle w:val="50"/>
                    <w:rPr>
                      <w:u w:val="single"/>
                    </w:rPr>
                  </w:pPr>
                  <w:r>
                    <w:rPr>
                      <w:rFonts w:hint="eastAsia"/>
                      <w:u w:val="single"/>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0" w:type="pct"/>
                  <w:vMerge w:val="continue"/>
                  <w:vAlign w:val="center"/>
                </w:tcPr>
                <w:p>
                  <w:pPr>
                    <w:pStyle w:val="50"/>
                    <w:rPr>
                      <w:u w:val="single"/>
                    </w:rPr>
                  </w:pPr>
                </w:p>
              </w:tc>
              <w:tc>
                <w:tcPr>
                  <w:tcW w:w="1719" w:type="pct"/>
                  <w:vAlign w:val="center"/>
                </w:tcPr>
                <w:p>
                  <w:pPr>
                    <w:pStyle w:val="50"/>
                    <w:rPr>
                      <w:u w:val="single"/>
                    </w:rPr>
                  </w:pPr>
                  <w:r>
                    <w:rPr>
                      <w:rFonts w:hint="eastAsia"/>
                      <w:u w:val="single"/>
                    </w:rPr>
                    <w:t>钙粉</w:t>
                  </w:r>
                </w:p>
              </w:tc>
              <w:tc>
                <w:tcPr>
                  <w:tcW w:w="1071" w:type="pct"/>
                  <w:vAlign w:val="center"/>
                </w:tcPr>
                <w:p>
                  <w:pPr>
                    <w:pStyle w:val="50"/>
                    <w:rPr>
                      <w:u w:val="single"/>
                    </w:rPr>
                  </w:pPr>
                  <w:r>
                    <w:rPr>
                      <w:rFonts w:hint="eastAsia"/>
                      <w:u w:val="single"/>
                    </w:rPr>
                    <w:t>2</w:t>
                  </w:r>
                  <w:r>
                    <w:rPr>
                      <w:u w:val="single"/>
                    </w:rPr>
                    <w:t>4</w:t>
                  </w:r>
                  <w:r>
                    <w:rPr>
                      <w:rFonts w:hint="eastAsia"/>
                      <w:u w:val="single"/>
                    </w:rPr>
                    <w:t>t</w:t>
                  </w:r>
                  <w:r>
                    <w:rPr>
                      <w:u w:val="single"/>
                    </w:rPr>
                    <w:t>/a</w:t>
                  </w:r>
                </w:p>
              </w:tc>
              <w:tc>
                <w:tcPr>
                  <w:tcW w:w="1789" w:type="pct"/>
                  <w:vAlign w:val="center"/>
                </w:tcPr>
                <w:p>
                  <w:pPr>
                    <w:pStyle w:val="50"/>
                    <w:rPr>
                      <w:u w:val="single"/>
                    </w:rPr>
                  </w:pPr>
                  <w:r>
                    <w:rPr>
                      <w:rFonts w:hint="eastAsia"/>
                      <w:u w:val="single"/>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0" w:type="pct"/>
                  <w:vMerge w:val="continue"/>
                  <w:vAlign w:val="center"/>
                </w:tcPr>
                <w:p>
                  <w:pPr>
                    <w:pStyle w:val="50"/>
                    <w:rPr>
                      <w:u w:val="single"/>
                    </w:rPr>
                  </w:pPr>
                </w:p>
              </w:tc>
              <w:tc>
                <w:tcPr>
                  <w:tcW w:w="1719" w:type="pct"/>
                  <w:vAlign w:val="center"/>
                </w:tcPr>
                <w:p>
                  <w:pPr>
                    <w:pStyle w:val="50"/>
                    <w:rPr>
                      <w:u w:val="single"/>
                    </w:rPr>
                  </w:pPr>
                  <w:r>
                    <w:rPr>
                      <w:rFonts w:hint="eastAsia"/>
                      <w:u w:val="single"/>
                    </w:rPr>
                    <w:t>ASA树脂膜</w:t>
                  </w:r>
                </w:p>
              </w:tc>
              <w:tc>
                <w:tcPr>
                  <w:tcW w:w="1071" w:type="pct"/>
                  <w:vAlign w:val="center"/>
                </w:tcPr>
                <w:p>
                  <w:pPr>
                    <w:pStyle w:val="50"/>
                    <w:rPr>
                      <w:u w:val="single"/>
                    </w:rPr>
                  </w:pPr>
                  <w:r>
                    <w:rPr>
                      <w:rFonts w:hint="eastAsia"/>
                      <w:u w:val="single"/>
                    </w:rPr>
                    <w:t>2t</w:t>
                  </w:r>
                  <w:r>
                    <w:rPr>
                      <w:u w:val="single"/>
                    </w:rPr>
                    <w:t>/s</w:t>
                  </w:r>
                </w:p>
              </w:tc>
              <w:tc>
                <w:tcPr>
                  <w:tcW w:w="1789" w:type="pct"/>
                  <w:vAlign w:val="center"/>
                </w:tcPr>
                <w:p>
                  <w:pPr>
                    <w:pStyle w:val="50"/>
                    <w:rPr>
                      <w:u w:val="single"/>
                    </w:rPr>
                  </w:pPr>
                  <w:r>
                    <w:rPr>
                      <w:rFonts w:hint="eastAsia"/>
                      <w:u w:val="single"/>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0" w:type="pct"/>
                  <w:vMerge w:val="restart"/>
                  <w:vAlign w:val="center"/>
                </w:tcPr>
                <w:p>
                  <w:pPr>
                    <w:pStyle w:val="50"/>
                    <w:rPr>
                      <w:u w:val="single"/>
                    </w:rPr>
                  </w:pPr>
                  <w:r>
                    <w:rPr>
                      <w:u w:val="single"/>
                    </w:rPr>
                    <w:t>能源</w:t>
                  </w:r>
                </w:p>
              </w:tc>
              <w:tc>
                <w:tcPr>
                  <w:tcW w:w="1719" w:type="pct"/>
                  <w:vAlign w:val="center"/>
                </w:tcPr>
                <w:p>
                  <w:pPr>
                    <w:pStyle w:val="50"/>
                    <w:rPr>
                      <w:u w:val="single"/>
                    </w:rPr>
                  </w:pPr>
                  <w:r>
                    <w:rPr>
                      <w:rFonts w:hint="eastAsia"/>
                      <w:u w:val="single"/>
                    </w:rPr>
                    <w:t>电</w:t>
                  </w:r>
                </w:p>
              </w:tc>
              <w:tc>
                <w:tcPr>
                  <w:tcW w:w="1071" w:type="pct"/>
                  <w:vAlign w:val="center"/>
                </w:tcPr>
                <w:p>
                  <w:pPr>
                    <w:pStyle w:val="50"/>
                    <w:rPr>
                      <w:u w:val="single"/>
                    </w:rPr>
                  </w:pPr>
                  <w:r>
                    <w:rPr>
                      <w:rFonts w:hint="eastAsia"/>
                      <w:u w:val="single"/>
                    </w:rPr>
                    <w:t>1</w:t>
                  </w:r>
                  <w:r>
                    <w:rPr>
                      <w:u w:val="single"/>
                    </w:rPr>
                    <w:t>2</w:t>
                  </w:r>
                  <w:r>
                    <w:rPr>
                      <w:rFonts w:hint="eastAsia"/>
                      <w:u w:val="single"/>
                    </w:rPr>
                    <w:t>万k</w:t>
                  </w:r>
                  <w:r>
                    <w:rPr>
                      <w:u w:val="single"/>
                    </w:rPr>
                    <w:t>wh/a</w:t>
                  </w:r>
                </w:p>
              </w:tc>
              <w:tc>
                <w:tcPr>
                  <w:tcW w:w="1789" w:type="pct"/>
                  <w:vAlign w:val="center"/>
                </w:tcPr>
                <w:p>
                  <w:pPr>
                    <w:pStyle w:val="50"/>
                    <w:rPr>
                      <w:u w:val="single"/>
                    </w:rPr>
                  </w:pPr>
                  <w:r>
                    <w:rPr>
                      <w:rFonts w:hint="eastAsia"/>
                      <w:u w:val="single"/>
                    </w:rPr>
                    <w:t>市政电网供电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0" w:type="pct"/>
                  <w:vMerge w:val="continue"/>
                  <w:vAlign w:val="center"/>
                </w:tcPr>
                <w:p>
                  <w:pPr>
                    <w:pStyle w:val="50"/>
                    <w:rPr>
                      <w:u w:val="single"/>
                    </w:rPr>
                  </w:pPr>
                </w:p>
              </w:tc>
              <w:tc>
                <w:tcPr>
                  <w:tcW w:w="1719" w:type="pct"/>
                  <w:vAlign w:val="center"/>
                </w:tcPr>
                <w:p>
                  <w:pPr>
                    <w:pStyle w:val="50"/>
                    <w:rPr>
                      <w:u w:val="single"/>
                    </w:rPr>
                  </w:pPr>
                  <w:r>
                    <w:rPr>
                      <w:rFonts w:hint="eastAsia"/>
                      <w:u w:val="single"/>
                    </w:rPr>
                    <w:t>水</w:t>
                  </w:r>
                </w:p>
              </w:tc>
              <w:tc>
                <w:tcPr>
                  <w:tcW w:w="1071" w:type="pct"/>
                  <w:vAlign w:val="center"/>
                </w:tcPr>
                <w:p>
                  <w:pPr>
                    <w:pStyle w:val="50"/>
                    <w:rPr>
                      <w:u w:val="single"/>
                    </w:rPr>
                  </w:pPr>
                  <w:r>
                    <w:rPr>
                      <w:rFonts w:hint="eastAsia"/>
                      <w:u w:val="single"/>
                    </w:rPr>
                    <w:t>2</w:t>
                  </w:r>
                  <w:r>
                    <w:rPr>
                      <w:u w:val="single"/>
                    </w:rPr>
                    <w:t>40</w:t>
                  </w:r>
                  <w:r>
                    <w:rPr>
                      <w:rFonts w:hint="eastAsia"/>
                      <w:u w:val="single"/>
                    </w:rPr>
                    <w:t>m</w:t>
                  </w:r>
                  <w:r>
                    <w:rPr>
                      <w:u w:val="single"/>
                      <w:vertAlign w:val="superscript"/>
                    </w:rPr>
                    <w:t>3</w:t>
                  </w:r>
                  <w:r>
                    <w:rPr>
                      <w:u w:val="single"/>
                    </w:rPr>
                    <w:t>/</w:t>
                  </w:r>
                  <w:r>
                    <w:rPr>
                      <w:rFonts w:hint="eastAsia"/>
                      <w:u w:val="single"/>
                    </w:rPr>
                    <w:t>a</w:t>
                  </w:r>
                </w:p>
              </w:tc>
              <w:tc>
                <w:tcPr>
                  <w:tcW w:w="1789" w:type="pct"/>
                  <w:vAlign w:val="center"/>
                </w:tcPr>
                <w:p>
                  <w:pPr>
                    <w:pStyle w:val="50"/>
                    <w:rPr>
                      <w:u w:val="single"/>
                    </w:rPr>
                  </w:pPr>
                  <w:r>
                    <w:rPr>
                      <w:rFonts w:hint="eastAsia"/>
                      <w:u w:val="single"/>
                    </w:rPr>
                    <w:t>市政自来水管网给水</w:t>
                  </w:r>
                </w:p>
              </w:tc>
            </w:tr>
          </w:tbl>
          <w:p>
            <w:pPr>
              <w:ind w:firstLine="482"/>
              <w:rPr>
                <w:b/>
                <w:bCs/>
                <w:color w:val="000000"/>
              </w:rPr>
            </w:pPr>
            <w:r>
              <w:rPr>
                <w:b/>
                <w:bCs/>
                <w:color w:val="000000"/>
              </w:rPr>
              <w:t>原辅料性质</w:t>
            </w:r>
          </w:p>
          <w:p>
            <w:pPr>
              <w:spacing w:line="440" w:lineRule="exact"/>
              <w:ind w:firstLine="482"/>
              <w:jc w:val="left"/>
              <w:rPr>
                <w:color w:val="000000"/>
              </w:rPr>
            </w:pPr>
            <w:r>
              <w:rPr>
                <w:rFonts w:hint="eastAsia"/>
                <w:b/>
                <w:bCs/>
                <w:color w:val="000000"/>
              </w:rPr>
              <w:t>聚乙烯树脂粉</w:t>
            </w:r>
            <w:r>
              <w:rPr>
                <w:b/>
                <w:bCs/>
                <w:color w:val="000000"/>
              </w:rPr>
              <w:t>：</w:t>
            </w:r>
            <w:r>
              <w:rPr>
                <w:rFonts w:hint="eastAsia"/>
              </w:rPr>
              <w:t>无味、无臭、无毒、表面无光泽、乳白色蜡状颗粒，密度约0.920 g/cm</w:t>
            </w:r>
            <w:r>
              <w:rPr>
                <w:rFonts w:hint="eastAsia"/>
                <w:vertAlign w:val="superscript"/>
              </w:rPr>
              <w:t>3</w:t>
            </w:r>
            <w:r>
              <w:rPr>
                <w:rFonts w:hint="eastAsia"/>
              </w:rPr>
              <w:t>，熔点130℃～145℃。不溶于水，微溶于烃类等。能耐大多数酸碱的侵蚀，吸水性小，在低温时仍能保持柔软性，电绝缘性高。聚乙烯树脂粉中不含有氯元素，因此项目生产过程中无氯化氢产生及排放。</w:t>
            </w:r>
          </w:p>
          <w:p>
            <w:pPr>
              <w:ind w:firstLine="482"/>
              <w:rPr>
                <w:color w:val="000000"/>
              </w:rPr>
            </w:pPr>
            <w:r>
              <w:rPr>
                <w:rFonts w:hint="eastAsia"/>
                <w:b/>
                <w:bCs/>
                <w:color w:val="000000"/>
              </w:rPr>
              <w:t>钙粉</w:t>
            </w:r>
            <w:r>
              <w:rPr>
                <w:b/>
                <w:bCs/>
                <w:color w:val="000000"/>
              </w:rPr>
              <w:t>：</w:t>
            </w:r>
            <w:r>
              <w:t>是用化学加工方法制得的。由于它的沉降体积（2.4~2.8ml/g）比用机械方法生产的重质碳酸钙沉降体积（1.1~1.9ml/g）大，因此被称为轻质碳酸钙。其特点为白色粉末或无色结晶、无气味。碳酸钙在塑料制品中能起到一种骨架作用，对塑料制品尺寸的稳定性有很大作用，能提高制品的硬度，还可以提高制品的表面光泽和表面平整性。在一般塑料制品中添加碳酸钙耐热性可以提高，由于碳酸钙白度在 90%以上，还可以取代昂贵的白色颜料起到一定的增白作用。</w:t>
            </w:r>
          </w:p>
          <w:p>
            <w:pPr>
              <w:ind w:firstLine="482"/>
            </w:pPr>
            <w:r>
              <w:rPr>
                <w:rFonts w:hint="eastAsia"/>
                <w:b/>
                <w:bCs/>
              </w:rPr>
              <w:t>ASA树脂膜</w:t>
            </w:r>
            <w:r>
              <w:rPr>
                <w:b/>
                <w:bCs/>
              </w:rPr>
              <w:t>：</w:t>
            </w:r>
            <w:r>
              <w:rPr>
                <w:rFonts w:hint="eastAsia"/>
              </w:rPr>
              <w:t>超耐候性改性共挤料，由丙烯腈和丁二烯橡胶组成，具有极佳的机械物理性能，很强的耐候性。可抵抗紫外线照射引起的降解、老化、褪色，同时对大气中的氧化加工过程中的高温引起的分解或变色有坚强的保障，不同颜色的 ASA 经过挤塑形成不同颜色的成品树脂瓦。</w:t>
            </w:r>
          </w:p>
          <w:p>
            <w:pPr>
              <w:pStyle w:val="22"/>
              <w:spacing w:after="0" w:line="360" w:lineRule="auto"/>
              <w:ind w:left="0" w:leftChars="0" w:firstLine="482"/>
              <w:rPr>
                <w:b/>
                <w:bCs/>
                <w:color w:val="000000"/>
                <w:sz w:val="24"/>
                <w:szCs w:val="24"/>
              </w:rPr>
            </w:pPr>
            <w:r>
              <w:rPr>
                <w:rFonts w:hint="eastAsia"/>
                <w:b/>
                <w:bCs/>
                <w:color w:val="000000"/>
                <w:sz w:val="24"/>
                <w:szCs w:val="24"/>
              </w:rPr>
              <w:t>5、主要设备清单</w:t>
            </w:r>
          </w:p>
          <w:p>
            <w:pPr>
              <w:pStyle w:val="54"/>
              <w:spacing w:before="156"/>
            </w:pPr>
            <w:r>
              <w:rPr>
                <w:rFonts w:hint="eastAsia"/>
              </w:rPr>
              <w:t>表2-</w:t>
            </w:r>
            <w:r>
              <w:t xml:space="preserve">5  </w:t>
            </w:r>
            <w:r>
              <w:rPr>
                <w:rFonts w:hint="eastAsia"/>
              </w:rPr>
              <w:t>项目主要设备清单</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1867"/>
              <w:gridCol w:w="2186"/>
              <w:gridCol w:w="1517"/>
              <w:gridCol w:w="12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0" w:type="pct"/>
                  <w:vAlign w:val="center"/>
                </w:tcPr>
                <w:p>
                  <w:pPr>
                    <w:pStyle w:val="50"/>
                    <w:rPr>
                      <w:u w:val="single"/>
                    </w:rPr>
                  </w:pPr>
                  <w:r>
                    <w:rPr>
                      <w:u w:val="single"/>
                    </w:rPr>
                    <w:t>序号</w:t>
                  </w:r>
                </w:p>
              </w:tc>
              <w:tc>
                <w:tcPr>
                  <w:tcW w:w="1227" w:type="pct"/>
                  <w:vAlign w:val="center"/>
                </w:tcPr>
                <w:p>
                  <w:pPr>
                    <w:pStyle w:val="50"/>
                    <w:rPr>
                      <w:u w:val="single"/>
                    </w:rPr>
                  </w:pPr>
                  <w:r>
                    <w:rPr>
                      <w:u w:val="single"/>
                    </w:rPr>
                    <w:t>设备名称</w:t>
                  </w:r>
                </w:p>
              </w:tc>
              <w:tc>
                <w:tcPr>
                  <w:tcW w:w="1436" w:type="pct"/>
                  <w:vAlign w:val="center"/>
                </w:tcPr>
                <w:p>
                  <w:pPr>
                    <w:pStyle w:val="50"/>
                    <w:rPr>
                      <w:u w:val="single"/>
                    </w:rPr>
                  </w:pPr>
                  <w:r>
                    <w:rPr>
                      <w:u w:val="single"/>
                    </w:rPr>
                    <w:t>型号/规格</w:t>
                  </w:r>
                </w:p>
              </w:tc>
              <w:tc>
                <w:tcPr>
                  <w:tcW w:w="997" w:type="pct"/>
                  <w:vAlign w:val="center"/>
                </w:tcPr>
                <w:p>
                  <w:pPr>
                    <w:pStyle w:val="50"/>
                    <w:rPr>
                      <w:u w:val="single"/>
                    </w:rPr>
                  </w:pPr>
                  <w:r>
                    <w:rPr>
                      <w:u w:val="single"/>
                    </w:rPr>
                    <w:t>数量</w:t>
                  </w:r>
                </w:p>
              </w:tc>
              <w:tc>
                <w:tcPr>
                  <w:tcW w:w="850" w:type="pct"/>
                  <w:vAlign w:val="center"/>
                </w:tcPr>
                <w:p>
                  <w:pPr>
                    <w:pStyle w:val="50"/>
                    <w:rPr>
                      <w:u w:val="single"/>
                    </w:rPr>
                  </w:pPr>
                  <w:r>
                    <w:rPr>
                      <w:u w:val="singl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0" w:type="pct"/>
                  <w:vAlign w:val="center"/>
                </w:tcPr>
                <w:p>
                  <w:pPr>
                    <w:pStyle w:val="50"/>
                    <w:rPr>
                      <w:u w:val="single"/>
                    </w:rPr>
                  </w:pPr>
                  <w:r>
                    <w:rPr>
                      <w:u w:val="single"/>
                    </w:rPr>
                    <w:t>1</w:t>
                  </w:r>
                </w:p>
              </w:tc>
              <w:tc>
                <w:tcPr>
                  <w:tcW w:w="1227" w:type="pct"/>
                  <w:vAlign w:val="center"/>
                </w:tcPr>
                <w:p>
                  <w:pPr>
                    <w:pStyle w:val="50"/>
                    <w:rPr>
                      <w:u w:val="single"/>
                    </w:rPr>
                  </w:pPr>
                  <w:r>
                    <w:rPr>
                      <w:rFonts w:hint="eastAsia"/>
                      <w:u w:val="single"/>
                    </w:rPr>
                    <w:t>自动上料机</w:t>
                  </w:r>
                </w:p>
              </w:tc>
              <w:tc>
                <w:tcPr>
                  <w:tcW w:w="1436" w:type="pct"/>
                  <w:vAlign w:val="center"/>
                </w:tcPr>
                <w:p>
                  <w:pPr>
                    <w:pStyle w:val="50"/>
                    <w:rPr>
                      <w:u w:val="single"/>
                    </w:rPr>
                  </w:pPr>
                  <w:r>
                    <w:rPr>
                      <w:rFonts w:hint="eastAsia"/>
                      <w:u w:val="single"/>
                    </w:rPr>
                    <w:t>/</w:t>
                  </w:r>
                </w:p>
              </w:tc>
              <w:tc>
                <w:tcPr>
                  <w:tcW w:w="997" w:type="pct"/>
                  <w:vAlign w:val="center"/>
                </w:tcPr>
                <w:p>
                  <w:pPr>
                    <w:pStyle w:val="50"/>
                    <w:rPr>
                      <w:u w:val="single"/>
                    </w:rPr>
                  </w:pPr>
                  <w:r>
                    <w:rPr>
                      <w:rFonts w:hint="eastAsia"/>
                      <w:u w:val="single"/>
                    </w:rPr>
                    <w:t>1套</w:t>
                  </w:r>
                </w:p>
              </w:tc>
              <w:tc>
                <w:tcPr>
                  <w:tcW w:w="850" w:type="pct"/>
                  <w:vAlign w:val="center"/>
                </w:tcPr>
                <w:p>
                  <w:pPr>
                    <w:pStyle w:val="50"/>
                    <w:rPr>
                      <w:u w:val="single"/>
                    </w:rPr>
                  </w:pPr>
                  <w:r>
                    <w:rPr>
                      <w:u w:val="single"/>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0" w:type="pct"/>
                  <w:vAlign w:val="center"/>
                </w:tcPr>
                <w:p>
                  <w:pPr>
                    <w:pStyle w:val="50"/>
                    <w:rPr>
                      <w:u w:val="single"/>
                    </w:rPr>
                  </w:pPr>
                  <w:r>
                    <w:rPr>
                      <w:u w:val="single"/>
                    </w:rPr>
                    <w:t>2</w:t>
                  </w:r>
                </w:p>
              </w:tc>
              <w:tc>
                <w:tcPr>
                  <w:tcW w:w="1227" w:type="pct"/>
                  <w:vAlign w:val="center"/>
                </w:tcPr>
                <w:p>
                  <w:pPr>
                    <w:pStyle w:val="50"/>
                    <w:rPr>
                      <w:u w:val="single"/>
                    </w:rPr>
                  </w:pPr>
                  <w:r>
                    <w:rPr>
                      <w:rFonts w:hint="eastAsia"/>
                      <w:u w:val="single"/>
                    </w:rPr>
                    <w:t>锥双螺杆</w:t>
                  </w:r>
                </w:p>
              </w:tc>
              <w:tc>
                <w:tcPr>
                  <w:tcW w:w="1436" w:type="pct"/>
                  <w:vAlign w:val="center"/>
                </w:tcPr>
                <w:p>
                  <w:pPr>
                    <w:pStyle w:val="50"/>
                    <w:rPr>
                      <w:u w:val="single"/>
                    </w:rPr>
                  </w:pPr>
                  <w:r>
                    <w:rPr>
                      <w:rFonts w:hint="eastAsia"/>
                      <w:u w:val="single"/>
                    </w:rPr>
                    <w:t>SJZS</w:t>
                  </w:r>
                  <w:r>
                    <w:rPr>
                      <w:u w:val="single"/>
                    </w:rPr>
                    <w:t>80</w:t>
                  </w:r>
                </w:p>
              </w:tc>
              <w:tc>
                <w:tcPr>
                  <w:tcW w:w="997" w:type="pct"/>
                  <w:vAlign w:val="center"/>
                </w:tcPr>
                <w:p>
                  <w:pPr>
                    <w:pStyle w:val="50"/>
                    <w:rPr>
                      <w:u w:val="single"/>
                    </w:rPr>
                  </w:pPr>
                  <w:r>
                    <w:rPr>
                      <w:rFonts w:hint="eastAsia"/>
                      <w:u w:val="single"/>
                    </w:rPr>
                    <w:t>1台</w:t>
                  </w:r>
                </w:p>
              </w:tc>
              <w:tc>
                <w:tcPr>
                  <w:tcW w:w="850" w:type="pct"/>
                  <w:vAlign w:val="center"/>
                </w:tcPr>
                <w:p>
                  <w:pPr>
                    <w:pStyle w:val="50"/>
                    <w:rPr>
                      <w:u w:val="single"/>
                    </w:rPr>
                  </w:pPr>
                  <w:r>
                    <w:rPr>
                      <w:u w:val="single"/>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0" w:type="pct"/>
                  <w:vAlign w:val="center"/>
                </w:tcPr>
                <w:p>
                  <w:pPr>
                    <w:pStyle w:val="50"/>
                    <w:rPr>
                      <w:u w:val="single"/>
                    </w:rPr>
                  </w:pPr>
                  <w:r>
                    <w:rPr>
                      <w:u w:val="single"/>
                    </w:rPr>
                    <w:t>3</w:t>
                  </w:r>
                </w:p>
              </w:tc>
              <w:tc>
                <w:tcPr>
                  <w:tcW w:w="1227" w:type="pct"/>
                  <w:vAlign w:val="center"/>
                </w:tcPr>
                <w:p>
                  <w:pPr>
                    <w:pStyle w:val="50"/>
                    <w:rPr>
                      <w:u w:val="single"/>
                    </w:rPr>
                  </w:pPr>
                  <w:r>
                    <w:rPr>
                      <w:rFonts w:hint="eastAsia"/>
                      <w:u w:val="single"/>
                    </w:rPr>
                    <w:t>两辊机</w:t>
                  </w:r>
                </w:p>
              </w:tc>
              <w:tc>
                <w:tcPr>
                  <w:tcW w:w="1436" w:type="pct"/>
                  <w:vAlign w:val="center"/>
                </w:tcPr>
                <w:p>
                  <w:pPr>
                    <w:pStyle w:val="50"/>
                    <w:rPr>
                      <w:u w:val="single"/>
                    </w:rPr>
                  </w:pPr>
                  <w:r>
                    <w:rPr>
                      <w:rFonts w:hint="eastAsia"/>
                      <w:u w:val="single"/>
                    </w:rPr>
                    <w:t>2</w:t>
                  </w:r>
                  <w:r>
                    <w:rPr>
                      <w:u w:val="single"/>
                    </w:rPr>
                    <w:t>.2</w:t>
                  </w:r>
                  <w:r>
                    <w:rPr>
                      <w:rFonts w:hint="eastAsia"/>
                      <w:u w:val="single"/>
                    </w:rPr>
                    <w:t>KW</w:t>
                  </w:r>
                </w:p>
              </w:tc>
              <w:tc>
                <w:tcPr>
                  <w:tcW w:w="997" w:type="pct"/>
                  <w:vAlign w:val="center"/>
                </w:tcPr>
                <w:p>
                  <w:pPr>
                    <w:pStyle w:val="50"/>
                    <w:rPr>
                      <w:u w:val="single"/>
                    </w:rPr>
                  </w:pPr>
                  <w:r>
                    <w:rPr>
                      <w:rFonts w:hint="eastAsia"/>
                      <w:u w:val="single"/>
                    </w:rPr>
                    <w:t>1台</w:t>
                  </w:r>
                </w:p>
              </w:tc>
              <w:tc>
                <w:tcPr>
                  <w:tcW w:w="850" w:type="pct"/>
                  <w:vAlign w:val="center"/>
                </w:tcPr>
                <w:p>
                  <w:pPr>
                    <w:pStyle w:val="50"/>
                    <w:rPr>
                      <w:u w:val="single"/>
                    </w:rPr>
                  </w:pPr>
                  <w:r>
                    <w:rPr>
                      <w:u w:val="single"/>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0" w:type="pct"/>
                  <w:vAlign w:val="center"/>
                </w:tcPr>
                <w:p>
                  <w:pPr>
                    <w:pStyle w:val="50"/>
                    <w:rPr>
                      <w:u w:val="single"/>
                    </w:rPr>
                  </w:pPr>
                  <w:r>
                    <w:rPr>
                      <w:u w:val="single"/>
                    </w:rPr>
                    <w:t>4</w:t>
                  </w:r>
                </w:p>
              </w:tc>
              <w:tc>
                <w:tcPr>
                  <w:tcW w:w="1227" w:type="pct"/>
                  <w:vAlign w:val="center"/>
                </w:tcPr>
                <w:p>
                  <w:pPr>
                    <w:pStyle w:val="50"/>
                    <w:rPr>
                      <w:u w:val="single"/>
                    </w:rPr>
                  </w:pPr>
                  <w:r>
                    <w:rPr>
                      <w:rFonts w:hint="eastAsia"/>
                      <w:u w:val="single"/>
                    </w:rPr>
                    <w:t>成型机</w:t>
                  </w:r>
                </w:p>
              </w:tc>
              <w:tc>
                <w:tcPr>
                  <w:tcW w:w="1436" w:type="pct"/>
                  <w:vAlign w:val="center"/>
                </w:tcPr>
                <w:p>
                  <w:pPr>
                    <w:pStyle w:val="50"/>
                    <w:rPr>
                      <w:u w:val="single"/>
                    </w:rPr>
                  </w:pPr>
                  <w:r>
                    <w:rPr>
                      <w:rFonts w:hint="eastAsia"/>
                      <w:u w:val="single"/>
                    </w:rPr>
                    <w:t>8</w:t>
                  </w:r>
                  <w:r>
                    <w:rPr>
                      <w:u w:val="single"/>
                    </w:rPr>
                    <w:t>.5</w:t>
                  </w:r>
                  <w:r>
                    <w:rPr>
                      <w:rFonts w:hint="eastAsia"/>
                      <w:u w:val="single"/>
                    </w:rPr>
                    <w:t>KW</w:t>
                  </w:r>
                </w:p>
              </w:tc>
              <w:tc>
                <w:tcPr>
                  <w:tcW w:w="997" w:type="pct"/>
                  <w:vAlign w:val="center"/>
                </w:tcPr>
                <w:p>
                  <w:pPr>
                    <w:pStyle w:val="50"/>
                    <w:rPr>
                      <w:u w:val="single"/>
                    </w:rPr>
                  </w:pPr>
                  <w:r>
                    <w:rPr>
                      <w:rFonts w:hint="eastAsia"/>
                      <w:u w:val="single"/>
                    </w:rPr>
                    <w:t>1台</w:t>
                  </w:r>
                </w:p>
              </w:tc>
              <w:tc>
                <w:tcPr>
                  <w:tcW w:w="850" w:type="pct"/>
                  <w:vAlign w:val="center"/>
                </w:tcPr>
                <w:p>
                  <w:pPr>
                    <w:pStyle w:val="50"/>
                    <w:rPr>
                      <w:u w:val="single"/>
                    </w:rPr>
                  </w:pPr>
                  <w:r>
                    <w:rPr>
                      <w:u w:val="single"/>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0" w:type="pct"/>
                  <w:vAlign w:val="center"/>
                </w:tcPr>
                <w:p>
                  <w:pPr>
                    <w:pStyle w:val="50"/>
                    <w:rPr>
                      <w:u w:val="single"/>
                    </w:rPr>
                  </w:pPr>
                  <w:r>
                    <w:rPr>
                      <w:u w:val="single"/>
                    </w:rPr>
                    <w:t>5</w:t>
                  </w:r>
                </w:p>
              </w:tc>
              <w:tc>
                <w:tcPr>
                  <w:tcW w:w="1227" w:type="pct"/>
                  <w:vAlign w:val="center"/>
                </w:tcPr>
                <w:p>
                  <w:pPr>
                    <w:pStyle w:val="50"/>
                    <w:rPr>
                      <w:u w:val="single"/>
                    </w:rPr>
                  </w:pPr>
                  <w:r>
                    <w:rPr>
                      <w:rFonts w:hint="eastAsia"/>
                      <w:u w:val="single"/>
                    </w:rPr>
                    <w:t>切割机</w:t>
                  </w:r>
                </w:p>
              </w:tc>
              <w:tc>
                <w:tcPr>
                  <w:tcW w:w="1436" w:type="pct"/>
                  <w:vAlign w:val="center"/>
                </w:tcPr>
                <w:p>
                  <w:pPr>
                    <w:pStyle w:val="50"/>
                    <w:rPr>
                      <w:u w:val="single"/>
                    </w:rPr>
                  </w:pPr>
                  <w:r>
                    <w:rPr>
                      <w:rFonts w:hint="eastAsia"/>
                      <w:u w:val="single"/>
                    </w:rPr>
                    <w:t>3KW</w:t>
                  </w:r>
                </w:p>
              </w:tc>
              <w:tc>
                <w:tcPr>
                  <w:tcW w:w="997" w:type="pct"/>
                  <w:vAlign w:val="center"/>
                </w:tcPr>
                <w:p>
                  <w:pPr>
                    <w:pStyle w:val="50"/>
                    <w:rPr>
                      <w:u w:val="single"/>
                    </w:rPr>
                  </w:pPr>
                  <w:r>
                    <w:rPr>
                      <w:rFonts w:hint="eastAsia"/>
                      <w:u w:val="single"/>
                    </w:rPr>
                    <w:t>1台</w:t>
                  </w:r>
                </w:p>
              </w:tc>
              <w:tc>
                <w:tcPr>
                  <w:tcW w:w="850" w:type="pct"/>
                  <w:vAlign w:val="center"/>
                </w:tcPr>
                <w:p>
                  <w:pPr>
                    <w:pStyle w:val="50"/>
                    <w:rPr>
                      <w:u w:val="single"/>
                    </w:rPr>
                  </w:pPr>
                  <w:r>
                    <w:rPr>
                      <w:u w:val="single"/>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0" w:type="pct"/>
                  <w:vAlign w:val="center"/>
                </w:tcPr>
                <w:p>
                  <w:pPr>
                    <w:pStyle w:val="50"/>
                    <w:rPr>
                      <w:u w:val="single"/>
                    </w:rPr>
                  </w:pPr>
                  <w:r>
                    <w:rPr>
                      <w:u w:val="single"/>
                    </w:rPr>
                    <w:t>6</w:t>
                  </w:r>
                </w:p>
              </w:tc>
              <w:tc>
                <w:tcPr>
                  <w:tcW w:w="1227" w:type="pct"/>
                  <w:vAlign w:val="center"/>
                </w:tcPr>
                <w:p>
                  <w:pPr>
                    <w:pStyle w:val="50"/>
                    <w:rPr>
                      <w:u w:val="single"/>
                    </w:rPr>
                  </w:pPr>
                  <w:r>
                    <w:rPr>
                      <w:rFonts w:hint="eastAsia"/>
                      <w:u w:val="single"/>
                    </w:rPr>
                    <w:t>料架</w:t>
                  </w:r>
                </w:p>
              </w:tc>
              <w:tc>
                <w:tcPr>
                  <w:tcW w:w="1436" w:type="pct"/>
                  <w:vAlign w:val="center"/>
                </w:tcPr>
                <w:p>
                  <w:pPr>
                    <w:pStyle w:val="50"/>
                    <w:rPr>
                      <w:u w:val="single"/>
                    </w:rPr>
                  </w:pPr>
                  <w:r>
                    <w:rPr>
                      <w:rFonts w:hint="eastAsia"/>
                      <w:u w:val="single"/>
                    </w:rPr>
                    <w:t>6</w:t>
                  </w:r>
                  <w:r>
                    <w:rPr>
                      <w:u w:val="single"/>
                    </w:rPr>
                    <w:t>.12</w:t>
                  </w:r>
                  <w:r>
                    <w:rPr>
                      <w:rFonts w:hint="eastAsia"/>
                      <w:u w:val="single"/>
                    </w:rPr>
                    <w:t>m</w:t>
                  </w:r>
                </w:p>
              </w:tc>
              <w:tc>
                <w:tcPr>
                  <w:tcW w:w="997" w:type="pct"/>
                  <w:vAlign w:val="center"/>
                </w:tcPr>
                <w:p>
                  <w:pPr>
                    <w:pStyle w:val="50"/>
                    <w:rPr>
                      <w:u w:val="single"/>
                    </w:rPr>
                  </w:pPr>
                  <w:r>
                    <w:rPr>
                      <w:rFonts w:hint="eastAsia"/>
                      <w:u w:val="single"/>
                    </w:rPr>
                    <w:t>1台</w:t>
                  </w:r>
                </w:p>
              </w:tc>
              <w:tc>
                <w:tcPr>
                  <w:tcW w:w="850" w:type="pct"/>
                  <w:vAlign w:val="center"/>
                </w:tcPr>
                <w:p>
                  <w:pPr>
                    <w:pStyle w:val="50"/>
                    <w:rPr>
                      <w:u w:val="single"/>
                    </w:rPr>
                  </w:pPr>
                  <w:r>
                    <w:rPr>
                      <w:u w:val="single"/>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0" w:type="pct"/>
                  <w:vAlign w:val="center"/>
                </w:tcPr>
                <w:p>
                  <w:pPr>
                    <w:pStyle w:val="50"/>
                    <w:rPr>
                      <w:u w:val="single"/>
                    </w:rPr>
                  </w:pPr>
                  <w:r>
                    <w:rPr>
                      <w:u w:val="single"/>
                    </w:rPr>
                    <w:t>7</w:t>
                  </w:r>
                </w:p>
              </w:tc>
              <w:tc>
                <w:tcPr>
                  <w:tcW w:w="1227" w:type="pct"/>
                  <w:vAlign w:val="center"/>
                </w:tcPr>
                <w:p>
                  <w:pPr>
                    <w:pStyle w:val="50"/>
                    <w:rPr>
                      <w:u w:val="single"/>
                    </w:rPr>
                  </w:pPr>
                  <w:r>
                    <w:rPr>
                      <w:rFonts w:hint="eastAsia"/>
                      <w:u w:val="single"/>
                    </w:rPr>
                    <w:t>波浪瓦辅机</w:t>
                  </w:r>
                </w:p>
              </w:tc>
              <w:tc>
                <w:tcPr>
                  <w:tcW w:w="1436" w:type="pct"/>
                  <w:vAlign w:val="center"/>
                </w:tcPr>
                <w:p>
                  <w:pPr>
                    <w:pStyle w:val="50"/>
                    <w:rPr>
                      <w:u w:val="single"/>
                    </w:rPr>
                  </w:pPr>
                  <w:r>
                    <w:rPr>
                      <w:rFonts w:hint="eastAsia"/>
                      <w:u w:val="single"/>
                    </w:rPr>
                    <w:t>3KW</w:t>
                  </w:r>
                </w:p>
              </w:tc>
              <w:tc>
                <w:tcPr>
                  <w:tcW w:w="997" w:type="pct"/>
                  <w:vAlign w:val="center"/>
                </w:tcPr>
                <w:p>
                  <w:pPr>
                    <w:pStyle w:val="50"/>
                    <w:rPr>
                      <w:u w:val="single"/>
                    </w:rPr>
                  </w:pPr>
                  <w:r>
                    <w:rPr>
                      <w:rFonts w:hint="eastAsia"/>
                      <w:u w:val="single"/>
                    </w:rPr>
                    <w:t>1台</w:t>
                  </w:r>
                </w:p>
              </w:tc>
              <w:tc>
                <w:tcPr>
                  <w:tcW w:w="850" w:type="pct"/>
                  <w:vAlign w:val="center"/>
                </w:tcPr>
                <w:p>
                  <w:pPr>
                    <w:pStyle w:val="50"/>
                    <w:rPr>
                      <w:u w:val="single"/>
                    </w:rPr>
                  </w:pPr>
                  <w:r>
                    <w:rPr>
                      <w:u w:val="single"/>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0" w:type="pct"/>
                  <w:vAlign w:val="center"/>
                </w:tcPr>
                <w:p>
                  <w:pPr>
                    <w:pStyle w:val="50"/>
                    <w:rPr>
                      <w:u w:val="single"/>
                    </w:rPr>
                  </w:pPr>
                  <w:r>
                    <w:rPr>
                      <w:u w:val="single"/>
                    </w:rPr>
                    <w:t>8</w:t>
                  </w:r>
                </w:p>
              </w:tc>
              <w:tc>
                <w:tcPr>
                  <w:tcW w:w="1227" w:type="pct"/>
                  <w:vAlign w:val="center"/>
                </w:tcPr>
                <w:p>
                  <w:pPr>
                    <w:pStyle w:val="50"/>
                    <w:rPr>
                      <w:u w:val="single"/>
                    </w:rPr>
                  </w:pPr>
                  <w:r>
                    <w:rPr>
                      <w:rFonts w:hint="eastAsia"/>
                      <w:u w:val="single"/>
                    </w:rPr>
                    <w:t>破碎机</w:t>
                  </w:r>
                </w:p>
              </w:tc>
              <w:tc>
                <w:tcPr>
                  <w:tcW w:w="1436" w:type="pct"/>
                  <w:vAlign w:val="center"/>
                </w:tcPr>
                <w:p>
                  <w:pPr>
                    <w:pStyle w:val="50"/>
                    <w:rPr>
                      <w:u w:val="single"/>
                    </w:rPr>
                  </w:pPr>
                  <w:r>
                    <w:rPr>
                      <w:rFonts w:hint="eastAsia"/>
                      <w:u w:val="single"/>
                    </w:rPr>
                    <w:t>1</w:t>
                  </w:r>
                  <w:r>
                    <w:rPr>
                      <w:u w:val="single"/>
                    </w:rPr>
                    <w:t>1</w:t>
                  </w:r>
                  <w:r>
                    <w:rPr>
                      <w:rFonts w:hint="eastAsia"/>
                      <w:u w:val="single"/>
                    </w:rPr>
                    <w:t>KW</w:t>
                  </w:r>
                </w:p>
              </w:tc>
              <w:tc>
                <w:tcPr>
                  <w:tcW w:w="997" w:type="pct"/>
                  <w:vAlign w:val="center"/>
                </w:tcPr>
                <w:p>
                  <w:pPr>
                    <w:pStyle w:val="50"/>
                    <w:rPr>
                      <w:u w:val="single"/>
                    </w:rPr>
                  </w:pPr>
                  <w:r>
                    <w:rPr>
                      <w:rFonts w:hint="eastAsia"/>
                      <w:u w:val="single"/>
                    </w:rPr>
                    <w:t>1台</w:t>
                  </w:r>
                </w:p>
              </w:tc>
              <w:tc>
                <w:tcPr>
                  <w:tcW w:w="850" w:type="pct"/>
                  <w:vAlign w:val="center"/>
                </w:tcPr>
                <w:p>
                  <w:pPr>
                    <w:pStyle w:val="50"/>
                    <w:rPr>
                      <w:u w:val="single"/>
                    </w:rPr>
                  </w:pPr>
                  <w:r>
                    <w:rPr>
                      <w:u w:val="single"/>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90" w:type="pct"/>
                  <w:vAlign w:val="center"/>
                </w:tcPr>
                <w:p>
                  <w:pPr>
                    <w:pStyle w:val="50"/>
                    <w:rPr>
                      <w:u w:val="single"/>
                    </w:rPr>
                  </w:pPr>
                  <w:r>
                    <w:rPr>
                      <w:u w:val="single"/>
                    </w:rPr>
                    <w:t>9</w:t>
                  </w:r>
                </w:p>
              </w:tc>
              <w:tc>
                <w:tcPr>
                  <w:tcW w:w="1227" w:type="pct"/>
                  <w:vAlign w:val="center"/>
                </w:tcPr>
                <w:p>
                  <w:pPr>
                    <w:pStyle w:val="50"/>
                    <w:rPr>
                      <w:u w:val="single"/>
                    </w:rPr>
                  </w:pPr>
                  <w:r>
                    <w:rPr>
                      <w:rFonts w:hint="eastAsia"/>
                      <w:u w:val="single"/>
                    </w:rPr>
                    <w:t>冷热混合机</w:t>
                  </w:r>
                </w:p>
              </w:tc>
              <w:tc>
                <w:tcPr>
                  <w:tcW w:w="1436" w:type="pct"/>
                  <w:vAlign w:val="center"/>
                </w:tcPr>
                <w:p>
                  <w:pPr>
                    <w:pStyle w:val="50"/>
                    <w:rPr>
                      <w:u w:val="single"/>
                    </w:rPr>
                  </w:pPr>
                  <w:r>
                    <w:rPr>
                      <w:rFonts w:hint="eastAsia"/>
                      <w:u w:val="single"/>
                    </w:rPr>
                    <w:t>5</w:t>
                  </w:r>
                  <w:r>
                    <w:rPr>
                      <w:u w:val="single"/>
                    </w:rPr>
                    <w:t>5/11</w:t>
                  </w:r>
                  <w:r>
                    <w:rPr>
                      <w:rFonts w:hint="eastAsia"/>
                      <w:u w:val="single"/>
                    </w:rPr>
                    <w:t>KW</w:t>
                  </w:r>
                </w:p>
              </w:tc>
              <w:tc>
                <w:tcPr>
                  <w:tcW w:w="997" w:type="pct"/>
                  <w:vAlign w:val="center"/>
                </w:tcPr>
                <w:p>
                  <w:pPr>
                    <w:pStyle w:val="50"/>
                    <w:rPr>
                      <w:u w:val="single"/>
                    </w:rPr>
                  </w:pPr>
                  <w:r>
                    <w:rPr>
                      <w:rFonts w:hint="eastAsia"/>
                      <w:u w:val="single"/>
                    </w:rPr>
                    <w:t>1台</w:t>
                  </w:r>
                </w:p>
              </w:tc>
              <w:tc>
                <w:tcPr>
                  <w:tcW w:w="850" w:type="pct"/>
                  <w:vAlign w:val="center"/>
                </w:tcPr>
                <w:p>
                  <w:pPr>
                    <w:pStyle w:val="50"/>
                    <w:rPr>
                      <w:u w:val="single"/>
                    </w:rPr>
                  </w:pPr>
                  <w:r>
                    <w:rPr>
                      <w:u w:val="single"/>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0" w:type="pct"/>
                  <w:vAlign w:val="center"/>
                </w:tcPr>
                <w:p>
                  <w:pPr>
                    <w:pStyle w:val="50"/>
                    <w:rPr>
                      <w:u w:val="single"/>
                    </w:rPr>
                  </w:pPr>
                  <w:r>
                    <w:rPr>
                      <w:u w:val="single"/>
                    </w:rPr>
                    <w:t>10</w:t>
                  </w:r>
                </w:p>
              </w:tc>
              <w:tc>
                <w:tcPr>
                  <w:tcW w:w="1227" w:type="pct"/>
                  <w:vAlign w:val="center"/>
                </w:tcPr>
                <w:p>
                  <w:pPr>
                    <w:pStyle w:val="50"/>
                    <w:rPr>
                      <w:u w:val="single"/>
                    </w:rPr>
                  </w:pPr>
                  <w:r>
                    <w:rPr>
                      <w:rFonts w:hint="eastAsia"/>
                      <w:u w:val="single"/>
                    </w:rPr>
                    <w:t>磨粉机</w:t>
                  </w:r>
                </w:p>
              </w:tc>
              <w:tc>
                <w:tcPr>
                  <w:tcW w:w="1436" w:type="pct"/>
                  <w:vAlign w:val="center"/>
                </w:tcPr>
                <w:p>
                  <w:pPr>
                    <w:pStyle w:val="50"/>
                    <w:rPr>
                      <w:u w:val="single"/>
                    </w:rPr>
                  </w:pPr>
                  <w:r>
                    <w:rPr>
                      <w:rFonts w:hint="eastAsia"/>
                      <w:u w:val="single"/>
                    </w:rPr>
                    <w:t>/</w:t>
                  </w:r>
                </w:p>
              </w:tc>
              <w:tc>
                <w:tcPr>
                  <w:tcW w:w="997" w:type="pct"/>
                  <w:vAlign w:val="center"/>
                </w:tcPr>
                <w:p>
                  <w:pPr>
                    <w:pStyle w:val="50"/>
                    <w:rPr>
                      <w:u w:val="single"/>
                    </w:rPr>
                  </w:pPr>
                  <w:r>
                    <w:rPr>
                      <w:rFonts w:hint="eastAsia"/>
                      <w:u w:val="single"/>
                    </w:rPr>
                    <w:t>1台</w:t>
                  </w:r>
                </w:p>
              </w:tc>
              <w:tc>
                <w:tcPr>
                  <w:tcW w:w="850" w:type="pct"/>
                  <w:vAlign w:val="center"/>
                </w:tcPr>
                <w:p>
                  <w:pPr>
                    <w:pStyle w:val="50"/>
                    <w:rPr>
                      <w:u w:val="single"/>
                    </w:rPr>
                  </w:pPr>
                  <w:r>
                    <w:rPr>
                      <w:u w:val="single"/>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0" w:type="pct"/>
                  <w:vAlign w:val="center"/>
                </w:tcPr>
                <w:p>
                  <w:pPr>
                    <w:pStyle w:val="50"/>
                    <w:rPr>
                      <w:u w:val="single"/>
                    </w:rPr>
                  </w:pPr>
                  <w:r>
                    <w:rPr>
                      <w:u w:val="single"/>
                    </w:rPr>
                    <w:t>11</w:t>
                  </w:r>
                </w:p>
              </w:tc>
              <w:tc>
                <w:tcPr>
                  <w:tcW w:w="1227" w:type="pct"/>
                  <w:vAlign w:val="center"/>
                </w:tcPr>
                <w:p>
                  <w:pPr>
                    <w:pStyle w:val="50"/>
                    <w:rPr>
                      <w:u w:val="single"/>
                    </w:rPr>
                  </w:pPr>
                  <w:r>
                    <w:rPr>
                      <w:rFonts w:hint="eastAsia"/>
                      <w:u w:val="single"/>
                    </w:rPr>
                    <w:t>风机</w:t>
                  </w:r>
                </w:p>
              </w:tc>
              <w:tc>
                <w:tcPr>
                  <w:tcW w:w="1436" w:type="pct"/>
                  <w:vAlign w:val="center"/>
                </w:tcPr>
                <w:p>
                  <w:pPr>
                    <w:pStyle w:val="50"/>
                    <w:rPr>
                      <w:u w:val="single"/>
                    </w:rPr>
                  </w:pPr>
                  <w:r>
                    <w:rPr>
                      <w:rFonts w:hint="eastAsia"/>
                      <w:u w:val="single"/>
                    </w:rPr>
                    <w:t>3</w:t>
                  </w:r>
                  <w:r>
                    <w:rPr>
                      <w:u w:val="single"/>
                    </w:rPr>
                    <w:t>5</w:t>
                  </w:r>
                  <w:r>
                    <w:rPr>
                      <w:rFonts w:hint="eastAsia"/>
                      <w:u w:val="single"/>
                    </w:rPr>
                    <w:t>k</w:t>
                  </w:r>
                  <w:r>
                    <w:rPr>
                      <w:u w:val="single"/>
                    </w:rPr>
                    <w:t>w</w:t>
                  </w:r>
                </w:p>
              </w:tc>
              <w:tc>
                <w:tcPr>
                  <w:tcW w:w="997" w:type="pct"/>
                  <w:vAlign w:val="center"/>
                </w:tcPr>
                <w:p>
                  <w:pPr>
                    <w:pStyle w:val="50"/>
                    <w:rPr>
                      <w:u w:val="single"/>
                    </w:rPr>
                  </w:pPr>
                  <w:r>
                    <w:rPr>
                      <w:rFonts w:hint="eastAsia"/>
                      <w:u w:val="single"/>
                    </w:rPr>
                    <w:t>2台</w:t>
                  </w:r>
                </w:p>
              </w:tc>
              <w:tc>
                <w:tcPr>
                  <w:tcW w:w="850" w:type="pct"/>
                  <w:vAlign w:val="center"/>
                </w:tcPr>
                <w:p>
                  <w:pPr>
                    <w:pStyle w:val="50"/>
                    <w:rPr>
                      <w:u w:val="single"/>
                    </w:rPr>
                  </w:pPr>
                  <w:r>
                    <w:rPr>
                      <w:u w:val="single"/>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0" w:type="pct"/>
                  <w:vAlign w:val="center"/>
                </w:tcPr>
                <w:p>
                  <w:pPr>
                    <w:pStyle w:val="50"/>
                    <w:rPr>
                      <w:u w:val="single"/>
                    </w:rPr>
                  </w:pPr>
                  <w:r>
                    <w:rPr>
                      <w:u w:val="single"/>
                    </w:rPr>
                    <w:t>12</w:t>
                  </w:r>
                </w:p>
              </w:tc>
              <w:tc>
                <w:tcPr>
                  <w:tcW w:w="1227" w:type="pct"/>
                  <w:vAlign w:val="center"/>
                </w:tcPr>
                <w:p>
                  <w:pPr>
                    <w:pStyle w:val="50"/>
                    <w:rPr>
                      <w:u w:val="single"/>
                    </w:rPr>
                  </w:pPr>
                  <w:r>
                    <w:rPr>
                      <w:rFonts w:hint="eastAsia"/>
                      <w:u w:val="single"/>
                    </w:rPr>
                    <w:t>袋式除尘器</w:t>
                  </w:r>
                </w:p>
              </w:tc>
              <w:tc>
                <w:tcPr>
                  <w:tcW w:w="1436" w:type="pct"/>
                  <w:vAlign w:val="center"/>
                </w:tcPr>
                <w:p>
                  <w:pPr>
                    <w:pStyle w:val="50"/>
                    <w:rPr>
                      <w:u w:val="single"/>
                    </w:rPr>
                  </w:pPr>
                  <w:r>
                    <w:rPr>
                      <w:rFonts w:hint="eastAsia"/>
                      <w:u w:val="single"/>
                    </w:rPr>
                    <w:t>/</w:t>
                  </w:r>
                </w:p>
              </w:tc>
              <w:tc>
                <w:tcPr>
                  <w:tcW w:w="997" w:type="pct"/>
                  <w:vAlign w:val="center"/>
                </w:tcPr>
                <w:p>
                  <w:pPr>
                    <w:pStyle w:val="50"/>
                    <w:rPr>
                      <w:u w:val="single"/>
                    </w:rPr>
                  </w:pPr>
                  <w:r>
                    <w:rPr>
                      <w:rFonts w:hint="eastAsia"/>
                      <w:u w:val="single"/>
                    </w:rPr>
                    <w:t>1台</w:t>
                  </w:r>
                </w:p>
              </w:tc>
              <w:tc>
                <w:tcPr>
                  <w:tcW w:w="850" w:type="pct"/>
                  <w:vAlign w:val="center"/>
                </w:tcPr>
                <w:p>
                  <w:pPr>
                    <w:pStyle w:val="50"/>
                    <w:rPr>
                      <w:u w:val="single"/>
                    </w:rPr>
                  </w:pPr>
                  <w:r>
                    <w:rPr>
                      <w:u w:val="single"/>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0" w:type="pct"/>
                  <w:vAlign w:val="center"/>
                </w:tcPr>
                <w:p>
                  <w:pPr>
                    <w:pStyle w:val="50"/>
                    <w:rPr>
                      <w:u w:val="single"/>
                    </w:rPr>
                  </w:pPr>
                  <w:r>
                    <w:rPr>
                      <w:u w:val="single"/>
                    </w:rPr>
                    <w:t>13</w:t>
                  </w:r>
                </w:p>
              </w:tc>
              <w:tc>
                <w:tcPr>
                  <w:tcW w:w="1227" w:type="pct"/>
                  <w:vAlign w:val="center"/>
                </w:tcPr>
                <w:p>
                  <w:pPr>
                    <w:pStyle w:val="50"/>
                    <w:rPr>
                      <w:u w:val="single"/>
                    </w:rPr>
                  </w:pPr>
                  <w:r>
                    <w:rPr>
                      <w:rFonts w:hint="eastAsia"/>
                      <w:u w:val="single"/>
                    </w:rPr>
                    <w:t>活性炭吸附箱</w:t>
                  </w:r>
                </w:p>
              </w:tc>
              <w:tc>
                <w:tcPr>
                  <w:tcW w:w="1436" w:type="pct"/>
                  <w:vAlign w:val="center"/>
                </w:tcPr>
                <w:p>
                  <w:pPr>
                    <w:pStyle w:val="50"/>
                    <w:rPr>
                      <w:u w:val="single"/>
                    </w:rPr>
                  </w:pPr>
                  <w:r>
                    <w:rPr>
                      <w:u w:val="single"/>
                    </w:rPr>
                    <w:t>1</w:t>
                  </w:r>
                  <w:r>
                    <w:rPr>
                      <w:rFonts w:hint="eastAsia"/>
                      <w:u w:val="single"/>
                    </w:rPr>
                    <w:t>m</w:t>
                  </w:r>
                  <w:r>
                    <w:rPr>
                      <w:u w:val="single"/>
                      <w:vertAlign w:val="superscript"/>
                    </w:rPr>
                    <w:t>3</w:t>
                  </w:r>
                </w:p>
              </w:tc>
              <w:tc>
                <w:tcPr>
                  <w:tcW w:w="997" w:type="pct"/>
                  <w:vAlign w:val="center"/>
                </w:tcPr>
                <w:p>
                  <w:pPr>
                    <w:pStyle w:val="50"/>
                    <w:rPr>
                      <w:u w:val="single"/>
                    </w:rPr>
                  </w:pPr>
                  <w:r>
                    <w:rPr>
                      <w:rFonts w:hint="eastAsia"/>
                      <w:u w:val="single"/>
                    </w:rPr>
                    <w:t>1台</w:t>
                  </w:r>
                </w:p>
              </w:tc>
              <w:tc>
                <w:tcPr>
                  <w:tcW w:w="850" w:type="pct"/>
                  <w:vAlign w:val="center"/>
                </w:tcPr>
                <w:p>
                  <w:pPr>
                    <w:pStyle w:val="50"/>
                    <w:rPr>
                      <w:u w:val="single"/>
                    </w:rPr>
                  </w:pPr>
                  <w:r>
                    <w:rPr>
                      <w:u w:val="single"/>
                    </w:rPr>
                    <w:t>外购</w:t>
                  </w:r>
                </w:p>
              </w:tc>
            </w:tr>
          </w:tbl>
          <w:p>
            <w:pPr>
              <w:ind w:firstLine="482"/>
              <w:rPr>
                <w:b/>
                <w:bCs/>
                <w:color w:val="000000"/>
              </w:rPr>
            </w:pPr>
            <w:r>
              <w:rPr>
                <w:rFonts w:hint="eastAsia"/>
                <w:b/>
                <w:bCs/>
                <w:color w:val="000000"/>
              </w:rPr>
              <w:t>6、劳动组织</w:t>
            </w:r>
          </w:p>
          <w:p>
            <w:pPr>
              <w:ind w:firstLine="480"/>
              <w:rPr>
                <w:bCs/>
                <w:color w:val="000000"/>
                <w:kern w:val="0"/>
              </w:rPr>
            </w:pPr>
            <w:r>
              <w:rPr>
                <w:bCs/>
                <w:color w:val="000000"/>
                <w:kern w:val="0"/>
              </w:rPr>
              <w:t>项目劳动定员10人，均不在厂区内食宿。</w:t>
            </w:r>
            <w:r>
              <w:rPr>
                <w:rFonts w:hint="eastAsia"/>
                <w:bCs/>
                <w:color w:val="000000"/>
                <w:kern w:val="0"/>
              </w:rPr>
              <w:t>每天工作</w:t>
            </w:r>
            <w:r>
              <w:rPr>
                <w:bCs/>
                <w:color w:val="000000"/>
                <w:kern w:val="0"/>
              </w:rPr>
              <w:t>8小时，年工作时间300天。</w:t>
            </w:r>
          </w:p>
          <w:p>
            <w:pPr>
              <w:ind w:firstLine="482"/>
              <w:rPr>
                <w:b/>
                <w:bCs/>
                <w:color w:val="000000"/>
              </w:rPr>
            </w:pPr>
            <w:r>
              <w:rPr>
                <w:b/>
                <w:bCs/>
                <w:color w:val="000000"/>
              </w:rPr>
              <w:t>7、公用工程</w:t>
            </w:r>
          </w:p>
          <w:p>
            <w:pPr>
              <w:ind w:firstLine="482"/>
              <w:rPr>
                <w:b/>
                <w:bCs/>
                <w:color w:val="000000"/>
              </w:rPr>
            </w:pPr>
            <w:r>
              <w:rPr>
                <w:b/>
                <w:bCs/>
                <w:color w:val="000000"/>
              </w:rPr>
              <w:t>（1）给、排水</w:t>
            </w:r>
          </w:p>
          <w:p>
            <w:pPr>
              <w:pStyle w:val="22"/>
              <w:spacing w:after="0" w:line="360" w:lineRule="auto"/>
              <w:ind w:left="0" w:leftChars="0" w:firstLine="480"/>
              <w:rPr>
                <w:color w:val="000000"/>
                <w:sz w:val="24"/>
                <w:szCs w:val="24"/>
              </w:rPr>
            </w:pPr>
            <w:r>
              <w:rPr>
                <w:rFonts w:hint="eastAsia" w:ascii="宋体" w:hAnsi="宋体" w:cs="宋体"/>
                <w:color w:val="000000"/>
                <w:sz w:val="24"/>
                <w:szCs w:val="24"/>
              </w:rPr>
              <w:t>①</w:t>
            </w:r>
            <w:r>
              <w:rPr>
                <w:color w:val="000000"/>
                <w:sz w:val="24"/>
                <w:szCs w:val="24"/>
              </w:rPr>
              <w:t>给水</w:t>
            </w:r>
          </w:p>
          <w:p>
            <w:pPr>
              <w:pStyle w:val="22"/>
              <w:spacing w:after="0" w:line="360" w:lineRule="auto"/>
              <w:ind w:left="0" w:leftChars="0" w:firstLine="480"/>
              <w:rPr>
                <w:color w:val="000000"/>
                <w:sz w:val="24"/>
                <w:szCs w:val="24"/>
              </w:rPr>
            </w:pPr>
            <w:r>
              <w:rPr>
                <w:color w:val="000000"/>
                <w:sz w:val="24"/>
                <w:szCs w:val="24"/>
              </w:rPr>
              <w:t>A、供水水源</w:t>
            </w:r>
          </w:p>
          <w:p>
            <w:pPr>
              <w:pStyle w:val="22"/>
              <w:spacing w:after="0" w:line="360" w:lineRule="auto"/>
              <w:ind w:left="0" w:leftChars="0" w:firstLine="480"/>
              <w:rPr>
                <w:color w:val="000000"/>
                <w:sz w:val="24"/>
                <w:szCs w:val="24"/>
              </w:rPr>
            </w:pPr>
            <w:r>
              <w:rPr>
                <w:rFonts w:hint="eastAsia"/>
                <w:color w:val="000000"/>
                <w:sz w:val="24"/>
                <w:szCs w:val="24"/>
              </w:rPr>
              <w:t>本项目供水由永州市经济技术开发区自来水管网供水。</w:t>
            </w:r>
          </w:p>
          <w:p>
            <w:pPr>
              <w:pStyle w:val="22"/>
              <w:spacing w:after="0" w:line="360" w:lineRule="auto"/>
              <w:ind w:left="0" w:leftChars="0" w:firstLine="480"/>
              <w:rPr>
                <w:color w:val="000000"/>
                <w:sz w:val="24"/>
                <w:szCs w:val="24"/>
              </w:rPr>
            </w:pPr>
            <w:r>
              <w:rPr>
                <w:color w:val="000000"/>
                <w:sz w:val="24"/>
                <w:szCs w:val="24"/>
              </w:rPr>
              <w:t>B、用水量</w:t>
            </w:r>
          </w:p>
          <w:p>
            <w:pPr>
              <w:pStyle w:val="22"/>
              <w:spacing w:after="0" w:line="360" w:lineRule="auto"/>
              <w:ind w:left="0" w:leftChars="0" w:firstLine="482"/>
              <w:rPr>
                <w:color w:val="000000"/>
                <w:sz w:val="24"/>
                <w:szCs w:val="24"/>
              </w:rPr>
            </w:pPr>
            <w:r>
              <w:rPr>
                <w:b/>
                <w:bCs/>
                <w:color w:val="000000"/>
                <w:sz w:val="24"/>
                <w:szCs w:val="24"/>
              </w:rPr>
              <w:t>生活用水：</w:t>
            </w:r>
            <w:r>
              <w:rPr>
                <w:color w:val="000000"/>
                <w:sz w:val="24"/>
                <w:szCs w:val="24"/>
              </w:rPr>
              <w:t>本项目的员工人数为10人，不设置食堂、宿舍，用水根据《湖南省用水定额（DB43T388-2020》，按照80L/人•d计算，则本项目生活用水总量为0.8m</w:t>
            </w:r>
            <w:r>
              <w:rPr>
                <w:color w:val="000000"/>
                <w:sz w:val="24"/>
                <w:szCs w:val="24"/>
                <w:vertAlign w:val="superscript"/>
              </w:rPr>
              <w:t>3</w:t>
            </w:r>
            <w:r>
              <w:rPr>
                <w:color w:val="000000"/>
                <w:sz w:val="24"/>
                <w:szCs w:val="24"/>
              </w:rPr>
              <w:t>/d（240m</w:t>
            </w:r>
            <w:r>
              <w:rPr>
                <w:color w:val="000000"/>
                <w:sz w:val="24"/>
                <w:szCs w:val="24"/>
                <w:vertAlign w:val="superscript"/>
              </w:rPr>
              <w:t>3</w:t>
            </w:r>
            <w:r>
              <w:rPr>
                <w:color w:val="000000"/>
                <w:sz w:val="24"/>
                <w:szCs w:val="24"/>
              </w:rPr>
              <w:t>/a）。</w:t>
            </w:r>
          </w:p>
          <w:p>
            <w:pPr>
              <w:pStyle w:val="22"/>
              <w:spacing w:after="0" w:line="360" w:lineRule="auto"/>
              <w:ind w:left="0" w:leftChars="0" w:firstLine="482"/>
              <w:rPr>
                <w:b/>
                <w:bCs/>
                <w:color w:val="000000"/>
                <w:sz w:val="24"/>
                <w:szCs w:val="24"/>
              </w:rPr>
            </w:pPr>
            <w:r>
              <w:rPr>
                <w:b/>
                <w:bCs/>
                <w:color w:val="000000"/>
                <w:sz w:val="24"/>
                <w:szCs w:val="24"/>
              </w:rPr>
              <w:t>生产工艺用水：</w:t>
            </w:r>
            <w:r>
              <w:rPr>
                <w:rFonts w:hint="eastAsia"/>
                <w:color w:val="000000"/>
                <w:sz w:val="24"/>
                <w:szCs w:val="24"/>
              </w:rPr>
              <w:t>本项目生产不用水</w:t>
            </w:r>
            <w:r>
              <w:rPr>
                <w:color w:val="000000"/>
                <w:sz w:val="24"/>
                <w:szCs w:val="24"/>
              </w:rPr>
              <w:t>。</w:t>
            </w:r>
          </w:p>
          <w:p>
            <w:pPr>
              <w:ind w:firstLine="482"/>
              <w:rPr>
                <w:b/>
                <w:color w:val="000000"/>
                <w:kern w:val="0"/>
              </w:rPr>
            </w:pPr>
            <w:r>
              <w:rPr>
                <w:b/>
                <w:color w:val="000000"/>
                <w:kern w:val="0"/>
              </w:rPr>
              <w:t>（2）排水</w:t>
            </w:r>
          </w:p>
          <w:p>
            <w:pPr>
              <w:ind w:firstLine="480"/>
              <w:rPr>
                <w:bCs/>
                <w:color w:val="000000"/>
                <w:kern w:val="0"/>
              </w:rPr>
            </w:pPr>
            <w:r>
              <w:rPr>
                <w:bCs/>
                <w:color w:val="000000"/>
                <w:kern w:val="0"/>
              </w:rPr>
              <w:t>本项目采取雨污分流</w:t>
            </w:r>
            <w:r>
              <w:rPr>
                <w:rFonts w:hint="eastAsia"/>
                <w:bCs/>
                <w:color w:val="000000"/>
                <w:kern w:val="0"/>
              </w:rPr>
              <w:t>，项目生活污水采用化粪池处理，处理后用于周边农田施肥；厂区初期雨水排入初期雨水池，经初期雨水池沉淀后排入周边沟渠；后期雨水直接排入周边沟渠，最终进入湘江</w:t>
            </w:r>
            <w:r>
              <w:rPr>
                <w:bCs/>
                <w:color w:val="000000"/>
                <w:kern w:val="0"/>
              </w:rPr>
              <w:t>。</w:t>
            </w:r>
          </w:p>
          <w:p>
            <w:pPr>
              <w:ind w:firstLine="482"/>
              <w:rPr>
                <w:b/>
                <w:bCs/>
                <w:color w:val="000000"/>
              </w:rPr>
            </w:pPr>
            <w:r>
              <w:rPr>
                <w:b/>
                <w:bCs/>
                <w:color w:val="000000"/>
              </w:rPr>
              <w:t>（3）供电</w:t>
            </w:r>
          </w:p>
          <w:p>
            <w:pPr>
              <w:ind w:firstLine="480"/>
              <w:rPr>
                <w:bCs/>
                <w:color w:val="000000"/>
                <w:kern w:val="0"/>
              </w:rPr>
            </w:pPr>
            <w:r>
              <w:rPr>
                <w:bCs/>
                <w:color w:val="000000"/>
                <w:kern w:val="0"/>
              </w:rPr>
              <w:t>所在地电源由</w:t>
            </w:r>
            <w:r>
              <w:rPr>
                <w:rFonts w:hint="eastAsia"/>
                <w:bCs/>
                <w:color w:val="000000"/>
                <w:kern w:val="0"/>
              </w:rPr>
              <w:t>市政</w:t>
            </w:r>
            <w:r>
              <w:rPr>
                <w:bCs/>
                <w:color w:val="000000"/>
                <w:kern w:val="0"/>
              </w:rPr>
              <w:t>电网供给，引入的输出电压380V三相电源，经厂内配电房的高低压配电屏（380V/220V）输送到各用电设备，年用电量为12万度。</w:t>
            </w:r>
          </w:p>
          <w:p>
            <w:pPr>
              <w:ind w:firstLine="482"/>
              <w:rPr>
                <w:b/>
                <w:bCs/>
                <w:color w:val="000000"/>
              </w:rPr>
            </w:pPr>
            <w:r>
              <w:rPr>
                <w:b/>
                <w:bCs/>
                <w:color w:val="000000"/>
              </w:rPr>
              <w:t>（4）供热、供暖</w:t>
            </w:r>
          </w:p>
          <w:p>
            <w:pPr>
              <w:ind w:firstLine="480"/>
              <w:rPr>
                <w:bCs/>
                <w:color w:val="000000"/>
                <w:kern w:val="0"/>
              </w:rPr>
            </w:pPr>
            <w:r>
              <w:rPr>
                <w:bCs/>
                <w:color w:val="000000"/>
                <w:kern w:val="0"/>
              </w:rPr>
              <w:t>办公室采用普通家用分体式空调设备供暖，一般均在夏冬两季按气温情况定期开放空调。项目热水采用太阳能和空气能热水器。</w:t>
            </w:r>
          </w:p>
          <w:p>
            <w:pPr>
              <w:spacing w:line="348" w:lineRule="auto"/>
              <w:ind w:firstLine="480"/>
              <w:rPr>
                <w:bCs/>
                <w:color w:val="00000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01" w:hRule="atLeast"/>
          <w:jc w:val="center"/>
        </w:trPr>
        <w:tc>
          <w:tcPr>
            <w:tcW w:w="831" w:type="dxa"/>
            <w:vAlign w:val="center"/>
          </w:tcPr>
          <w:p>
            <w:pPr>
              <w:pStyle w:val="24"/>
              <w:adjustRightInd w:val="0"/>
              <w:snapToGrid w:val="0"/>
              <w:spacing w:before="0" w:beforeAutospacing="0" w:after="0" w:afterAutospacing="0"/>
              <w:ind w:firstLine="420"/>
              <w:jc w:val="center"/>
              <w:rPr>
                <w:rFonts w:ascii="Times New Roman" w:hAnsi="Times New Roman"/>
                <w:color w:val="FF0000"/>
                <w:sz w:val="21"/>
                <w:szCs w:val="21"/>
              </w:rPr>
            </w:pPr>
            <w:r>
              <w:rPr>
                <w:rFonts w:ascii="Times New Roman" w:hAnsi="Times New Roman"/>
                <w:color w:val="000000"/>
                <w:sz w:val="21"/>
                <w:szCs w:val="21"/>
              </w:rPr>
              <w:t>工艺流程和产排污环节</w:t>
            </w:r>
          </w:p>
        </w:tc>
        <w:tc>
          <w:tcPr>
            <w:tcW w:w="8296" w:type="dxa"/>
          </w:tcPr>
          <w:p>
            <w:pPr>
              <w:ind w:firstLine="480"/>
              <w:jc w:val="left"/>
              <w:rPr>
                <w:b/>
                <w:color w:val="000000"/>
              </w:rPr>
            </w:pPr>
            <w:r>
              <w:rPr>
                <w:bCs/>
                <w:color w:val="000000"/>
              </w:rPr>
              <w:t>项目生产工艺流程图及产污环节见图2-1。</w:t>
            </w:r>
          </w:p>
          <w:p>
            <w:pPr>
              <w:adjustRightInd w:val="0"/>
              <w:snapToGrid w:val="0"/>
              <w:spacing w:after="156" w:afterLines="50"/>
              <w:ind w:firstLine="0" w:firstLineChars="0"/>
              <w:jc w:val="center"/>
              <w:rPr>
                <w:b/>
                <w:color w:val="FF0000"/>
                <w:szCs w:val="21"/>
              </w:rPr>
            </w:pPr>
            <w:r>
              <w:object>
                <v:shape id="_x0000_i1025" o:spt="75" type="#_x0000_t75" style="height:316.8pt;width:345.6pt;" o:ole="t" filled="f" o:preferrelative="t" stroked="f" coordsize="21600,21600">
                  <v:path/>
                  <v:fill on="f" focussize="0,0"/>
                  <v:stroke on="f" joinstyle="miter"/>
                  <v:imagedata r:id="rId21" o:title=""/>
                  <o:lock v:ext="edit" aspectratio="t"/>
                  <w10:wrap type="none"/>
                  <w10:anchorlock/>
                </v:shape>
                <o:OLEObject Type="Embed" ProgID="Visio.Drawing.15" ShapeID="_x0000_i1025" DrawAspect="Content" ObjectID="_1468075725" r:id="rId20">
                  <o:LockedField>false</o:LockedField>
                </o:OLEObject>
              </w:object>
            </w:r>
          </w:p>
          <w:p>
            <w:pPr>
              <w:adjustRightInd w:val="0"/>
              <w:snapToGrid w:val="0"/>
              <w:spacing w:after="156" w:afterLines="50"/>
              <w:ind w:firstLine="482"/>
              <w:jc w:val="center"/>
              <w:rPr>
                <w:color w:val="000000"/>
                <w:szCs w:val="21"/>
              </w:rPr>
            </w:pPr>
            <w:r>
              <w:rPr>
                <w:b/>
                <w:color w:val="000000"/>
                <w:szCs w:val="21"/>
              </w:rPr>
              <w:t>图2-1 项目运营期工作流程及产污环节图</w:t>
            </w:r>
          </w:p>
          <w:p>
            <w:pPr>
              <w:ind w:firstLine="480"/>
              <w:rPr>
                <w:color w:val="000000"/>
              </w:rPr>
            </w:pPr>
            <w:r>
              <w:rPr>
                <w:color w:val="000000"/>
              </w:rPr>
              <w:t>工作流程简述：</w:t>
            </w:r>
          </w:p>
          <w:p>
            <w:pPr>
              <w:ind w:firstLine="480"/>
              <w:rPr>
                <w:color w:val="000000"/>
              </w:rPr>
            </w:pPr>
            <w:r>
              <w:rPr>
                <w:color w:val="000000"/>
              </w:rPr>
              <w:t>（1）</w:t>
            </w:r>
            <w:r>
              <w:rPr>
                <w:rFonts w:hint="eastAsia"/>
                <w:color w:val="000000"/>
              </w:rPr>
              <w:t>混料</w:t>
            </w:r>
          </w:p>
          <w:p>
            <w:pPr>
              <w:ind w:firstLine="480"/>
              <w:rPr>
                <w:color w:val="000000"/>
              </w:rPr>
            </w:pPr>
            <w:r>
              <w:t>外购原材料（树脂粉、钙粉等）按照一定比例由人工倒入混合机锥形料斗，原材料由风机抽取通过螺旋杆输送至混料机封闭式料桶，混合15min后通过混 料机下料口卸料至不锈钢料箱中，料箱加盖，盖中间挖有规则圆洞。卸料口与料箱盖圆洞之间由管道连接，形成封闭式卸料空间。本工序产生的主要污染物有投料粉尘、 噪声及废原料包装袋。</w:t>
            </w:r>
          </w:p>
          <w:p>
            <w:pPr>
              <w:ind w:firstLine="480"/>
              <w:rPr>
                <w:color w:val="000000"/>
              </w:rPr>
            </w:pPr>
            <w:r>
              <w:rPr>
                <w:color w:val="000000"/>
              </w:rPr>
              <w:t>（2）</w:t>
            </w:r>
            <w:r>
              <w:rPr>
                <w:rFonts w:hint="eastAsia"/>
                <w:color w:val="000000"/>
              </w:rPr>
              <w:t>上料</w:t>
            </w:r>
          </w:p>
          <w:p>
            <w:pPr>
              <w:ind w:firstLine="480"/>
              <w:rPr>
                <w:color w:val="000000"/>
              </w:rPr>
            </w:pPr>
            <w:r>
              <w:rPr>
                <w:rFonts w:hint="eastAsia"/>
                <w:color w:val="000000"/>
              </w:rPr>
              <w:t>将经混合机混合后的物料从混料机下料口利用高位差直接进入螺旋上料机锥形料斗，混料机下料口与上料机锥形料斗之间通过软布包裹连接，形成</w:t>
            </w:r>
            <w:r>
              <w:t>封闭式卸料空间。本工序产生的主要污染物有噪声</w:t>
            </w:r>
            <w:r>
              <w:rPr>
                <w:rFonts w:hint="eastAsia"/>
              </w:rPr>
              <w:t>、废气。</w:t>
            </w:r>
          </w:p>
          <w:p>
            <w:pPr>
              <w:ind w:firstLine="480"/>
              <w:rPr>
                <w:color w:val="000000"/>
              </w:rPr>
            </w:pPr>
            <w:r>
              <w:rPr>
                <w:color w:val="000000"/>
              </w:rPr>
              <w:t>（3）</w:t>
            </w:r>
            <w:r>
              <w:rPr>
                <w:rFonts w:hint="eastAsia"/>
                <w:color w:val="000000"/>
              </w:rPr>
              <w:t>挤出</w:t>
            </w:r>
          </w:p>
          <w:p>
            <w:pPr>
              <w:ind w:firstLine="480"/>
              <w:rPr>
                <w:color w:val="000000"/>
              </w:rPr>
            </w:pPr>
            <w:r>
              <w:rPr>
                <w:rFonts w:hint="eastAsia"/>
                <w:color w:val="000000"/>
              </w:rPr>
              <w:t>原料进入双螺杆挤出机仓室，经电加热至 200℃左右，原料呈熔融状态，该过程中当温度达到100℃以上时树脂粉即开始出现自我裂解反应，释放出废气，其成分较为复杂，主要为乙烯、丙烯等非甲烷总烃气体。设备内熔融状态的树脂进入模具的封闭模腔，充满模腔后塑料挤出形成片状树脂（即合成树脂瓦底层）。本工序产生的主要污染物有机废气及噪声。</w:t>
            </w:r>
          </w:p>
          <w:p>
            <w:pPr>
              <w:ind w:firstLine="480"/>
              <w:rPr>
                <w:color w:val="000000"/>
              </w:rPr>
            </w:pPr>
            <w:r>
              <w:rPr>
                <w:color w:val="000000"/>
              </w:rPr>
              <w:t>（4）</w:t>
            </w:r>
            <w:r>
              <w:rPr>
                <w:rFonts w:hint="eastAsia"/>
                <w:color w:val="000000"/>
              </w:rPr>
              <w:t>覆膜</w:t>
            </w:r>
          </w:p>
          <w:p>
            <w:pPr>
              <w:ind w:firstLine="480"/>
              <w:rPr>
                <w:color w:val="000000"/>
              </w:rPr>
            </w:pPr>
            <w:r>
              <w:t>树脂利用挤出时保留的温度，通过覆膜装置在其表面覆上外购的 ASA 树脂膜，起到防火、抗老化且成品颜色更加鲜艳的作用。</w:t>
            </w:r>
          </w:p>
          <w:p>
            <w:pPr>
              <w:spacing w:line="348" w:lineRule="auto"/>
              <w:ind w:firstLine="480"/>
              <w:rPr>
                <w:color w:val="000000"/>
              </w:rPr>
            </w:pPr>
            <w:r>
              <w:rPr>
                <w:color w:val="000000"/>
              </w:rPr>
              <w:t>（5）</w:t>
            </w:r>
            <w:r>
              <w:rPr>
                <w:rFonts w:hint="eastAsia"/>
                <w:color w:val="000000"/>
              </w:rPr>
              <w:t>成型</w:t>
            </w:r>
          </w:p>
          <w:p>
            <w:pPr>
              <w:ind w:firstLine="480"/>
            </w:pPr>
            <w:r>
              <w:t>覆上 ASA 树脂膜后的片状树脂进入成型机形成规格瓦状。挤出的片 状树脂在成型机内通过风冷成型。本工序产生的主要污染物有噪声。</w:t>
            </w:r>
          </w:p>
          <w:p>
            <w:pPr>
              <w:ind w:firstLine="480"/>
            </w:pPr>
            <w:r>
              <w:rPr>
                <w:rFonts w:hint="eastAsia"/>
              </w:rPr>
              <w:t>（6）切割</w:t>
            </w:r>
          </w:p>
          <w:p>
            <w:pPr>
              <w:ind w:firstLine="480"/>
            </w:pPr>
            <w:r>
              <w:t>瓦片切割成预定长度的产品。本工序产生的主要污染物有切割粉尘、 噪声及废边角料</w:t>
            </w:r>
            <w:r>
              <w:rPr>
                <w:rFonts w:hint="eastAsia"/>
              </w:rPr>
              <w:t>。</w:t>
            </w:r>
          </w:p>
          <w:p>
            <w:pPr>
              <w:ind w:firstLine="480"/>
            </w:pPr>
            <w:r>
              <w:rPr>
                <w:rFonts w:hint="eastAsia"/>
              </w:rPr>
              <w:t>（7）破碎、磨粉</w:t>
            </w:r>
          </w:p>
          <w:p>
            <w:pPr>
              <w:ind w:firstLine="480"/>
            </w:pPr>
            <w:r>
              <w:rPr>
                <w:rFonts w:hint="eastAsia"/>
              </w:rPr>
              <w:t>切割工序产生的废边角料及不合格成品经过粉碎、磨粉后回用于生产。本工序产生的主要污染物有粉尘及噪声。</w:t>
            </w:r>
          </w:p>
          <w:p>
            <w:pPr>
              <w:ind w:firstLine="480"/>
            </w:pPr>
            <w:r>
              <w:rPr>
                <w:rFonts w:hint="eastAsia"/>
              </w:rPr>
              <w:t>主要污染工序如下：</w:t>
            </w:r>
          </w:p>
          <w:p>
            <w:pPr>
              <w:pStyle w:val="54"/>
              <w:spacing w:before="156"/>
            </w:pPr>
            <w:r>
              <w:rPr>
                <w:rFonts w:hint="eastAsia"/>
              </w:rPr>
              <w:t>表2</w:t>
            </w:r>
            <w:r>
              <w:t xml:space="preserve">-7  </w:t>
            </w:r>
            <w:r>
              <w:rPr>
                <w:rFonts w:hint="eastAsia"/>
              </w:rPr>
              <w:t>项目污染物产生情况一览表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2"/>
              <w:gridCol w:w="1559"/>
              <w:gridCol w:w="2126"/>
              <w:gridCol w:w="30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2" w:type="dxa"/>
                  <w:vAlign w:val="center"/>
                </w:tcPr>
                <w:p>
                  <w:pPr>
                    <w:pStyle w:val="50"/>
                  </w:pPr>
                  <w:r>
                    <w:rPr>
                      <w:rFonts w:hint="eastAsia"/>
                    </w:rPr>
                    <w:t>类别</w:t>
                  </w:r>
                </w:p>
              </w:tc>
              <w:tc>
                <w:tcPr>
                  <w:tcW w:w="1559" w:type="dxa"/>
                  <w:vAlign w:val="center"/>
                </w:tcPr>
                <w:p>
                  <w:pPr>
                    <w:pStyle w:val="50"/>
                  </w:pPr>
                  <w:r>
                    <w:rPr>
                      <w:rFonts w:hint="eastAsia"/>
                    </w:rPr>
                    <w:t>产污环节</w:t>
                  </w:r>
                </w:p>
              </w:tc>
              <w:tc>
                <w:tcPr>
                  <w:tcW w:w="2126" w:type="dxa"/>
                  <w:vAlign w:val="center"/>
                </w:tcPr>
                <w:p>
                  <w:pPr>
                    <w:pStyle w:val="50"/>
                  </w:pPr>
                  <w:r>
                    <w:rPr>
                      <w:rFonts w:hint="eastAsia"/>
                    </w:rPr>
                    <w:t>污染因子/成分</w:t>
                  </w:r>
                </w:p>
              </w:tc>
              <w:tc>
                <w:tcPr>
                  <w:tcW w:w="3063" w:type="dxa"/>
                  <w:vAlign w:val="center"/>
                </w:tcPr>
                <w:p>
                  <w:pPr>
                    <w:pStyle w:val="50"/>
                  </w:pPr>
                  <w:r>
                    <w:rPr>
                      <w:rFonts w:hint="eastAsia"/>
                    </w:rPr>
                    <w:t>污染防治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2" w:type="dxa"/>
                  <w:vAlign w:val="center"/>
                </w:tcPr>
                <w:p>
                  <w:pPr>
                    <w:pStyle w:val="50"/>
                  </w:pPr>
                  <w:r>
                    <w:rPr>
                      <w:rFonts w:hint="eastAsia"/>
                    </w:rPr>
                    <w:t>废水</w:t>
                  </w:r>
                </w:p>
              </w:tc>
              <w:tc>
                <w:tcPr>
                  <w:tcW w:w="1559" w:type="dxa"/>
                  <w:vAlign w:val="center"/>
                </w:tcPr>
                <w:p>
                  <w:pPr>
                    <w:pStyle w:val="50"/>
                  </w:pPr>
                  <w:r>
                    <w:rPr>
                      <w:rFonts w:hint="eastAsia"/>
                    </w:rPr>
                    <w:t>员工生活污水</w:t>
                  </w:r>
                </w:p>
              </w:tc>
              <w:tc>
                <w:tcPr>
                  <w:tcW w:w="2126" w:type="dxa"/>
                  <w:vAlign w:val="center"/>
                </w:tcPr>
                <w:p>
                  <w:pPr>
                    <w:pStyle w:val="50"/>
                  </w:pPr>
                  <w:r>
                    <w:rPr>
                      <w:rFonts w:hint="eastAsia"/>
                    </w:rPr>
                    <w:t>COD、氨氮</w:t>
                  </w:r>
                </w:p>
              </w:tc>
              <w:tc>
                <w:tcPr>
                  <w:tcW w:w="3063" w:type="dxa"/>
                  <w:vAlign w:val="center"/>
                </w:tcPr>
                <w:p>
                  <w:pPr>
                    <w:pStyle w:val="50"/>
                  </w:pPr>
                  <w:r>
                    <w:rPr>
                      <w:rFonts w:hint="eastAsia"/>
                    </w:rPr>
                    <w:t>化粪池处理后用于周边农田施肥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2" w:type="dxa"/>
                  <w:vMerge w:val="restart"/>
                  <w:vAlign w:val="center"/>
                </w:tcPr>
                <w:p>
                  <w:pPr>
                    <w:pStyle w:val="50"/>
                  </w:pPr>
                  <w:r>
                    <w:rPr>
                      <w:rFonts w:hint="eastAsia"/>
                    </w:rPr>
                    <w:t>废气</w:t>
                  </w:r>
                </w:p>
              </w:tc>
              <w:tc>
                <w:tcPr>
                  <w:tcW w:w="1559" w:type="dxa"/>
                  <w:vAlign w:val="center"/>
                </w:tcPr>
                <w:p>
                  <w:pPr>
                    <w:pStyle w:val="50"/>
                  </w:pPr>
                  <w:r>
                    <w:rPr>
                      <w:rFonts w:hint="eastAsia"/>
                    </w:rPr>
                    <w:t>混料、切割、破碎及磨粉</w:t>
                  </w:r>
                </w:p>
              </w:tc>
              <w:tc>
                <w:tcPr>
                  <w:tcW w:w="2126" w:type="dxa"/>
                  <w:vAlign w:val="center"/>
                </w:tcPr>
                <w:p>
                  <w:pPr>
                    <w:pStyle w:val="50"/>
                  </w:pPr>
                  <w:r>
                    <w:rPr>
                      <w:rFonts w:hint="eastAsia"/>
                    </w:rPr>
                    <w:t>颗粒物</w:t>
                  </w:r>
                </w:p>
              </w:tc>
              <w:tc>
                <w:tcPr>
                  <w:tcW w:w="3063" w:type="dxa"/>
                  <w:vAlign w:val="center"/>
                </w:tcPr>
                <w:p>
                  <w:pPr>
                    <w:pStyle w:val="50"/>
                  </w:pPr>
                  <w:r>
                    <w:rPr>
                      <w:rFonts w:hint="eastAsia"/>
                    </w:rPr>
                    <w:t>袋式除尘器处理后车间内无组织排放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2" w:type="dxa"/>
                  <w:vMerge w:val="continue"/>
                  <w:vAlign w:val="center"/>
                </w:tcPr>
                <w:p>
                  <w:pPr>
                    <w:pStyle w:val="50"/>
                  </w:pPr>
                </w:p>
              </w:tc>
              <w:tc>
                <w:tcPr>
                  <w:tcW w:w="1559" w:type="dxa"/>
                  <w:vAlign w:val="center"/>
                </w:tcPr>
                <w:p>
                  <w:pPr>
                    <w:pStyle w:val="50"/>
                  </w:pPr>
                  <w:r>
                    <w:rPr>
                      <w:rFonts w:hint="eastAsia"/>
                    </w:rPr>
                    <w:t>加热挤出</w:t>
                  </w:r>
                </w:p>
              </w:tc>
              <w:tc>
                <w:tcPr>
                  <w:tcW w:w="2126" w:type="dxa"/>
                  <w:vAlign w:val="center"/>
                </w:tcPr>
                <w:p>
                  <w:pPr>
                    <w:pStyle w:val="50"/>
                  </w:pPr>
                  <w:r>
                    <w:rPr>
                      <w:rFonts w:hint="eastAsia"/>
                    </w:rPr>
                    <w:t>NMHC、HCl</w:t>
                  </w:r>
                </w:p>
              </w:tc>
              <w:tc>
                <w:tcPr>
                  <w:tcW w:w="3063" w:type="dxa"/>
                  <w:vAlign w:val="center"/>
                </w:tcPr>
                <w:p>
                  <w:pPr>
                    <w:pStyle w:val="50"/>
                  </w:pPr>
                  <w:r>
                    <w:rPr>
                      <w:rFonts w:hint="eastAsia"/>
                    </w:rPr>
                    <w:t>活性炭吸附后1</w:t>
                  </w:r>
                  <w:r>
                    <w:t>5</w:t>
                  </w:r>
                  <w:r>
                    <w:rPr>
                      <w:rFonts w:hint="eastAsia"/>
                    </w:rPr>
                    <w:t>m排气筒排放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2" w:type="dxa"/>
                  <w:vAlign w:val="center"/>
                </w:tcPr>
                <w:p>
                  <w:pPr>
                    <w:pStyle w:val="50"/>
                  </w:pPr>
                  <w:r>
                    <w:rPr>
                      <w:rFonts w:hint="eastAsia"/>
                    </w:rPr>
                    <w:t>噪声</w:t>
                  </w:r>
                </w:p>
              </w:tc>
              <w:tc>
                <w:tcPr>
                  <w:tcW w:w="1559" w:type="dxa"/>
                  <w:vAlign w:val="center"/>
                </w:tcPr>
                <w:p>
                  <w:pPr>
                    <w:pStyle w:val="50"/>
                  </w:pPr>
                  <w:r>
                    <w:rPr>
                      <w:rFonts w:hint="eastAsia"/>
                    </w:rPr>
                    <w:t>设备运行</w:t>
                  </w:r>
                </w:p>
              </w:tc>
              <w:tc>
                <w:tcPr>
                  <w:tcW w:w="2126" w:type="dxa"/>
                  <w:vAlign w:val="center"/>
                </w:tcPr>
                <w:p>
                  <w:pPr>
                    <w:pStyle w:val="50"/>
                  </w:pPr>
                  <w:r>
                    <w:rPr>
                      <w:rFonts w:hint="eastAsia"/>
                    </w:rPr>
                    <w:t>噪声</w:t>
                  </w:r>
                </w:p>
              </w:tc>
              <w:tc>
                <w:tcPr>
                  <w:tcW w:w="3063" w:type="dxa"/>
                  <w:vAlign w:val="center"/>
                </w:tcPr>
                <w:p>
                  <w:pPr>
                    <w:pStyle w:val="50"/>
                  </w:pPr>
                  <w:r>
                    <w:rPr>
                      <w:rFonts w:hint="eastAsia"/>
                    </w:rPr>
                    <w:t>减振、隔声，选用低噪设备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2" w:type="dxa"/>
                  <w:vMerge w:val="restart"/>
                  <w:vAlign w:val="center"/>
                </w:tcPr>
                <w:p>
                  <w:pPr>
                    <w:pStyle w:val="50"/>
                  </w:pPr>
                  <w:r>
                    <w:rPr>
                      <w:rFonts w:hint="eastAsia"/>
                    </w:rPr>
                    <w:t>固废</w:t>
                  </w:r>
                </w:p>
              </w:tc>
              <w:tc>
                <w:tcPr>
                  <w:tcW w:w="1559" w:type="dxa"/>
                  <w:vAlign w:val="center"/>
                </w:tcPr>
                <w:p>
                  <w:pPr>
                    <w:pStyle w:val="50"/>
                  </w:pPr>
                  <w:r>
                    <w:rPr>
                      <w:rFonts w:hint="eastAsia"/>
                    </w:rPr>
                    <w:t>职工</w:t>
                  </w:r>
                </w:p>
              </w:tc>
              <w:tc>
                <w:tcPr>
                  <w:tcW w:w="2126" w:type="dxa"/>
                  <w:vAlign w:val="center"/>
                </w:tcPr>
                <w:p>
                  <w:pPr>
                    <w:pStyle w:val="50"/>
                  </w:pPr>
                  <w:r>
                    <w:rPr>
                      <w:rFonts w:hint="eastAsia"/>
                    </w:rPr>
                    <w:t>生活垃圾</w:t>
                  </w:r>
                </w:p>
              </w:tc>
              <w:tc>
                <w:tcPr>
                  <w:tcW w:w="3063" w:type="dxa"/>
                  <w:vAlign w:val="center"/>
                </w:tcPr>
                <w:p>
                  <w:pPr>
                    <w:pStyle w:val="50"/>
                  </w:pPr>
                  <w:r>
                    <w:rPr>
                      <w:rFonts w:hint="eastAsia"/>
                    </w:rPr>
                    <w:t>分类收集后交由环卫部门处理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2" w:type="dxa"/>
                  <w:vMerge w:val="continue"/>
                  <w:vAlign w:val="center"/>
                </w:tcPr>
                <w:p>
                  <w:pPr>
                    <w:pStyle w:val="50"/>
                  </w:pPr>
                </w:p>
              </w:tc>
              <w:tc>
                <w:tcPr>
                  <w:tcW w:w="1559" w:type="dxa"/>
                  <w:vAlign w:val="center"/>
                </w:tcPr>
                <w:p>
                  <w:pPr>
                    <w:pStyle w:val="50"/>
                  </w:pPr>
                  <w:r>
                    <w:rPr>
                      <w:rFonts w:hint="eastAsia"/>
                    </w:rPr>
                    <w:t>切割</w:t>
                  </w:r>
                </w:p>
              </w:tc>
              <w:tc>
                <w:tcPr>
                  <w:tcW w:w="2126" w:type="dxa"/>
                  <w:vAlign w:val="center"/>
                </w:tcPr>
                <w:p>
                  <w:pPr>
                    <w:pStyle w:val="50"/>
                  </w:pPr>
                  <w:r>
                    <w:rPr>
                      <w:rFonts w:hint="eastAsia"/>
                    </w:rPr>
                    <w:t>边角料或不合格产品</w:t>
                  </w:r>
                </w:p>
              </w:tc>
              <w:tc>
                <w:tcPr>
                  <w:tcW w:w="3063" w:type="dxa"/>
                  <w:vAlign w:val="center"/>
                </w:tcPr>
                <w:p>
                  <w:pPr>
                    <w:pStyle w:val="50"/>
                  </w:pPr>
                  <w:r>
                    <w:rPr>
                      <w:rFonts w:hint="eastAsia"/>
                    </w:rPr>
                    <w:t>破碎、粉磨后回用于混料工段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2" w:type="dxa"/>
                  <w:vMerge w:val="continue"/>
                  <w:vAlign w:val="center"/>
                </w:tcPr>
                <w:p>
                  <w:pPr>
                    <w:pStyle w:val="50"/>
                  </w:pPr>
                </w:p>
              </w:tc>
              <w:tc>
                <w:tcPr>
                  <w:tcW w:w="1559" w:type="dxa"/>
                  <w:vAlign w:val="center"/>
                </w:tcPr>
                <w:p>
                  <w:pPr>
                    <w:pStyle w:val="50"/>
                  </w:pPr>
                  <w:r>
                    <w:rPr>
                      <w:rFonts w:hint="eastAsia"/>
                    </w:rPr>
                    <w:t>投料</w:t>
                  </w:r>
                </w:p>
              </w:tc>
              <w:tc>
                <w:tcPr>
                  <w:tcW w:w="2126" w:type="dxa"/>
                  <w:vAlign w:val="center"/>
                </w:tcPr>
                <w:p>
                  <w:pPr>
                    <w:pStyle w:val="50"/>
                  </w:pPr>
                  <w:r>
                    <w:rPr>
                      <w:rFonts w:hint="eastAsia"/>
                    </w:rPr>
                    <w:t>废原料包装袋</w:t>
                  </w:r>
                </w:p>
              </w:tc>
              <w:tc>
                <w:tcPr>
                  <w:tcW w:w="3063" w:type="dxa"/>
                  <w:vAlign w:val="center"/>
                </w:tcPr>
                <w:p>
                  <w:pPr>
                    <w:pStyle w:val="50"/>
                  </w:pPr>
                  <w:r>
                    <w:rPr>
                      <w:rFonts w:hint="eastAsia"/>
                    </w:rPr>
                    <w:t>外售废品回收站</w:t>
                  </w:r>
                </w:p>
              </w:tc>
            </w:tr>
          </w:tbl>
          <w:p>
            <w:pPr>
              <w:ind w:firstLine="0" w:firstLineChars="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57" w:hRule="atLeast"/>
          <w:jc w:val="center"/>
        </w:trPr>
        <w:tc>
          <w:tcPr>
            <w:tcW w:w="831" w:type="dxa"/>
            <w:vAlign w:val="center"/>
          </w:tcPr>
          <w:p>
            <w:pPr>
              <w:pStyle w:val="24"/>
              <w:adjustRightInd w:val="0"/>
              <w:snapToGrid w:val="0"/>
              <w:spacing w:before="0" w:beforeAutospacing="0" w:after="0" w:afterAutospacing="0"/>
              <w:ind w:firstLine="0" w:firstLineChars="0"/>
              <w:rPr>
                <w:rFonts w:ascii="Times New Roman" w:hAnsi="Times New Roman"/>
                <w:color w:val="FF0000"/>
                <w:szCs w:val="24"/>
              </w:rPr>
            </w:pPr>
            <w:r>
              <w:rPr>
                <w:rFonts w:ascii="Times New Roman" w:hAnsi="Times New Roman"/>
                <w:bCs/>
                <w:color w:val="000000"/>
                <w:szCs w:val="24"/>
              </w:rPr>
              <w:t>与项目有关的原有环境污染问题</w:t>
            </w:r>
          </w:p>
        </w:tc>
        <w:tc>
          <w:tcPr>
            <w:tcW w:w="8296" w:type="dxa"/>
          </w:tcPr>
          <w:p>
            <w:pPr>
              <w:adjustRightInd w:val="0"/>
              <w:snapToGrid w:val="0"/>
              <w:ind w:firstLine="480"/>
              <w:rPr>
                <w:bCs/>
                <w:u w:val="single"/>
              </w:rPr>
            </w:pPr>
            <w:r>
              <w:rPr>
                <w:rFonts w:hint="eastAsia"/>
                <w:bCs/>
                <w:u w:val="single"/>
              </w:rPr>
              <w:t>无</w:t>
            </w:r>
          </w:p>
        </w:tc>
      </w:tr>
    </w:tbl>
    <w:p>
      <w:pPr>
        <w:ind w:firstLine="0" w:firstLineChars="0"/>
        <w:sectPr>
          <w:pgSz w:w="11906" w:h="16838"/>
          <w:pgMar w:top="1440" w:right="1800" w:bottom="1440" w:left="1800" w:header="851" w:footer="992" w:gutter="0"/>
          <w:cols w:space="425" w:num="1"/>
          <w:docGrid w:type="lines" w:linePitch="312" w:charSpace="0"/>
        </w:sectPr>
      </w:pPr>
    </w:p>
    <w:p>
      <w:pPr>
        <w:pStyle w:val="2"/>
        <w:rPr>
          <w:snapToGrid w:val="0"/>
        </w:rPr>
      </w:pPr>
      <w:bookmarkStart w:id="6" w:name="_Toc105443176"/>
      <w:bookmarkStart w:id="7" w:name="_Toc19360"/>
      <w:r>
        <w:rPr>
          <w:rFonts w:hint="eastAsia"/>
          <w:snapToGrid w:val="0"/>
        </w:rPr>
        <w:t>三、区域环境质量现状、环境保护目标及评价标准</w:t>
      </w:r>
      <w:bookmarkEnd w:id="6"/>
      <w:bookmarkEnd w:id="7"/>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44"/>
        <w:gridCol w:w="787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2" w:type="dxa"/>
            <w:vAlign w:val="center"/>
          </w:tcPr>
          <w:p>
            <w:pPr>
              <w:adjustRightInd w:val="0"/>
              <w:snapToGrid w:val="0"/>
              <w:ind w:firstLine="0" w:firstLineChars="0"/>
              <w:jc w:val="center"/>
              <w:rPr>
                <w:color w:val="000000"/>
                <w:kern w:val="0"/>
              </w:rPr>
            </w:pPr>
            <w:r>
              <w:rPr>
                <w:color w:val="000000"/>
                <w:kern w:val="0"/>
              </w:rPr>
              <w:t>区域</w:t>
            </w:r>
          </w:p>
          <w:p>
            <w:pPr>
              <w:adjustRightInd w:val="0"/>
              <w:snapToGrid w:val="0"/>
              <w:ind w:firstLine="0" w:firstLineChars="0"/>
              <w:jc w:val="center"/>
              <w:rPr>
                <w:color w:val="000000"/>
                <w:kern w:val="0"/>
              </w:rPr>
            </w:pPr>
            <w:r>
              <w:rPr>
                <w:color w:val="000000"/>
                <w:kern w:val="0"/>
              </w:rPr>
              <w:t>环境</w:t>
            </w:r>
          </w:p>
          <w:p>
            <w:pPr>
              <w:adjustRightInd w:val="0"/>
              <w:snapToGrid w:val="0"/>
              <w:ind w:firstLine="0" w:firstLineChars="0"/>
              <w:jc w:val="center"/>
              <w:rPr>
                <w:color w:val="000000"/>
                <w:kern w:val="0"/>
              </w:rPr>
            </w:pPr>
            <w:r>
              <w:rPr>
                <w:color w:val="000000"/>
                <w:kern w:val="0"/>
              </w:rPr>
              <w:t>质量</w:t>
            </w:r>
          </w:p>
          <w:p>
            <w:pPr>
              <w:adjustRightInd w:val="0"/>
              <w:snapToGrid w:val="0"/>
              <w:ind w:firstLine="0" w:firstLineChars="0"/>
              <w:jc w:val="center"/>
              <w:rPr>
                <w:color w:val="000000"/>
                <w:kern w:val="0"/>
                <w:szCs w:val="21"/>
              </w:rPr>
            </w:pPr>
            <w:r>
              <w:rPr>
                <w:color w:val="000000"/>
                <w:kern w:val="0"/>
              </w:rPr>
              <w:t>现状</w:t>
            </w:r>
          </w:p>
        </w:tc>
        <w:tc>
          <w:tcPr>
            <w:tcW w:w="8527" w:type="dxa"/>
            <w:vAlign w:val="center"/>
          </w:tcPr>
          <w:p>
            <w:pPr>
              <w:ind w:firstLine="482"/>
              <w:rPr>
                <w:color w:val="000000"/>
              </w:rPr>
            </w:pPr>
            <w:r>
              <w:rPr>
                <w:b/>
                <w:bCs/>
                <w:color w:val="000000"/>
              </w:rPr>
              <w:t>1大气环境质量现状</w:t>
            </w:r>
          </w:p>
          <w:p>
            <w:pPr>
              <w:ind w:firstLine="480" w:firstLineChars="0"/>
            </w:pPr>
            <w:r>
              <w:rPr>
                <w:rFonts w:hint="eastAsia"/>
              </w:rPr>
              <w:t>（1）达标区判定</w:t>
            </w:r>
          </w:p>
          <w:p>
            <w:pPr>
              <w:ind w:firstLine="480"/>
            </w:pPr>
            <w:r>
              <w:rPr>
                <w:rFonts w:hint="eastAsia"/>
              </w:rPr>
              <w:t>本项目位于湖南永州经开区</w:t>
            </w:r>
            <w:r>
              <w:rPr>
                <w:rFonts w:hint="eastAsia"/>
                <w:color w:val="000000"/>
              </w:rPr>
              <w:t>仁湾街道东山里村毛立山组</w:t>
            </w:r>
            <w:r>
              <w:rPr>
                <w:rFonts w:hint="eastAsia"/>
              </w:rPr>
              <w:t>，评价区域属于环境空气二类功能区，其空气质量执行《环境空气质量标准》（GB3095-2012）中二级标准及2018 年修改单：</w:t>
            </w:r>
          </w:p>
          <w:p>
            <w:pPr>
              <w:ind w:firstLine="480"/>
            </w:pPr>
            <w:r>
              <w:rPr>
                <w:rFonts w:hint="eastAsia"/>
              </w:rPr>
              <w:t>根据《环境影响评价技术导则 大气环境》（HJ2.2-2018）中要求，项目所在区域达标判定，优先采用国家或地方生态环境主管部门公开发布的评价基准年环境质量公告或环境质量报告中的数据或结论。</w:t>
            </w:r>
          </w:p>
          <w:p>
            <w:pPr>
              <w:ind w:firstLine="480"/>
            </w:pPr>
            <w:r>
              <w:rPr>
                <w:rFonts w:hint="eastAsia"/>
              </w:rPr>
              <w:t>根据永州市生态环境局官网公布，2021年1月12日，永州市生态环境局在永州市人民政府新闻办公室召开新闻发布会，宣布永州市成功创建国家环境空气质量达标城市。即20</w:t>
            </w:r>
            <w:r>
              <w:t>21</w:t>
            </w:r>
            <w:r>
              <w:rPr>
                <w:rFonts w:hint="eastAsia"/>
              </w:rPr>
              <w:t>年，永州市市11个县区达到国家环境空气质量二级标准，首次实现了全域达标，成功创建国家环境空气质量达标城市。</w:t>
            </w:r>
          </w:p>
          <w:p>
            <w:pPr>
              <w:ind w:firstLine="480"/>
            </w:pPr>
            <w:r>
              <w:rPr>
                <w:rFonts w:hint="eastAsia"/>
              </w:rPr>
              <w:t>根据该新闻稿可知，20</w:t>
            </w:r>
            <w:r>
              <w:t>21</w:t>
            </w:r>
            <w:r>
              <w:rPr>
                <w:rFonts w:hint="eastAsia"/>
              </w:rPr>
              <w:t xml:space="preserve"> 年永州市的常规监测因子均达到《环境空气质量标准》（GB3095-2012）二级标准。永州市为环境空气质量达标区域。</w:t>
            </w:r>
          </w:p>
          <w:p>
            <w:pPr>
              <w:ind w:firstLine="480"/>
            </w:pPr>
            <w:r>
              <w:rPr>
                <w:rFonts w:hint="eastAsia"/>
              </w:rPr>
              <w:t>（2）补充监测</w:t>
            </w:r>
          </w:p>
          <w:p>
            <w:pPr>
              <w:pStyle w:val="68"/>
              <w:spacing w:line="360" w:lineRule="auto"/>
              <w:jc w:val="left"/>
              <w:rPr>
                <w:rFonts w:hAnsi="Times New Roman" w:cs="Times New Roman"/>
                <w:bCs/>
                <w:color w:val="000000"/>
                <w:sz w:val="24"/>
              </w:rPr>
            </w:pPr>
            <w:r>
              <w:rPr>
                <w:rFonts w:hAnsi="Times New Roman" w:cs="Times New Roman"/>
                <w:bCs/>
                <w:color w:val="000000"/>
                <w:sz w:val="24"/>
              </w:rPr>
              <w:t>为了解项目区域特征污染物环境质量现状，本次评价委托湖南</w:t>
            </w:r>
            <w:r>
              <w:rPr>
                <w:rFonts w:hint="eastAsia" w:hAnsi="Times New Roman" w:cs="Times New Roman"/>
                <w:bCs/>
                <w:color w:val="000000"/>
                <w:sz w:val="24"/>
              </w:rPr>
              <w:t>精科检测有限公司</w:t>
            </w:r>
            <w:r>
              <w:rPr>
                <w:rFonts w:hAnsi="Times New Roman" w:cs="Times New Roman"/>
                <w:bCs/>
                <w:color w:val="000000"/>
                <w:sz w:val="24"/>
              </w:rPr>
              <w:t>于2021年4月22日-4月24日对项目特征污染因子进行了监测。</w:t>
            </w:r>
          </w:p>
          <w:p>
            <w:pPr>
              <w:pStyle w:val="68"/>
              <w:spacing w:line="360" w:lineRule="auto"/>
              <w:jc w:val="left"/>
              <w:rPr>
                <w:rFonts w:hAnsi="Times New Roman" w:cs="Times New Roman"/>
                <w:bCs/>
                <w:color w:val="000000"/>
                <w:sz w:val="24"/>
              </w:rPr>
            </w:pPr>
            <w:r>
              <w:rPr>
                <w:rFonts w:hAnsi="Times New Roman" w:cs="Times New Roman"/>
                <w:bCs/>
                <w:color w:val="000000"/>
                <w:sz w:val="24"/>
              </w:rPr>
              <w:t>（1）监测因子：TSP、</w:t>
            </w:r>
            <w:r>
              <w:rPr>
                <w:rFonts w:hint="eastAsia" w:hAnsi="Times New Roman" w:cs="Times New Roman"/>
                <w:bCs/>
                <w:color w:val="000000"/>
                <w:sz w:val="24"/>
              </w:rPr>
              <w:t>NMHC、氯化氢</w:t>
            </w:r>
            <w:r>
              <w:rPr>
                <w:rFonts w:hAnsi="Times New Roman" w:cs="Times New Roman"/>
                <w:bCs/>
                <w:color w:val="000000"/>
                <w:sz w:val="24"/>
              </w:rPr>
              <w:t>。</w:t>
            </w:r>
          </w:p>
          <w:p>
            <w:pPr>
              <w:pStyle w:val="68"/>
              <w:spacing w:line="360" w:lineRule="auto"/>
              <w:jc w:val="left"/>
              <w:rPr>
                <w:rFonts w:hAnsi="Times New Roman" w:cs="Times New Roman"/>
                <w:bCs/>
                <w:color w:val="000000"/>
                <w:sz w:val="24"/>
              </w:rPr>
            </w:pPr>
            <w:r>
              <w:rPr>
                <w:rFonts w:hAnsi="Times New Roman" w:cs="Times New Roman"/>
                <w:bCs/>
                <w:color w:val="000000"/>
                <w:sz w:val="24"/>
              </w:rPr>
              <w:t>（2）监测点位：厂址下方向南侧30m处居民点。</w:t>
            </w:r>
          </w:p>
          <w:p>
            <w:pPr>
              <w:pStyle w:val="68"/>
              <w:spacing w:line="360" w:lineRule="auto"/>
              <w:jc w:val="left"/>
              <w:rPr>
                <w:rFonts w:hAnsi="Times New Roman" w:cs="Times New Roman"/>
                <w:bCs/>
                <w:color w:val="000000"/>
                <w:sz w:val="24"/>
              </w:rPr>
            </w:pPr>
            <w:r>
              <w:rPr>
                <w:rFonts w:hAnsi="Times New Roman" w:cs="Times New Roman"/>
                <w:bCs/>
                <w:color w:val="000000"/>
                <w:sz w:val="24"/>
              </w:rPr>
              <w:t>（3）监测时间和频次：2021年4月22日~2021年4月24日，连续监测3天。</w:t>
            </w:r>
          </w:p>
          <w:p>
            <w:pPr>
              <w:pStyle w:val="68"/>
              <w:spacing w:line="360" w:lineRule="auto"/>
              <w:jc w:val="left"/>
              <w:rPr>
                <w:rFonts w:hAnsi="Times New Roman" w:cs="Times New Roman"/>
                <w:bCs/>
                <w:color w:val="000000"/>
                <w:sz w:val="24"/>
              </w:rPr>
            </w:pPr>
            <w:r>
              <w:rPr>
                <w:rFonts w:hAnsi="Times New Roman" w:cs="Times New Roman"/>
                <w:bCs/>
                <w:color w:val="000000"/>
                <w:sz w:val="24"/>
              </w:rPr>
              <w:t>（4）评价标准：参考《环境空气质量标准》（GB3095-2012）中相关浓度限值。</w:t>
            </w:r>
          </w:p>
          <w:p>
            <w:pPr>
              <w:pStyle w:val="68"/>
              <w:spacing w:line="360" w:lineRule="auto"/>
              <w:jc w:val="left"/>
              <w:rPr>
                <w:rFonts w:hAnsi="Times New Roman" w:cs="Times New Roman"/>
                <w:bCs/>
                <w:color w:val="000000"/>
                <w:sz w:val="24"/>
              </w:rPr>
            </w:pPr>
            <w:r>
              <w:rPr>
                <w:rFonts w:hAnsi="Times New Roman" w:cs="Times New Roman"/>
                <w:bCs/>
                <w:color w:val="000000"/>
                <w:sz w:val="24"/>
              </w:rPr>
              <w:t>现状监测数据如下表：</w:t>
            </w:r>
          </w:p>
          <w:p>
            <w:pPr>
              <w:pStyle w:val="68"/>
              <w:spacing w:line="360" w:lineRule="auto"/>
              <w:jc w:val="left"/>
              <w:rPr>
                <w:rFonts w:hAnsi="Times New Roman" w:cs="Times New Roman"/>
                <w:bCs/>
                <w:color w:val="000000"/>
                <w:sz w:val="24"/>
              </w:rPr>
            </w:pPr>
          </w:p>
          <w:p>
            <w:pPr>
              <w:pStyle w:val="54"/>
              <w:spacing w:before="156"/>
            </w:pPr>
            <w:r>
              <w:t>表3-2  区域特征污染物现状监测表  单位：（mg/m</w:t>
            </w:r>
            <w:r>
              <w:rPr>
                <w:vertAlign w:val="superscript"/>
              </w:rPr>
              <w:t>3</w:t>
            </w:r>
            <w:r>
              <w:t>）</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52"/>
              <w:gridCol w:w="1038"/>
              <w:gridCol w:w="949"/>
              <w:gridCol w:w="745"/>
              <w:gridCol w:w="687"/>
              <w:gridCol w:w="471"/>
              <w:gridCol w:w="1115"/>
              <w:gridCol w:w="948"/>
              <w:gridCol w:w="485"/>
              <w:gridCol w:w="4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46" w:type="pct"/>
                  <w:vMerge w:val="restart"/>
                  <w:vAlign w:val="center"/>
                </w:tcPr>
                <w:p>
                  <w:pPr>
                    <w:pStyle w:val="50"/>
                  </w:pPr>
                  <w:r>
                    <w:t>监测</w:t>
                  </w:r>
                </w:p>
                <w:p>
                  <w:pPr>
                    <w:pStyle w:val="50"/>
                  </w:pPr>
                  <w:r>
                    <w:t>点位</w:t>
                  </w:r>
                </w:p>
              </w:tc>
              <w:tc>
                <w:tcPr>
                  <w:tcW w:w="925" w:type="pct"/>
                  <w:gridSpan w:val="2"/>
                  <w:vAlign w:val="center"/>
                </w:tcPr>
                <w:p>
                  <w:pPr>
                    <w:pStyle w:val="50"/>
                  </w:pPr>
                  <w:r>
                    <w:t>坐标</w:t>
                  </w:r>
                </w:p>
              </w:tc>
              <w:tc>
                <w:tcPr>
                  <w:tcW w:w="542" w:type="pct"/>
                  <w:vMerge w:val="restart"/>
                  <w:vAlign w:val="center"/>
                </w:tcPr>
                <w:p>
                  <w:pPr>
                    <w:pStyle w:val="50"/>
                  </w:pPr>
                  <w:r>
                    <w:t>监测时间</w:t>
                  </w:r>
                </w:p>
              </w:tc>
              <w:tc>
                <w:tcPr>
                  <w:tcW w:w="453" w:type="pct"/>
                  <w:vMerge w:val="restart"/>
                  <w:vAlign w:val="center"/>
                </w:tcPr>
                <w:p>
                  <w:pPr>
                    <w:pStyle w:val="50"/>
                  </w:pPr>
                  <w:r>
                    <w:t>污染物</w:t>
                  </w:r>
                </w:p>
              </w:tc>
              <w:tc>
                <w:tcPr>
                  <w:tcW w:w="412" w:type="pct"/>
                  <w:vMerge w:val="restart"/>
                  <w:vAlign w:val="center"/>
                </w:tcPr>
                <w:p>
                  <w:pPr>
                    <w:pStyle w:val="50"/>
                  </w:pPr>
                  <w:r>
                    <w:t>评价标准</w:t>
                  </w:r>
                </w:p>
              </w:tc>
              <w:tc>
                <w:tcPr>
                  <w:tcW w:w="720" w:type="pct"/>
                  <w:vMerge w:val="restart"/>
                  <w:vAlign w:val="center"/>
                </w:tcPr>
                <w:p>
                  <w:pPr>
                    <w:pStyle w:val="50"/>
                  </w:pPr>
                  <w:r>
                    <w:t>监测浓度范围</w:t>
                  </w:r>
                </w:p>
              </w:tc>
              <w:tc>
                <w:tcPr>
                  <w:tcW w:w="674" w:type="pct"/>
                  <w:vMerge w:val="restart"/>
                  <w:vAlign w:val="center"/>
                </w:tcPr>
                <w:p>
                  <w:pPr>
                    <w:pStyle w:val="50"/>
                  </w:pPr>
                  <w:r>
                    <w:t>最大浓度占标率/%</w:t>
                  </w:r>
                </w:p>
              </w:tc>
              <w:tc>
                <w:tcPr>
                  <w:tcW w:w="371" w:type="pct"/>
                  <w:vMerge w:val="restart"/>
                  <w:vAlign w:val="center"/>
                </w:tcPr>
                <w:p>
                  <w:pPr>
                    <w:pStyle w:val="50"/>
                  </w:pPr>
                  <w:r>
                    <w:t>超标率/%</w:t>
                  </w:r>
                </w:p>
              </w:tc>
              <w:tc>
                <w:tcPr>
                  <w:tcW w:w="356" w:type="pct"/>
                  <w:vMerge w:val="restart"/>
                  <w:vAlign w:val="center"/>
                </w:tcPr>
                <w:p>
                  <w:pPr>
                    <w:pStyle w:val="50"/>
                  </w:pPr>
                  <w: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46" w:type="pct"/>
                  <w:vMerge w:val="continue"/>
                  <w:vAlign w:val="center"/>
                </w:tcPr>
                <w:p>
                  <w:pPr>
                    <w:pStyle w:val="50"/>
                  </w:pPr>
                </w:p>
              </w:tc>
              <w:tc>
                <w:tcPr>
                  <w:tcW w:w="462" w:type="pct"/>
                  <w:vAlign w:val="center"/>
                </w:tcPr>
                <w:p>
                  <w:pPr>
                    <w:pStyle w:val="50"/>
                  </w:pPr>
                  <w:r>
                    <w:t>X</w:t>
                  </w:r>
                </w:p>
              </w:tc>
              <w:tc>
                <w:tcPr>
                  <w:tcW w:w="463" w:type="pct"/>
                  <w:vAlign w:val="center"/>
                </w:tcPr>
                <w:p>
                  <w:pPr>
                    <w:pStyle w:val="50"/>
                  </w:pPr>
                  <w:r>
                    <w:t>Y</w:t>
                  </w:r>
                </w:p>
              </w:tc>
              <w:tc>
                <w:tcPr>
                  <w:tcW w:w="542" w:type="pct"/>
                  <w:vMerge w:val="continue"/>
                  <w:vAlign w:val="center"/>
                </w:tcPr>
                <w:p>
                  <w:pPr>
                    <w:pStyle w:val="50"/>
                  </w:pPr>
                </w:p>
              </w:tc>
              <w:tc>
                <w:tcPr>
                  <w:tcW w:w="453" w:type="pct"/>
                  <w:vMerge w:val="continue"/>
                  <w:vAlign w:val="center"/>
                </w:tcPr>
                <w:p>
                  <w:pPr>
                    <w:pStyle w:val="50"/>
                  </w:pPr>
                </w:p>
              </w:tc>
              <w:tc>
                <w:tcPr>
                  <w:tcW w:w="412" w:type="pct"/>
                  <w:vMerge w:val="continue"/>
                  <w:vAlign w:val="center"/>
                </w:tcPr>
                <w:p>
                  <w:pPr>
                    <w:pStyle w:val="50"/>
                  </w:pPr>
                </w:p>
              </w:tc>
              <w:tc>
                <w:tcPr>
                  <w:tcW w:w="720" w:type="pct"/>
                  <w:vMerge w:val="continue"/>
                  <w:vAlign w:val="center"/>
                </w:tcPr>
                <w:p>
                  <w:pPr>
                    <w:pStyle w:val="50"/>
                  </w:pPr>
                </w:p>
              </w:tc>
              <w:tc>
                <w:tcPr>
                  <w:tcW w:w="674" w:type="pct"/>
                  <w:vMerge w:val="continue"/>
                  <w:vAlign w:val="center"/>
                </w:tcPr>
                <w:p>
                  <w:pPr>
                    <w:pStyle w:val="50"/>
                  </w:pPr>
                </w:p>
              </w:tc>
              <w:tc>
                <w:tcPr>
                  <w:tcW w:w="371" w:type="pct"/>
                  <w:vMerge w:val="continue"/>
                  <w:vAlign w:val="center"/>
                </w:tcPr>
                <w:p>
                  <w:pPr>
                    <w:pStyle w:val="50"/>
                  </w:pPr>
                </w:p>
              </w:tc>
              <w:tc>
                <w:tcPr>
                  <w:tcW w:w="356" w:type="pct"/>
                  <w:vMerge w:val="continue"/>
                  <w:vAlign w:val="center"/>
                </w:tcPr>
                <w:p>
                  <w:pPr>
                    <w:pStyle w:val="5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20" w:hRule="atLeast"/>
                <w:jc w:val="center"/>
              </w:trPr>
              <w:tc>
                <w:tcPr>
                  <w:tcW w:w="546" w:type="pct"/>
                  <w:vMerge w:val="restart"/>
                  <w:vAlign w:val="center"/>
                </w:tcPr>
                <w:p>
                  <w:pPr>
                    <w:pStyle w:val="50"/>
                  </w:pPr>
                  <w:r>
                    <w:rPr>
                      <w:rFonts w:hint="eastAsia"/>
                    </w:rPr>
                    <w:t>厂界南侧居民点</w:t>
                  </w:r>
                </w:p>
              </w:tc>
              <w:tc>
                <w:tcPr>
                  <w:tcW w:w="462" w:type="pct"/>
                  <w:vMerge w:val="restart"/>
                  <w:vAlign w:val="center"/>
                </w:tcPr>
                <w:p>
                  <w:pPr>
                    <w:pStyle w:val="50"/>
                    <w:rPr>
                      <w:highlight w:val="yellow"/>
                    </w:rPr>
                  </w:pPr>
                  <w:r>
                    <w:t>111.596454</w:t>
                  </w:r>
                </w:p>
              </w:tc>
              <w:tc>
                <w:tcPr>
                  <w:tcW w:w="463" w:type="pct"/>
                  <w:vMerge w:val="restart"/>
                  <w:vAlign w:val="center"/>
                </w:tcPr>
                <w:p>
                  <w:pPr>
                    <w:pStyle w:val="50"/>
                    <w:rPr>
                      <w:highlight w:val="yellow"/>
                    </w:rPr>
                  </w:pPr>
                  <w:r>
                    <w:t>26.362938</w:t>
                  </w:r>
                </w:p>
              </w:tc>
              <w:tc>
                <w:tcPr>
                  <w:tcW w:w="542" w:type="pct"/>
                  <w:vMerge w:val="restart"/>
                  <w:vAlign w:val="center"/>
                </w:tcPr>
                <w:p>
                  <w:pPr>
                    <w:pStyle w:val="50"/>
                  </w:pPr>
                  <w:r>
                    <w:t>2021.4.</w:t>
                  </w:r>
                </w:p>
                <w:p>
                  <w:pPr>
                    <w:pStyle w:val="50"/>
                  </w:pPr>
                  <w:r>
                    <w:t>22~24</w:t>
                  </w:r>
                </w:p>
              </w:tc>
              <w:tc>
                <w:tcPr>
                  <w:tcW w:w="453" w:type="pct"/>
                  <w:vAlign w:val="center"/>
                </w:tcPr>
                <w:p>
                  <w:pPr>
                    <w:pStyle w:val="50"/>
                    <w:rPr>
                      <w:kern w:val="0"/>
                    </w:rPr>
                  </w:pPr>
                  <w:r>
                    <w:t>TSP</w:t>
                  </w:r>
                </w:p>
              </w:tc>
              <w:tc>
                <w:tcPr>
                  <w:tcW w:w="412" w:type="pct"/>
                  <w:vAlign w:val="center"/>
                </w:tcPr>
                <w:p>
                  <w:pPr>
                    <w:pStyle w:val="50"/>
                  </w:pPr>
                  <w:r>
                    <w:rPr>
                      <w:rFonts w:hint="eastAsia"/>
                    </w:rPr>
                    <w:t>0</w:t>
                  </w:r>
                  <w:r>
                    <w:t>.3</w:t>
                  </w:r>
                </w:p>
              </w:tc>
              <w:tc>
                <w:tcPr>
                  <w:tcW w:w="720" w:type="pct"/>
                  <w:vAlign w:val="center"/>
                </w:tcPr>
                <w:p>
                  <w:pPr>
                    <w:pStyle w:val="50"/>
                  </w:pPr>
                  <w:r>
                    <w:rPr>
                      <w:rFonts w:hint="eastAsia"/>
                    </w:rPr>
                    <w:t>0</w:t>
                  </w:r>
                  <w:r>
                    <w:t>.109~0.134</w:t>
                  </w:r>
                </w:p>
              </w:tc>
              <w:tc>
                <w:tcPr>
                  <w:tcW w:w="674" w:type="pct"/>
                  <w:vAlign w:val="center"/>
                </w:tcPr>
                <w:p>
                  <w:pPr>
                    <w:pStyle w:val="50"/>
                  </w:pPr>
                  <w:r>
                    <w:rPr>
                      <w:rFonts w:hint="eastAsia"/>
                    </w:rPr>
                    <w:t>3</w:t>
                  </w:r>
                  <w:r>
                    <w:t>6.3~44.6</w:t>
                  </w:r>
                </w:p>
              </w:tc>
              <w:tc>
                <w:tcPr>
                  <w:tcW w:w="371" w:type="pct"/>
                  <w:vAlign w:val="center"/>
                </w:tcPr>
                <w:p>
                  <w:pPr>
                    <w:pStyle w:val="50"/>
                  </w:pPr>
                  <w:r>
                    <w:t>0</w:t>
                  </w:r>
                </w:p>
              </w:tc>
              <w:tc>
                <w:tcPr>
                  <w:tcW w:w="356" w:type="pct"/>
                  <w:vAlign w:val="center"/>
                </w:tcPr>
                <w:p>
                  <w:pPr>
                    <w:pStyle w:val="50"/>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8" w:hRule="atLeast"/>
                <w:jc w:val="center"/>
              </w:trPr>
              <w:tc>
                <w:tcPr>
                  <w:tcW w:w="546" w:type="pct"/>
                  <w:vMerge w:val="continue"/>
                  <w:vAlign w:val="center"/>
                </w:tcPr>
                <w:p>
                  <w:pPr>
                    <w:pStyle w:val="50"/>
                  </w:pPr>
                </w:p>
              </w:tc>
              <w:tc>
                <w:tcPr>
                  <w:tcW w:w="462" w:type="pct"/>
                  <w:vMerge w:val="continue"/>
                  <w:vAlign w:val="center"/>
                </w:tcPr>
                <w:p>
                  <w:pPr>
                    <w:pStyle w:val="50"/>
                  </w:pPr>
                </w:p>
              </w:tc>
              <w:tc>
                <w:tcPr>
                  <w:tcW w:w="463" w:type="pct"/>
                  <w:vMerge w:val="continue"/>
                  <w:vAlign w:val="center"/>
                </w:tcPr>
                <w:p>
                  <w:pPr>
                    <w:pStyle w:val="50"/>
                  </w:pPr>
                </w:p>
              </w:tc>
              <w:tc>
                <w:tcPr>
                  <w:tcW w:w="542" w:type="pct"/>
                  <w:vMerge w:val="continue"/>
                  <w:vAlign w:val="center"/>
                </w:tcPr>
                <w:p>
                  <w:pPr>
                    <w:pStyle w:val="50"/>
                  </w:pPr>
                </w:p>
              </w:tc>
              <w:tc>
                <w:tcPr>
                  <w:tcW w:w="453" w:type="pct"/>
                  <w:vAlign w:val="center"/>
                </w:tcPr>
                <w:p>
                  <w:pPr>
                    <w:pStyle w:val="50"/>
                  </w:pPr>
                  <w:r>
                    <w:rPr>
                      <w:rFonts w:hint="eastAsia"/>
                    </w:rPr>
                    <w:t>NMHC</w:t>
                  </w:r>
                </w:p>
              </w:tc>
              <w:tc>
                <w:tcPr>
                  <w:tcW w:w="412" w:type="pct"/>
                  <w:vAlign w:val="center"/>
                </w:tcPr>
                <w:p>
                  <w:pPr>
                    <w:pStyle w:val="50"/>
                  </w:pPr>
                  <w:r>
                    <w:rPr>
                      <w:rFonts w:hint="eastAsia"/>
                    </w:rPr>
                    <w:t>2</w:t>
                  </w:r>
                </w:p>
              </w:tc>
              <w:tc>
                <w:tcPr>
                  <w:tcW w:w="720" w:type="pct"/>
                  <w:vAlign w:val="center"/>
                </w:tcPr>
                <w:p>
                  <w:pPr>
                    <w:pStyle w:val="50"/>
                  </w:pPr>
                  <w:r>
                    <w:rPr>
                      <w:rFonts w:hint="eastAsia"/>
                    </w:rPr>
                    <w:t>1</w:t>
                  </w:r>
                  <w:r>
                    <w:t>.21~1.45</w:t>
                  </w:r>
                </w:p>
              </w:tc>
              <w:tc>
                <w:tcPr>
                  <w:tcW w:w="674" w:type="pct"/>
                  <w:vAlign w:val="center"/>
                </w:tcPr>
                <w:p>
                  <w:pPr>
                    <w:pStyle w:val="50"/>
                  </w:pPr>
                  <w:r>
                    <w:rPr>
                      <w:rFonts w:hint="eastAsia"/>
                    </w:rPr>
                    <w:t>6</w:t>
                  </w:r>
                  <w:r>
                    <w:t>0.5~72.5</w:t>
                  </w:r>
                </w:p>
              </w:tc>
              <w:tc>
                <w:tcPr>
                  <w:tcW w:w="371" w:type="pct"/>
                  <w:vAlign w:val="center"/>
                </w:tcPr>
                <w:p>
                  <w:pPr>
                    <w:pStyle w:val="50"/>
                  </w:pPr>
                  <w:r>
                    <w:t>0</w:t>
                  </w:r>
                </w:p>
              </w:tc>
              <w:tc>
                <w:tcPr>
                  <w:tcW w:w="356" w:type="pct"/>
                  <w:vAlign w:val="center"/>
                </w:tcPr>
                <w:p>
                  <w:pPr>
                    <w:pStyle w:val="50"/>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8" w:hRule="atLeast"/>
                <w:jc w:val="center"/>
              </w:trPr>
              <w:tc>
                <w:tcPr>
                  <w:tcW w:w="546" w:type="pct"/>
                  <w:vMerge w:val="continue"/>
                  <w:vAlign w:val="center"/>
                </w:tcPr>
                <w:p>
                  <w:pPr>
                    <w:pStyle w:val="50"/>
                  </w:pPr>
                </w:p>
              </w:tc>
              <w:tc>
                <w:tcPr>
                  <w:tcW w:w="462" w:type="pct"/>
                  <w:vMerge w:val="continue"/>
                  <w:vAlign w:val="center"/>
                </w:tcPr>
                <w:p>
                  <w:pPr>
                    <w:pStyle w:val="50"/>
                  </w:pPr>
                </w:p>
              </w:tc>
              <w:tc>
                <w:tcPr>
                  <w:tcW w:w="463" w:type="pct"/>
                  <w:vMerge w:val="continue"/>
                  <w:vAlign w:val="center"/>
                </w:tcPr>
                <w:p>
                  <w:pPr>
                    <w:pStyle w:val="50"/>
                  </w:pPr>
                </w:p>
              </w:tc>
              <w:tc>
                <w:tcPr>
                  <w:tcW w:w="542" w:type="pct"/>
                  <w:vMerge w:val="continue"/>
                  <w:vAlign w:val="center"/>
                </w:tcPr>
                <w:p>
                  <w:pPr>
                    <w:pStyle w:val="50"/>
                  </w:pPr>
                </w:p>
              </w:tc>
              <w:tc>
                <w:tcPr>
                  <w:tcW w:w="453" w:type="pct"/>
                  <w:vAlign w:val="center"/>
                </w:tcPr>
                <w:p>
                  <w:pPr>
                    <w:pStyle w:val="50"/>
                  </w:pPr>
                  <w:r>
                    <w:rPr>
                      <w:rFonts w:hint="eastAsia"/>
                    </w:rPr>
                    <w:t>HCl</w:t>
                  </w:r>
                </w:p>
              </w:tc>
              <w:tc>
                <w:tcPr>
                  <w:tcW w:w="412" w:type="pct"/>
                  <w:vAlign w:val="center"/>
                </w:tcPr>
                <w:p>
                  <w:pPr>
                    <w:pStyle w:val="50"/>
                  </w:pPr>
                  <w:r>
                    <w:rPr>
                      <w:rFonts w:hint="eastAsia"/>
                    </w:rPr>
                    <w:t>0</w:t>
                  </w:r>
                  <w:r>
                    <w:t>.05</w:t>
                  </w:r>
                </w:p>
              </w:tc>
              <w:tc>
                <w:tcPr>
                  <w:tcW w:w="720" w:type="pct"/>
                  <w:vAlign w:val="center"/>
                </w:tcPr>
                <w:p>
                  <w:pPr>
                    <w:pStyle w:val="50"/>
                  </w:pPr>
                  <w:r>
                    <w:rPr>
                      <w:rFonts w:hint="eastAsia"/>
                    </w:rPr>
                    <w:t>ND</w:t>
                  </w:r>
                </w:p>
              </w:tc>
              <w:tc>
                <w:tcPr>
                  <w:tcW w:w="674" w:type="pct"/>
                  <w:vAlign w:val="center"/>
                </w:tcPr>
                <w:p>
                  <w:pPr>
                    <w:pStyle w:val="50"/>
                  </w:pPr>
                  <w:r>
                    <w:rPr>
                      <w:rFonts w:hint="eastAsia"/>
                    </w:rPr>
                    <w:t>/</w:t>
                  </w:r>
                </w:p>
              </w:tc>
              <w:tc>
                <w:tcPr>
                  <w:tcW w:w="371" w:type="pct"/>
                  <w:vAlign w:val="center"/>
                </w:tcPr>
                <w:p>
                  <w:pPr>
                    <w:pStyle w:val="50"/>
                  </w:pPr>
                  <w:r>
                    <w:rPr>
                      <w:rFonts w:hint="eastAsia"/>
                    </w:rPr>
                    <w:t>0</w:t>
                  </w:r>
                </w:p>
              </w:tc>
              <w:tc>
                <w:tcPr>
                  <w:tcW w:w="356" w:type="pct"/>
                  <w:vAlign w:val="center"/>
                </w:tcPr>
                <w:p>
                  <w:pPr>
                    <w:pStyle w:val="50"/>
                  </w:pPr>
                  <w:r>
                    <w:t>达标</w:t>
                  </w:r>
                </w:p>
              </w:tc>
            </w:tr>
          </w:tbl>
          <w:p>
            <w:pPr>
              <w:pStyle w:val="68"/>
              <w:spacing w:line="360" w:lineRule="auto"/>
              <w:jc w:val="left"/>
              <w:rPr>
                <w:rFonts w:hAnsi="Times New Roman" w:cs="Times New Roman"/>
                <w:bCs/>
                <w:color w:val="000000"/>
                <w:sz w:val="24"/>
              </w:rPr>
            </w:pPr>
            <w:r>
              <w:rPr>
                <w:rFonts w:hAnsi="Times New Roman" w:cs="Times New Roman"/>
                <w:bCs/>
                <w:color w:val="000000"/>
                <w:sz w:val="24"/>
              </w:rPr>
              <w:t>由上表监测结果可知，项目区域范围内TSP能达到《环境空气质量标准》（GB3095-2012）中污染物空气质量浓度限值，</w:t>
            </w:r>
            <w:r>
              <w:rPr>
                <w:rFonts w:hint="eastAsia" w:hAnsi="Times New Roman" w:cs="Times New Roman"/>
                <w:bCs/>
                <w:color w:val="000000"/>
                <w:sz w:val="24"/>
              </w:rPr>
              <w:t>N</w:t>
            </w:r>
            <w:r>
              <w:rPr>
                <w:rFonts w:hAnsi="Times New Roman" w:cs="Times New Roman"/>
                <w:bCs/>
                <w:color w:val="000000"/>
                <w:sz w:val="24"/>
              </w:rPr>
              <w:t>MHC</w:t>
            </w:r>
            <w:r>
              <w:rPr>
                <w:rFonts w:hint="eastAsia" w:hAnsi="Times New Roman" w:cs="Times New Roman"/>
                <w:bCs/>
                <w:color w:val="000000"/>
                <w:sz w:val="24"/>
              </w:rPr>
              <w:t>浓度能够满足《大气污染物综合排放标准详解》中推荐的环境控制质量标准限值2</w:t>
            </w:r>
            <w:r>
              <w:rPr>
                <w:rFonts w:hAnsi="Times New Roman" w:cs="Times New Roman"/>
                <w:bCs/>
                <w:color w:val="000000"/>
                <w:sz w:val="24"/>
              </w:rPr>
              <w:t>.0</w:t>
            </w:r>
            <w:r>
              <w:rPr>
                <w:rFonts w:hint="eastAsia" w:hAnsi="Times New Roman" w:cs="Times New Roman"/>
                <w:bCs/>
                <w:color w:val="000000"/>
                <w:sz w:val="24"/>
              </w:rPr>
              <w:t>mg</w:t>
            </w:r>
            <w:r>
              <w:rPr>
                <w:rFonts w:hAnsi="Times New Roman" w:cs="Times New Roman"/>
                <w:bCs/>
                <w:color w:val="000000"/>
                <w:sz w:val="24"/>
              </w:rPr>
              <w:t>/m</w:t>
            </w:r>
            <w:r>
              <w:rPr>
                <w:rFonts w:hAnsi="Times New Roman" w:cs="Times New Roman"/>
                <w:bCs/>
                <w:color w:val="000000"/>
                <w:sz w:val="24"/>
                <w:vertAlign w:val="superscript"/>
              </w:rPr>
              <w:t>3</w:t>
            </w:r>
            <w:r>
              <w:rPr>
                <w:rFonts w:hint="eastAsia" w:hAnsi="Times New Roman" w:cs="Times New Roman"/>
                <w:bCs/>
                <w:color w:val="000000"/>
                <w:sz w:val="24"/>
              </w:rPr>
              <w:t xml:space="preserve">，HCl能够满足《环境影响评价技术导则 </w:t>
            </w:r>
            <w:r>
              <w:rPr>
                <w:rFonts w:hAnsi="Times New Roman" w:cs="Times New Roman"/>
                <w:bCs/>
                <w:color w:val="000000"/>
                <w:sz w:val="24"/>
              </w:rPr>
              <w:t xml:space="preserve"> </w:t>
            </w:r>
            <w:r>
              <w:rPr>
                <w:rFonts w:hint="eastAsia" w:hAnsi="Times New Roman" w:cs="Times New Roman"/>
                <w:bCs/>
                <w:color w:val="000000"/>
                <w:sz w:val="24"/>
              </w:rPr>
              <w:t>大气环境》（HJ</w:t>
            </w:r>
            <w:r>
              <w:rPr>
                <w:rFonts w:hAnsi="Times New Roman" w:cs="Times New Roman"/>
                <w:bCs/>
                <w:color w:val="000000"/>
                <w:sz w:val="24"/>
              </w:rPr>
              <w:t>2.2-2018</w:t>
            </w:r>
            <w:r>
              <w:rPr>
                <w:rFonts w:hint="eastAsia" w:hAnsi="Times New Roman" w:cs="Times New Roman"/>
                <w:bCs/>
                <w:color w:val="000000"/>
                <w:sz w:val="24"/>
              </w:rPr>
              <w:t>）附录D中推荐的一次值标准</w:t>
            </w:r>
            <w:r>
              <w:rPr>
                <w:rFonts w:hAnsi="Times New Roman" w:cs="Times New Roman"/>
                <w:bCs/>
                <w:color w:val="000000"/>
                <w:sz w:val="24"/>
              </w:rPr>
              <w:t>。</w:t>
            </w:r>
          </w:p>
          <w:p>
            <w:pPr>
              <w:ind w:firstLine="482"/>
              <w:rPr>
                <w:b/>
                <w:bCs/>
                <w:color w:val="000000"/>
              </w:rPr>
            </w:pPr>
            <w:r>
              <w:rPr>
                <w:b/>
                <w:bCs/>
                <w:color w:val="000000"/>
              </w:rPr>
              <w:t>2地表水环境质量现状</w:t>
            </w:r>
          </w:p>
          <w:p>
            <w:pPr>
              <w:ind w:firstLine="480"/>
              <w:rPr>
                <w:color w:val="000000"/>
              </w:rPr>
            </w:pPr>
            <w:r>
              <w:t>本次环评期间收集了永州市环境质量简报 （2021 年 3 月），根据该环境质量简报，永州市境内 52 个地表水监控断面（含 港子口断面）2021 年 3 月：《地表水环境质量标准》（GB3838-2002）表1中除水温、总氮、粪大肠菌群以外的21项基本指标，所有断面均达标，达标率为100%，湘江港子口断面水质监测结果全部满足Ⅱ类指标要求（湘江港子口 断面水环境功能区划为工业用水区，执行Ⅳ类标准）。</w:t>
            </w:r>
          </w:p>
          <w:p>
            <w:pPr>
              <w:ind w:firstLine="482"/>
              <w:rPr>
                <w:b/>
                <w:bCs/>
                <w:color w:val="000000"/>
              </w:rPr>
            </w:pPr>
            <w:r>
              <w:rPr>
                <w:b/>
                <w:bCs/>
                <w:color w:val="000000"/>
              </w:rPr>
              <w:t>3声环境质量现状</w:t>
            </w:r>
          </w:p>
          <w:p>
            <w:pPr>
              <w:spacing w:line="312" w:lineRule="auto"/>
              <w:ind w:firstLine="480"/>
              <w:rPr>
                <w:color w:val="000000"/>
              </w:rPr>
            </w:pPr>
            <w:r>
              <w:rPr>
                <w:color w:val="000000"/>
              </w:rPr>
              <w:t>（1）监测点布设</w:t>
            </w:r>
          </w:p>
          <w:p>
            <w:pPr>
              <w:spacing w:line="312" w:lineRule="auto"/>
              <w:ind w:firstLine="480"/>
              <w:rPr>
                <w:color w:val="000000"/>
              </w:rPr>
            </w:pPr>
            <w:r>
              <w:rPr>
                <w:color w:val="000000"/>
              </w:rPr>
              <w:t>为了解建设项目周围声环境状况，委托了</w:t>
            </w:r>
            <w:r>
              <w:rPr>
                <w:rFonts w:hint="eastAsia"/>
                <w:color w:val="000000"/>
              </w:rPr>
              <w:t>湖南精科检测有限公司</w:t>
            </w:r>
            <w:r>
              <w:rPr>
                <w:color w:val="000000"/>
              </w:rPr>
              <w:t>于2021年4月22日-23日对厂界四周环境噪声以及最近居民点进行了监测。</w:t>
            </w:r>
          </w:p>
          <w:p>
            <w:pPr>
              <w:spacing w:line="312" w:lineRule="auto"/>
              <w:ind w:firstLine="480"/>
              <w:rPr>
                <w:color w:val="000000"/>
              </w:rPr>
            </w:pPr>
            <w:r>
              <w:rPr>
                <w:color w:val="000000"/>
              </w:rPr>
              <w:t>（2）监测项目及监测方法</w:t>
            </w:r>
          </w:p>
          <w:p>
            <w:pPr>
              <w:spacing w:line="312" w:lineRule="auto"/>
              <w:ind w:firstLine="480"/>
              <w:rPr>
                <w:color w:val="000000"/>
              </w:rPr>
            </w:pPr>
            <w:r>
              <w:rPr>
                <w:color w:val="000000"/>
              </w:rPr>
              <w:t>监测项目：L</w:t>
            </w:r>
            <w:r>
              <w:rPr>
                <w:color w:val="000000"/>
                <w:vertAlign w:val="subscript"/>
              </w:rPr>
              <w:t>Aeq</w:t>
            </w:r>
            <w:r>
              <w:rPr>
                <w:color w:val="000000"/>
              </w:rPr>
              <w:t>。</w:t>
            </w:r>
          </w:p>
          <w:p>
            <w:pPr>
              <w:spacing w:line="312" w:lineRule="auto"/>
              <w:ind w:firstLine="480"/>
              <w:rPr>
                <w:color w:val="000000"/>
              </w:rPr>
            </w:pPr>
            <w:r>
              <w:rPr>
                <w:color w:val="000000"/>
              </w:rPr>
              <w:t>监测方法：参照《声环境质量标准》（GB3096-2008）监测。</w:t>
            </w:r>
          </w:p>
          <w:p>
            <w:pPr>
              <w:spacing w:line="312" w:lineRule="auto"/>
              <w:ind w:firstLine="480"/>
              <w:rPr>
                <w:color w:val="000000"/>
              </w:rPr>
            </w:pPr>
            <w:r>
              <w:rPr>
                <w:color w:val="000000"/>
              </w:rPr>
              <w:t>（3）监测时间和频次</w:t>
            </w:r>
          </w:p>
          <w:p>
            <w:pPr>
              <w:spacing w:line="312" w:lineRule="auto"/>
              <w:ind w:firstLine="480"/>
              <w:rPr>
                <w:color w:val="000000"/>
              </w:rPr>
            </w:pPr>
            <w:r>
              <w:rPr>
                <w:color w:val="000000"/>
              </w:rPr>
              <w:t>监测时间：2021年4月</w:t>
            </w:r>
            <w:r>
              <w:rPr>
                <w:rFonts w:hint="eastAsia"/>
                <w:color w:val="000000"/>
              </w:rPr>
              <w:t>2</w:t>
            </w:r>
            <w:r>
              <w:rPr>
                <w:color w:val="000000"/>
              </w:rPr>
              <w:t>2日-23日。</w:t>
            </w:r>
          </w:p>
          <w:p>
            <w:pPr>
              <w:spacing w:line="312" w:lineRule="auto"/>
              <w:ind w:firstLine="480"/>
              <w:rPr>
                <w:color w:val="000000"/>
              </w:rPr>
            </w:pPr>
            <w:r>
              <w:rPr>
                <w:color w:val="000000"/>
              </w:rPr>
              <w:t>监测频次：昼夜各监测一次。</w:t>
            </w:r>
          </w:p>
          <w:p>
            <w:pPr>
              <w:spacing w:line="312" w:lineRule="auto"/>
              <w:ind w:firstLine="480"/>
              <w:rPr>
                <w:color w:val="000000"/>
              </w:rPr>
            </w:pPr>
            <w:r>
              <w:rPr>
                <w:color w:val="000000"/>
              </w:rPr>
              <w:t>（4）评价方法和评价标准</w:t>
            </w:r>
          </w:p>
          <w:p>
            <w:pPr>
              <w:spacing w:line="312" w:lineRule="auto"/>
              <w:ind w:firstLine="480"/>
              <w:rPr>
                <w:color w:val="000000"/>
              </w:rPr>
            </w:pPr>
            <w:r>
              <w:rPr>
                <w:color w:val="000000"/>
              </w:rPr>
              <w:t>评价方法：监测结果与评价标准对比的方法。</w:t>
            </w:r>
          </w:p>
          <w:p>
            <w:pPr>
              <w:spacing w:line="312" w:lineRule="auto"/>
              <w:ind w:firstLine="480"/>
              <w:rPr>
                <w:color w:val="000000"/>
              </w:rPr>
            </w:pPr>
            <w:r>
              <w:rPr>
                <w:color w:val="000000"/>
              </w:rPr>
              <w:t>评价标准：执行《声环境质量标准》（GB3096-2008）中的2类标准。</w:t>
            </w:r>
          </w:p>
          <w:p>
            <w:pPr>
              <w:spacing w:line="312" w:lineRule="auto"/>
              <w:ind w:firstLine="480"/>
              <w:rPr>
                <w:color w:val="000000"/>
              </w:rPr>
            </w:pPr>
            <w:r>
              <w:rPr>
                <w:color w:val="000000"/>
              </w:rPr>
              <w:t>（5）监测结果</w:t>
            </w:r>
          </w:p>
          <w:p>
            <w:pPr>
              <w:spacing w:line="312" w:lineRule="auto"/>
              <w:ind w:firstLine="480"/>
              <w:rPr>
                <w:color w:val="000000"/>
              </w:rPr>
            </w:pPr>
            <w:r>
              <w:rPr>
                <w:color w:val="000000"/>
              </w:rPr>
              <w:t xml:space="preserve"> 声环境现状调查结果见表3-3。</w:t>
            </w:r>
          </w:p>
          <w:p>
            <w:pPr>
              <w:pStyle w:val="54"/>
              <w:spacing w:before="156"/>
            </w:pPr>
            <w:r>
              <w:t>表3-3  项目周边声环境质量现状监测结果</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8"/>
              <w:gridCol w:w="1475"/>
              <w:gridCol w:w="1697"/>
              <w:gridCol w:w="1501"/>
              <w:gridCol w:w="15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965" w:type="pct"/>
                  <w:vMerge w:val="restart"/>
                  <w:vAlign w:val="center"/>
                </w:tcPr>
                <w:p>
                  <w:pPr>
                    <w:pStyle w:val="50"/>
                  </w:pPr>
                  <w:r>
                    <w:t>点位序号</w:t>
                  </w:r>
                </w:p>
              </w:tc>
              <w:tc>
                <w:tcPr>
                  <w:tcW w:w="964" w:type="pct"/>
                  <w:vMerge w:val="restart"/>
                  <w:vAlign w:val="center"/>
                </w:tcPr>
                <w:p>
                  <w:pPr>
                    <w:pStyle w:val="50"/>
                  </w:pPr>
                  <w:r>
                    <w:t>采样位置</w:t>
                  </w:r>
                </w:p>
              </w:tc>
              <w:tc>
                <w:tcPr>
                  <w:tcW w:w="1109" w:type="pct"/>
                  <w:vMerge w:val="restart"/>
                  <w:vAlign w:val="center"/>
                </w:tcPr>
                <w:p>
                  <w:pPr>
                    <w:pStyle w:val="50"/>
                  </w:pPr>
                  <w:r>
                    <w:t>采样时间</w:t>
                  </w:r>
                </w:p>
              </w:tc>
              <w:tc>
                <w:tcPr>
                  <w:tcW w:w="1962" w:type="pct"/>
                  <w:gridSpan w:val="2"/>
                  <w:vAlign w:val="center"/>
                </w:tcPr>
                <w:p>
                  <w:pPr>
                    <w:pStyle w:val="50"/>
                  </w:pPr>
                  <w:r>
                    <w:t>检测结果    LeqdB(A)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965" w:type="pct"/>
                  <w:vMerge w:val="continue"/>
                  <w:vAlign w:val="center"/>
                </w:tcPr>
                <w:p>
                  <w:pPr>
                    <w:pStyle w:val="50"/>
                  </w:pPr>
                </w:p>
              </w:tc>
              <w:tc>
                <w:tcPr>
                  <w:tcW w:w="964" w:type="pct"/>
                  <w:vMerge w:val="continue"/>
                  <w:vAlign w:val="center"/>
                </w:tcPr>
                <w:p>
                  <w:pPr>
                    <w:pStyle w:val="50"/>
                  </w:pPr>
                </w:p>
              </w:tc>
              <w:tc>
                <w:tcPr>
                  <w:tcW w:w="1109" w:type="pct"/>
                  <w:vMerge w:val="continue"/>
                  <w:vAlign w:val="center"/>
                </w:tcPr>
                <w:p>
                  <w:pPr>
                    <w:pStyle w:val="50"/>
                  </w:pPr>
                </w:p>
              </w:tc>
              <w:tc>
                <w:tcPr>
                  <w:tcW w:w="981" w:type="pct"/>
                  <w:vAlign w:val="center"/>
                </w:tcPr>
                <w:p>
                  <w:pPr>
                    <w:pStyle w:val="50"/>
                  </w:pPr>
                  <w:r>
                    <w:t>昼间</w:t>
                  </w:r>
                </w:p>
              </w:tc>
              <w:tc>
                <w:tcPr>
                  <w:tcW w:w="981" w:type="pct"/>
                  <w:vAlign w:val="center"/>
                </w:tcPr>
                <w:p>
                  <w:pPr>
                    <w:pStyle w:val="50"/>
                  </w:pPr>
                  <w: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65" w:type="pct"/>
                  <w:vMerge w:val="restart"/>
                  <w:vAlign w:val="center"/>
                </w:tcPr>
                <w:p>
                  <w:pPr>
                    <w:pStyle w:val="50"/>
                  </w:pPr>
                  <w:r>
                    <w:t>1#</w:t>
                  </w:r>
                </w:p>
              </w:tc>
              <w:tc>
                <w:tcPr>
                  <w:tcW w:w="964" w:type="pct"/>
                  <w:vMerge w:val="restart"/>
                  <w:vAlign w:val="center"/>
                </w:tcPr>
                <w:p>
                  <w:pPr>
                    <w:pStyle w:val="50"/>
                  </w:pPr>
                  <w:r>
                    <w:t>厂界东</w:t>
                  </w:r>
                </w:p>
              </w:tc>
              <w:tc>
                <w:tcPr>
                  <w:tcW w:w="1109" w:type="pct"/>
                  <w:vAlign w:val="center"/>
                </w:tcPr>
                <w:p>
                  <w:pPr>
                    <w:pStyle w:val="50"/>
                  </w:pPr>
                  <w:r>
                    <w:rPr>
                      <w:rFonts w:hint="eastAsia"/>
                    </w:rPr>
                    <w:t>2</w:t>
                  </w:r>
                  <w:r>
                    <w:t>021.04.22</w:t>
                  </w:r>
                </w:p>
              </w:tc>
              <w:tc>
                <w:tcPr>
                  <w:tcW w:w="981" w:type="pct"/>
                  <w:vAlign w:val="center"/>
                </w:tcPr>
                <w:p>
                  <w:pPr>
                    <w:pStyle w:val="50"/>
                  </w:pPr>
                  <w:r>
                    <w:rPr>
                      <w:rFonts w:hint="eastAsia"/>
                    </w:rPr>
                    <w:t>5</w:t>
                  </w:r>
                  <w:r>
                    <w:t>5.2</w:t>
                  </w:r>
                </w:p>
              </w:tc>
              <w:tc>
                <w:tcPr>
                  <w:tcW w:w="981" w:type="pct"/>
                  <w:vAlign w:val="center"/>
                </w:tcPr>
                <w:p>
                  <w:pPr>
                    <w:pStyle w:val="50"/>
                  </w:pPr>
                  <w:r>
                    <w:rPr>
                      <w:rFonts w:hint="eastAsia"/>
                    </w:rPr>
                    <w:t>4</w:t>
                  </w:r>
                  <w: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65" w:type="pct"/>
                  <w:vMerge w:val="continue"/>
                  <w:vAlign w:val="center"/>
                </w:tcPr>
                <w:p>
                  <w:pPr>
                    <w:pStyle w:val="50"/>
                  </w:pPr>
                </w:p>
              </w:tc>
              <w:tc>
                <w:tcPr>
                  <w:tcW w:w="964" w:type="pct"/>
                  <w:vMerge w:val="continue"/>
                  <w:vAlign w:val="center"/>
                </w:tcPr>
                <w:p>
                  <w:pPr>
                    <w:pStyle w:val="50"/>
                  </w:pPr>
                </w:p>
              </w:tc>
              <w:tc>
                <w:tcPr>
                  <w:tcW w:w="1109" w:type="pct"/>
                  <w:vAlign w:val="center"/>
                </w:tcPr>
                <w:p>
                  <w:pPr>
                    <w:pStyle w:val="50"/>
                  </w:pPr>
                  <w:r>
                    <w:rPr>
                      <w:rFonts w:hint="eastAsia"/>
                    </w:rPr>
                    <w:t>2</w:t>
                  </w:r>
                  <w:r>
                    <w:t>021.04.23</w:t>
                  </w:r>
                </w:p>
              </w:tc>
              <w:tc>
                <w:tcPr>
                  <w:tcW w:w="981" w:type="pct"/>
                  <w:vAlign w:val="center"/>
                </w:tcPr>
                <w:p>
                  <w:pPr>
                    <w:pStyle w:val="50"/>
                  </w:pPr>
                  <w:r>
                    <w:rPr>
                      <w:rFonts w:hint="eastAsia"/>
                    </w:rPr>
                    <w:t>5</w:t>
                  </w:r>
                  <w:r>
                    <w:t>3.8</w:t>
                  </w:r>
                </w:p>
              </w:tc>
              <w:tc>
                <w:tcPr>
                  <w:tcW w:w="981" w:type="pct"/>
                  <w:vAlign w:val="center"/>
                </w:tcPr>
                <w:p>
                  <w:pPr>
                    <w:pStyle w:val="50"/>
                  </w:pPr>
                  <w:r>
                    <w:rPr>
                      <w:rFonts w:hint="eastAsia"/>
                    </w:rPr>
                    <w:t>4</w:t>
                  </w:r>
                  <w: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65" w:type="pct"/>
                  <w:vMerge w:val="restart"/>
                  <w:vAlign w:val="center"/>
                </w:tcPr>
                <w:p>
                  <w:pPr>
                    <w:pStyle w:val="50"/>
                  </w:pPr>
                  <w:r>
                    <w:t>2#</w:t>
                  </w:r>
                </w:p>
              </w:tc>
              <w:tc>
                <w:tcPr>
                  <w:tcW w:w="964" w:type="pct"/>
                  <w:vMerge w:val="restart"/>
                  <w:vAlign w:val="center"/>
                </w:tcPr>
                <w:p>
                  <w:pPr>
                    <w:pStyle w:val="50"/>
                  </w:pPr>
                  <w:r>
                    <w:t>厂界南</w:t>
                  </w:r>
                </w:p>
              </w:tc>
              <w:tc>
                <w:tcPr>
                  <w:tcW w:w="1109" w:type="pct"/>
                  <w:vAlign w:val="center"/>
                </w:tcPr>
                <w:p>
                  <w:pPr>
                    <w:pStyle w:val="50"/>
                  </w:pPr>
                  <w:r>
                    <w:rPr>
                      <w:rFonts w:hint="eastAsia"/>
                    </w:rPr>
                    <w:t>2</w:t>
                  </w:r>
                  <w:r>
                    <w:t>021.04.22</w:t>
                  </w:r>
                </w:p>
              </w:tc>
              <w:tc>
                <w:tcPr>
                  <w:tcW w:w="981" w:type="pct"/>
                  <w:vAlign w:val="center"/>
                </w:tcPr>
                <w:p>
                  <w:pPr>
                    <w:pStyle w:val="50"/>
                  </w:pPr>
                  <w:r>
                    <w:rPr>
                      <w:rFonts w:hint="eastAsia"/>
                    </w:rPr>
                    <w:t>5</w:t>
                  </w:r>
                  <w:r>
                    <w:t>2.4</w:t>
                  </w:r>
                </w:p>
              </w:tc>
              <w:tc>
                <w:tcPr>
                  <w:tcW w:w="981" w:type="pct"/>
                  <w:vAlign w:val="center"/>
                </w:tcPr>
                <w:p>
                  <w:pPr>
                    <w:pStyle w:val="50"/>
                  </w:pPr>
                  <w:r>
                    <w:t>42.3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65" w:type="pct"/>
                  <w:vMerge w:val="continue"/>
                  <w:vAlign w:val="center"/>
                </w:tcPr>
                <w:p>
                  <w:pPr>
                    <w:pStyle w:val="50"/>
                  </w:pPr>
                </w:p>
              </w:tc>
              <w:tc>
                <w:tcPr>
                  <w:tcW w:w="964" w:type="pct"/>
                  <w:vMerge w:val="continue"/>
                  <w:vAlign w:val="center"/>
                </w:tcPr>
                <w:p>
                  <w:pPr>
                    <w:pStyle w:val="50"/>
                  </w:pPr>
                </w:p>
              </w:tc>
              <w:tc>
                <w:tcPr>
                  <w:tcW w:w="1109" w:type="pct"/>
                  <w:vAlign w:val="center"/>
                </w:tcPr>
                <w:p>
                  <w:pPr>
                    <w:pStyle w:val="50"/>
                  </w:pPr>
                  <w:r>
                    <w:rPr>
                      <w:rFonts w:hint="eastAsia"/>
                    </w:rPr>
                    <w:t>2</w:t>
                  </w:r>
                  <w:r>
                    <w:t>021.04.23</w:t>
                  </w:r>
                </w:p>
              </w:tc>
              <w:tc>
                <w:tcPr>
                  <w:tcW w:w="981" w:type="pct"/>
                  <w:vAlign w:val="center"/>
                </w:tcPr>
                <w:p>
                  <w:pPr>
                    <w:pStyle w:val="50"/>
                  </w:pPr>
                  <w:r>
                    <w:rPr>
                      <w:rFonts w:hint="eastAsia"/>
                    </w:rPr>
                    <w:t>5</w:t>
                  </w:r>
                  <w:r>
                    <w:t>1.7</w:t>
                  </w:r>
                </w:p>
              </w:tc>
              <w:tc>
                <w:tcPr>
                  <w:tcW w:w="981" w:type="pct"/>
                  <w:vAlign w:val="center"/>
                </w:tcPr>
                <w:p>
                  <w:pPr>
                    <w:pStyle w:val="50"/>
                  </w:pPr>
                  <w:r>
                    <w:rPr>
                      <w:rFonts w:hint="eastAsia"/>
                    </w:rPr>
                    <w:t>4</w:t>
                  </w:r>
                  <w: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65" w:type="pct"/>
                  <w:vMerge w:val="restart"/>
                  <w:vAlign w:val="center"/>
                </w:tcPr>
                <w:p>
                  <w:pPr>
                    <w:pStyle w:val="50"/>
                  </w:pPr>
                  <w:r>
                    <w:t>3#</w:t>
                  </w:r>
                </w:p>
              </w:tc>
              <w:tc>
                <w:tcPr>
                  <w:tcW w:w="964" w:type="pct"/>
                  <w:vMerge w:val="restart"/>
                  <w:vAlign w:val="center"/>
                </w:tcPr>
                <w:p>
                  <w:pPr>
                    <w:pStyle w:val="50"/>
                  </w:pPr>
                  <w:r>
                    <w:t>厂界西</w:t>
                  </w:r>
                </w:p>
              </w:tc>
              <w:tc>
                <w:tcPr>
                  <w:tcW w:w="1109" w:type="pct"/>
                  <w:vAlign w:val="center"/>
                </w:tcPr>
                <w:p>
                  <w:pPr>
                    <w:pStyle w:val="50"/>
                  </w:pPr>
                  <w:r>
                    <w:rPr>
                      <w:rFonts w:hint="eastAsia"/>
                    </w:rPr>
                    <w:t>2</w:t>
                  </w:r>
                  <w:r>
                    <w:t>021.04.22</w:t>
                  </w:r>
                </w:p>
              </w:tc>
              <w:tc>
                <w:tcPr>
                  <w:tcW w:w="981" w:type="pct"/>
                  <w:vAlign w:val="center"/>
                </w:tcPr>
                <w:p>
                  <w:pPr>
                    <w:pStyle w:val="50"/>
                  </w:pPr>
                  <w:r>
                    <w:rPr>
                      <w:rFonts w:hint="eastAsia"/>
                    </w:rPr>
                    <w:t>5</w:t>
                  </w:r>
                  <w:r>
                    <w:t>3.6</w:t>
                  </w:r>
                </w:p>
              </w:tc>
              <w:tc>
                <w:tcPr>
                  <w:tcW w:w="981" w:type="pct"/>
                  <w:vAlign w:val="center"/>
                </w:tcPr>
                <w:p>
                  <w:pPr>
                    <w:pStyle w:val="50"/>
                  </w:pPr>
                  <w:r>
                    <w:rPr>
                      <w:rFonts w:hint="eastAsia"/>
                    </w:rPr>
                    <w:t>4</w:t>
                  </w:r>
                  <w: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65" w:type="pct"/>
                  <w:vMerge w:val="continue"/>
                  <w:vAlign w:val="center"/>
                </w:tcPr>
                <w:p>
                  <w:pPr>
                    <w:pStyle w:val="50"/>
                  </w:pPr>
                </w:p>
              </w:tc>
              <w:tc>
                <w:tcPr>
                  <w:tcW w:w="964" w:type="pct"/>
                  <w:vMerge w:val="continue"/>
                  <w:vAlign w:val="center"/>
                </w:tcPr>
                <w:p>
                  <w:pPr>
                    <w:pStyle w:val="50"/>
                  </w:pPr>
                </w:p>
              </w:tc>
              <w:tc>
                <w:tcPr>
                  <w:tcW w:w="1109" w:type="pct"/>
                  <w:vAlign w:val="center"/>
                </w:tcPr>
                <w:p>
                  <w:pPr>
                    <w:pStyle w:val="50"/>
                  </w:pPr>
                  <w:r>
                    <w:rPr>
                      <w:rFonts w:hint="eastAsia"/>
                    </w:rPr>
                    <w:t>2</w:t>
                  </w:r>
                  <w:r>
                    <w:t>021.04.23</w:t>
                  </w:r>
                </w:p>
              </w:tc>
              <w:tc>
                <w:tcPr>
                  <w:tcW w:w="981" w:type="pct"/>
                  <w:vAlign w:val="center"/>
                </w:tcPr>
                <w:p>
                  <w:pPr>
                    <w:pStyle w:val="50"/>
                  </w:pPr>
                  <w:r>
                    <w:rPr>
                      <w:rFonts w:hint="eastAsia"/>
                    </w:rPr>
                    <w:t>5</w:t>
                  </w:r>
                  <w:r>
                    <w:t>2.7</w:t>
                  </w:r>
                </w:p>
              </w:tc>
              <w:tc>
                <w:tcPr>
                  <w:tcW w:w="981" w:type="pct"/>
                  <w:vAlign w:val="center"/>
                </w:tcPr>
                <w:p>
                  <w:pPr>
                    <w:pStyle w:val="50"/>
                  </w:pPr>
                  <w:r>
                    <w:t>40.8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65" w:type="pct"/>
                  <w:vMerge w:val="restart"/>
                  <w:vAlign w:val="center"/>
                </w:tcPr>
                <w:p>
                  <w:pPr>
                    <w:pStyle w:val="50"/>
                  </w:pPr>
                  <w:r>
                    <w:t>4#</w:t>
                  </w:r>
                </w:p>
              </w:tc>
              <w:tc>
                <w:tcPr>
                  <w:tcW w:w="964" w:type="pct"/>
                  <w:vMerge w:val="restart"/>
                  <w:vAlign w:val="center"/>
                </w:tcPr>
                <w:p>
                  <w:pPr>
                    <w:pStyle w:val="50"/>
                  </w:pPr>
                  <w:r>
                    <w:t>厂界北</w:t>
                  </w:r>
                </w:p>
              </w:tc>
              <w:tc>
                <w:tcPr>
                  <w:tcW w:w="1109" w:type="pct"/>
                  <w:vAlign w:val="center"/>
                </w:tcPr>
                <w:p>
                  <w:pPr>
                    <w:pStyle w:val="50"/>
                  </w:pPr>
                  <w:r>
                    <w:rPr>
                      <w:rFonts w:hint="eastAsia"/>
                    </w:rPr>
                    <w:t>2</w:t>
                  </w:r>
                  <w:r>
                    <w:t>021.04.22</w:t>
                  </w:r>
                </w:p>
              </w:tc>
              <w:tc>
                <w:tcPr>
                  <w:tcW w:w="981" w:type="pct"/>
                  <w:vAlign w:val="center"/>
                </w:tcPr>
                <w:p>
                  <w:pPr>
                    <w:pStyle w:val="50"/>
                  </w:pPr>
                  <w:r>
                    <w:rPr>
                      <w:rFonts w:hint="eastAsia"/>
                    </w:rPr>
                    <w:t>5</w:t>
                  </w:r>
                  <w:r>
                    <w:t>3.5</w:t>
                  </w:r>
                </w:p>
              </w:tc>
              <w:tc>
                <w:tcPr>
                  <w:tcW w:w="981" w:type="pct"/>
                  <w:vAlign w:val="center"/>
                </w:tcPr>
                <w:p>
                  <w:pPr>
                    <w:pStyle w:val="50"/>
                  </w:pPr>
                  <w:r>
                    <w:t>41.6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65" w:type="pct"/>
                  <w:vMerge w:val="continue"/>
                  <w:vAlign w:val="center"/>
                </w:tcPr>
                <w:p>
                  <w:pPr>
                    <w:pStyle w:val="50"/>
                  </w:pPr>
                </w:p>
              </w:tc>
              <w:tc>
                <w:tcPr>
                  <w:tcW w:w="964" w:type="pct"/>
                  <w:vMerge w:val="continue"/>
                  <w:vAlign w:val="center"/>
                </w:tcPr>
                <w:p>
                  <w:pPr>
                    <w:pStyle w:val="50"/>
                  </w:pPr>
                </w:p>
              </w:tc>
              <w:tc>
                <w:tcPr>
                  <w:tcW w:w="1109" w:type="pct"/>
                  <w:vAlign w:val="center"/>
                </w:tcPr>
                <w:p>
                  <w:pPr>
                    <w:pStyle w:val="50"/>
                  </w:pPr>
                  <w:r>
                    <w:rPr>
                      <w:rFonts w:hint="eastAsia"/>
                    </w:rPr>
                    <w:t>2</w:t>
                  </w:r>
                  <w:r>
                    <w:t>021.04.23</w:t>
                  </w:r>
                </w:p>
              </w:tc>
              <w:tc>
                <w:tcPr>
                  <w:tcW w:w="981" w:type="pct"/>
                  <w:vAlign w:val="center"/>
                </w:tcPr>
                <w:p>
                  <w:pPr>
                    <w:pStyle w:val="50"/>
                  </w:pPr>
                  <w:r>
                    <w:rPr>
                      <w:rFonts w:hint="eastAsia"/>
                    </w:rPr>
                    <w:t>5</w:t>
                  </w:r>
                  <w:r>
                    <w:t>4.1</w:t>
                  </w:r>
                </w:p>
              </w:tc>
              <w:tc>
                <w:tcPr>
                  <w:tcW w:w="981" w:type="pct"/>
                  <w:vAlign w:val="center"/>
                </w:tcPr>
                <w:p>
                  <w:pPr>
                    <w:pStyle w:val="50"/>
                  </w:pPr>
                  <w:r>
                    <w:rPr>
                      <w:rFonts w:hint="eastAsia"/>
                    </w:rPr>
                    <w:t>4</w:t>
                  </w:r>
                  <w: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65" w:type="pct"/>
                  <w:vMerge w:val="restart"/>
                  <w:vAlign w:val="center"/>
                </w:tcPr>
                <w:p>
                  <w:pPr>
                    <w:pStyle w:val="50"/>
                  </w:pPr>
                  <w:r>
                    <w:t>5#</w:t>
                  </w:r>
                </w:p>
              </w:tc>
              <w:tc>
                <w:tcPr>
                  <w:tcW w:w="964" w:type="pct"/>
                  <w:vMerge w:val="restart"/>
                  <w:vAlign w:val="center"/>
                </w:tcPr>
                <w:p>
                  <w:pPr>
                    <w:pStyle w:val="50"/>
                  </w:pPr>
                  <w:r>
                    <w:rPr>
                      <w:rFonts w:hint="eastAsia"/>
                    </w:rPr>
                    <w:t>北侧</w:t>
                  </w:r>
                  <w:r>
                    <w:t>居民点</w:t>
                  </w:r>
                </w:p>
              </w:tc>
              <w:tc>
                <w:tcPr>
                  <w:tcW w:w="1109" w:type="pct"/>
                  <w:vAlign w:val="center"/>
                </w:tcPr>
                <w:p>
                  <w:pPr>
                    <w:pStyle w:val="50"/>
                  </w:pPr>
                  <w:r>
                    <w:rPr>
                      <w:rFonts w:hint="eastAsia"/>
                    </w:rPr>
                    <w:t>2</w:t>
                  </w:r>
                  <w:r>
                    <w:t>021.04.22</w:t>
                  </w:r>
                </w:p>
              </w:tc>
              <w:tc>
                <w:tcPr>
                  <w:tcW w:w="981" w:type="pct"/>
                  <w:vAlign w:val="center"/>
                </w:tcPr>
                <w:p>
                  <w:pPr>
                    <w:pStyle w:val="50"/>
                  </w:pPr>
                  <w:r>
                    <w:rPr>
                      <w:rFonts w:hint="eastAsia"/>
                    </w:rPr>
                    <w:t>5</w:t>
                  </w:r>
                  <w:r>
                    <w:t>4.8</w:t>
                  </w:r>
                </w:p>
              </w:tc>
              <w:tc>
                <w:tcPr>
                  <w:tcW w:w="981" w:type="pct"/>
                  <w:vAlign w:val="center"/>
                </w:tcPr>
                <w:p>
                  <w:pPr>
                    <w:pStyle w:val="50"/>
                  </w:pPr>
                  <w:r>
                    <w:rPr>
                      <w:rFonts w:hint="eastAsia"/>
                    </w:rPr>
                    <w:t>4</w:t>
                  </w:r>
                  <w: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65" w:type="pct"/>
                  <w:vMerge w:val="continue"/>
                  <w:vAlign w:val="center"/>
                </w:tcPr>
                <w:p>
                  <w:pPr>
                    <w:pStyle w:val="50"/>
                  </w:pPr>
                </w:p>
              </w:tc>
              <w:tc>
                <w:tcPr>
                  <w:tcW w:w="964" w:type="pct"/>
                  <w:vMerge w:val="continue"/>
                  <w:vAlign w:val="center"/>
                </w:tcPr>
                <w:p>
                  <w:pPr>
                    <w:pStyle w:val="50"/>
                  </w:pPr>
                </w:p>
              </w:tc>
              <w:tc>
                <w:tcPr>
                  <w:tcW w:w="1109" w:type="pct"/>
                  <w:vAlign w:val="center"/>
                </w:tcPr>
                <w:p>
                  <w:pPr>
                    <w:pStyle w:val="50"/>
                  </w:pPr>
                  <w:r>
                    <w:rPr>
                      <w:rFonts w:hint="eastAsia"/>
                    </w:rPr>
                    <w:t>2</w:t>
                  </w:r>
                  <w:r>
                    <w:t>021.04.23</w:t>
                  </w:r>
                </w:p>
              </w:tc>
              <w:tc>
                <w:tcPr>
                  <w:tcW w:w="981" w:type="pct"/>
                  <w:vAlign w:val="center"/>
                </w:tcPr>
                <w:p>
                  <w:pPr>
                    <w:pStyle w:val="50"/>
                  </w:pPr>
                  <w:r>
                    <w:rPr>
                      <w:rFonts w:hint="eastAsia"/>
                    </w:rPr>
                    <w:t>5</w:t>
                  </w:r>
                  <w:r>
                    <w:t>5.1</w:t>
                  </w:r>
                </w:p>
              </w:tc>
              <w:tc>
                <w:tcPr>
                  <w:tcW w:w="981" w:type="pct"/>
                  <w:vAlign w:val="center"/>
                </w:tcPr>
                <w:p>
                  <w:pPr>
                    <w:pStyle w:val="50"/>
                  </w:pPr>
                  <w:r>
                    <w:t>43.7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65" w:type="pct"/>
                  <w:vMerge w:val="restart"/>
                  <w:vAlign w:val="center"/>
                </w:tcPr>
                <w:p>
                  <w:pPr>
                    <w:pStyle w:val="50"/>
                  </w:pPr>
                  <w:r>
                    <w:rPr>
                      <w:rFonts w:hint="eastAsia"/>
                    </w:rPr>
                    <w:t>6</w:t>
                  </w:r>
                  <w:r>
                    <w:t>#</w:t>
                  </w:r>
                </w:p>
              </w:tc>
              <w:tc>
                <w:tcPr>
                  <w:tcW w:w="964" w:type="pct"/>
                  <w:vMerge w:val="restart"/>
                  <w:vAlign w:val="center"/>
                </w:tcPr>
                <w:p>
                  <w:pPr>
                    <w:pStyle w:val="50"/>
                  </w:pPr>
                  <w:r>
                    <w:rPr>
                      <w:rFonts w:hint="eastAsia"/>
                    </w:rPr>
                    <w:t>东侧居民点</w:t>
                  </w:r>
                </w:p>
              </w:tc>
              <w:tc>
                <w:tcPr>
                  <w:tcW w:w="1109" w:type="pct"/>
                  <w:vAlign w:val="center"/>
                </w:tcPr>
                <w:p>
                  <w:pPr>
                    <w:pStyle w:val="50"/>
                  </w:pPr>
                  <w:r>
                    <w:rPr>
                      <w:rFonts w:hint="eastAsia"/>
                    </w:rPr>
                    <w:t>2</w:t>
                  </w:r>
                  <w:r>
                    <w:t>021.04.22</w:t>
                  </w:r>
                </w:p>
              </w:tc>
              <w:tc>
                <w:tcPr>
                  <w:tcW w:w="981" w:type="pct"/>
                  <w:vAlign w:val="center"/>
                </w:tcPr>
                <w:p>
                  <w:pPr>
                    <w:pStyle w:val="50"/>
                  </w:pPr>
                  <w:r>
                    <w:rPr>
                      <w:rFonts w:hint="eastAsia"/>
                    </w:rPr>
                    <w:t>5</w:t>
                  </w:r>
                  <w:r>
                    <w:t>5.9</w:t>
                  </w:r>
                </w:p>
              </w:tc>
              <w:tc>
                <w:tcPr>
                  <w:tcW w:w="981" w:type="pct"/>
                  <w:vAlign w:val="center"/>
                </w:tcPr>
                <w:p>
                  <w:pPr>
                    <w:pStyle w:val="50"/>
                  </w:pPr>
                  <w:r>
                    <w:rPr>
                      <w:rFonts w:hint="eastAsia"/>
                    </w:rPr>
                    <w:t>4</w:t>
                  </w:r>
                  <w: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65" w:type="pct"/>
                  <w:vMerge w:val="continue"/>
                  <w:vAlign w:val="center"/>
                </w:tcPr>
                <w:p>
                  <w:pPr>
                    <w:pStyle w:val="50"/>
                  </w:pPr>
                </w:p>
              </w:tc>
              <w:tc>
                <w:tcPr>
                  <w:tcW w:w="964" w:type="pct"/>
                  <w:vMerge w:val="continue"/>
                  <w:vAlign w:val="center"/>
                </w:tcPr>
                <w:p>
                  <w:pPr>
                    <w:pStyle w:val="50"/>
                  </w:pPr>
                </w:p>
              </w:tc>
              <w:tc>
                <w:tcPr>
                  <w:tcW w:w="1109" w:type="pct"/>
                  <w:vAlign w:val="center"/>
                </w:tcPr>
                <w:p>
                  <w:pPr>
                    <w:pStyle w:val="50"/>
                  </w:pPr>
                  <w:r>
                    <w:rPr>
                      <w:rFonts w:hint="eastAsia"/>
                    </w:rPr>
                    <w:t>2</w:t>
                  </w:r>
                  <w:r>
                    <w:t>021.04.23</w:t>
                  </w:r>
                </w:p>
              </w:tc>
              <w:tc>
                <w:tcPr>
                  <w:tcW w:w="981" w:type="pct"/>
                  <w:vAlign w:val="center"/>
                </w:tcPr>
                <w:p>
                  <w:pPr>
                    <w:pStyle w:val="50"/>
                  </w:pPr>
                  <w:r>
                    <w:rPr>
                      <w:rFonts w:hint="eastAsia"/>
                    </w:rPr>
                    <w:t>5</w:t>
                  </w:r>
                  <w:r>
                    <w:t>6.1</w:t>
                  </w:r>
                </w:p>
              </w:tc>
              <w:tc>
                <w:tcPr>
                  <w:tcW w:w="981" w:type="pct"/>
                  <w:vAlign w:val="center"/>
                </w:tcPr>
                <w:p>
                  <w:pPr>
                    <w:pStyle w:val="50"/>
                  </w:pPr>
                  <w:r>
                    <w:t>45.7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38" w:type="pct"/>
                  <w:gridSpan w:val="3"/>
                  <w:vAlign w:val="center"/>
                </w:tcPr>
                <w:p>
                  <w:pPr>
                    <w:pStyle w:val="50"/>
                  </w:pPr>
                  <w:r>
                    <w:t>《声环境质量标准》（GB3096-2008）</w:t>
                  </w:r>
                </w:p>
                <w:p>
                  <w:pPr>
                    <w:pStyle w:val="50"/>
                  </w:pPr>
                  <w:r>
                    <w:t>中2类标准</w:t>
                  </w:r>
                </w:p>
              </w:tc>
              <w:tc>
                <w:tcPr>
                  <w:tcW w:w="981" w:type="pct"/>
                  <w:vAlign w:val="center"/>
                </w:tcPr>
                <w:p>
                  <w:pPr>
                    <w:pStyle w:val="50"/>
                  </w:pPr>
                  <w:r>
                    <w:t>60</w:t>
                  </w:r>
                </w:p>
              </w:tc>
              <w:tc>
                <w:tcPr>
                  <w:tcW w:w="981" w:type="pct"/>
                  <w:vAlign w:val="center"/>
                </w:tcPr>
                <w:p>
                  <w:pPr>
                    <w:pStyle w:val="50"/>
                  </w:pPr>
                  <w:r>
                    <w:t>50</w:t>
                  </w:r>
                </w:p>
              </w:tc>
            </w:tr>
          </w:tbl>
          <w:p>
            <w:pPr>
              <w:pStyle w:val="68"/>
              <w:spacing w:line="360" w:lineRule="auto"/>
              <w:jc w:val="left"/>
              <w:rPr>
                <w:rFonts w:hAnsi="Times New Roman" w:cs="Times New Roman"/>
                <w:bCs/>
                <w:color w:val="000000"/>
                <w:sz w:val="24"/>
              </w:rPr>
            </w:pPr>
            <w:r>
              <w:rPr>
                <w:rFonts w:hAnsi="Times New Roman" w:cs="Times New Roman"/>
                <w:bCs/>
                <w:color w:val="000000"/>
                <w:sz w:val="24"/>
              </w:rPr>
              <w:t>根据声环境现状监测数据分析可知，项目厂界四周以及最近居民点声环境能够满足《声环境质量标准》（GB3096-2008）中2类标准。</w:t>
            </w:r>
          </w:p>
          <w:p>
            <w:pPr>
              <w:ind w:firstLine="482"/>
              <w:rPr>
                <w:b/>
                <w:bCs/>
                <w:color w:val="000000"/>
              </w:rPr>
            </w:pPr>
            <w:r>
              <w:rPr>
                <w:rFonts w:hint="eastAsia"/>
                <w:b/>
                <w:bCs/>
                <w:color w:val="000000"/>
              </w:rPr>
              <w:t>4</w:t>
            </w:r>
            <w:r>
              <w:rPr>
                <w:b/>
                <w:bCs/>
                <w:color w:val="000000"/>
              </w:rPr>
              <w:t>生态环境</w:t>
            </w:r>
          </w:p>
          <w:p>
            <w:pPr>
              <w:ind w:firstLine="480"/>
              <w:rPr>
                <w:bCs/>
                <w:color w:val="000000"/>
              </w:rPr>
            </w:pPr>
            <w:r>
              <w:rPr>
                <w:rFonts w:hint="eastAsia"/>
                <w:bCs/>
                <w:color w:val="000000"/>
              </w:rPr>
              <w:t>根据现场勘查，项目周边生态植被种类简单，主要以自然生杂草、低矮灌木丛类为主。因长期受人类活动频繁影响，评价区域未见有大型野生动物，现较为常见的主要有鼠类、蛇类、蛙类、鸟类、昆虫类等一些小型野生动物。评价区内无国家重点保护的珍惜野生动、植物及自然保护区等生态敏感目标。</w:t>
            </w:r>
          </w:p>
          <w:p>
            <w:pPr>
              <w:ind w:firstLine="480"/>
              <w:rPr>
                <w:bCs/>
                <w:color w:val="000000"/>
                <w:kern w:val="0"/>
              </w:rPr>
            </w:pPr>
          </w:p>
          <w:p>
            <w:pPr>
              <w:ind w:firstLine="480"/>
              <w:rPr>
                <w:color w:val="000000"/>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2" w:type="dxa"/>
            <w:vAlign w:val="center"/>
          </w:tcPr>
          <w:p>
            <w:pPr>
              <w:adjustRightInd w:val="0"/>
              <w:snapToGrid w:val="0"/>
              <w:ind w:firstLine="0" w:firstLineChars="0"/>
              <w:jc w:val="center"/>
              <w:rPr>
                <w:color w:val="000000"/>
                <w:kern w:val="0"/>
              </w:rPr>
            </w:pPr>
            <w:r>
              <w:rPr>
                <w:color w:val="000000"/>
                <w:kern w:val="0"/>
              </w:rPr>
              <w:t>环境</w:t>
            </w:r>
          </w:p>
          <w:p>
            <w:pPr>
              <w:adjustRightInd w:val="0"/>
              <w:snapToGrid w:val="0"/>
              <w:ind w:firstLine="0" w:firstLineChars="0"/>
              <w:jc w:val="center"/>
              <w:rPr>
                <w:color w:val="000000"/>
                <w:kern w:val="0"/>
              </w:rPr>
            </w:pPr>
            <w:r>
              <w:rPr>
                <w:color w:val="000000"/>
                <w:kern w:val="0"/>
              </w:rPr>
              <w:t>保护</w:t>
            </w:r>
          </w:p>
          <w:p>
            <w:pPr>
              <w:adjustRightInd w:val="0"/>
              <w:snapToGrid w:val="0"/>
              <w:ind w:firstLine="0" w:firstLineChars="0"/>
              <w:jc w:val="center"/>
              <w:rPr>
                <w:color w:val="FF0000"/>
                <w:kern w:val="0"/>
                <w:szCs w:val="21"/>
              </w:rPr>
            </w:pPr>
            <w:r>
              <w:rPr>
                <w:color w:val="000000"/>
                <w:kern w:val="0"/>
              </w:rPr>
              <w:t>目标</w:t>
            </w:r>
          </w:p>
        </w:tc>
        <w:tc>
          <w:tcPr>
            <w:tcW w:w="8527" w:type="dxa"/>
            <w:vAlign w:val="center"/>
          </w:tcPr>
          <w:p>
            <w:pPr>
              <w:pStyle w:val="68"/>
              <w:spacing w:line="360" w:lineRule="auto"/>
              <w:ind w:firstLine="482"/>
              <w:jc w:val="left"/>
              <w:rPr>
                <w:rFonts w:hAnsi="Times New Roman" w:cs="Times New Roman"/>
                <w:b/>
                <w:color w:val="000000"/>
                <w:sz w:val="24"/>
              </w:rPr>
            </w:pPr>
            <w:r>
              <w:rPr>
                <w:rFonts w:hAnsi="Times New Roman" w:cs="Times New Roman"/>
                <w:b/>
                <w:color w:val="000000"/>
                <w:sz w:val="24"/>
              </w:rPr>
              <w:t>1、大气环境</w:t>
            </w:r>
          </w:p>
          <w:p>
            <w:pPr>
              <w:pStyle w:val="68"/>
              <w:spacing w:line="360" w:lineRule="auto"/>
              <w:jc w:val="left"/>
              <w:rPr>
                <w:rFonts w:hAnsi="Times New Roman" w:cs="Times New Roman"/>
                <w:bCs/>
                <w:color w:val="000000"/>
                <w:sz w:val="24"/>
              </w:rPr>
            </w:pPr>
            <w:r>
              <w:rPr>
                <w:rFonts w:hAnsi="Times New Roman" w:cs="Times New Roman"/>
                <w:bCs/>
                <w:color w:val="000000"/>
                <w:sz w:val="24"/>
              </w:rPr>
              <w:t>本项目位于</w:t>
            </w:r>
            <w:r>
              <w:rPr>
                <w:rFonts w:hint="eastAsia" w:hAnsi="Times New Roman" w:cs="Times New Roman"/>
                <w:color w:val="000000"/>
                <w:sz w:val="24"/>
              </w:rPr>
              <w:t>永州经济技术开发区仁湾街道东山里村毛立山组</w:t>
            </w:r>
            <w:r>
              <w:rPr>
                <w:rFonts w:hAnsi="Times New Roman" w:cs="Times New Roman"/>
                <w:bCs/>
                <w:color w:val="000000"/>
                <w:sz w:val="24"/>
              </w:rPr>
              <w:t>，本项目厂界外500m范围内大气环境保护目标详见表3-4及附图4。</w:t>
            </w:r>
          </w:p>
          <w:p>
            <w:pPr>
              <w:snapToGrid w:val="0"/>
              <w:ind w:firstLine="482"/>
              <w:jc w:val="center"/>
              <w:rPr>
                <w:b/>
                <w:color w:val="000000"/>
                <w:szCs w:val="21"/>
              </w:rPr>
            </w:pPr>
            <w:r>
              <w:rPr>
                <w:b/>
                <w:color w:val="000000"/>
                <w:szCs w:val="21"/>
              </w:rPr>
              <w:t>表3-4   环境空气保护目标一览表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887"/>
              <w:gridCol w:w="480"/>
              <w:gridCol w:w="603"/>
              <w:gridCol w:w="888"/>
              <w:gridCol w:w="1622"/>
              <w:gridCol w:w="888"/>
              <w:gridCol w:w="888"/>
              <w:gridCol w:w="13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80" w:type="pct"/>
                  <w:vMerge w:val="restart"/>
                  <w:vAlign w:val="center"/>
                </w:tcPr>
                <w:p>
                  <w:pPr>
                    <w:pStyle w:val="6"/>
                    <w:ind w:firstLine="0" w:firstLineChars="0"/>
                    <w:jc w:val="center"/>
                    <w:rPr>
                      <w:color w:val="000000"/>
                      <w:sz w:val="18"/>
                      <w:szCs w:val="18"/>
                    </w:rPr>
                  </w:pPr>
                  <w:r>
                    <w:rPr>
                      <w:color w:val="000000"/>
                      <w:sz w:val="18"/>
                      <w:szCs w:val="18"/>
                    </w:rPr>
                    <w:t>名称</w:t>
                  </w:r>
                </w:p>
              </w:tc>
              <w:tc>
                <w:tcPr>
                  <w:tcW w:w="708" w:type="pct"/>
                  <w:gridSpan w:val="2"/>
                  <w:vAlign w:val="center"/>
                </w:tcPr>
                <w:p>
                  <w:pPr>
                    <w:pStyle w:val="6"/>
                    <w:ind w:firstLine="0" w:firstLineChars="0"/>
                    <w:jc w:val="center"/>
                    <w:rPr>
                      <w:color w:val="000000"/>
                      <w:sz w:val="18"/>
                      <w:szCs w:val="18"/>
                    </w:rPr>
                  </w:pPr>
                  <w:r>
                    <w:rPr>
                      <w:color w:val="000000"/>
                      <w:sz w:val="18"/>
                      <w:szCs w:val="18"/>
                    </w:rPr>
                    <w:t>坐标</w:t>
                  </w:r>
                  <w:r>
                    <w:rPr>
                      <w:rFonts w:hint="eastAsia"/>
                      <w:color w:val="000000"/>
                      <w:sz w:val="18"/>
                      <w:szCs w:val="18"/>
                    </w:rPr>
                    <w:t>/</w:t>
                  </w:r>
                  <w:r>
                    <w:rPr>
                      <w:color w:val="000000"/>
                      <w:sz w:val="18"/>
                      <w:szCs w:val="18"/>
                    </w:rPr>
                    <w:t>m</w:t>
                  </w:r>
                </w:p>
              </w:tc>
              <w:tc>
                <w:tcPr>
                  <w:tcW w:w="580" w:type="pct"/>
                  <w:vMerge w:val="restart"/>
                  <w:vAlign w:val="center"/>
                </w:tcPr>
                <w:p>
                  <w:pPr>
                    <w:pStyle w:val="6"/>
                    <w:ind w:firstLine="0" w:firstLineChars="0"/>
                    <w:jc w:val="center"/>
                    <w:rPr>
                      <w:color w:val="000000"/>
                      <w:sz w:val="18"/>
                      <w:szCs w:val="18"/>
                    </w:rPr>
                  </w:pPr>
                  <w:r>
                    <w:rPr>
                      <w:rFonts w:hint="eastAsia"/>
                      <w:color w:val="000000"/>
                      <w:sz w:val="18"/>
                      <w:szCs w:val="18"/>
                    </w:rPr>
                    <w:t>保护</w:t>
                  </w:r>
                </w:p>
                <w:p>
                  <w:pPr>
                    <w:pStyle w:val="6"/>
                    <w:ind w:firstLine="0" w:firstLineChars="0"/>
                    <w:jc w:val="center"/>
                    <w:rPr>
                      <w:color w:val="000000"/>
                      <w:sz w:val="18"/>
                      <w:szCs w:val="18"/>
                    </w:rPr>
                  </w:pPr>
                  <w:r>
                    <w:rPr>
                      <w:rFonts w:hint="eastAsia"/>
                      <w:color w:val="000000"/>
                      <w:sz w:val="18"/>
                      <w:szCs w:val="18"/>
                    </w:rPr>
                    <w:t>对象</w:t>
                  </w:r>
                </w:p>
              </w:tc>
              <w:tc>
                <w:tcPr>
                  <w:tcW w:w="1060" w:type="pct"/>
                  <w:vMerge w:val="restart"/>
                  <w:vAlign w:val="center"/>
                </w:tcPr>
                <w:p>
                  <w:pPr>
                    <w:pStyle w:val="6"/>
                    <w:ind w:firstLine="0" w:firstLineChars="0"/>
                    <w:jc w:val="center"/>
                    <w:rPr>
                      <w:color w:val="000000"/>
                      <w:sz w:val="18"/>
                      <w:szCs w:val="18"/>
                    </w:rPr>
                  </w:pPr>
                  <w:r>
                    <w:rPr>
                      <w:rFonts w:hint="eastAsia"/>
                      <w:color w:val="000000"/>
                      <w:sz w:val="18"/>
                      <w:szCs w:val="18"/>
                    </w:rPr>
                    <w:t>保护</w:t>
                  </w:r>
                </w:p>
                <w:p>
                  <w:pPr>
                    <w:pStyle w:val="6"/>
                    <w:ind w:firstLine="0" w:firstLineChars="0"/>
                    <w:jc w:val="center"/>
                    <w:rPr>
                      <w:color w:val="000000"/>
                      <w:sz w:val="18"/>
                      <w:szCs w:val="18"/>
                    </w:rPr>
                  </w:pPr>
                  <w:r>
                    <w:rPr>
                      <w:rFonts w:hint="eastAsia"/>
                      <w:color w:val="000000"/>
                      <w:sz w:val="18"/>
                      <w:szCs w:val="18"/>
                    </w:rPr>
                    <w:t>内容</w:t>
                  </w:r>
                </w:p>
              </w:tc>
              <w:tc>
                <w:tcPr>
                  <w:tcW w:w="580" w:type="pct"/>
                  <w:vMerge w:val="restart"/>
                  <w:vAlign w:val="center"/>
                </w:tcPr>
                <w:p>
                  <w:pPr>
                    <w:pStyle w:val="6"/>
                    <w:ind w:firstLine="0" w:firstLineChars="0"/>
                    <w:jc w:val="center"/>
                    <w:rPr>
                      <w:color w:val="000000"/>
                      <w:sz w:val="18"/>
                      <w:szCs w:val="18"/>
                    </w:rPr>
                  </w:pPr>
                  <w:r>
                    <w:rPr>
                      <w:rFonts w:hint="eastAsia"/>
                      <w:color w:val="000000"/>
                      <w:sz w:val="18"/>
                      <w:szCs w:val="18"/>
                    </w:rPr>
                    <w:t>环境</w:t>
                  </w:r>
                </w:p>
                <w:p>
                  <w:pPr>
                    <w:pStyle w:val="6"/>
                    <w:ind w:firstLine="0" w:firstLineChars="0"/>
                    <w:jc w:val="center"/>
                    <w:rPr>
                      <w:color w:val="000000"/>
                      <w:sz w:val="18"/>
                      <w:szCs w:val="18"/>
                    </w:rPr>
                  </w:pPr>
                  <w:r>
                    <w:rPr>
                      <w:rFonts w:hint="eastAsia"/>
                      <w:color w:val="000000"/>
                      <w:sz w:val="18"/>
                      <w:szCs w:val="18"/>
                    </w:rPr>
                    <w:t>功能区</w:t>
                  </w:r>
                </w:p>
              </w:tc>
              <w:tc>
                <w:tcPr>
                  <w:tcW w:w="580" w:type="pct"/>
                  <w:vMerge w:val="restart"/>
                  <w:vAlign w:val="center"/>
                </w:tcPr>
                <w:p>
                  <w:pPr>
                    <w:pStyle w:val="6"/>
                    <w:ind w:firstLine="0" w:firstLineChars="0"/>
                    <w:jc w:val="center"/>
                    <w:rPr>
                      <w:color w:val="000000"/>
                      <w:sz w:val="18"/>
                      <w:szCs w:val="18"/>
                    </w:rPr>
                  </w:pPr>
                  <w:r>
                    <w:rPr>
                      <w:rFonts w:hint="eastAsia"/>
                      <w:color w:val="000000"/>
                      <w:sz w:val="18"/>
                      <w:szCs w:val="18"/>
                    </w:rPr>
                    <w:t>相对厂</w:t>
                  </w:r>
                </w:p>
                <w:p>
                  <w:pPr>
                    <w:pStyle w:val="6"/>
                    <w:ind w:firstLine="0" w:firstLineChars="0"/>
                    <w:jc w:val="center"/>
                    <w:rPr>
                      <w:color w:val="000000"/>
                      <w:sz w:val="18"/>
                      <w:szCs w:val="18"/>
                    </w:rPr>
                  </w:pPr>
                  <w:r>
                    <w:rPr>
                      <w:rFonts w:hint="eastAsia"/>
                      <w:color w:val="000000"/>
                      <w:sz w:val="18"/>
                      <w:szCs w:val="18"/>
                    </w:rPr>
                    <w:t>址方位</w:t>
                  </w:r>
                </w:p>
              </w:tc>
              <w:tc>
                <w:tcPr>
                  <w:tcW w:w="910" w:type="pct"/>
                  <w:vMerge w:val="restart"/>
                  <w:vAlign w:val="center"/>
                </w:tcPr>
                <w:p>
                  <w:pPr>
                    <w:pStyle w:val="6"/>
                    <w:ind w:firstLine="0" w:firstLineChars="0"/>
                    <w:jc w:val="center"/>
                    <w:rPr>
                      <w:color w:val="000000"/>
                      <w:sz w:val="18"/>
                      <w:szCs w:val="18"/>
                    </w:rPr>
                  </w:pPr>
                  <w:r>
                    <w:rPr>
                      <w:rFonts w:hint="eastAsia"/>
                      <w:color w:val="000000"/>
                      <w:sz w:val="18"/>
                      <w:szCs w:val="18"/>
                    </w:rPr>
                    <w:t>相对厂界</w:t>
                  </w:r>
                </w:p>
                <w:p>
                  <w:pPr>
                    <w:pStyle w:val="6"/>
                    <w:ind w:firstLine="0" w:firstLineChars="0"/>
                    <w:jc w:val="center"/>
                    <w:rPr>
                      <w:color w:val="000000"/>
                      <w:sz w:val="18"/>
                      <w:szCs w:val="18"/>
                    </w:rPr>
                  </w:pPr>
                  <w:r>
                    <w:rPr>
                      <w:rFonts w:hint="eastAsia"/>
                      <w:color w:val="000000"/>
                      <w:sz w:val="18"/>
                      <w:szCs w:val="18"/>
                    </w:rPr>
                    <w:t>最近距离/</w:t>
                  </w:r>
                  <w:r>
                    <w:rPr>
                      <w:color w:val="000000"/>
                      <w:sz w:val="18"/>
                      <w:szCs w:val="18"/>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80" w:type="pct"/>
                  <w:vMerge w:val="continue"/>
                  <w:vAlign w:val="center"/>
                </w:tcPr>
                <w:p>
                  <w:pPr>
                    <w:pStyle w:val="6"/>
                    <w:ind w:firstLine="0" w:firstLineChars="0"/>
                    <w:jc w:val="center"/>
                    <w:rPr>
                      <w:color w:val="000000"/>
                      <w:sz w:val="18"/>
                      <w:szCs w:val="18"/>
                    </w:rPr>
                  </w:pPr>
                </w:p>
              </w:tc>
              <w:tc>
                <w:tcPr>
                  <w:tcW w:w="314" w:type="pct"/>
                  <w:vAlign w:val="center"/>
                </w:tcPr>
                <w:p>
                  <w:pPr>
                    <w:pStyle w:val="6"/>
                    <w:ind w:firstLine="0" w:firstLineChars="0"/>
                    <w:jc w:val="center"/>
                    <w:rPr>
                      <w:color w:val="000000"/>
                      <w:sz w:val="18"/>
                      <w:szCs w:val="18"/>
                    </w:rPr>
                  </w:pPr>
                  <w:r>
                    <w:rPr>
                      <w:rFonts w:hint="eastAsia"/>
                      <w:color w:val="000000"/>
                      <w:sz w:val="18"/>
                      <w:szCs w:val="18"/>
                    </w:rPr>
                    <w:t>x</w:t>
                  </w:r>
                </w:p>
              </w:tc>
              <w:tc>
                <w:tcPr>
                  <w:tcW w:w="394" w:type="pct"/>
                  <w:vAlign w:val="center"/>
                </w:tcPr>
                <w:p>
                  <w:pPr>
                    <w:pStyle w:val="6"/>
                    <w:ind w:firstLine="0" w:firstLineChars="0"/>
                    <w:jc w:val="center"/>
                    <w:rPr>
                      <w:color w:val="000000"/>
                      <w:sz w:val="18"/>
                      <w:szCs w:val="18"/>
                    </w:rPr>
                  </w:pPr>
                  <w:r>
                    <w:rPr>
                      <w:rFonts w:hint="eastAsia"/>
                      <w:color w:val="000000"/>
                      <w:sz w:val="18"/>
                      <w:szCs w:val="18"/>
                    </w:rPr>
                    <w:t>y</w:t>
                  </w:r>
                </w:p>
              </w:tc>
              <w:tc>
                <w:tcPr>
                  <w:tcW w:w="580" w:type="pct"/>
                  <w:vMerge w:val="continue"/>
                  <w:vAlign w:val="center"/>
                </w:tcPr>
                <w:p>
                  <w:pPr>
                    <w:pStyle w:val="6"/>
                    <w:ind w:firstLine="0" w:firstLineChars="0"/>
                    <w:jc w:val="center"/>
                    <w:rPr>
                      <w:color w:val="000000"/>
                      <w:sz w:val="18"/>
                      <w:szCs w:val="18"/>
                    </w:rPr>
                  </w:pPr>
                </w:p>
              </w:tc>
              <w:tc>
                <w:tcPr>
                  <w:tcW w:w="1060" w:type="pct"/>
                  <w:vMerge w:val="continue"/>
                  <w:vAlign w:val="center"/>
                </w:tcPr>
                <w:p>
                  <w:pPr>
                    <w:pStyle w:val="6"/>
                    <w:ind w:firstLine="0" w:firstLineChars="0"/>
                    <w:jc w:val="center"/>
                    <w:rPr>
                      <w:color w:val="000000"/>
                      <w:sz w:val="18"/>
                      <w:szCs w:val="18"/>
                    </w:rPr>
                  </w:pPr>
                </w:p>
              </w:tc>
              <w:tc>
                <w:tcPr>
                  <w:tcW w:w="580" w:type="pct"/>
                  <w:vMerge w:val="continue"/>
                  <w:vAlign w:val="center"/>
                </w:tcPr>
                <w:p>
                  <w:pPr>
                    <w:pStyle w:val="6"/>
                    <w:ind w:firstLine="0" w:firstLineChars="0"/>
                    <w:jc w:val="center"/>
                    <w:rPr>
                      <w:color w:val="000000"/>
                      <w:sz w:val="18"/>
                      <w:szCs w:val="18"/>
                    </w:rPr>
                  </w:pPr>
                </w:p>
              </w:tc>
              <w:tc>
                <w:tcPr>
                  <w:tcW w:w="580" w:type="pct"/>
                  <w:vMerge w:val="continue"/>
                  <w:vAlign w:val="center"/>
                </w:tcPr>
                <w:p>
                  <w:pPr>
                    <w:pStyle w:val="6"/>
                    <w:ind w:firstLine="0" w:firstLineChars="0"/>
                    <w:jc w:val="center"/>
                    <w:rPr>
                      <w:color w:val="000000"/>
                      <w:sz w:val="18"/>
                      <w:szCs w:val="18"/>
                    </w:rPr>
                  </w:pPr>
                </w:p>
              </w:tc>
              <w:tc>
                <w:tcPr>
                  <w:tcW w:w="910" w:type="pct"/>
                  <w:vMerge w:val="continue"/>
                  <w:vAlign w:val="center"/>
                </w:tcPr>
                <w:p>
                  <w:pPr>
                    <w:pStyle w:val="6"/>
                    <w:ind w:firstLine="0" w:firstLineChars="0"/>
                    <w:jc w:val="center"/>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80" w:type="pct"/>
                  <w:vAlign w:val="center"/>
                </w:tcPr>
                <w:p>
                  <w:pPr>
                    <w:pStyle w:val="6"/>
                    <w:ind w:firstLine="0" w:firstLineChars="0"/>
                    <w:jc w:val="center"/>
                    <w:rPr>
                      <w:color w:val="000000"/>
                      <w:sz w:val="18"/>
                      <w:szCs w:val="18"/>
                    </w:rPr>
                  </w:pPr>
                  <w:r>
                    <w:rPr>
                      <w:rFonts w:hint="eastAsia"/>
                      <w:color w:val="000000"/>
                      <w:sz w:val="18"/>
                      <w:szCs w:val="18"/>
                    </w:rPr>
                    <w:t>毛立山组居民点1</w:t>
                  </w:r>
                </w:p>
              </w:tc>
              <w:tc>
                <w:tcPr>
                  <w:tcW w:w="314" w:type="pct"/>
                  <w:vAlign w:val="center"/>
                </w:tcPr>
                <w:p>
                  <w:pPr>
                    <w:spacing w:line="240" w:lineRule="auto"/>
                    <w:ind w:firstLine="0" w:firstLineChars="0"/>
                    <w:jc w:val="center"/>
                    <w:rPr>
                      <w:color w:val="000000"/>
                      <w:sz w:val="18"/>
                      <w:szCs w:val="18"/>
                    </w:rPr>
                  </w:pPr>
                  <w:r>
                    <w:rPr>
                      <w:rFonts w:hint="eastAsia"/>
                      <w:color w:val="000000"/>
                      <w:sz w:val="18"/>
                      <w:szCs w:val="18"/>
                    </w:rPr>
                    <w:t>0</w:t>
                  </w:r>
                </w:p>
              </w:tc>
              <w:tc>
                <w:tcPr>
                  <w:tcW w:w="394" w:type="pct"/>
                  <w:vAlign w:val="center"/>
                </w:tcPr>
                <w:p>
                  <w:pPr>
                    <w:spacing w:line="240" w:lineRule="auto"/>
                    <w:ind w:firstLine="0" w:firstLineChars="0"/>
                    <w:jc w:val="center"/>
                    <w:rPr>
                      <w:color w:val="000000"/>
                      <w:sz w:val="18"/>
                      <w:szCs w:val="18"/>
                    </w:rPr>
                  </w:pPr>
                  <w:r>
                    <w:rPr>
                      <w:color w:val="000000"/>
                      <w:sz w:val="18"/>
                      <w:szCs w:val="18"/>
                    </w:rPr>
                    <w:t>50</w:t>
                  </w:r>
                </w:p>
              </w:tc>
              <w:tc>
                <w:tcPr>
                  <w:tcW w:w="580" w:type="pct"/>
                  <w:vAlign w:val="center"/>
                </w:tcPr>
                <w:p>
                  <w:pPr>
                    <w:pStyle w:val="6"/>
                    <w:ind w:firstLine="0" w:firstLineChars="0"/>
                    <w:jc w:val="center"/>
                    <w:rPr>
                      <w:color w:val="000000"/>
                      <w:sz w:val="18"/>
                      <w:szCs w:val="18"/>
                    </w:rPr>
                  </w:pPr>
                  <w:r>
                    <w:rPr>
                      <w:rFonts w:hint="eastAsia"/>
                      <w:color w:val="000000"/>
                      <w:sz w:val="18"/>
                      <w:szCs w:val="18"/>
                    </w:rPr>
                    <w:t>居民区</w:t>
                  </w:r>
                </w:p>
              </w:tc>
              <w:tc>
                <w:tcPr>
                  <w:tcW w:w="1060" w:type="pct"/>
                  <w:vAlign w:val="center"/>
                </w:tcPr>
                <w:p>
                  <w:pPr>
                    <w:pStyle w:val="6"/>
                    <w:ind w:firstLine="0" w:firstLineChars="0"/>
                    <w:jc w:val="center"/>
                    <w:rPr>
                      <w:color w:val="000000"/>
                      <w:sz w:val="18"/>
                      <w:szCs w:val="18"/>
                    </w:rPr>
                  </w:pPr>
                  <w:r>
                    <w:rPr>
                      <w:rFonts w:hint="eastAsia"/>
                      <w:color w:val="000000"/>
                      <w:sz w:val="18"/>
                      <w:szCs w:val="18"/>
                    </w:rPr>
                    <w:t>5</w:t>
                  </w:r>
                  <w:r>
                    <w:rPr>
                      <w:color w:val="000000"/>
                      <w:sz w:val="18"/>
                      <w:szCs w:val="18"/>
                    </w:rPr>
                    <w:t>5</w:t>
                  </w:r>
                  <w:r>
                    <w:rPr>
                      <w:rFonts w:hint="eastAsia"/>
                      <w:color w:val="000000"/>
                      <w:sz w:val="18"/>
                      <w:szCs w:val="18"/>
                    </w:rPr>
                    <w:t>户，1</w:t>
                  </w:r>
                  <w:r>
                    <w:rPr>
                      <w:color w:val="000000"/>
                      <w:sz w:val="18"/>
                      <w:szCs w:val="18"/>
                    </w:rPr>
                    <w:t>90</w:t>
                  </w:r>
                  <w:r>
                    <w:rPr>
                      <w:rFonts w:hint="eastAsia"/>
                      <w:color w:val="000000"/>
                      <w:sz w:val="18"/>
                      <w:szCs w:val="18"/>
                    </w:rPr>
                    <w:t>人</w:t>
                  </w:r>
                </w:p>
              </w:tc>
              <w:tc>
                <w:tcPr>
                  <w:tcW w:w="580" w:type="pct"/>
                  <w:vAlign w:val="center"/>
                </w:tcPr>
                <w:p>
                  <w:pPr>
                    <w:pStyle w:val="6"/>
                    <w:ind w:firstLine="0" w:firstLineChars="0"/>
                    <w:jc w:val="center"/>
                    <w:rPr>
                      <w:color w:val="000000"/>
                      <w:sz w:val="18"/>
                      <w:szCs w:val="18"/>
                    </w:rPr>
                  </w:pPr>
                  <w:r>
                    <w:rPr>
                      <w:rFonts w:hint="eastAsia"/>
                      <w:color w:val="000000"/>
                      <w:sz w:val="18"/>
                      <w:szCs w:val="18"/>
                    </w:rPr>
                    <w:t>2类</w:t>
                  </w:r>
                </w:p>
              </w:tc>
              <w:tc>
                <w:tcPr>
                  <w:tcW w:w="580" w:type="pct"/>
                  <w:vAlign w:val="center"/>
                </w:tcPr>
                <w:p>
                  <w:pPr>
                    <w:pStyle w:val="6"/>
                    <w:ind w:firstLine="0" w:firstLineChars="0"/>
                    <w:jc w:val="center"/>
                    <w:rPr>
                      <w:color w:val="000000"/>
                      <w:sz w:val="18"/>
                      <w:szCs w:val="18"/>
                    </w:rPr>
                  </w:pPr>
                  <w:r>
                    <w:rPr>
                      <w:rFonts w:hint="eastAsia"/>
                      <w:color w:val="000000"/>
                      <w:sz w:val="18"/>
                      <w:szCs w:val="18"/>
                    </w:rPr>
                    <w:t>N</w:t>
                  </w:r>
                </w:p>
              </w:tc>
              <w:tc>
                <w:tcPr>
                  <w:tcW w:w="910" w:type="pct"/>
                  <w:vAlign w:val="center"/>
                </w:tcPr>
                <w:p>
                  <w:pPr>
                    <w:pStyle w:val="6"/>
                    <w:ind w:firstLine="0" w:firstLineChars="0"/>
                    <w:jc w:val="center"/>
                    <w:rPr>
                      <w:color w:val="000000"/>
                      <w:sz w:val="18"/>
                      <w:szCs w:val="18"/>
                    </w:rPr>
                  </w:pPr>
                  <w:r>
                    <w:rPr>
                      <w:rFonts w:hint="eastAsia"/>
                      <w:color w:val="000000"/>
                      <w:sz w:val="18"/>
                      <w:szCs w:val="18"/>
                    </w:rPr>
                    <w:t>3</w:t>
                  </w:r>
                  <w:r>
                    <w:rPr>
                      <w:color w:val="00000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80" w:type="pct"/>
                  <w:vAlign w:val="center"/>
                </w:tcPr>
                <w:p>
                  <w:pPr>
                    <w:pStyle w:val="6"/>
                    <w:ind w:firstLine="0" w:firstLineChars="0"/>
                    <w:jc w:val="center"/>
                    <w:rPr>
                      <w:color w:val="000000"/>
                      <w:sz w:val="18"/>
                      <w:szCs w:val="18"/>
                    </w:rPr>
                  </w:pPr>
                  <w:r>
                    <w:rPr>
                      <w:rFonts w:hint="eastAsia"/>
                      <w:color w:val="000000"/>
                      <w:sz w:val="18"/>
                      <w:szCs w:val="18"/>
                    </w:rPr>
                    <w:t>毛立山组居民点2</w:t>
                  </w:r>
                </w:p>
              </w:tc>
              <w:tc>
                <w:tcPr>
                  <w:tcW w:w="314" w:type="pct"/>
                  <w:vAlign w:val="center"/>
                </w:tcPr>
                <w:p>
                  <w:pPr>
                    <w:spacing w:line="240" w:lineRule="auto"/>
                    <w:ind w:firstLine="0" w:firstLineChars="0"/>
                    <w:jc w:val="center"/>
                    <w:rPr>
                      <w:color w:val="000000"/>
                      <w:sz w:val="18"/>
                      <w:szCs w:val="18"/>
                    </w:rPr>
                  </w:pPr>
                  <w:r>
                    <w:rPr>
                      <w:rFonts w:hint="eastAsia"/>
                      <w:color w:val="000000"/>
                      <w:sz w:val="18"/>
                      <w:szCs w:val="18"/>
                    </w:rPr>
                    <w:t>6</w:t>
                  </w:r>
                  <w:r>
                    <w:rPr>
                      <w:color w:val="000000"/>
                      <w:sz w:val="18"/>
                      <w:szCs w:val="18"/>
                    </w:rPr>
                    <w:t>0</w:t>
                  </w:r>
                </w:p>
              </w:tc>
              <w:tc>
                <w:tcPr>
                  <w:tcW w:w="394" w:type="pct"/>
                  <w:vAlign w:val="center"/>
                </w:tcPr>
                <w:p>
                  <w:pPr>
                    <w:spacing w:line="240" w:lineRule="auto"/>
                    <w:ind w:firstLine="0" w:firstLineChars="0"/>
                    <w:jc w:val="center"/>
                    <w:rPr>
                      <w:color w:val="000000"/>
                      <w:sz w:val="18"/>
                      <w:szCs w:val="18"/>
                    </w:rPr>
                  </w:pPr>
                  <w:r>
                    <w:rPr>
                      <w:rFonts w:hint="eastAsia"/>
                      <w:color w:val="000000"/>
                      <w:sz w:val="18"/>
                      <w:szCs w:val="18"/>
                    </w:rPr>
                    <w:t>0</w:t>
                  </w:r>
                </w:p>
              </w:tc>
              <w:tc>
                <w:tcPr>
                  <w:tcW w:w="580" w:type="pct"/>
                  <w:vAlign w:val="center"/>
                </w:tcPr>
                <w:p>
                  <w:pPr>
                    <w:pStyle w:val="6"/>
                    <w:ind w:firstLine="0" w:firstLineChars="0"/>
                    <w:jc w:val="center"/>
                    <w:rPr>
                      <w:color w:val="000000"/>
                      <w:sz w:val="18"/>
                      <w:szCs w:val="18"/>
                    </w:rPr>
                  </w:pPr>
                  <w:r>
                    <w:rPr>
                      <w:rFonts w:hint="eastAsia"/>
                      <w:color w:val="000000"/>
                      <w:sz w:val="18"/>
                      <w:szCs w:val="18"/>
                    </w:rPr>
                    <w:t>居民区</w:t>
                  </w:r>
                </w:p>
              </w:tc>
              <w:tc>
                <w:tcPr>
                  <w:tcW w:w="1060" w:type="pct"/>
                  <w:vAlign w:val="center"/>
                </w:tcPr>
                <w:p>
                  <w:pPr>
                    <w:pStyle w:val="6"/>
                    <w:ind w:firstLine="0" w:firstLineChars="0"/>
                    <w:jc w:val="center"/>
                    <w:rPr>
                      <w:color w:val="000000"/>
                      <w:sz w:val="18"/>
                      <w:szCs w:val="18"/>
                    </w:rPr>
                  </w:pPr>
                  <w:r>
                    <w:rPr>
                      <w:rFonts w:hint="eastAsia"/>
                      <w:color w:val="000000"/>
                      <w:sz w:val="18"/>
                      <w:szCs w:val="18"/>
                    </w:rPr>
                    <w:t>2</w:t>
                  </w:r>
                  <w:r>
                    <w:rPr>
                      <w:color w:val="000000"/>
                      <w:sz w:val="18"/>
                      <w:szCs w:val="18"/>
                    </w:rPr>
                    <w:t>0</w:t>
                  </w:r>
                  <w:r>
                    <w:rPr>
                      <w:rFonts w:hint="eastAsia"/>
                      <w:color w:val="000000"/>
                      <w:sz w:val="18"/>
                      <w:szCs w:val="18"/>
                    </w:rPr>
                    <w:t>户，7</w:t>
                  </w:r>
                  <w:r>
                    <w:rPr>
                      <w:color w:val="000000"/>
                      <w:sz w:val="18"/>
                      <w:szCs w:val="18"/>
                    </w:rPr>
                    <w:t>0</w:t>
                  </w:r>
                  <w:r>
                    <w:rPr>
                      <w:rFonts w:hint="eastAsia"/>
                      <w:color w:val="000000"/>
                      <w:sz w:val="18"/>
                      <w:szCs w:val="18"/>
                    </w:rPr>
                    <w:t>人</w:t>
                  </w:r>
                </w:p>
              </w:tc>
              <w:tc>
                <w:tcPr>
                  <w:tcW w:w="580" w:type="pct"/>
                  <w:vAlign w:val="center"/>
                </w:tcPr>
                <w:p>
                  <w:pPr>
                    <w:pStyle w:val="6"/>
                    <w:ind w:firstLine="0" w:firstLineChars="0"/>
                    <w:jc w:val="center"/>
                    <w:rPr>
                      <w:color w:val="000000"/>
                      <w:sz w:val="18"/>
                      <w:szCs w:val="18"/>
                    </w:rPr>
                  </w:pPr>
                  <w:r>
                    <w:rPr>
                      <w:rFonts w:hint="eastAsia"/>
                      <w:color w:val="000000"/>
                      <w:sz w:val="18"/>
                      <w:szCs w:val="18"/>
                    </w:rPr>
                    <w:t>2类</w:t>
                  </w:r>
                </w:p>
              </w:tc>
              <w:tc>
                <w:tcPr>
                  <w:tcW w:w="580" w:type="pct"/>
                  <w:vAlign w:val="center"/>
                </w:tcPr>
                <w:p>
                  <w:pPr>
                    <w:pStyle w:val="6"/>
                    <w:ind w:firstLine="0" w:firstLineChars="0"/>
                    <w:jc w:val="center"/>
                    <w:rPr>
                      <w:color w:val="000000"/>
                      <w:sz w:val="18"/>
                      <w:szCs w:val="18"/>
                    </w:rPr>
                  </w:pPr>
                  <w:r>
                    <w:rPr>
                      <w:rFonts w:hint="eastAsia"/>
                      <w:color w:val="000000"/>
                      <w:sz w:val="18"/>
                      <w:szCs w:val="18"/>
                    </w:rPr>
                    <w:t>E</w:t>
                  </w:r>
                </w:p>
              </w:tc>
              <w:tc>
                <w:tcPr>
                  <w:tcW w:w="910" w:type="pct"/>
                  <w:vAlign w:val="center"/>
                </w:tcPr>
                <w:p>
                  <w:pPr>
                    <w:pStyle w:val="6"/>
                    <w:ind w:firstLine="0" w:firstLineChars="0"/>
                    <w:jc w:val="center"/>
                    <w:rPr>
                      <w:color w:val="000000"/>
                      <w:sz w:val="18"/>
                      <w:szCs w:val="18"/>
                    </w:rPr>
                  </w:pPr>
                  <w:r>
                    <w:rPr>
                      <w:rFonts w:hint="eastAsia"/>
                      <w:color w:val="000000"/>
                      <w:sz w:val="18"/>
                      <w:szCs w:val="18"/>
                    </w:rPr>
                    <w:t>4</w:t>
                  </w:r>
                  <w:r>
                    <w:rPr>
                      <w:color w:val="00000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80" w:type="pct"/>
                  <w:vAlign w:val="center"/>
                </w:tcPr>
                <w:p>
                  <w:pPr>
                    <w:pStyle w:val="6"/>
                    <w:ind w:firstLine="0" w:firstLineChars="0"/>
                    <w:jc w:val="center"/>
                    <w:rPr>
                      <w:color w:val="000000"/>
                      <w:sz w:val="18"/>
                      <w:szCs w:val="18"/>
                    </w:rPr>
                  </w:pPr>
                  <w:r>
                    <w:rPr>
                      <w:rFonts w:hint="eastAsia"/>
                      <w:color w:val="000000"/>
                      <w:sz w:val="18"/>
                      <w:szCs w:val="18"/>
                    </w:rPr>
                    <w:t>毛立山组居民点3</w:t>
                  </w:r>
                </w:p>
              </w:tc>
              <w:tc>
                <w:tcPr>
                  <w:tcW w:w="314" w:type="pct"/>
                  <w:vAlign w:val="center"/>
                </w:tcPr>
                <w:p>
                  <w:pPr>
                    <w:spacing w:line="240" w:lineRule="auto"/>
                    <w:ind w:firstLine="0" w:firstLineChars="0"/>
                    <w:jc w:val="center"/>
                    <w:rPr>
                      <w:color w:val="000000"/>
                      <w:sz w:val="18"/>
                      <w:szCs w:val="18"/>
                    </w:rPr>
                  </w:pPr>
                  <w:r>
                    <w:rPr>
                      <w:rFonts w:hint="eastAsia"/>
                      <w:color w:val="000000"/>
                      <w:sz w:val="18"/>
                      <w:szCs w:val="18"/>
                    </w:rPr>
                    <w:t>0</w:t>
                  </w:r>
                </w:p>
              </w:tc>
              <w:tc>
                <w:tcPr>
                  <w:tcW w:w="394" w:type="pct"/>
                  <w:vAlign w:val="center"/>
                </w:tcPr>
                <w:p>
                  <w:pPr>
                    <w:spacing w:line="240" w:lineRule="auto"/>
                    <w:ind w:firstLine="0" w:firstLineChars="0"/>
                    <w:jc w:val="center"/>
                    <w:rPr>
                      <w:color w:val="000000"/>
                      <w:sz w:val="18"/>
                      <w:szCs w:val="18"/>
                    </w:rPr>
                  </w:pPr>
                  <w:r>
                    <w:rPr>
                      <w:rFonts w:hint="eastAsia"/>
                      <w:color w:val="000000"/>
                      <w:sz w:val="18"/>
                      <w:szCs w:val="18"/>
                    </w:rPr>
                    <w:t>-</w:t>
                  </w:r>
                  <w:r>
                    <w:rPr>
                      <w:color w:val="000000"/>
                      <w:sz w:val="18"/>
                      <w:szCs w:val="18"/>
                    </w:rPr>
                    <w:t>100</w:t>
                  </w:r>
                </w:p>
              </w:tc>
              <w:tc>
                <w:tcPr>
                  <w:tcW w:w="580" w:type="pct"/>
                  <w:vAlign w:val="center"/>
                </w:tcPr>
                <w:p>
                  <w:pPr>
                    <w:pStyle w:val="6"/>
                    <w:ind w:firstLine="0" w:firstLineChars="0"/>
                    <w:jc w:val="center"/>
                    <w:rPr>
                      <w:color w:val="000000"/>
                      <w:sz w:val="18"/>
                      <w:szCs w:val="18"/>
                    </w:rPr>
                  </w:pPr>
                  <w:r>
                    <w:rPr>
                      <w:rFonts w:hint="eastAsia"/>
                      <w:color w:val="000000"/>
                      <w:sz w:val="18"/>
                      <w:szCs w:val="18"/>
                    </w:rPr>
                    <w:t>居民区</w:t>
                  </w:r>
                </w:p>
              </w:tc>
              <w:tc>
                <w:tcPr>
                  <w:tcW w:w="1060" w:type="pct"/>
                  <w:vAlign w:val="center"/>
                </w:tcPr>
                <w:p>
                  <w:pPr>
                    <w:pStyle w:val="6"/>
                    <w:ind w:firstLine="0" w:firstLineChars="0"/>
                    <w:jc w:val="center"/>
                    <w:rPr>
                      <w:color w:val="000000"/>
                      <w:sz w:val="18"/>
                      <w:szCs w:val="18"/>
                    </w:rPr>
                  </w:pPr>
                  <w:r>
                    <w:rPr>
                      <w:rFonts w:hint="eastAsia"/>
                      <w:color w:val="000000"/>
                      <w:sz w:val="18"/>
                      <w:szCs w:val="18"/>
                    </w:rPr>
                    <w:t>3</w:t>
                  </w:r>
                  <w:r>
                    <w:rPr>
                      <w:color w:val="000000"/>
                      <w:sz w:val="18"/>
                      <w:szCs w:val="18"/>
                    </w:rPr>
                    <w:t>6</w:t>
                  </w:r>
                  <w:r>
                    <w:rPr>
                      <w:rFonts w:hint="eastAsia"/>
                      <w:color w:val="000000"/>
                      <w:sz w:val="18"/>
                      <w:szCs w:val="18"/>
                    </w:rPr>
                    <w:t>户，1</w:t>
                  </w:r>
                  <w:r>
                    <w:rPr>
                      <w:color w:val="000000"/>
                      <w:sz w:val="18"/>
                      <w:szCs w:val="18"/>
                    </w:rPr>
                    <w:t>30</w:t>
                  </w:r>
                  <w:r>
                    <w:rPr>
                      <w:rFonts w:hint="eastAsia"/>
                      <w:color w:val="000000"/>
                      <w:sz w:val="18"/>
                      <w:szCs w:val="18"/>
                    </w:rPr>
                    <w:t>人</w:t>
                  </w:r>
                </w:p>
              </w:tc>
              <w:tc>
                <w:tcPr>
                  <w:tcW w:w="580" w:type="pct"/>
                  <w:vAlign w:val="center"/>
                </w:tcPr>
                <w:p>
                  <w:pPr>
                    <w:pStyle w:val="6"/>
                    <w:ind w:firstLine="0" w:firstLineChars="0"/>
                    <w:jc w:val="center"/>
                    <w:rPr>
                      <w:color w:val="000000"/>
                      <w:sz w:val="18"/>
                      <w:szCs w:val="18"/>
                    </w:rPr>
                  </w:pPr>
                  <w:r>
                    <w:rPr>
                      <w:rFonts w:hint="eastAsia"/>
                      <w:color w:val="000000"/>
                      <w:sz w:val="18"/>
                      <w:szCs w:val="18"/>
                    </w:rPr>
                    <w:t>2类</w:t>
                  </w:r>
                </w:p>
              </w:tc>
              <w:tc>
                <w:tcPr>
                  <w:tcW w:w="580" w:type="pct"/>
                  <w:vAlign w:val="center"/>
                </w:tcPr>
                <w:p>
                  <w:pPr>
                    <w:pStyle w:val="6"/>
                    <w:ind w:firstLine="0" w:firstLineChars="0"/>
                    <w:jc w:val="center"/>
                    <w:rPr>
                      <w:color w:val="000000"/>
                      <w:sz w:val="18"/>
                      <w:szCs w:val="18"/>
                    </w:rPr>
                  </w:pPr>
                  <w:r>
                    <w:rPr>
                      <w:rFonts w:hint="eastAsia"/>
                      <w:color w:val="000000"/>
                      <w:sz w:val="18"/>
                      <w:szCs w:val="18"/>
                    </w:rPr>
                    <w:t>S</w:t>
                  </w:r>
                </w:p>
              </w:tc>
              <w:tc>
                <w:tcPr>
                  <w:tcW w:w="910" w:type="pct"/>
                  <w:vAlign w:val="center"/>
                </w:tcPr>
                <w:p>
                  <w:pPr>
                    <w:pStyle w:val="6"/>
                    <w:ind w:firstLine="0" w:firstLineChars="0"/>
                    <w:jc w:val="center"/>
                    <w:rPr>
                      <w:color w:val="000000"/>
                      <w:sz w:val="18"/>
                      <w:szCs w:val="18"/>
                    </w:rPr>
                  </w:pPr>
                  <w:r>
                    <w:rPr>
                      <w:rFonts w:hint="eastAsia"/>
                      <w:color w:val="000000"/>
                      <w:sz w:val="18"/>
                      <w:szCs w:val="18"/>
                    </w:rPr>
                    <w:t>1</w:t>
                  </w:r>
                  <w:r>
                    <w:rPr>
                      <w:color w:val="000000"/>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000" w:type="pct"/>
                  <w:gridSpan w:val="8"/>
                  <w:vAlign w:val="center"/>
                </w:tcPr>
                <w:p>
                  <w:pPr>
                    <w:pStyle w:val="6"/>
                    <w:ind w:firstLine="0" w:firstLineChars="0"/>
                    <w:rPr>
                      <w:color w:val="000000"/>
                      <w:sz w:val="18"/>
                      <w:szCs w:val="18"/>
                    </w:rPr>
                  </w:pPr>
                  <w:r>
                    <w:rPr>
                      <w:rFonts w:hint="eastAsia"/>
                      <w:color w:val="000000"/>
                      <w:sz w:val="18"/>
                      <w:szCs w:val="18"/>
                    </w:rPr>
                    <w:t>注：以项目厂址中心为原点，正北为Y轴正方向，正东为X轴正方向建立坐标系</w:t>
                  </w:r>
                </w:p>
              </w:tc>
            </w:tr>
          </w:tbl>
          <w:p>
            <w:pPr>
              <w:pStyle w:val="68"/>
              <w:spacing w:line="360" w:lineRule="auto"/>
              <w:ind w:firstLine="482"/>
              <w:jc w:val="left"/>
              <w:rPr>
                <w:rFonts w:hAnsi="Times New Roman" w:cs="Times New Roman"/>
                <w:b/>
                <w:color w:val="000000"/>
                <w:sz w:val="24"/>
              </w:rPr>
            </w:pPr>
            <w:r>
              <w:rPr>
                <w:rFonts w:hAnsi="Times New Roman" w:cs="Times New Roman"/>
                <w:b/>
                <w:color w:val="000000"/>
                <w:sz w:val="24"/>
              </w:rPr>
              <w:t>2、声环境</w:t>
            </w:r>
          </w:p>
          <w:p>
            <w:pPr>
              <w:pStyle w:val="68"/>
              <w:spacing w:line="360" w:lineRule="auto"/>
              <w:jc w:val="left"/>
              <w:rPr>
                <w:rFonts w:hAnsi="Times New Roman" w:cs="Times New Roman"/>
                <w:bCs/>
                <w:color w:val="000000"/>
                <w:sz w:val="24"/>
              </w:rPr>
            </w:pPr>
            <w:r>
              <w:rPr>
                <w:rFonts w:hAnsi="Times New Roman" w:cs="Times New Roman"/>
                <w:bCs/>
                <w:color w:val="000000"/>
                <w:sz w:val="24"/>
              </w:rPr>
              <w:t>本项目厂界50m范围内声环境保护目标详见表3-5。</w:t>
            </w:r>
          </w:p>
          <w:p>
            <w:pPr>
              <w:pStyle w:val="54"/>
              <w:spacing w:before="156"/>
            </w:pPr>
            <w:r>
              <w:t>表3-5   声环境保护目标一览表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887"/>
              <w:gridCol w:w="480"/>
              <w:gridCol w:w="606"/>
              <w:gridCol w:w="888"/>
              <w:gridCol w:w="1622"/>
              <w:gridCol w:w="888"/>
              <w:gridCol w:w="888"/>
              <w:gridCol w:w="13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80" w:type="pct"/>
                  <w:vMerge w:val="restart"/>
                  <w:vAlign w:val="center"/>
                </w:tcPr>
                <w:p>
                  <w:pPr>
                    <w:pStyle w:val="6"/>
                    <w:ind w:firstLine="0" w:firstLineChars="0"/>
                    <w:jc w:val="center"/>
                    <w:rPr>
                      <w:color w:val="000000"/>
                      <w:sz w:val="18"/>
                      <w:szCs w:val="18"/>
                    </w:rPr>
                  </w:pPr>
                  <w:r>
                    <w:rPr>
                      <w:color w:val="000000"/>
                      <w:sz w:val="18"/>
                      <w:szCs w:val="18"/>
                    </w:rPr>
                    <w:t>名称</w:t>
                  </w:r>
                </w:p>
              </w:tc>
              <w:tc>
                <w:tcPr>
                  <w:tcW w:w="710" w:type="pct"/>
                  <w:gridSpan w:val="2"/>
                  <w:vAlign w:val="center"/>
                </w:tcPr>
                <w:p>
                  <w:pPr>
                    <w:pStyle w:val="6"/>
                    <w:ind w:firstLine="0" w:firstLineChars="0"/>
                    <w:jc w:val="center"/>
                    <w:rPr>
                      <w:color w:val="000000"/>
                      <w:sz w:val="18"/>
                      <w:szCs w:val="18"/>
                    </w:rPr>
                  </w:pPr>
                  <w:r>
                    <w:rPr>
                      <w:color w:val="000000"/>
                      <w:sz w:val="18"/>
                      <w:szCs w:val="18"/>
                    </w:rPr>
                    <w:t>坐标</w:t>
                  </w:r>
                  <w:r>
                    <w:rPr>
                      <w:rFonts w:hint="eastAsia"/>
                      <w:color w:val="000000"/>
                      <w:sz w:val="18"/>
                      <w:szCs w:val="18"/>
                    </w:rPr>
                    <w:t>/</w:t>
                  </w:r>
                  <w:r>
                    <w:rPr>
                      <w:color w:val="000000"/>
                      <w:sz w:val="18"/>
                      <w:szCs w:val="18"/>
                    </w:rPr>
                    <w:t>m</w:t>
                  </w:r>
                </w:p>
              </w:tc>
              <w:tc>
                <w:tcPr>
                  <w:tcW w:w="580" w:type="pct"/>
                  <w:vMerge w:val="restart"/>
                  <w:vAlign w:val="center"/>
                </w:tcPr>
                <w:p>
                  <w:pPr>
                    <w:pStyle w:val="6"/>
                    <w:ind w:firstLine="0" w:firstLineChars="0"/>
                    <w:jc w:val="center"/>
                    <w:rPr>
                      <w:color w:val="000000"/>
                      <w:sz w:val="18"/>
                      <w:szCs w:val="18"/>
                    </w:rPr>
                  </w:pPr>
                  <w:r>
                    <w:rPr>
                      <w:rFonts w:hint="eastAsia"/>
                      <w:color w:val="000000"/>
                      <w:sz w:val="18"/>
                      <w:szCs w:val="18"/>
                    </w:rPr>
                    <w:t>保护</w:t>
                  </w:r>
                </w:p>
                <w:p>
                  <w:pPr>
                    <w:pStyle w:val="6"/>
                    <w:ind w:firstLine="0" w:firstLineChars="0"/>
                    <w:jc w:val="center"/>
                    <w:rPr>
                      <w:color w:val="000000"/>
                      <w:sz w:val="18"/>
                      <w:szCs w:val="18"/>
                    </w:rPr>
                  </w:pPr>
                  <w:r>
                    <w:rPr>
                      <w:rFonts w:hint="eastAsia"/>
                      <w:color w:val="000000"/>
                      <w:sz w:val="18"/>
                      <w:szCs w:val="18"/>
                    </w:rPr>
                    <w:t>对象</w:t>
                  </w:r>
                </w:p>
              </w:tc>
              <w:tc>
                <w:tcPr>
                  <w:tcW w:w="1060" w:type="pct"/>
                  <w:vMerge w:val="restart"/>
                  <w:vAlign w:val="center"/>
                </w:tcPr>
                <w:p>
                  <w:pPr>
                    <w:pStyle w:val="6"/>
                    <w:ind w:firstLine="0" w:firstLineChars="0"/>
                    <w:jc w:val="center"/>
                    <w:rPr>
                      <w:color w:val="000000"/>
                      <w:sz w:val="18"/>
                      <w:szCs w:val="18"/>
                    </w:rPr>
                  </w:pPr>
                  <w:r>
                    <w:rPr>
                      <w:rFonts w:hint="eastAsia"/>
                      <w:color w:val="000000"/>
                      <w:sz w:val="18"/>
                      <w:szCs w:val="18"/>
                    </w:rPr>
                    <w:t>保护</w:t>
                  </w:r>
                </w:p>
                <w:p>
                  <w:pPr>
                    <w:pStyle w:val="6"/>
                    <w:ind w:firstLine="0" w:firstLineChars="0"/>
                    <w:jc w:val="center"/>
                    <w:rPr>
                      <w:color w:val="000000"/>
                      <w:sz w:val="18"/>
                      <w:szCs w:val="18"/>
                    </w:rPr>
                  </w:pPr>
                  <w:r>
                    <w:rPr>
                      <w:rFonts w:hint="eastAsia"/>
                      <w:color w:val="000000"/>
                      <w:sz w:val="18"/>
                      <w:szCs w:val="18"/>
                    </w:rPr>
                    <w:t>内容</w:t>
                  </w:r>
                </w:p>
              </w:tc>
              <w:tc>
                <w:tcPr>
                  <w:tcW w:w="580" w:type="pct"/>
                  <w:vMerge w:val="restart"/>
                  <w:vAlign w:val="center"/>
                </w:tcPr>
                <w:p>
                  <w:pPr>
                    <w:pStyle w:val="6"/>
                    <w:ind w:firstLine="0" w:firstLineChars="0"/>
                    <w:jc w:val="center"/>
                    <w:rPr>
                      <w:color w:val="000000"/>
                      <w:sz w:val="18"/>
                      <w:szCs w:val="18"/>
                    </w:rPr>
                  </w:pPr>
                  <w:r>
                    <w:rPr>
                      <w:rFonts w:hint="eastAsia"/>
                      <w:color w:val="000000"/>
                      <w:sz w:val="18"/>
                      <w:szCs w:val="18"/>
                    </w:rPr>
                    <w:t>环境</w:t>
                  </w:r>
                </w:p>
                <w:p>
                  <w:pPr>
                    <w:pStyle w:val="6"/>
                    <w:ind w:firstLine="0" w:firstLineChars="0"/>
                    <w:jc w:val="center"/>
                    <w:rPr>
                      <w:color w:val="000000"/>
                      <w:sz w:val="18"/>
                      <w:szCs w:val="18"/>
                    </w:rPr>
                  </w:pPr>
                  <w:r>
                    <w:rPr>
                      <w:rFonts w:hint="eastAsia"/>
                      <w:color w:val="000000"/>
                      <w:sz w:val="18"/>
                      <w:szCs w:val="18"/>
                    </w:rPr>
                    <w:t>功能区</w:t>
                  </w:r>
                </w:p>
              </w:tc>
              <w:tc>
                <w:tcPr>
                  <w:tcW w:w="580" w:type="pct"/>
                  <w:vMerge w:val="restart"/>
                  <w:vAlign w:val="center"/>
                </w:tcPr>
                <w:p>
                  <w:pPr>
                    <w:pStyle w:val="6"/>
                    <w:ind w:firstLine="0" w:firstLineChars="0"/>
                    <w:jc w:val="center"/>
                    <w:rPr>
                      <w:color w:val="000000"/>
                      <w:sz w:val="18"/>
                      <w:szCs w:val="18"/>
                    </w:rPr>
                  </w:pPr>
                  <w:r>
                    <w:rPr>
                      <w:rFonts w:hint="eastAsia"/>
                      <w:color w:val="000000"/>
                      <w:sz w:val="18"/>
                      <w:szCs w:val="18"/>
                    </w:rPr>
                    <w:t>相对厂</w:t>
                  </w:r>
                </w:p>
                <w:p>
                  <w:pPr>
                    <w:pStyle w:val="6"/>
                    <w:ind w:firstLine="0" w:firstLineChars="0"/>
                    <w:jc w:val="center"/>
                    <w:rPr>
                      <w:color w:val="000000"/>
                      <w:sz w:val="18"/>
                      <w:szCs w:val="18"/>
                    </w:rPr>
                  </w:pPr>
                  <w:r>
                    <w:rPr>
                      <w:rFonts w:hint="eastAsia"/>
                      <w:color w:val="000000"/>
                      <w:sz w:val="18"/>
                      <w:szCs w:val="18"/>
                    </w:rPr>
                    <w:t>址方位</w:t>
                  </w:r>
                </w:p>
              </w:tc>
              <w:tc>
                <w:tcPr>
                  <w:tcW w:w="910" w:type="pct"/>
                  <w:vMerge w:val="restart"/>
                  <w:vAlign w:val="center"/>
                </w:tcPr>
                <w:p>
                  <w:pPr>
                    <w:pStyle w:val="6"/>
                    <w:ind w:firstLine="0" w:firstLineChars="0"/>
                    <w:jc w:val="center"/>
                    <w:rPr>
                      <w:color w:val="000000"/>
                      <w:sz w:val="18"/>
                      <w:szCs w:val="18"/>
                    </w:rPr>
                  </w:pPr>
                  <w:r>
                    <w:rPr>
                      <w:rFonts w:hint="eastAsia"/>
                      <w:color w:val="000000"/>
                      <w:sz w:val="18"/>
                      <w:szCs w:val="18"/>
                    </w:rPr>
                    <w:t>相对厂界</w:t>
                  </w:r>
                </w:p>
                <w:p>
                  <w:pPr>
                    <w:pStyle w:val="6"/>
                    <w:ind w:firstLine="0" w:firstLineChars="0"/>
                    <w:jc w:val="center"/>
                    <w:rPr>
                      <w:color w:val="000000"/>
                      <w:sz w:val="18"/>
                      <w:szCs w:val="18"/>
                    </w:rPr>
                  </w:pPr>
                  <w:r>
                    <w:rPr>
                      <w:rFonts w:hint="eastAsia"/>
                      <w:color w:val="000000"/>
                      <w:sz w:val="18"/>
                      <w:szCs w:val="18"/>
                    </w:rPr>
                    <w:t>最近距离/</w:t>
                  </w:r>
                  <w:r>
                    <w:rPr>
                      <w:color w:val="000000"/>
                      <w:sz w:val="18"/>
                      <w:szCs w:val="18"/>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80" w:type="pct"/>
                  <w:vMerge w:val="continue"/>
                  <w:vAlign w:val="center"/>
                </w:tcPr>
                <w:p>
                  <w:pPr>
                    <w:pStyle w:val="6"/>
                    <w:ind w:firstLine="0" w:firstLineChars="0"/>
                    <w:jc w:val="center"/>
                    <w:rPr>
                      <w:color w:val="000000"/>
                      <w:sz w:val="18"/>
                      <w:szCs w:val="18"/>
                    </w:rPr>
                  </w:pPr>
                </w:p>
              </w:tc>
              <w:tc>
                <w:tcPr>
                  <w:tcW w:w="314" w:type="pct"/>
                  <w:vAlign w:val="center"/>
                </w:tcPr>
                <w:p>
                  <w:pPr>
                    <w:pStyle w:val="6"/>
                    <w:ind w:firstLine="0" w:firstLineChars="0"/>
                    <w:jc w:val="center"/>
                    <w:rPr>
                      <w:color w:val="000000"/>
                      <w:sz w:val="18"/>
                      <w:szCs w:val="18"/>
                    </w:rPr>
                  </w:pPr>
                  <w:r>
                    <w:rPr>
                      <w:rFonts w:hint="eastAsia"/>
                      <w:color w:val="000000"/>
                      <w:sz w:val="18"/>
                      <w:szCs w:val="18"/>
                    </w:rPr>
                    <w:t>x</w:t>
                  </w:r>
                </w:p>
              </w:tc>
              <w:tc>
                <w:tcPr>
                  <w:tcW w:w="396" w:type="pct"/>
                  <w:vAlign w:val="center"/>
                </w:tcPr>
                <w:p>
                  <w:pPr>
                    <w:pStyle w:val="6"/>
                    <w:ind w:firstLine="0" w:firstLineChars="0"/>
                    <w:jc w:val="center"/>
                    <w:rPr>
                      <w:color w:val="000000"/>
                      <w:sz w:val="18"/>
                      <w:szCs w:val="18"/>
                    </w:rPr>
                  </w:pPr>
                  <w:r>
                    <w:rPr>
                      <w:rFonts w:hint="eastAsia"/>
                      <w:color w:val="000000"/>
                      <w:sz w:val="18"/>
                      <w:szCs w:val="18"/>
                    </w:rPr>
                    <w:t>y</w:t>
                  </w:r>
                </w:p>
              </w:tc>
              <w:tc>
                <w:tcPr>
                  <w:tcW w:w="580" w:type="pct"/>
                  <w:vMerge w:val="continue"/>
                  <w:vAlign w:val="center"/>
                </w:tcPr>
                <w:p>
                  <w:pPr>
                    <w:pStyle w:val="6"/>
                    <w:ind w:firstLine="0" w:firstLineChars="0"/>
                    <w:jc w:val="center"/>
                    <w:rPr>
                      <w:color w:val="000000"/>
                      <w:sz w:val="18"/>
                      <w:szCs w:val="18"/>
                    </w:rPr>
                  </w:pPr>
                </w:p>
              </w:tc>
              <w:tc>
                <w:tcPr>
                  <w:tcW w:w="1060" w:type="pct"/>
                  <w:vMerge w:val="continue"/>
                  <w:vAlign w:val="center"/>
                </w:tcPr>
                <w:p>
                  <w:pPr>
                    <w:pStyle w:val="6"/>
                    <w:ind w:firstLine="0" w:firstLineChars="0"/>
                    <w:jc w:val="center"/>
                    <w:rPr>
                      <w:color w:val="000000"/>
                      <w:sz w:val="18"/>
                      <w:szCs w:val="18"/>
                    </w:rPr>
                  </w:pPr>
                </w:p>
              </w:tc>
              <w:tc>
                <w:tcPr>
                  <w:tcW w:w="580" w:type="pct"/>
                  <w:vMerge w:val="continue"/>
                  <w:vAlign w:val="center"/>
                </w:tcPr>
                <w:p>
                  <w:pPr>
                    <w:pStyle w:val="6"/>
                    <w:ind w:firstLine="0" w:firstLineChars="0"/>
                    <w:jc w:val="center"/>
                    <w:rPr>
                      <w:color w:val="000000"/>
                      <w:sz w:val="18"/>
                      <w:szCs w:val="18"/>
                    </w:rPr>
                  </w:pPr>
                </w:p>
              </w:tc>
              <w:tc>
                <w:tcPr>
                  <w:tcW w:w="580" w:type="pct"/>
                  <w:vMerge w:val="continue"/>
                  <w:vAlign w:val="center"/>
                </w:tcPr>
                <w:p>
                  <w:pPr>
                    <w:pStyle w:val="6"/>
                    <w:ind w:firstLine="0" w:firstLineChars="0"/>
                    <w:jc w:val="center"/>
                    <w:rPr>
                      <w:color w:val="000000"/>
                      <w:sz w:val="18"/>
                      <w:szCs w:val="18"/>
                    </w:rPr>
                  </w:pPr>
                </w:p>
              </w:tc>
              <w:tc>
                <w:tcPr>
                  <w:tcW w:w="910" w:type="pct"/>
                  <w:vMerge w:val="continue"/>
                  <w:vAlign w:val="center"/>
                </w:tcPr>
                <w:p>
                  <w:pPr>
                    <w:pStyle w:val="6"/>
                    <w:ind w:firstLine="0" w:firstLineChars="0"/>
                    <w:jc w:val="center"/>
                    <w:rPr>
                      <w:color w:val="00000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80" w:type="pct"/>
                  <w:vAlign w:val="center"/>
                </w:tcPr>
                <w:p>
                  <w:pPr>
                    <w:pStyle w:val="6"/>
                    <w:ind w:firstLine="0" w:firstLineChars="0"/>
                    <w:jc w:val="center"/>
                    <w:rPr>
                      <w:color w:val="000000"/>
                      <w:sz w:val="18"/>
                      <w:szCs w:val="18"/>
                    </w:rPr>
                  </w:pPr>
                  <w:r>
                    <w:rPr>
                      <w:rFonts w:hint="eastAsia"/>
                      <w:color w:val="000000"/>
                      <w:sz w:val="18"/>
                      <w:szCs w:val="18"/>
                    </w:rPr>
                    <w:t>毛立山组居民点1</w:t>
                  </w:r>
                </w:p>
              </w:tc>
              <w:tc>
                <w:tcPr>
                  <w:tcW w:w="314" w:type="pct"/>
                  <w:vAlign w:val="center"/>
                </w:tcPr>
                <w:p>
                  <w:pPr>
                    <w:spacing w:line="240" w:lineRule="auto"/>
                    <w:ind w:firstLine="0" w:firstLineChars="0"/>
                    <w:jc w:val="center"/>
                    <w:rPr>
                      <w:color w:val="000000"/>
                      <w:sz w:val="18"/>
                      <w:szCs w:val="18"/>
                    </w:rPr>
                  </w:pPr>
                  <w:r>
                    <w:rPr>
                      <w:rFonts w:hint="eastAsia"/>
                      <w:color w:val="000000"/>
                      <w:sz w:val="18"/>
                      <w:szCs w:val="18"/>
                    </w:rPr>
                    <w:t>0</w:t>
                  </w:r>
                </w:p>
              </w:tc>
              <w:tc>
                <w:tcPr>
                  <w:tcW w:w="396" w:type="pct"/>
                  <w:vAlign w:val="center"/>
                </w:tcPr>
                <w:p>
                  <w:pPr>
                    <w:spacing w:line="240" w:lineRule="auto"/>
                    <w:ind w:firstLine="0" w:firstLineChars="0"/>
                    <w:jc w:val="center"/>
                    <w:rPr>
                      <w:color w:val="000000"/>
                      <w:sz w:val="18"/>
                      <w:szCs w:val="18"/>
                    </w:rPr>
                  </w:pPr>
                  <w:r>
                    <w:rPr>
                      <w:color w:val="000000"/>
                      <w:sz w:val="18"/>
                      <w:szCs w:val="18"/>
                    </w:rPr>
                    <w:t>50</w:t>
                  </w:r>
                </w:p>
              </w:tc>
              <w:tc>
                <w:tcPr>
                  <w:tcW w:w="580" w:type="pct"/>
                  <w:vAlign w:val="center"/>
                </w:tcPr>
                <w:p>
                  <w:pPr>
                    <w:pStyle w:val="6"/>
                    <w:ind w:firstLine="0" w:firstLineChars="0"/>
                    <w:jc w:val="center"/>
                    <w:rPr>
                      <w:color w:val="000000"/>
                      <w:sz w:val="18"/>
                      <w:szCs w:val="18"/>
                    </w:rPr>
                  </w:pPr>
                  <w:r>
                    <w:rPr>
                      <w:rFonts w:hint="eastAsia"/>
                      <w:color w:val="000000"/>
                      <w:sz w:val="18"/>
                      <w:szCs w:val="18"/>
                    </w:rPr>
                    <w:t>居民区</w:t>
                  </w:r>
                </w:p>
              </w:tc>
              <w:tc>
                <w:tcPr>
                  <w:tcW w:w="1060" w:type="pct"/>
                  <w:vAlign w:val="center"/>
                </w:tcPr>
                <w:p>
                  <w:pPr>
                    <w:pStyle w:val="6"/>
                    <w:ind w:firstLine="0" w:firstLineChars="0"/>
                    <w:jc w:val="center"/>
                    <w:rPr>
                      <w:color w:val="000000"/>
                      <w:sz w:val="18"/>
                      <w:szCs w:val="18"/>
                    </w:rPr>
                  </w:pPr>
                  <w:r>
                    <w:rPr>
                      <w:color w:val="000000"/>
                      <w:sz w:val="18"/>
                      <w:szCs w:val="18"/>
                    </w:rPr>
                    <w:t>2</w:t>
                  </w:r>
                  <w:r>
                    <w:rPr>
                      <w:rFonts w:hint="eastAsia"/>
                      <w:color w:val="000000"/>
                      <w:sz w:val="18"/>
                      <w:szCs w:val="18"/>
                    </w:rPr>
                    <w:t>户，</w:t>
                  </w:r>
                  <w:r>
                    <w:rPr>
                      <w:color w:val="000000"/>
                      <w:sz w:val="18"/>
                      <w:szCs w:val="18"/>
                    </w:rPr>
                    <w:t>7</w:t>
                  </w:r>
                  <w:r>
                    <w:rPr>
                      <w:rFonts w:hint="eastAsia"/>
                      <w:color w:val="000000"/>
                      <w:sz w:val="18"/>
                      <w:szCs w:val="18"/>
                    </w:rPr>
                    <w:t>人</w:t>
                  </w:r>
                </w:p>
              </w:tc>
              <w:tc>
                <w:tcPr>
                  <w:tcW w:w="580" w:type="pct"/>
                  <w:vAlign w:val="center"/>
                </w:tcPr>
                <w:p>
                  <w:pPr>
                    <w:pStyle w:val="6"/>
                    <w:ind w:firstLine="0" w:firstLineChars="0"/>
                    <w:jc w:val="center"/>
                    <w:rPr>
                      <w:color w:val="000000"/>
                      <w:sz w:val="18"/>
                      <w:szCs w:val="18"/>
                    </w:rPr>
                  </w:pPr>
                  <w:r>
                    <w:rPr>
                      <w:rFonts w:hint="eastAsia"/>
                      <w:color w:val="000000"/>
                      <w:sz w:val="18"/>
                      <w:szCs w:val="18"/>
                    </w:rPr>
                    <w:t>2类</w:t>
                  </w:r>
                </w:p>
              </w:tc>
              <w:tc>
                <w:tcPr>
                  <w:tcW w:w="580" w:type="pct"/>
                  <w:vAlign w:val="center"/>
                </w:tcPr>
                <w:p>
                  <w:pPr>
                    <w:pStyle w:val="6"/>
                    <w:ind w:firstLine="0" w:firstLineChars="0"/>
                    <w:jc w:val="center"/>
                    <w:rPr>
                      <w:color w:val="000000"/>
                      <w:sz w:val="18"/>
                      <w:szCs w:val="18"/>
                    </w:rPr>
                  </w:pPr>
                  <w:r>
                    <w:rPr>
                      <w:rFonts w:hint="eastAsia"/>
                      <w:color w:val="000000"/>
                      <w:sz w:val="18"/>
                      <w:szCs w:val="18"/>
                    </w:rPr>
                    <w:t>N</w:t>
                  </w:r>
                </w:p>
              </w:tc>
              <w:tc>
                <w:tcPr>
                  <w:tcW w:w="910" w:type="pct"/>
                  <w:vAlign w:val="center"/>
                </w:tcPr>
                <w:p>
                  <w:pPr>
                    <w:pStyle w:val="6"/>
                    <w:ind w:firstLine="0" w:firstLineChars="0"/>
                    <w:jc w:val="center"/>
                    <w:rPr>
                      <w:color w:val="000000"/>
                      <w:sz w:val="18"/>
                      <w:szCs w:val="18"/>
                    </w:rPr>
                  </w:pPr>
                  <w:r>
                    <w:rPr>
                      <w:rFonts w:hint="eastAsia"/>
                      <w:color w:val="000000"/>
                      <w:sz w:val="18"/>
                      <w:szCs w:val="18"/>
                    </w:rPr>
                    <w:t>3</w:t>
                  </w:r>
                  <w:r>
                    <w:rPr>
                      <w:color w:val="00000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80" w:type="pct"/>
                  <w:vAlign w:val="center"/>
                </w:tcPr>
                <w:p>
                  <w:pPr>
                    <w:pStyle w:val="6"/>
                    <w:ind w:firstLine="0" w:firstLineChars="0"/>
                    <w:jc w:val="center"/>
                    <w:rPr>
                      <w:color w:val="000000"/>
                      <w:sz w:val="18"/>
                      <w:szCs w:val="18"/>
                    </w:rPr>
                  </w:pPr>
                  <w:r>
                    <w:rPr>
                      <w:rFonts w:hint="eastAsia"/>
                      <w:color w:val="000000"/>
                      <w:sz w:val="18"/>
                      <w:szCs w:val="18"/>
                    </w:rPr>
                    <w:t>毛立山组居民点2</w:t>
                  </w:r>
                </w:p>
              </w:tc>
              <w:tc>
                <w:tcPr>
                  <w:tcW w:w="314" w:type="pct"/>
                  <w:vAlign w:val="center"/>
                </w:tcPr>
                <w:p>
                  <w:pPr>
                    <w:spacing w:line="240" w:lineRule="auto"/>
                    <w:ind w:firstLine="0" w:firstLineChars="0"/>
                    <w:jc w:val="center"/>
                    <w:rPr>
                      <w:color w:val="000000"/>
                      <w:sz w:val="18"/>
                      <w:szCs w:val="18"/>
                    </w:rPr>
                  </w:pPr>
                  <w:r>
                    <w:rPr>
                      <w:rFonts w:hint="eastAsia"/>
                      <w:color w:val="000000"/>
                      <w:sz w:val="18"/>
                      <w:szCs w:val="18"/>
                    </w:rPr>
                    <w:t>6</w:t>
                  </w:r>
                  <w:r>
                    <w:rPr>
                      <w:color w:val="000000"/>
                      <w:sz w:val="18"/>
                      <w:szCs w:val="18"/>
                    </w:rPr>
                    <w:t>0</w:t>
                  </w:r>
                </w:p>
              </w:tc>
              <w:tc>
                <w:tcPr>
                  <w:tcW w:w="396" w:type="pct"/>
                  <w:vAlign w:val="center"/>
                </w:tcPr>
                <w:p>
                  <w:pPr>
                    <w:spacing w:line="240" w:lineRule="auto"/>
                    <w:ind w:firstLine="0" w:firstLineChars="0"/>
                    <w:jc w:val="center"/>
                    <w:rPr>
                      <w:color w:val="000000"/>
                      <w:sz w:val="18"/>
                      <w:szCs w:val="18"/>
                    </w:rPr>
                  </w:pPr>
                  <w:r>
                    <w:rPr>
                      <w:rFonts w:hint="eastAsia"/>
                      <w:color w:val="000000"/>
                      <w:sz w:val="18"/>
                      <w:szCs w:val="18"/>
                    </w:rPr>
                    <w:t>0</w:t>
                  </w:r>
                </w:p>
              </w:tc>
              <w:tc>
                <w:tcPr>
                  <w:tcW w:w="580" w:type="pct"/>
                  <w:vAlign w:val="center"/>
                </w:tcPr>
                <w:p>
                  <w:pPr>
                    <w:pStyle w:val="6"/>
                    <w:ind w:firstLine="0" w:firstLineChars="0"/>
                    <w:jc w:val="center"/>
                    <w:rPr>
                      <w:color w:val="000000"/>
                      <w:sz w:val="18"/>
                      <w:szCs w:val="18"/>
                    </w:rPr>
                  </w:pPr>
                  <w:r>
                    <w:rPr>
                      <w:rFonts w:hint="eastAsia"/>
                      <w:color w:val="000000"/>
                      <w:sz w:val="18"/>
                      <w:szCs w:val="18"/>
                    </w:rPr>
                    <w:t>居民区</w:t>
                  </w:r>
                </w:p>
              </w:tc>
              <w:tc>
                <w:tcPr>
                  <w:tcW w:w="1060" w:type="pct"/>
                  <w:vAlign w:val="center"/>
                </w:tcPr>
                <w:p>
                  <w:pPr>
                    <w:pStyle w:val="6"/>
                    <w:ind w:firstLine="0" w:firstLineChars="0"/>
                    <w:jc w:val="center"/>
                    <w:rPr>
                      <w:color w:val="000000"/>
                      <w:sz w:val="18"/>
                      <w:szCs w:val="18"/>
                    </w:rPr>
                  </w:pPr>
                  <w:r>
                    <w:rPr>
                      <w:color w:val="000000"/>
                      <w:sz w:val="18"/>
                      <w:szCs w:val="18"/>
                    </w:rPr>
                    <w:t>3</w:t>
                  </w:r>
                  <w:r>
                    <w:rPr>
                      <w:rFonts w:hint="eastAsia"/>
                      <w:color w:val="000000"/>
                      <w:sz w:val="18"/>
                      <w:szCs w:val="18"/>
                    </w:rPr>
                    <w:t>户，</w:t>
                  </w:r>
                  <w:r>
                    <w:rPr>
                      <w:color w:val="000000"/>
                      <w:sz w:val="18"/>
                      <w:szCs w:val="18"/>
                    </w:rPr>
                    <w:t>10</w:t>
                  </w:r>
                  <w:r>
                    <w:rPr>
                      <w:rFonts w:hint="eastAsia"/>
                      <w:color w:val="000000"/>
                      <w:sz w:val="18"/>
                      <w:szCs w:val="18"/>
                    </w:rPr>
                    <w:t>人</w:t>
                  </w:r>
                </w:p>
              </w:tc>
              <w:tc>
                <w:tcPr>
                  <w:tcW w:w="580" w:type="pct"/>
                  <w:vAlign w:val="center"/>
                </w:tcPr>
                <w:p>
                  <w:pPr>
                    <w:pStyle w:val="6"/>
                    <w:ind w:firstLine="0" w:firstLineChars="0"/>
                    <w:jc w:val="center"/>
                    <w:rPr>
                      <w:color w:val="000000"/>
                      <w:sz w:val="18"/>
                      <w:szCs w:val="18"/>
                    </w:rPr>
                  </w:pPr>
                  <w:r>
                    <w:rPr>
                      <w:rFonts w:hint="eastAsia"/>
                      <w:color w:val="000000"/>
                      <w:sz w:val="18"/>
                      <w:szCs w:val="18"/>
                    </w:rPr>
                    <w:t>2类</w:t>
                  </w:r>
                </w:p>
              </w:tc>
              <w:tc>
                <w:tcPr>
                  <w:tcW w:w="580" w:type="pct"/>
                  <w:vAlign w:val="center"/>
                </w:tcPr>
                <w:p>
                  <w:pPr>
                    <w:pStyle w:val="6"/>
                    <w:ind w:firstLine="0" w:firstLineChars="0"/>
                    <w:jc w:val="center"/>
                    <w:rPr>
                      <w:color w:val="000000"/>
                      <w:sz w:val="18"/>
                      <w:szCs w:val="18"/>
                    </w:rPr>
                  </w:pPr>
                  <w:r>
                    <w:rPr>
                      <w:rFonts w:hint="eastAsia"/>
                      <w:color w:val="000000"/>
                      <w:sz w:val="18"/>
                      <w:szCs w:val="18"/>
                    </w:rPr>
                    <w:t>E</w:t>
                  </w:r>
                </w:p>
              </w:tc>
              <w:tc>
                <w:tcPr>
                  <w:tcW w:w="910" w:type="pct"/>
                  <w:vAlign w:val="center"/>
                </w:tcPr>
                <w:p>
                  <w:pPr>
                    <w:pStyle w:val="6"/>
                    <w:ind w:firstLine="0" w:firstLineChars="0"/>
                    <w:jc w:val="center"/>
                    <w:rPr>
                      <w:color w:val="000000"/>
                      <w:sz w:val="18"/>
                      <w:szCs w:val="18"/>
                    </w:rPr>
                  </w:pPr>
                  <w:r>
                    <w:rPr>
                      <w:rFonts w:hint="eastAsia"/>
                      <w:color w:val="000000"/>
                      <w:sz w:val="18"/>
                      <w:szCs w:val="18"/>
                    </w:rPr>
                    <w:t>4</w:t>
                  </w:r>
                  <w:r>
                    <w:rPr>
                      <w:color w:val="000000"/>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5000" w:type="pct"/>
                  <w:gridSpan w:val="8"/>
                  <w:vAlign w:val="center"/>
                </w:tcPr>
                <w:p>
                  <w:pPr>
                    <w:pStyle w:val="6"/>
                    <w:ind w:firstLine="0" w:firstLineChars="0"/>
                    <w:rPr>
                      <w:color w:val="000000"/>
                      <w:sz w:val="18"/>
                      <w:szCs w:val="18"/>
                    </w:rPr>
                  </w:pPr>
                  <w:r>
                    <w:rPr>
                      <w:rFonts w:hint="eastAsia"/>
                      <w:color w:val="000000"/>
                      <w:sz w:val="18"/>
                      <w:szCs w:val="18"/>
                    </w:rPr>
                    <w:t>注：以项目厂址中心为原点，正北为Y轴正方向，正东为X轴正方向建立坐标系</w:t>
                  </w:r>
                </w:p>
              </w:tc>
            </w:tr>
          </w:tbl>
          <w:p>
            <w:pPr>
              <w:ind w:firstLine="482"/>
              <w:rPr>
                <w:b/>
                <w:bCs/>
              </w:rPr>
            </w:pPr>
            <w:r>
              <w:rPr>
                <w:rFonts w:hint="eastAsia"/>
                <w:b/>
                <w:bCs/>
              </w:rPr>
              <w:t>3</w:t>
            </w:r>
            <w:r>
              <w:rPr>
                <w:b/>
                <w:bCs/>
              </w:rPr>
              <w:t>、地表水环境</w:t>
            </w:r>
          </w:p>
          <w:p>
            <w:pPr>
              <w:ind w:firstLine="480"/>
              <w:rPr>
                <w:bCs/>
              </w:rPr>
            </w:pPr>
            <w:r>
              <w:rPr>
                <w:bCs/>
              </w:rPr>
              <w:t>本项目地表水主要为</w:t>
            </w:r>
            <w:r>
              <w:rPr>
                <w:rFonts w:hint="eastAsia"/>
                <w:bCs/>
              </w:rPr>
              <w:t>湘江</w:t>
            </w:r>
            <w:r>
              <w:rPr>
                <w:bCs/>
              </w:rPr>
              <w:t>，所在区域内的地表水功能</w:t>
            </w:r>
            <w:r>
              <w:rPr>
                <w:rFonts w:hint="eastAsia"/>
                <w:bCs/>
              </w:rPr>
              <w:t>区</w:t>
            </w:r>
            <w:r>
              <w:rPr>
                <w:bCs/>
              </w:rPr>
              <w:t>均为</w:t>
            </w:r>
            <w:r>
              <w:rPr>
                <w:rFonts w:hint="eastAsia"/>
                <w:bCs/>
              </w:rPr>
              <w:t>工业</w:t>
            </w:r>
            <w:r>
              <w:rPr>
                <w:bCs/>
              </w:rPr>
              <w:t>用水区，具体见下表：</w:t>
            </w:r>
          </w:p>
          <w:p>
            <w:pPr>
              <w:pStyle w:val="54"/>
              <w:spacing w:before="156"/>
            </w:pPr>
            <w:r>
              <w:t>表3-6 地表水环境保护目标一览表</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6"/>
              <w:gridCol w:w="1829"/>
              <w:gridCol w:w="2458"/>
              <w:gridCol w:w="21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1217" w:type="dxa"/>
                  <w:vAlign w:val="center"/>
                </w:tcPr>
                <w:p>
                  <w:pPr>
                    <w:pStyle w:val="112"/>
                  </w:pPr>
                  <w:r>
                    <w:t>名称</w:t>
                  </w:r>
                </w:p>
              </w:tc>
              <w:tc>
                <w:tcPr>
                  <w:tcW w:w="1910" w:type="dxa"/>
                  <w:vAlign w:val="center"/>
                </w:tcPr>
                <w:p>
                  <w:pPr>
                    <w:pStyle w:val="112"/>
                  </w:pPr>
                  <w:r>
                    <w:t>保护对象</w:t>
                  </w:r>
                </w:p>
              </w:tc>
              <w:tc>
                <w:tcPr>
                  <w:tcW w:w="2578" w:type="dxa"/>
                  <w:vAlign w:val="center"/>
                </w:tcPr>
                <w:p>
                  <w:pPr>
                    <w:pStyle w:val="112"/>
                  </w:pPr>
                  <w:r>
                    <w:t>与项目位置关系</w:t>
                  </w:r>
                </w:p>
              </w:tc>
              <w:tc>
                <w:tcPr>
                  <w:tcW w:w="2267" w:type="dxa"/>
                  <w:vAlign w:val="center"/>
                </w:tcPr>
                <w:p>
                  <w:pPr>
                    <w:pStyle w:val="112"/>
                  </w:pPr>
                  <w:r>
                    <w:t>保护要求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dxa"/>
                  <w:vAlign w:val="center"/>
                </w:tcPr>
                <w:p>
                  <w:pPr>
                    <w:pStyle w:val="112"/>
                  </w:pPr>
                  <w:r>
                    <w:rPr>
                      <w:rFonts w:hint="eastAsia"/>
                    </w:rPr>
                    <w:t>湘江</w:t>
                  </w:r>
                </w:p>
              </w:tc>
              <w:tc>
                <w:tcPr>
                  <w:tcW w:w="1910" w:type="dxa"/>
                  <w:vAlign w:val="center"/>
                </w:tcPr>
                <w:p>
                  <w:pPr>
                    <w:pStyle w:val="112"/>
                  </w:pPr>
                  <w:r>
                    <w:rPr>
                      <w:rFonts w:hint="eastAsia"/>
                    </w:rPr>
                    <w:t>工业用水区</w:t>
                  </w:r>
                  <w:r>
                    <w:t>，</w:t>
                  </w:r>
                  <w:r>
                    <w:rPr>
                      <w:rFonts w:hint="eastAsia"/>
                    </w:rPr>
                    <w:t>大</w:t>
                  </w:r>
                  <w:r>
                    <w:t>河</w:t>
                  </w:r>
                </w:p>
              </w:tc>
              <w:tc>
                <w:tcPr>
                  <w:tcW w:w="2578" w:type="dxa"/>
                  <w:vAlign w:val="center"/>
                </w:tcPr>
                <w:p>
                  <w:pPr>
                    <w:pStyle w:val="112"/>
                  </w:pPr>
                  <w:r>
                    <w:rPr>
                      <w:rFonts w:hint="eastAsia"/>
                    </w:rPr>
                    <w:t>东侧1</w:t>
                  </w:r>
                  <w:r>
                    <w:t>40</w:t>
                  </w:r>
                  <w:r>
                    <w:rPr>
                      <w:rFonts w:hint="eastAsia"/>
                    </w:rPr>
                    <w:t>m处</w:t>
                  </w:r>
                </w:p>
              </w:tc>
              <w:tc>
                <w:tcPr>
                  <w:tcW w:w="2267" w:type="dxa"/>
                  <w:vAlign w:val="center"/>
                </w:tcPr>
                <w:p>
                  <w:pPr>
                    <w:pStyle w:val="112"/>
                  </w:pPr>
                  <w:r>
                    <w:t>（GB3838-2002）</w:t>
                  </w:r>
                </w:p>
                <w:p>
                  <w:pPr>
                    <w:pStyle w:val="112"/>
                  </w:pPr>
                  <w:r>
                    <w:rPr>
                      <w:rFonts w:hint="eastAsia" w:ascii="宋体" w:hAnsi="宋体" w:cs="宋体"/>
                    </w:rPr>
                    <w:t>Ⅲ</w:t>
                  </w:r>
                  <w: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dxa"/>
                  <w:vAlign w:val="center"/>
                </w:tcPr>
                <w:p>
                  <w:pPr>
                    <w:pStyle w:val="112"/>
                    <w:rPr>
                      <w:u w:val="single"/>
                    </w:rPr>
                  </w:pPr>
                  <w:r>
                    <w:rPr>
                      <w:rFonts w:hint="eastAsia"/>
                      <w:u w:val="single"/>
                    </w:rPr>
                    <w:t>周边灌溉渠</w:t>
                  </w:r>
                </w:p>
              </w:tc>
              <w:tc>
                <w:tcPr>
                  <w:tcW w:w="1910" w:type="dxa"/>
                  <w:vAlign w:val="center"/>
                </w:tcPr>
                <w:p>
                  <w:pPr>
                    <w:pStyle w:val="112"/>
                    <w:rPr>
                      <w:u w:val="single"/>
                    </w:rPr>
                  </w:pPr>
                  <w:r>
                    <w:rPr>
                      <w:rFonts w:hint="eastAsia"/>
                      <w:u w:val="single"/>
                    </w:rPr>
                    <w:t>灌溉渠，农业灌溉使用</w:t>
                  </w:r>
                </w:p>
              </w:tc>
              <w:tc>
                <w:tcPr>
                  <w:tcW w:w="2578" w:type="dxa"/>
                  <w:vAlign w:val="center"/>
                </w:tcPr>
                <w:p>
                  <w:pPr>
                    <w:pStyle w:val="112"/>
                    <w:rPr>
                      <w:u w:val="single"/>
                    </w:rPr>
                  </w:pPr>
                  <w:r>
                    <w:rPr>
                      <w:rFonts w:hint="eastAsia"/>
                      <w:u w:val="single"/>
                    </w:rPr>
                    <w:t>西侧2</w:t>
                  </w:r>
                  <w:r>
                    <w:rPr>
                      <w:u w:val="single"/>
                    </w:rPr>
                    <w:t>0</w:t>
                  </w:r>
                  <w:r>
                    <w:rPr>
                      <w:rFonts w:hint="eastAsia"/>
                      <w:u w:val="single"/>
                    </w:rPr>
                    <w:t>m处</w:t>
                  </w:r>
                </w:p>
              </w:tc>
              <w:tc>
                <w:tcPr>
                  <w:tcW w:w="2267" w:type="dxa"/>
                  <w:vAlign w:val="center"/>
                </w:tcPr>
                <w:p>
                  <w:pPr>
                    <w:pStyle w:val="112"/>
                    <w:rPr>
                      <w:u w:val="single"/>
                    </w:rPr>
                  </w:pPr>
                  <w:r>
                    <w:rPr>
                      <w:u w:val="single"/>
                    </w:rPr>
                    <w:t>（GB3838-2002）</w:t>
                  </w:r>
                </w:p>
                <w:p>
                  <w:pPr>
                    <w:pStyle w:val="112"/>
                    <w:rPr>
                      <w:u w:val="single"/>
                    </w:rPr>
                  </w:pPr>
                  <w:r>
                    <w:rPr>
                      <w:rFonts w:hint="eastAsia" w:ascii="宋体" w:hAnsi="宋体" w:cs="宋体"/>
                      <w:u w:val="single"/>
                    </w:rPr>
                    <w:t>Ⅲ</w:t>
                  </w:r>
                  <w:r>
                    <w:rPr>
                      <w:u w:val="single"/>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dxa"/>
                  <w:vAlign w:val="center"/>
                </w:tcPr>
                <w:p>
                  <w:pPr>
                    <w:pStyle w:val="112"/>
                    <w:rPr>
                      <w:u w:val="single"/>
                    </w:rPr>
                  </w:pPr>
                  <w:r>
                    <w:rPr>
                      <w:rFonts w:hint="eastAsia"/>
                      <w:u w:val="single"/>
                    </w:rPr>
                    <w:t>周边耕地</w:t>
                  </w:r>
                </w:p>
              </w:tc>
              <w:tc>
                <w:tcPr>
                  <w:tcW w:w="1910" w:type="dxa"/>
                  <w:vAlign w:val="center"/>
                </w:tcPr>
                <w:p>
                  <w:pPr>
                    <w:pStyle w:val="112"/>
                    <w:rPr>
                      <w:u w:val="single"/>
                    </w:rPr>
                  </w:pPr>
                  <w:r>
                    <w:rPr>
                      <w:rFonts w:hint="eastAsia"/>
                      <w:u w:val="single"/>
                    </w:rPr>
                    <w:t>耕地</w:t>
                  </w:r>
                </w:p>
              </w:tc>
              <w:tc>
                <w:tcPr>
                  <w:tcW w:w="2578" w:type="dxa"/>
                  <w:vAlign w:val="center"/>
                </w:tcPr>
                <w:p>
                  <w:pPr>
                    <w:pStyle w:val="112"/>
                    <w:rPr>
                      <w:u w:val="single"/>
                    </w:rPr>
                  </w:pPr>
                  <w:r>
                    <w:rPr>
                      <w:rFonts w:hint="eastAsia"/>
                      <w:u w:val="single"/>
                    </w:rPr>
                    <w:t>最近5m</w:t>
                  </w:r>
                </w:p>
              </w:tc>
              <w:tc>
                <w:tcPr>
                  <w:tcW w:w="2267" w:type="dxa"/>
                  <w:vAlign w:val="center"/>
                </w:tcPr>
                <w:p>
                  <w:pPr>
                    <w:pStyle w:val="112"/>
                    <w:rPr>
                      <w:u w:val="single"/>
                    </w:rPr>
                  </w:pPr>
                  <w:r>
                    <w:rPr>
                      <w:rFonts w:hint="eastAsia"/>
                      <w:u w:val="single"/>
                    </w:rPr>
                    <w:t>/</w:t>
                  </w:r>
                </w:p>
              </w:tc>
            </w:tr>
          </w:tbl>
          <w:p>
            <w:pPr>
              <w:adjustRightInd w:val="0"/>
              <w:snapToGrid w:val="0"/>
              <w:ind w:firstLine="480"/>
              <w:rPr>
                <w:color w:val="FF0000"/>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2" w:type="dxa"/>
            <w:tcMar>
              <w:left w:w="28" w:type="dxa"/>
              <w:right w:w="28" w:type="dxa"/>
            </w:tcMar>
            <w:vAlign w:val="center"/>
          </w:tcPr>
          <w:p>
            <w:pPr>
              <w:adjustRightInd w:val="0"/>
              <w:snapToGrid w:val="0"/>
              <w:ind w:firstLine="0" w:firstLineChars="0"/>
              <w:jc w:val="center"/>
              <w:rPr>
                <w:color w:val="000000"/>
                <w:kern w:val="0"/>
              </w:rPr>
            </w:pPr>
            <w:r>
              <w:rPr>
                <w:color w:val="000000"/>
                <w:kern w:val="0"/>
              </w:rPr>
              <w:t>污染</w:t>
            </w:r>
          </w:p>
          <w:p>
            <w:pPr>
              <w:adjustRightInd w:val="0"/>
              <w:snapToGrid w:val="0"/>
              <w:ind w:firstLine="0" w:firstLineChars="0"/>
              <w:jc w:val="center"/>
              <w:rPr>
                <w:color w:val="000000"/>
                <w:kern w:val="0"/>
              </w:rPr>
            </w:pPr>
            <w:r>
              <w:rPr>
                <w:color w:val="000000"/>
                <w:kern w:val="0"/>
              </w:rPr>
              <w:t>物排</w:t>
            </w:r>
          </w:p>
          <w:p>
            <w:pPr>
              <w:adjustRightInd w:val="0"/>
              <w:snapToGrid w:val="0"/>
              <w:ind w:firstLine="0" w:firstLineChars="0"/>
              <w:jc w:val="center"/>
              <w:rPr>
                <w:color w:val="000000"/>
                <w:kern w:val="0"/>
              </w:rPr>
            </w:pPr>
            <w:r>
              <w:rPr>
                <w:color w:val="000000"/>
                <w:kern w:val="0"/>
              </w:rPr>
              <w:t>放控</w:t>
            </w:r>
          </w:p>
          <w:p>
            <w:pPr>
              <w:adjustRightInd w:val="0"/>
              <w:snapToGrid w:val="0"/>
              <w:ind w:firstLine="0" w:firstLineChars="0"/>
              <w:jc w:val="center"/>
              <w:rPr>
                <w:color w:val="000000"/>
                <w:kern w:val="0"/>
              </w:rPr>
            </w:pPr>
            <w:r>
              <w:rPr>
                <w:color w:val="000000"/>
                <w:kern w:val="0"/>
              </w:rPr>
              <w:t>制标</w:t>
            </w:r>
          </w:p>
          <w:p>
            <w:pPr>
              <w:adjustRightInd w:val="0"/>
              <w:snapToGrid w:val="0"/>
              <w:ind w:firstLine="0" w:firstLineChars="0"/>
              <w:jc w:val="center"/>
              <w:rPr>
                <w:color w:val="FF0000"/>
                <w:kern w:val="0"/>
                <w:szCs w:val="21"/>
              </w:rPr>
            </w:pPr>
            <w:r>
              <w:rPr>
                <w:color w:val="000000"/>
                <w:kern w:val="0"/>
              </w:rPr>
              <w:t>准</w:t>
            </w:r>
          </w:p>
        </w:tc>
        <w:tc>
          <w:tcPr>
            <w:tcW w:w="8527" w:type="dxa"/>
            <w:vAlign w:val="center"/>
          </w:tcPr>
          <w:p>
            <w:pPr>
              <w:ind w:firstLine="482"/>
              <w:jc w:val="left"/>
              <w:rPr>
                <w:b/>
                <w:bCs/>
                <w:color w:val="000000"/>
              </w:rPr>
            </w:pPr>
            <w:r>
              <w:rPr>
                <w:b/>
                <w:bCs/>
                <w:color w:val="000000"/>
              </w:rPr>
              <w:t>1、废水</w:t>
            </w:r>
          </w:p>
          <w:p>
            <w:pPr>
              <w:ind w:firstLine="480"/>
              <w:rPr>
                <w:color w:val="000000"/>
              </w:rPr>
            </w:pPr>
            <w:r>
              <w:rPr>
                <w:rFonts w:hint="eastAsia"/>
                <w:color w:val="000000"/>
              </w:rPr>
              <w:t>本项目生产工艺不用水，无生产废水产生；初期雨水经初期雨水池收集沉淀处理后，上清液排入周边沟渠</w:t>
            </w:r>
            <w:r>
              <w:rPr>
                <w:color w:val="000000"/>
              </w:rPr>
              <w:t>；生活污水经化粪池处理后用作农肥。</w:t>
            </w:r>
          </w:p>
          <w:p>
            <w:pPr>
              <w:ind w:firstLine="482"/>
              <w:rPr>
                <w:color w:val="000000"/>
              </w:rPr>
            </w:pPr>
            <w:r>
              <w:rPr>
                <w:b/>
                <w:bCs/>
                <w:color w:val="000000"/>
              </w:rPr>
              <w:t>2、废气</w:t>
            </w:r>
          </w:p>
          <w:p>
            <w:pPr>
              <w:ind w:firstLine="480"/>
              <w:rPr>
                <w:color w:val="000000"/>
              </w:rPr>
            </w:pPr>
            <w:r>
              <w:rPr>
                <w:rFonts w:hint="eastAsia"/>
                <w:color w:val="000000"/>
              </w:rPr>
              <w:t>本项目废气主要包括混料等工序产生的颗粒物及加热挤出工序产生的挥发性有机物，其中挥发性有机物以非甲烷总烃（NMHC）表征，有组织排放的NMHC执行《合成树脂工业污染物排放标准》（GB</w:t>
            </w:r>
            <w:r>
              <w:rPr>
                <w:color w:val="000000"/>
              </w:rPr>
              <w:t>31572-2015</w:t>
            </w:r>
            <w:r>
              <w:rPr>
                <w:rFonts w:hint="eastAsia"/>
                <w:color w:val="000000"/>
              </w:rPr>
              <w:t>）表4中标准限值，无组织排放的NMHC、HCl、颗粒物执行《合成树脂工业污染物排放标准》（GB</w:t>
            </w:r>
            <w:r>
              <w:rPr>
                <w:color w:val="000000"/>
              </w:rPr>
              <w:t>31572-2015</w:t>
            </w:r>
            <w:r>
              <w:rPr>
                <w:rFonts w:hint="eastAsia"/>
                <w:color w:val="000000"/>
              </w:rPr>
              <w:t>）表9中排放限值。</w:t>
            </w:r>
          </w:p>
          <w:p>
            <w:pPr>
              <w:pStyle w:val="114"/>
              <w:spacing w:before="0" w:beforeLines="0"/>
              <w:rPr>
                <w:vertAlign w:val="superscript"/>
              </w:rPr>
            </w:pPr>
            <w:r>
              <w:t>表3-7  大气污染物排放限值 单位：mg/m</w:t>
            </w:r>
            <w:r>
              <w:rPr>
                <w:vertAlign w:val="superscript"/>
              </w:rPr>
              <w:t>3</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2"/>
              <w:gridCol w:w="2190"/>
              <w:gridCol w:w="27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5" w:type="pct"/>
                  <w:vAlign w:val="center"/>
                </w:tcPr>
                <w:p>
                  <w:pPr>
                    <w:spacing w:line="240" w:lineRule="auto"/>
                    <w:ind w:firstLine="0" w:firstLineChars="0"/>
                    <w:jc w:val="center"/>
                    <w:rPr>
                      <w:sz w:val="21"/>
                      <w:szCs w:val="21"/>
                    </w:rPr>
                  </w:pPr>
                  <w:r>
                    <w:rPr>
                      <w:rFonts w:hint="eastAsia"/>
                      <w:sz w:val="21"/>
                      <w:szCs w:val="21"/>
                    </w:rPr>
                    <w:t>排放形式</w:t>
                  </w:r>
                </w:p>
              </w:tc>
              <w:tc>
                <w:tcPr>
                  <w:tcW w:w="1431" w:type="pct"/>
                  <w:vAlign w:val="center"/>
                </w:tcPr>
                <w:p>
                  <w:pPr>
                    <w:spacing w:line="240" w:lineRule="auto"/>
                    <w:ind w:firstLine="0" w:firstLineChars="0"/>
                    <w:jc w:val="center"/>
                    <w:rPr>
                      <w:sz w:val="21"/>
                      <w:szCs w:val="21"/>
                    </w:rPr>
                  </w:pPr>
                  <w:r>
                    <w:rPr>
                      <w:rFonts w:hint="eastAsia"/>
                      <w:sz w:val="21"/>
                      <w:szCs w:val="21"/>
                    </w:rPr>
                    <w:t>污染物</w:t>
                  </w:r>
                </w:p>
              </w:tc>
              <w:tc>
                <w:tcPr>
                  <w:tcW w:w="1784" w:type="pct"/>
                  <w:vAlign w:val="center"/>
                </w:tcPr>
                <w:p>
                  <w:pPr>
                    <w:spacing w:line="240" w:lineRule="auto"/>
                    <w:ind w:firstLine="0" w:firstLineChars="0"/>
                    <w:jc w:val="center"/>
                    <w:rPr>
                      <w:sz w:val="21"/>
                      <w:szCs w:val="21"/>
                    </w:rPr>
                  </w:pPr>
                  <w:r>
                    <w:rPr>
                      <w:rFonts w:hint="eastAsia"/>
                      <w:sz w:val="21"/>
                      <w:szCs w:val="21"/>
                    </w:rPr>
                    <w:t>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5" w:type="pct"/>
                  <w:vAlign w:val="center"/>
                </w:tcPr>
                <w:p>
                  <w:pPr>
                    <w:spacing w:line="240" w:lineRule="auto"/>
                    <w:ind w:firstLine="0" w:firstLineChars="0"/>
                    <w:jc w:val="center"/>
                    <w:rPr>
                      <w:sz w:val="21"/>
                      <w:szCs w:val="21"/>
                    </w:rPr>
                  </w:pPr>
                  <w:r>
                    <w:rPr>
                      <w:rFonts w:hint="eastAsia"/>
                      <w:sz w:val="21"/>
                      <w:szCs w:val="21"/>
                    </w:rPr>
                    <w:t>有组织</w:t>
                  </w:r>
                </w:p>
              </w:tc>
              <w:tc>
                <w:tcPr>
                  <w:tcW w:w="1431" w:type="pct"/>
                  <w:vAlign w:val="center"/>
                </w:tcPr>
                <w:p>
                  <w:pPr>
                    <w:spacing w:line="240" w:lineRule="auto"/>
                    <w:ind w:firstLine="0" w:firstLineChars="0"/>
                    <w:jc w:val="center"/>
                    <w:rPr>
                      <w:sz w:val="21"/>
                      <w:szCs w:val="21"/>
                    </w:rPr>
                  </w:pPr>
                  <w:r>
                    <w:rPr>
                      <w:rFonts w:hint="eastAsia"/>
                      <w:sz w:val="21"/>
                      <w:szCs w:val="21"/>
                    </w:rPr>
                    <w:t>NMHC</w:t>
                  </w:r>
                </w:p>
              </w:tc>
              <w:tc>
                <w:tcPr>
                  <w:tcW w:w="1784" w:type="pct"/>
                  <w:vAlign w:val="center"/>
                </w:tcPr>
                <w:p>
                  <w:pPr>
                    <w:spacing w:line="240" w:lineRule="auto"/>
                    <w:ind w:firstLine="0" w:firstLineChars="0"/>
                    <w:jc w:val="center"/>
                    <w:rPr>
                      <w:sz w:val="21"/>
                      <w:szCs w:val="21"/>
                    </w:rPr>
                  </w:pPr>
                  <w:r>
                    <w:rPr>
                      <w:rFonts w:hint="eastAsia"/>
                      <w:sz w:val="21"/>
                      <w:szCs w:val="21"/>
                    </w:rPr>
                    <w:t>1</w:t>
                  </w:r>
                  <w:r>
                    <w:rPr>
                      <w:sz w:val="21"/>
                      <w:szCs w:val="21"/>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5" w:type="pct"/>
                  <w:vMerge w:val="restart"/>
                  <w:vAlign w:val="center"/>
                </w:tcPr>
                <w:p>
                  <w:pPr>
                    <w:spacing w:line="240" w:lineRule="auto"/>
                    <w:ind w:firstLine="0" w:firstLineChars="0"/>
                    <w:jc w:val="center"/>
                    <w:rPr>
                      <w:sz w:val="21"/>
                      <w:szCs w:val="21"/>
                    </w:rPr>
                  </w:pPr>
                  <w:r>
                    <w:rPr>
                      <w:rFonts w:hint="eastAsia"/>
                      <w:sz w:val="21"/>
                      <w:szCs w:val="21"/>
                    </w:rPr>
                    <w:t>无组织</w:t>
                  </w:r>
                </w:p>
              </w:tc>
              <w:tc>
                <w:tcPr>
                  <w:tcW w:w="1431" w:type="pct"/>
                  <w:vAlign w:val="center"/>
                </w:tcPr>
                <w:p>
                  <w:pPr>
                    <w:spacing w:line="240" w:lineRule="auto"/>
                    <w:ind w:firstLine="0" w:firstLineChars="0"/>
                    <w:jc w:val="center"/>
                    <w:rPr>
                      <w:sz w:val="21"/>
                      <w:szCs w:val="21"/>
                    </w:rPr>
                  </w:pPr>
                  <w:r>
                    <w:rPr>
                      <w:rFonts w:hint="eastAsia"/>
                      <w:sz w:val="21"/>
                      <w:szCs w:val="21"/>
                    </w:rPr>
                    <w:t>颗粒物</w:t>
                  </w:r>
                </w:p>
              </w:tc>
              <w:tc>
                <w:tcPr>
                  <w:tcW w:w="1784" w:type="pct"/>
                  <w:vAlign w:val="center"/>
                </w:tcPr>
                <w:p>
                  <w:pPr>
                    <w:spacing w:line="240" w:lineRule="auto"/>
                    <w:ind w:firstLine="0" w:firstLineChars="0"/>
                    <w:jc w:val="center"/>
                    <w:rPr>
                      <w:sz w:val="21"/>
                      <w:szCs w:val="21"/>
                    </w:rPr>
                  </w:pPr>
                  <w:r>
                    <w:rPr>
                      <w:rFonts w:hint="eastAsia"/>
                      <w:sz w:val="21"/>
                      <w:szCs w:val="21"/>
                    </w:rPr>
                    <w:t>1</w:t>
                  </w:r>
                  <w:r>
                    <w:rPr>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5" w:type="pct"/>
                  <w:vMerge w:val="continue"/>
                  <w:vAlign w:val="center"/>
                </w:tcPr>
                <w:p>
                  <w:pPr>
                    <w:spacing w:line="240" w:lineRule="auto"/>
                    <w:ind w:firstLine="0" w:firstLineChars="0"/>
                    <w:jc w:val="center"/>
                    <w:rPr>
                      <w:sz w:val="21"/>
                      <w:szCs w:val="21"/>
                    </w:rPr>
                  </w:pPr>
                </w:p>
              </w:tc>
              <w:tc>
                <w:tcPr>
                  <w:tcW w:w="1431" w:type="pct"/>
                  <w:vAlign w:val="center"/>
                </w:tcPr>
                <w:p>
                  <w:pPr>
                    <w:spacing w:line="240" w:lineRule="auto"/>
                    <w:ind w:firstLine="0" w:firstLineChars="0"/>
                    <w:jc w:val="center"/>
                    <w:rPr>
                      <w:sz w:val="21"/>
                      <w:szCs w:val="21"/>
                    </w:rPr>
                  </w:pPr>
                  <w:r>
                    <w:rPr>
                      <w:rFonts w:hint="eastAsia"/>
                      <w:sz w:val="21"/>
                      <w:szCs w:val="21"/>
                    </w:rPr>
                    <w:t>NMHC</w:t>
                  </w:r>
                </w:p>
              </w:tc>
              <w:tc>
                <w:tcPr>
                  <w:tcW w:w="1784" w:type="pct"/>
                  <w:vAlign w:val="center"/>
                </w:tcPr>
                <w:p>
                  <w:pPr>
                    <w:spacing w:line="240" w:lineRule="auto"/>
                    <w:ind w:firstLine="0" w:firstLineChars="0"/>
                    <w:jc w:val="center"/>
                    <w:rPr>
                      <w:sz w:val="21"/>
                      <w:szCs w:val="21"/>
                    </w:rPr>
                  </w:pPr>
                  <w:r>
                    <w:rPr>
                      <w:rFonts w:hint="eastAsia"/>
                      <w:sz w:val="21"/>
                      <w:szCs w:val="21"/>
                    </w:rPr>
                    <w:t>0</w:t>
                  </w:r>
                  <w:r>
                    <w:rPr>
                      <w:sz w:val="21"/>
                      <w:szCs w:val="21"/>
                    </w:rPr>
                    <w:t>.2</w:t>
                  </w:r>
                </w:p>
              </w:tc>
            </w:tr>
          </w:tbl>
          <w:p>
            <w:pPr>
              <w:ind w:firstLine="482"/>
              <w:rPr>
                <w:b/>
                <w:bCs/>
                <w:color w:val="000000"/>
              </w:rPr>
            </w:pPr>
            <w:r>
              <w:rPr>
                <w:b/>
                <w:bCs/>
                <w:color w:val="000000"/>
              </w:rPr>
              <w:t>3、噪声</w:t>
            </w:r>
          </w:p>
          <w:p>
            <w:pPr>
              <w:ind w:firstLine="480"/>
              <w:rPr>
                <w:color w:val="000000"/>
              </w:rPr>
            </w:pPr>
            <w:r>
              <w:rPr>
                <w:color w:val="000000"/>
              </w:rPr>
              <w:t>营运期厂界噪声执行《工业企业厂界噪声排放标准》（GB12348-2008）2类，具体见表3-9。</w:t>
            </w:r>
          </w:p>
          <w:p>
            <w:pPr>
              <w:pStyle w:val="54"/>
              <w:spacing w:before="0" w:beforeLines="0"/>
            </w:pPr>
            <w:r>
              <w:t>表3-9  噪声排放标准   单位：dB(A)</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86"/>
              <w:gridCol w:w="1004"/>
              <w:gridCol w:w="1004"/>
              <w:gridCol w:w="10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86" w:type="dxa"/>
                  <w:vAlign w:val="center"/>
                </w:tcPr>
                <w:p>
                  <w:pPr>
                    <w:pStyle w:val="50"/>
                  </w:pPr>
                  <w:r>
                    <w:t>标准名称</w:t>
                  </w:r>
                </w:p>
              </w:tc>
              <w:tc>
                <w:tcPr>
                  <w:tcW w:w="1004" w:type="dxa"/>
                  <w:vAlign w:val="center"/>
                </w:tcPr>
                <w:p>
                  <w:pPr>
                    <w:pStyle w:val="50"/>
                  </w:pPr>
                  <w:r>
                    <w:t>类别</w:t>
                  </w:r>
                </w:p>
              </w:tc>
              <w:tc>
                <w:tcPr>
                  <w:tcW w:w="1004" w:type="dxa"/>
                  <w:vAlign w:val="center"/>
                </w:tcPr>
                <w:p>
                  <w:pPr>
                    <w:pStyle w:val="50"/>
                  </w:pPr>
                  <w:r>
                    <w:t>昼间</w:t>
                  </w:r>
                </w:p>
              </w:tc>
              <w:tc>
                <w:tcPr>
                  <w:tcW w:w="1006" w:type="dxa"/>
                  <w:vAlign w:val="center"/>
                </w:tcPr>
                <w:p>
                  <w:pPr>
                    <w:pStyle w:val="50"/>
                  </w:pPr>
                  <w: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86" w:type="dxa"/>
                  <w:vAlign w:val="center"/>
                </w:tcPr>
                <w:p>
                  <w:pPr>
                    <w:pStyle w:val="50"/>
                  </w:pPr>
                  <w:r>
                    <w:t>《工业企业厂界环境噪声排放标准》（GB12348-2008）</w:t>
                  </w:r>
                </w:p>
              </w:tc>
              <w:tc>
                <w:tcPr>
                  <w:tcW w:w="1004" w:type="dxa"/>
                  <w:vAlign w:val="center"/>
                </w:tcPr>
                <w:p>
                  <w:pPr>
                    <w:pStyle w:val="50"/>
                  </w:pPr>
                  <w:r>
                    <w:t>2类</w:t>
                  </w:r>
                </w:p>
              </w:tc>
              <w:tc>
                <w:tcPr>
                  <w:tcW w:w="1004" w:type="dxa"/>
                  <w:vAlign w:val="center"/>
                </w:tcPr>
                <w:p>
                  <w:pPr>
                    <w:pStyle w:val="50"/>
                  </w:pPr>
                  <w:r>
                    <w:t>60</w:t>
                  </w:r>
                </w:p>
              </w:tc>
              <w:tc>
                <w:tcPr>
                  <w:tcW w:w="1006" w:type="dxa"/>
                  <w:vAlign w:val="center"/>
                </w:tcPr>
                <w:p>
                  <w:pPr>
                    <w:pStyle w:val="50"/>
                  </w:pPr>
                  <w:r>
                    <w:t>50</w:t>
                  </w:r>
                </w:p>
              </w:tc>
            </w:tr>
          </w:tbl>
          <w:p>
            <w:pPr>
              <w:ind w:firstLine="482"/>
              <w:rPr>
                <w:color w:val="000000"/>
              </w:rPr>
            </w:pPr>
            <w:r>
              <w:rPr>
                <w:b/>
                <w:bCs/>
                <w:color w:val="000000"/>
              </w:rPr>
              <w:t>4、固体废物</w:t>
            </w:r>
          </w:p>
          <w:p>
            <w:pPr>
              <w:ind w:firstLine="480"/>
              <w:rPr>
                <w:color w:val="FF0000"/>
                <w:kern w:val="0"/>
                <w:szCs w:val="21"/>
              </w:rPr>
            </w:pPr>
            <w:r>
              <w:rPr>
                <w:color w:val="000000"/>
              </w:rPr>
              <w:t>生活垃圾委托环卫部门处置；一般工业固体废物执行《一般工业固体废物贮存和填埋污染控制标准》（GB18599-2020）；危险废物执行《危险废物贮存污染控制标准》（GB18597-2023）；危险废物转移执行《危险废物转移联单管理办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2" w:type="dxa"/>
            <w:vAlign w:val="center"/>
          </w:tcPr>
          <w:p>
            <w:pPr>
              <w:adjustRightInd w:val="0"/>
              <w:snapToGrid w:val="0"/>
              <w:ind w:firstLine="0" w:firstLineChars="0"/>
              <w:jc w:val="center"/>
              <w:rPr>
                <w:color w:val="000000"/>
                <w:kern w:val="0"/>
                <w:szCs w:val="21"/>
              </w:rPr>
            </w:pPr>
            <w:r>
              <w:rPr>
                <w:color w:val="000000"/>
                <w:kern w:val="0"/>
                <w:szCs w:val="21"/>
              </w:rPr>
              <w:t>总量</w:t>
            </w:r>
          </w:p>
          <w:p>
            <w:pPr>
              <w:adjustRightInd w:val="0"/>
              <w:snapToGrid w:val="0"/>
              <w:ind w:firstLine="0" w:firstLineChars="0"/>
              <w:jc w:val="center"/>
              <w:rPr>
                <w:color w:val="000000"/>
                <w:kern w:val="0"/>
                <w:szCs w:val="21"/>
              </w:rPr>
            </w:pPr>
            <w:r>
              <w:rPr>
                <w:color w:val="000000"/>
                <w:kern w:val="0"/>
                <w:szCs w:val="21"/>
              </w:rPr>
              <w:t>控制</w:t>
            </w:r>
          </w:p>
          <w:p>
            <w:pPr>
              <w:adjustRightInd w:val="0"/>
              <w:snapToGrid w:val="0"/>
              <w:ind w:firstLine="0" w:firstLineChars="0"/>
              <w:jc w:val="center"/>
              <w:rPr>
                <w:color w:val="000000"/>
                <w:kern w:val="0"/>
                <w:szCs w:val="21"/>
              </w:rPr>
            </w:pPr>
            <w:r>
              <w:rPr>
                <w:color w:val="000000"/>
                <w:kern w:val="0"/>
                <w:szCs w:val="21"/>
              </w:rPr>
              <w:t>指标</w:t>
            </w:r>
          </w:p>
        </w:tc>
        <w:tc>
          <w:tcPr>
            <w:tcW w:w="8527" w:type="dxa"/>
            <w:vAlign w:val="center"/>
          </w:tcPr>
          <w:p>
            <w:pPr>
              <w:ind w:firstLine="480"/>
              <w:rPr>
                <w:color w:val="000000"/>
                <w:u w:val="single"/>
              </w:rPr>
            </w:pPr>
            <w:r>
              <w:rPr>
                <w:color w:val="000000"/>
                <w:u w:val="single"/>
              </w:rPr>
              <w:t>本项目为新建项目，建设单位应根据本项目废气、废水和固体废物等污染物的排放量，向上级主管部门和环保部门申请各项污染物排放总量控制指标。</w:t>
            </w:r>
          </w:p>
          <w:p>
            <w:pPr>
              <w:ind w:firstLine="480"/>
              <w:rPr>
                <w:color w:val="000000"/>
                <w:u w:val="single"/>
              </w:rPr>
            </w:pPr>
            <w:r>
              <w:rPr>
                <w:color w:val="000000"/>
                <w:u w:val="single"/>
              </w:rPr>
              <w:t>（1）水污染物排放总量控制指标</w:t>
            </w:r>
          </w:p>
          <w:p>
            <w:pPr>
              <w:ind w:firstLine="480"/>
              <w:rPr>
                <w:color w:val="000000"/>
                <w:u w:val="single"/>
              </w:rPr>
            </w:pPr>
            <w:r>
              <w:rPr>
                <w:color w:val="000000"/>
                <w:u w:val="single"/>
              </w:rPr>
              <w:t>针对本项目的特点，本项目无生产废水外排，项目生活污水经化粪池厌氧消化后用作农肥。因此建议不设COD</w:t>
            </w:r>
            <w:r>
              <w:rPr>
                <w:color w:val="000000"/>
                <w:u w:val="single"/>
                <w:vertAlign w:val="subscript"/>
              </w:rPr>
              <w:t>Cr</w:t>
            </w:r>
            <w:r>
              <w:rPr>
                <w:color w:val="000000"/>
                <w:u w:val="single"/>
              </w:rPr>
              <w:t>、NH</w:t>
            </w:r>
            <w:r>
              <w:rPr>
                <w:color w:val="000000"/>
                <w:u w:val="single"/>
                <w:vertAlign w:val="subscript"/>
              </w:rPr>
              <w:t>3</w:t>
            </w:r>
            <w:r>
              <w:rPr>
                <w:color w:val="000000"/>
                <w:u w:val="single"/>
              </w:rPr>
              <w:t>-N总量控制指标。</w:t>
            </w:r>
          </w:p>
          <w:p>
            <w:pPr>
              <w:pStyle w:val="6"/>
              <w:spacing w:line="360" w:lineRule="auto"/>
              <w:ind w:firstLine="480"/>
              <w:rPr>
                <w:color w:val="000000"/>
                <w:sz w:val="24"/>
                <w:u w:val="single"/>
              </w:rPr>
            </w:pPr>
            <w:r>
              <w:rPr>
                <w:color w:val="000000"/>
                <w:sz w:val="24"/>
                <w:u w:val="single"/>
              </w:rPr>
              <w:t>（2）大气污染物排放总量控制指标</w:t>
            </w:r>
          </w:p>
          <w:p>
            <w:pPr>
              <w:pStyle w:val="54"/>
              <w:spacing w:before="0" w:beforeLines="0"/>
              <w:rPr>
                <w:u w:val="single"/>
              </w:rPr>
            </w:pPr>
            <w:r>
              <w:rPr>
                <w:u w:val="single"/>
              </w:rPr>
              <w:t>表3-10  废气污染物总量控制建议指标  （单位：t/a）</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6"/>
              <w:gridCol w:w="1522"/>
              <w:gridCol w:w="2234"/>
              <w:gridCol w:w="20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616" w:type="dxa"/>
                  <w:vAlign w:val="center"/>
                </w:tcPr>
                <w:p>
                  <w:pPr>
                    <w:pStyle w:val="50"/>
                    <w:rPr>
                      <w:u w:val="single"/>
                    </w:rPr>
                  </w:pPr>
                  <w:r>
                    <w:rPr>
                      <w:u w:val="single"/>
                    </w:rPr>
                    <w:t>大气污染物</w:t>
                  </w:r>
                </w:p>
              </w:tc>
              <w:tc>
                <w:tcPr>
                  <w:tcW w:w="1522" w:type="dxa"/>
                  <w:vAlign w:val="center"/>
                </w:tcPr>
                <w:p>
                  <w:pPr>
                    <w:pStyle w:val="50"/>
                    <w:rPr>
                      <w:u w:val="single"/>
                    </w:rPr>
                  </w:pPr>
                  <w:r>
                    <w:rPr>
                      <w:u w:val="single"/>
                    </w:rPr>
                    <w:t>排放情况</w:t>
                  </w:r>
                </w:p>
              </w:tc>
              <w:tc>
                <w:tcPr>
                  <w:tcW w:w="2234" w:type="dxa"/>
                  <w:vAlign w:val="center"/>
                </w:tcPr>
                <w:p>
                  <w:pPr>
                    <w:pStyle w:val="50"/>
                    <w:rPr>
                      <w:u w:val="single"/>
                    </w:rPr>
                  </w:pPr>
                  <w:r>
                    <w:rPr>
                      <w:u w:val="single"/>
                    </w:rPr>
                    <w:t>建议总量控制指标</w:t>
                  </w:r>
                </w:p>
              </w:tc>
              <w:tc>
                <w:tcPr>
                  <w:tcW w:w="2022" w:type="dxa"/>
                  <w:vAlign w:val="center"/>
                </w:tcPr>
                <w:p>
                  <w:pPr>
                    <w:pStyle w:val="50"/>
                    <w:rPr>
                      <w:u w:val="single"/>
                    </w:rPr>
                  </w:pPr>
                  <w:r>
                    <w:rPr>
                      <w:u w:val="single"/>
                    </w:rPr>
                    <w:t>需购买总量指标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6" w:type="dxa"/>
                  <w:vAlign w:val="center"/>
                </w:tcPr>
                <w:p>
                  <w:pPr>
                    <w:pStyle w:val="50"/>
                    <w:rPr>
                      <w:u w:val="single"/>
                    </w:rPr>
                  </w:pPr>
                  <w:r>
                    <w:rPr>
                      <w:rFonts w:hint="eastAsia"/>
                      <w:u w:val="single"/>
                    </w:rPr>
                    <w:t>VOCs</w:t>
                  </w:r>
                </w:p>
              </w:tc>
              <w:tc>
                <w:tcPr>
                  <w:tcW w:w="1522" w:type="dxa"/>
                  <w:vAlign w:val="center"/>
                </w:tcPr>
                <w:p>
                  <w:pPr>
                    <w:pStyle w:val="50"/>
                    <w:rPr>
                      <w:u w:val="single"/>
                    </w:rPr>
                  </w:pPr>
                  <w:r>
                    <w:rPr>
                      <w:u w:val="single"/>
                    </w:rPr>
                    <w:t>0.04</w:t>
                  </w:r>
                </w:p>
              </w:tc>
              <w:tc>
                <w:tcPr>
                  <w:tcW w:w="2234" w:type="dxa"/>
                  <w:vAlign w:val="center"/>
                </w:tcPr>
                <w:p>
                  <w:pPr>
                    <w:pStyle w:val="50"/>
                    <w:rPr>
                      <w:u w:val="single"/>
                    </w:rPr>
                  </w:pPr>
                  <w:r>
                    <w:rPr>
                      <w:u w:val="single"/>
                    </w:rPr>
                    <w:t>0.04</w:t>
                  </w:r>
                </w:p>
              </w:tc>
              <w:tc>
                <w:tcPr>
                  <w:tcW w:w="2022" w:type="dxa"/>
                  <w:vAlign w:val="center"/>
                </w:tcPr>
                <w:p>
                  <w:pPr>
                    <w:pStyle w:val="50"/>
                    <w:rPr>
                      <w:u w:val="single"/>
                    </w:rPr>
                  </w:pPr>
                  <w:r>
                    <w:rPr>
                      <w:u w:val="single"/>
                    </w:rPr>
                    <w:t>0.04</w:t>
                  </w:r>
                </w:p>
              </w:tc>
            </w:tr>
          </w:tbl>
          <w:p>
            <w:pPr>
              <w:pStyle w:val="6"/>
              <w:spacing w:line="360" w:lineRule="auto"/>
              <w:ind w:firstLine="480"/>
              <w:rPr>
                <w:color w:val="000000"/>
                <w:kern w:val="0"/>
                <w:szCs w:val="21"/>
              </w:rPr>
            </w:pPr>
            <w:r>
              <w:rPr>
                <w:color w:val="000000"/>
                <w:sz w:val="24"/>
                <w:u w:val="single"/>
              </w:rPr>
              <w:t>本项目废气总量指标中项目建议值为</w:t>
            </w:r>
            <w:r>
              <w:rPr>
                <w:rFonts w:hint="eastAsia"/>
                <w:color w:val="000000"/>
                <w:sz w:val="24"/>
                <w:u w:val="single"/>
              </w:rPr>
              <w:t>VOCs：0</w:t>
            </w:r>
            <w:r>
              <w:rPr>
                <w:color w:val="000000"/>
                <w:sz w:val="24"/>
                <w:u w:val="single"/>
              </w:rPr>
              <w:t>.04</w:t>
            </w:r>
            <w:r>
              <w:rPr>
                <w:rFonts w:hint="eastAsia"/>
                <w:color w:val="000000"/>
                <w:sz w:val="24"/>
                <w:u w:val="single"/>
              </w:rPr>
              <w:t>t</w:t>
            </w:r>
            <w:r>
              <w:rPr>
                <w:color w:val="000000"/>
                <w:sz w:val="24"/>
                <w:u w:val="single"/>
              </w:rPr>
              <w:t>/a</w:t>
            </w:r>
            <w:r>
              <w:rPr>
                <w:rFonts w:hint="eastAsia"/>
                <w:color w:val="000000"/>
                <w:sz w:val="24"/>
                <w:u w:val="single"/>
              </w:rPr>
              <w:t>，通过总量交易获取。</w:t>
            </w:r>
          </w:p>
        </w:tc>
      </w:tr>
    </w:tbl>
    <w:p>
      <w:pPr>
        <w:ind w:firstLine="0" w:firstLineChars="0"/>
        <w:sectPr>
          <w:pgSz w:w="11906" w:h="16838"/>
          <w:pgMar w:top="1440" w:right="1800" w:bottom="1440" w:left="1800" w:header="851" w:footer="992" w:gutter="0"/>
          <w:cols w:space="425" w:num="1"/>
          <w:docGrid w:type="lines" w:linePitch="312" w:charSpace="0"/>
        </w:sectPr>
      </w:pPr>
    </w:p>
    <w:p>
      <w:pPr>
        <w:pStyle w:val="2"/>
        <w:rPr>
          <w:snapToGrid w:val="0"/>
        </w:rPr>
      </w:pPr>
      <w:bookmarkStart w:id="8" w:name="_Toc105443177"/>
      <w:bookmarkStart w:id="9" w:name="_Toc16613"/>
      <w:r>
        <w:rPr>
          <w:rFonts w:hint="eastAsia"/>
          <w:snapToGrid w:val="0"/>
        </w:rPr>
        <w:t>四、主要环境影响和保护措施</w:t>
      </w:r>
      <w:bookmarkEnd w:id="8"/>
      <w:bookmarkEnd w:id="9"/>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798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9" w:hRule="atLeast"/>
          <w:jc w:val="center"/>
        </w:trPr>
        <w:tc>
          <w:tcPr>
            <w:tcW w:w="760" w:type="dxa"/>
            <w:tcMar>
              <w:left w:w="28" w:type="dxa"/>
              <w:right w:w="28" w:type="dxa"/>
            </w:tcMar>
            <w:vAlign w:val="center"/>
          </w:tcPr>
          <w:p>
            <w:pPr>
              <w:ind w:firstLine="0" w:firstLineChars="0"/>
            </w:pPr>
            <w:r>
              <w:t>施工</w:t>
            </w:r>
          </w:p>
          <w:p>
            <w:pPr>
              <w:ind w:firstLine="0" w:firstLineChars="0"/>
            </w:pPr>
            <w:r>
              <w:t>期环</w:t>
            </w:r>
          </w:p>
          <w:p>
            <w:pPr>
              <w:ind w:firstLine="0" w:firstLineChars="0"/>
            </w:pPr>
            <w:r>
              <w:t>境保</w:t>
            </w:r>
          </w:p>
          <w:p>
            <w:pPr>
              <w:ind w:firstLine="0" w:firstLineChars="0"/>
            </w:pPr>
            <w:r>
              <w:t>护措</w:t>
            </w:r>
          </w:p>
          <w:p>
            <w:pPr>
              <w:pStyle w:val="24"/>
              <w:adjustRightInd w:val="0"/>
              <w:snapToGrid w:val="0"/>
              <w:spacing w:before="0" w:beforeAutospacing="0" w:after="0" w:afterAutospacing="0"/>
              <w:ind w:firstLine="0" w:firstLineChars="0"/>
              <w:rPr>
                <w:rFonts w:ascii="Times New Roman" w:hAnsi="Times New Roman"/>
                <w:bCs/>
                <w:color w:val="000000"/>
                <w:sz w:val="21"/>
                <w:szCs w:val="21"/>
              </w:rPr>
            </w:pPr>
            <w:r>
              <w:rPr>
                <w:rFonts w:ascii="Times New Roman" w:hAnsi="Times New Roman"/>
                <w:color w:val="000000"/>
                <w:szCs w:val="24"/>
              </w:rPr>
              <w:t>施</w:t>
            </w:r>
          </w:p>
        </w:tc>
        <w:tc>
          <w:tcPr>
            <w:tcW w:w="8311" w:type="dxa"/>
            <w:vAlign w:val="center"/>
          </w:tcPr>
          <w:p>
            <w:pPr>
              <w:pStyle w:val="6"/>
              <w:spacing w:line="360" w:lineRule="auto"/>
              <w:ind w:firstLine="480"/>
              <w:rPr>
                <w:color w:val="000000"/>
                <w:sz w:val="24"/>
              </w:rPr>
            </w:pPr>
            <w:r>
              <w:rPr>
                <w:rFonts w:hint="eastAsia"/>
                <w:color w:val="000000"/>
                <w:sz w:val="24"/>
              </w:rPr>
              <w:t>本项目施工期已经结束，因此不再分析施工期环境保护措施。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60" w:type="dxa"/>
            <w:tcMar>
              <w:left w:w="28" w:type="dxa"/>
              <w:right w:w="28" w:type="dxa"/>
            </w:tcMar>
            <w:vAlign w:val="center"/>
          </w:tcPr>
          <w:p>
            <w:pPr>
              <w:adjustRightInd w:val="0"/>
              <w:snapToGrid w:val="0"/>
              <w:ind w:firstLine="0" w:firstLineChars="0"/>
              <w:jc w:val="center"/>
              <w:rPr>
                <w:bCs/>
                <w:color w:val="000000"/>
              </w:rPr>
            </w:pPr>
            <w:r>
              <w:rPr>
                <w:bCs/>
                <w:color w:val="000000"/>
              </w:rPr>
              <w:t>运营</w:t>
            </w:r>
          </w:p>
          <w:p>
            <w:pPr>
              <w:adjustRightInd w:val="0"/>
              <w:snapToGrid w:val="0"/>
              <w:ind w:firstLine="0" w:firstLineChars="0"/>
              <w:jc w:val="center"/>
              <w:rPr>
                <w:bCs/>
                <w:color w:val="000000"/>
              </w:rPr>
            </w:pPr>
            <w:r>
              <w:rPr>
                <w:bCs/>
                <w:color w:val="000000"/>
              </w:rPr>
              <w:t>期环</w:t>
            </w:r>
          </w:p>
          <w:p>
            <w:pPr>
              <w:adjustRightInd w:val="0"/>
              <w:snapToGrid w:val="0"/>
              <w:ind w:firstLine="0" w:firstLineChars="0"/>
              <w:jc w:val="center"/>
              <w:rPr>
                <w:bCs/>
                <w:color w:val="000000"/>
              </w:rPr>
            </w:pPr>
            <w:r>
              <w:rPr>
                <w:bCs/>
                <w:color w:val="000000"/>
              </w:rPr>
              <w:t>境影</w:t>
            </w:r>
          </w:p>
          <w:p>
            <w:pPr>
              <w:adjustRightInd w:val="0"/>
              <w:snapToGrid w:val="0"/>
              <w:ind w:firstLine="0" w:firstLineChars="0"/>
              <w:jc w:val="center"/>
              <w:rPr>
                <w:bCs/>
                <w:color w:val="000000"/>
              </w:rPr>
            </w:pPr>
            <w:r>
              <w:rPr>
                <w:bCs/>
                <w:color w:val="000000"/>
              </w:rPr>
              <w:t>响和</w:t>
            </w:r>
          </w:p>
          <w:p>
            <w:pPr>
              <w:adjustRightInd w:val="0"/>
              <w:snapToGrid w:val="0"/>
              <w:ind w:firstLine="0" w:firstLineChars="0"/>
              <w:jc w:val="center"/>
              <w:rPr>
                <w:bCs/>
                <w:color w:val="000000"/>
              </w:rPr>
            </w:pPr>
            <w:r>
              <w:rPr>
                <w:bCs/>
                <w:color w:val="000000"/>
              </w:rPr>
              <w:t>保护</w:t>
            </w:r>
          </w:p>
          <w:p>
            <w:pPr>
              <w:adjustRightInd w:val="0"/>
              <w:snapToGrid w:val="0"/>
              <w:ind w:firstLine="0" w:firstLineChars="0"/>
              <w:jc w:val="center"/>
              <w:rPr>
                <w:bCs/>
                <w:color w:val="FF0000"/>
                <w:szCs w:val="21"/>
              </w:rPr>
            </w:pPr>
            <w:r>
              <w:rPr>
                <w:bCs/>
                <w:color w:val="000000"/>
              </w:rPr>
              <w:t>措施</w:t>
            </w:r>
          </w:p>
        </w:tc>
        <w:tc>
          <w:tcPr>
            <w:tcW w:w="8311" w:type="dxa"/>
            <w:vAlign w:val="center"/>
          </w:tcPr>
          <w:p>
            <w:pPr>
              <w:pStyle w:val="6"/>
              <w:spacing w:line="360" w:lineRule="auto"/>
              <w:ind w:firstLine="482"/>
              <w:rPr>
                <w:b/>
                <w:bCs/>
                <w:color w:val="000000"/>
                <w:sz w:val="24"/>
              </w:rPr>
            </w:pPr>
            <w:r>
              <w:rPr>
                <w:b/>
                <w:bCs/>
                <w:color w:val="000000"/>
                <w:sz w:val="24"/>
              </w:rPr>
              <w:t>一、大气环境影响和保护措施</w:t>
            </w:r>
          </w:p>
          <w:p>
            <w:pPr>
              <w:ind w:firstLine="482"/>
              <w:rPr>
                <w:b/>
                <w:bCs/>
                <w:color w:val="000000"/>
              </w:rPr>
            </w:pPr>
            <w:r>
              <w:rPr>
                <w:b/>
                <w:bCs/>
                <w:color w:val="000000"/>
              </w:rPr>
              <w:t>1、废气污染源情况</w:t>
            </w:r>
          </w:p>
          <w:p>
            <w:pPr>
              <w:ind w:firstLine="480"/>
              <w:rPr>
                <w:color w:val="000000"/>
              </w:rPr>
            </w:pPr>
            <w:r>
              <w:rPr>
                <w:rFonts w:hint="eastAsia"/>
                <w:color w:val="000000"/>
              </w:rPr>
              <w:t>本项目运营期废气主要包括混料粉尘、切割粉尘、破碎及磨粉粉尘、加热挤出废气。</w:t>
            </w:r>
          </w:p>
          <w:p>
            <w:pPr>
              <w:ind w:firstLine="480"/>
              <w:rPr>
                <w:color w:val="000000"/>
              </w:rPr>
            </w:pPr>
            <w:r>
              <w:rPr>
                <w:rFonts w:hint="eastAsia"/>
                <w:color w:val="000000"/>
              </w:rPr>
              <w:t>（1）混料粉尘</w:t>
            </w:r>
          </w:p>
          <w:p>
            <w:pPr>
              <w:ind w:firstLine="480"/>
              <w:rPr>
                <w:color w:val="000000"/>
              </w:rPr>
            </w:pPr>
            <w:r>
              <w:rPr>
                <w:rFonts w:hint="eastAsia"/>
                <w:color w:val="000000"/>
              </w:rPr>
              <w:t>混料过程颗粒物产生量参照《排放源统计调查产排污核算方法和系数手册-292塑料制品业系数手册》中“2</w:t>
            </w:r>
            <w:r>
              <w:rPr>
                <w:color w:val="000000"/>
              </w:rPr>
              <w:t>922</w:t>
            </w:r>
            <w:r>
              <w:rPr>
                <w:rFonts w:hint="eastAsia"/>
                <w:color w:val="000000"/>
              </w:rPr>
              <w:t>塑料板、管、型材制造行业系数表”中产污系数，颗粒物产生量为6</w:t>
            </w:r>
            <w:r>
              <w:rPr>
                <w:color w:val="000000"/>
              </w:rPr>
              <w:t>.0kg/t-</w:t>
            </w:r>
            <w:r>
              <w:rPr>
                <w:rFonts w:hint="eastAsia"/>
                <w:color w:val="000000"/>
              </w:rPr>
              <w:t>产品，项目年产树脂瓦约为6</w:t>
            </w:r>
            <w:r>
              <w:rPr>
                <w:color w:val="000000"/>
              </w:rPr>
              <w:t>8.25</w:t>
            </w:r>
            <w:r>
              <w:rPr>
                <w:rFonts w:hint="eastAsia"/>
                <w:color w:val="000000"/>
              </w:rPr>
              <w:t>t</w:t>
            </w:r>
            <w:r>
              <w:rPr>
                <w:color w:val="000000"/>
              </w:rPr>
              <w:t>/a</w:t>
            </w:r>
            <w:r>
              <w:rPr>
                <w:rFonts w:hint="eastAsia"/>
                <w:color w:val="000000"/>
              </w:rPr>
              <w:t>，则混料工序颗粒物产生量约为0</w:t>
            </w:r>
            <w:r>
              <w:rPr>
                <w:color w:val="000000"/>
              </w:rPr>
              <w:t>.41</w:t>
            </w:r>
            <w:r>
              <w:rPr>
                <w:rFonts w:hint="eastAsia"/>
                <w:color w:val="000000"/>
              </w:rPr>
              <w:t>t</w:t>
            </w:r>
            <w:r>
              <w:rPr>
                <w:color w:val="000000"/>
              </w:rPr>
              <w:t>/a</w:t>
            </w:r>
            <w:r>
              <w:rPr>
                <w:rFonts w:hint="eastAsia"/>
                <w:color w:val="000000"/>
              </w:rPr>
              <w:t>，均在车间内无组织排放，项目车间为密闭车间，大部分颗粒物将在车间内沉降，少量无组织排放至车间外，沉降效率按8</w:t>
            </w:r>
            <w:r>
              <w:rPr>
                <w:color w:val="000000"/>
              </w:rPr>
              <w:t>0%</w:t>
            </w:r>
            <w:r>
              <w:rPr>
                <w:rFonts w:hint="eastAsia"/>
                <w:color w:val="000000"/>
              </w:rPr>
              <w:t>计算，则颗粒物无组织排放量为0</w:t>
            </w:r>
            <w:r>
              <w:rPr>
                <w:color w:val="000000"/>
              </w:rPr>
              <w:t>.08</w:t>
            </w:r>
            <w:r>
              <w:rPr>
                <w:rFonts w:hint="eastAsia"/>
                <w:color w:val="000000"/>
              </w:rPr>
              <w:t>t</w:t>
            </w:r>
            <w:r>
              <w:rPr>
                <w:color w:val="000000"/>
              </w:rPr>
              <w:t>/a</w:t>
            </w:r>
            <w:r>
              <w:rPr>
                <w:rFonts w:hint="eastAsia"/>
                <w:color w:val="000000"/>
              </w:rPr>
              <w:t>。</w:t>
            </w:r>
          </w:p>
          <w:p>
            <w:pPr>
              <w:ind w:firstLine="480"/>
              <w:rPr>
                <w:color w:val="000000"/>
              </w:rPr>
            </w:pPr>
            <w:r>
              <w:rPr>
                <w:rFonts w:hint="eastAsia"/>
                <w:color w:val="000000"/>
              </w:rPr>
              <w:t>（2）切割粉尘</w:t>
            </w:r>
          </w:p>
          <w:p>
            <w:pPr>
              <w:ind w:firstLine="480"/>
              <w:rPr>
                <w:color w:val="000000"/>
              </w:rPr>
            </w:pPr>
            <w:r>
              <w:rPr>
                <w:rFonts w:hint="eastAsia"/>
                <w:color w:val="000000"/>
              </w:rPr>
              <w:t>项目树脂瓦切割工段会产生少量颗粒物，通过参考《工业污染源产排污系数手册》，裁切工艺颗粒物产生系数为0</w:t>
            </w:r>
            <w:r>
              <w:rPr>
                <w:color w:val="000000"/>
              </w:rPr>
              <w:t>.2</w:t>
            </w:r>
            <w:r>
              <w:rPr>
                <w:rFonts w:hint="eastAsia"/>
                <w:color w:val="000000"/>
              </w:rPr>
              <w:t>kg</w:t>
            </w:r>
            <w:r>
              <w:rPr>
                <w:color w:val="000000"/>
              </w:rPr>
              <w:t>/t-</w:t>
            </w:r>
            <w:r>
              <w:rPr>
                <w:rFonts w:hint="eastAsia"/>
                <w:color w:val="000000"/>
              </w:rPr>
              <w:t>产品，项目年产树脂瓦约为6</w:t>
            </w:r>
            <w:r>
              <w:rPr>
                <w:color w:val="000000"/>
              </w:rPr>
              <w:t>8.25</w:t>
            </w:r>
            <w:r>
              <w:rPr>
                <w:rFonts w:hint="eastAsia"/>
                <w:color w:val="000000"/>
              </w:rPr>
              <w:t>t</w:t>
            </w:r>
            <w:r>
              <w:rPr>
                <w:color w:val="000000"/>
              </w:rPr>
              <w:t>/a</w:t>
            </w:r>
            <w:r>
              <w:rPr>
                <w:rFonts w:hint="eastAsia"/>
                <w:color w:val="000000"/>
              </w:rPr>
              <w:t>，则切割工序颗粒物产生量约为0</w:t>
            </w:r>
            <w:r>
              <w:rPr>
                <w:color w:val="000000"/>
              </w:rPr>
              <w:t>.013</w:t>
            </w:r>
            <w:r>
              <w:rPr>
                <w:rFonts w:hint="eastAsia"/>
                <w:color w:val="000000"/>
              </w:rPr>
              <w:t>t</w:t>
            </w:r>
            <w:r>
              <w:rPr>
                <w:color w:val="000000"/>
              </w:rPr>
              <w:t>/a</w:t>
            </w:r>
            <w:r>
              <w:rPr>
                <w:rFonts w:hint="eastAsia"/>
                <w:color w:val="000000"/>
              </w:rPr>
              <w:t>，均在车间内无组织排放，项目车间为密闭车间，大部分颗粒物将在车间内沉降，少量无组织排放至车间外，沉降效率按8</w:t>
            </w:r>
            <w:r>
              <w:rPr>
                <w:color w:val="000000"/>
              </w:rPr>
              <w:t>0%</w:t>
            </w:r>
            <w:r>
              <w:rPr>
                <w:rFonts w:hint="eastAsia"/>
                <w:color w:val="000000"/>
              </w:rPr>
              <w:t>计算，则颗粒物无组织排放量为0</w:t>
            </w:r>
            <w:r>
              <w:rPr>
                <w:color w:val="000000"/>
              </w:rPr>
              <w:t>.003</w:t>
            </w:r>
            <w:r>
              <w:rPr>
                <w:rFonts w:hint="eastAsia"/>
                <w:color w:val="000000"/>
              </w:rPr>
              <w:t>t</w:t>
            </w:r>
            <w:r>
              <w:rPr>
                <w:color w:val="000000"/>
              </w:rPr>
              <w:t>/a</w:t>
            </w:r>
            <w:r>
              <w:rPr>
                <w:rFonts w:hint="eastAsia"/>
                <w:color w:val="000000"/>
              </w:rPr>
              <w:t>。</w:t>
            </w:r>
          </w:p>
          <w:p>
            <w:pPr>
              <w:ind w:firstLine="480"/>
              <w:rPr>
                <w:color w:val="000000"/>
              </w:rPr>
            </w:pPr>
            <w:r>
              <w:rPr>
                <w:rFonts w:hint="eastAsia"/>
                <w:color w:val="000000"/>
              </w:rPr>
              <w:t>（</w:t>
            </w:r>
            <w:r>
              <w:rPr>
                <w:color w:val="000000"/>
              </w:rPr>
              <w:t>3</w:t>
            </w:r>
            <w:r>
              <w:rPr>
                <w:rFonts w:hint="eastAsia"/>
                <w:color w:val="000000"/>
              </w:rPr>
              <w:t>）破碎及磨粉粉尘</w:t>
            </w:r>
          </w:p>
          <w:p>
            <w:pPr>
              <w:ind w:firstLine="480"/>
              <w:rPr>
                <w:color w:val="000000"/>
                <w:u w:val="single"/>
              </w:rPr>
            </w:pPr>
            <w:r>
              <w:rPr>
                <w:rFonts w:hint="eastAsia"/>
                <w:color w:val="000000"/>
                <w:u w:val="single"/>
              </w:rPr>
              <w:t>本项目边角料及不合格产品经破碎-磨粉后回用做原料，边角料及不合格产品产生量按产品产量的1</w:t>
            </w:r>
            <w:r>
              <w:rPr>
                <w:color w:val="000000"/>
                <w:u w:val="single"/>
              </w:rPr>
              <w:t>0%</w:t>
            </w:r>
            <w:r>
              <w:rPr>
                <w:rFonts w:hint="eastAsia"/>
                <w:color w:val="000000"/>
                <w:u w:val="single"/>
              </w:rPr>
              <w:t>计算，则产生量约为6</w:t>
            </w:r>
            <w:r>
              <w:rPr>
                <w:color w:val="000000"/>
                <w:u w:val="single"/>
              </w:rPr>
              <w:t>.83</w:t>
            </w:r>
            <w:r>
              <w:rPr>
                <w:rFonts w:hint="eastAsia"/>
                <w:color w:val="000000"/>
                <w:u w:val="single"/>
              </w:rPr>
              <w:t>t</w:t>
            </w:r>
            <w:r>
              <w:rPr>
                <w:color w:val="000000"/>
                <w:u w:val="single"/>
              </w:rPr>
              <w:t>/a</w:t>
            </w:r>
            <w:r>
              <w:rPr>
                <w:rFonts w:hint="eastAsia"/>
                <w:color w:val="000000"/>
                <w:u w:val="single"/>
              </w:rPr>
              <w:t>，边角料及不合格产品破碎后的粒径约为0</w:t>
            </w:r>
            <w:r>
              <w:rPr>
                <w:color w:val="000000"/>
                <w:u w:val="single"/>
              </w:rPr>
              <w:t>.2~1</w:t>
            </w:r>
            <w:r>
              <w:rPr>
                <w:rFonts w:hint="eastAsia"/>
                <w:color w:val="000000"/>
                <w:u w:val="single"/>
              </w:rPr>
              <w:t>cm，破碎过程会产生少量粉尘，经类比同类型项目破碎过程粉尘产生量约为0</w:t>
            </w:r>
            <w:r>
              <w:rPr>
                <w:color w:val="000000"/>
                <w:u w:val="single"/>
              </w:rPr>
              <w:t>.5~1%</w:t>
            </w:r>
            <w:r>
              <w:rPr>
                <w:rFonts w:hint="eastAsia"/>
                <w:color w:val="000000"/>
                <w:u w:val="single"/>
              </w:rPr>
              <w:t>。本环评取最大值1</w:t>
            </w:r>
            <w:r>
              <w:rPr>
                <w:color w:val="000000"/>
                <w:u w:val="single"/>
              </w:rPr>
              <w:t>%</w:t>
            </w:r>
            <w:r>
              <w:rPr>
                <w:rFonts w:hint="eastAsia"/>
                <w:color w:val="000000"/>
                <w:u w:val="single"/>
              </w:rPr>
              <w:t>，则破碎过程产生的颗粒物量约为0</w:t>
            </w:r>
            <w:r>
              <w:rPr>
                <w:color w:val="000000"/>
                <w:u w:val="single"/>
              </w:rPr>
              <w:t>.07</w:t>
            </w:r>
            <w:r>
              <w:rPr>
                <w:rFonts w:hint="eastAsia"/>
                <w:color w:val="000000"/>
                <w:u w:val="single"/>
              </w:rPr>
              <w:t>t</w:t>
            </w:r>
            <w:r>
              <w:rPr>
                <w:color w:val="000000"/>
                <w:u w:val="single"/>
              </w:rPr>
              <w:t>/a</w:t>
            </w:r>
            <w:r>
              <w:rPr>
                <w:rFonts w:hint="eastAsia"/>
                <w:color w:val="000000"/>
                <w:u w:val="single"/>
              </w:rPr>
              <w:t>。</w:t>
            </w:r>
          </w:p>
          <w:p>
            <w:pPr>
              <w:ind w:firstLine="480"/>
              <w:rPr>
                <w:color w:val="000000"/>
                <w:u w:val="single"/>
              </w:rPr>
            </w:pPr>
            <w:r>
              <w:rPr>
                <w:rFonts w:hint="eastAsia"/>
                <w:color w:val="000000"/>
                <w:u w:val="single"/>
              </w:rPr>
              <w:t>磨粉工序颗粒物产生量相对破碎工序会较多，本次按磨粉量的5</w:t>
            </w:r>
            <w:r>
              <w:rPr>
                <w:color w:val="000000"/>
                <w:u w:val="single"/>
              </w:rPr>
              <w:t>%</w:t>
            </w:r>
            <w:r>
              <w:rPr>
                <w:rFonts w:hint="eastAsia"/>
                <w:color w:val="000000"/>
                <w:u w:val="single"/>
              </w:rPr>
              <w:t>计算颗粒物的产生量，则磨粉工序颗粒物产生量约为0</w:t>
            </w:r>
            <w:r>
              <w:rPr>
                <w:color w:val="000000"/>
                <w:u w:val="single"/>
              </w:rPr>
              <w:t>.35</w:t>
            </w:r>
            <w:r>
              <w:rPr>
                <w:rFonts w:hint="eastAsia"/>
                <w:color w:val="000000"/>
                <w:u w:val="single"/>
              </w:rPr>
              <w:t>t</w:t>
            </w:r>
            <w:r>
              <w:rPr>
                <w:color w:val="000000"/>
                <w:u w:val="single"/>
              </w:rPr>
              <w:t>/a</w:t>
            </w:r>
            <w:r>
              <w:rPr>
                <w:rFonts w:hint="eastAsia"/>
                <w:color w:val="000000"/>
                <w:u w:val="single"/>
              </w:rPr>
              <w:t>。</w:t>
            </w:r>
          </w:p>
          <w:p>
            <w:pPr>
              <w:ind w:firstLine="480"/>
              <w:rPr>
                <w:color w:val="000000"/>
                <w:u w:val="single"/>
              </w:rPr>
            </w:pPr>
            <w:r>
              <w:rPr>
                <w:rFonts w:hint="eastAsia"/>
                <w:color w:val="000000"/>
                <w:u w:val="single"/>
              </w:rPr>
              <w:t>破碎及磨粉废气均采用集气罩收集后通过袋式除尘处理后在车间内无组织排放，收集效率约为9</w:t>
            </w:r>
            <w:r>
              <w:rPr>
                <w:color w:val="000000"/>
                <w:u w:val="single"/>
              </w:rPr>
              <w:t>0%</w:t>
            </w:r>
            <w:r>
              <w:rPr>
                <w:rFonts w:hint="eastAsia"/>
                <w:color w:val="000000"/>
                <w:u w:val="single"/>
              </w:rPr>
              <w:t>，袋式除尘器处理效率约为9</w:t>
            </w:r>
            <w:r>
              <w:rPr>
                <w:color w:val="000000"/>
                <w:u w:val="single"/>
              </w:rPr>
              <w:t>5%</w:t>
            </w:r>
            <w:r>
              <w:rPr>
                <w:rFonts w:hint="eastAsia"/>
                <w:color w:val="000000"/>
                <w:u w:val="single"/>
              </w:rPr>
              <w:t>，则颗粒物去除量为0</w:t>
            </w:r>
            <w:r>
              <w:rPr>
                <w:color w:val="000000"/>
                <w:u w:val="single"/>
              </w:rPr>
              <w:t>.36</w:t>
            </w:r>
            <w:r>
              <w:rPr>
                <w:rFonts w:hint="eastAsia"/>
                <w:color w:val="000000"/>
                <w:u w:val="single"/>
              </w:rPr>
              <w:t>t</w:t>
            </w:r>
            <w:r>
              <w:rPr>
                <w:color w:val="000000"/>
                <w:u w:val="single"/>
              </w:rPr>
              <w:t>/a</w:t>
            </w:r>
            <w:r>
              <w:rPr>
                <w:rFonts w:hint="eastAsia"/>
                <w:color w:val="000000"/>
                <w:u w:val="single"/>
              </w:rPr>
              <w:t>，则颗粒物约有0</w:t>
            </w:r>
            <w:r>
              <w:rPr>
                <w:color w:val="000000"/>
                <w:u w:val="single"/>
              </w:rPr>
              <w:t>.06</w:t>
            </w:r>
            <w:r>
              <w:rPr>
                <w:rFonts w:hint="eastAsia"/>
                <w:color w:val="000000"/>
                <w:u w:val="single"/>
              </w:rPr>
              <w:t>t</w:t>
            </w:r>
            <w:r>
              <w:rPr>
                <w:color w:val="000000"/>
                <w:u w:val="single"/>
              </w:rPr>
              <w:t>/a</w:t>
            </w:r>
            <w:r>
              <w:rPr>
                <w:rFonts w:hint="eastAsia"/>
                <w:color w:val="000000"/>
                <w:u w:val="single"/>
              </w:rPr>
              <w:t>在车间内无组织排放。</w:t>
            </w:r>
          </w:p>
          <w:p>
            <w:pPr>
              <w:ind w:firstLine="480"/>
              <w:rPr>
                <w:color w:val="000000"/>
              </w:rPr>
            </w:pPr>
            <w:r>
              <w:rPr>
                <w:rFonts w:hint="eastAsia"/>
                <w:color w:val="000000"/>
              </w:rPr>
              <w:t>（4）加热挤出废气</w:t>
            </w:r>
          </w:p>
          <w:p>
            <w:pPr>
              <w:ind w:firstLine="480"/>
              <w:rPr>
                <w:color w:val="000000"/>
              </w:rPr>
            </w:pPr>
            <w:r>
              <w:rPr>
                <w:rFonts w:hint="eastAsia"/>
                <w:color w:val="000000"/>
              </w:rPr>
              <w:t>加热挤出工艺废气主要为挥发性有机物，本次评价以非甲烷总烃（NMHC）进行表征，参照《排放源统计调查产排污核算方法和系数手册-292塑料制品业系数手册》中“2</w:t>
            </w:r>
            <w:r>
              <w:rPr>
                <w:color w:val="000000"/>
              </w:rPr>
              <w:t>922</w:t>
            </w:r>
            <w:r>
              <w:rPr>
                <w:rFonts w:hint="eastAsia"/>
                <w:color w:val="000000"/>
              </w:rPr>
              <w:t>塑料板、管、型材制造行业系数表”中产污系数，挥发性有机物产生量为1</w:t>
            </w:r>
            <w:r>
              <w:rPr>
                <w:color w:val="000000"/>
              </w:rPr>
              <w:t>.5</w:t>
            </w:r>
            <w:r>
              <w:rPr>
                <w:rFonts w:hint="eastAsia"/>
                <w:color w:val="000000"/>
              </w:rPr>
              <w:t>kg</w:t>
            </w:r>
            <w:r>
              <w:rPr>
                <w:color w:val="000000"/>
              </w:rPr>
              <w:t>/t-</w:t>
            </w:r>
            <w:r>
              <w:rPr>
                <w:rFonts w:hint="eastAsia"/>
                <w:color w:val="000000"/>
              </w:rPr>
              <w:t>产品，项目年产树脂瓦约6</w:t>
            </w:r>
            <w:r>
              <w:rPr>
                <w:color w:val="000000"/>
              </w:rPr>
              <w:t>8.25</w:t>
            </w:r>
            <w:r>
              <w:rPr>
                <w:rFonts w:hint="eastAsia"/>
                <w:color w:val="000000"/>
              </w:rPr>
              <w:t>t</w:t>
            </w:r>
            <w:r>
              <w:rPr>
                <w:color w:val="000000"/>
              </w:rPr>
              <w:t>/a</w:t>
            </w:r>
            <w:r>
              <w:rPr>
                <w:rFonts w:hint="eastAsia"/>
                <w:color w:val="000000"/>
              </w:rPr>
              <w:t>，则NMHC产生量为0</w:t>
            </w:r>
            <w:r>
              <w:rPr>
                <w:color w:val="000000"/>
              </w:rPr>
              <w:t>.10</w:t>
            </w:r>
            <w:r>
              <w:rPr>
                <w:rFonts w:hint="eastAsia"/>
                <w:color w:val="000000"/>
              </w:rPr>
              <w:t>t</w:t>
            </w:r>
            <w:r>
              <w:rPr>
                <w:color w:val="000000"/>
              </w:rPr>
              <w:t>/a</w:t>
            </w:r>
            <w:r>
              <w:rPr>
                <w:rFonts w:hint="eastAsia"/>
                <w:color w:val="000000"/>
              </w:rPr>
              <w:t>。目前企业未设置废气收集处理设施，非甲烷总烃全部无组织排放，本次环评要求企业设置集气罩，集气罩配套3</w:t>
            </w:r>
            <w:r>
              <w:rPr>
                <w:color w:val="000000"/>
              </w:rPr>
              <w:t>000</w:t>
            </w:r>
            <w:r>
              <w:rPr>
                <w:rFonts w:hint="eastAsia"/>
                <w:color w:val="000000"/>
              </w:rPr>
              <w:t>m</w:t>
            </w:r>
            <w:r>
              <w:rPr>
                <w:color w:val="000000"/>
                <w:vertAlign w:val="superscript"/>
              </w:rPr>
              <w:t>3</w:t>
            </w:r>
            <w:r>
              <w:rPr>
                <w:color w:val="000000"/>
              </w:rPr>
              <w:t>/h</w:t>
            </w:r>
            <w:r>
              <w:rPr>
                <w:rFonts w:hint="eastAsia"/>
                <w:color w:val="000000"/>
              </w:rPr>
              <w:t>的风机，将废气收集后，采用活性炭吸附处理后集中排放，活性炭吸附设施对NMHC的吸附效率能达到7</w:t>
            </w:r>
            <w:r>
              <w:rPr>
                <w:color w:val="000000"/>
              </w:rPr>
              <w:t>0%</w:t>
            </w:r>
            <w:r>
              <w:rPr>
                <w:rFonts w:hint="eastAsia"/>
                <w:color w:val="000000"/>
              </w:rPr>
              <w:t>以上，废气收集效率按9</w:t>
            </w:r>
            <w:r>
              <w:rPr>
                <w:color w:val="000000"/>
              </w:rPr>
              <w:t>0%</w:t>
            </w:r>
            <w:r>
              <w:rPr>
                <w:rFonts w:hint="eastAsia"/>
                <w:color w:val="000000"/>
              </w:rPr>
              <w:t>考虑，则约有0</w:t>
            </w:r>
            <w:r>
              <w:rPr>
                <w:color w:val="000000"/>
              </w:rPr>
              <w:t>.09</w:t>
            </w:r>
            <w:r>
              <w:rPr>
                <w:rFonts w:hint="eastAsia"/>
                <w:color w:val="000000"/>
              </w:rPr>
              <w:t>t</w:t>
            </w:r>
            <w:r>
              <w:rPr>
                <w:color w:val="000000"/>
              </w:rPr>
              <w:t>/a</w:t>
            </w:r>
            <w:r>
              <w:rPr>
                <w:rFonts w:hint="eastAsia"/>
                <w:color w:val="000000"/>
              </w:rPr>
              <w:t>的NMHC进入处理设施，有组织排放量为</w:t>
            </w:r>
            <w:r>
              <w:rPr>
                <w:color w:val="000000"/>
              </w:rPr>
              <w:t>0.03</w:t>
            </w:r>
            <w:r>
              <w:rPr>
                <w:rFonts w:hint="eastAsia"/>
                <w:color w:val="000000"/>
              </w:rPr>
              <w:t>t</w:t>
            </w:r>
            <w:r>
              <w:rPr>
                <w:color w:val="000000"/>
              </w:rPr>
              <w:t>/a</w:t>
            </w:r>
            <w:r>
              <w:rPr>
                <w:rFonts w:hint="eastAsia"/>
                <w:color w:val="000000"/>
              </w:rPr>
              <w:t>，排放速率为</w:t>
            </w:r>
            <w:r>
              <w:rPr>
                <w:color w:val="000000"/>
              </w:rPr>
              <w:t>0.0125</w:t>
            </w:r>
            <w:r>
              <w:rPr>
                <w:rFonts w:hint="eastAsia"/>
                <w:color w:val="000000"/>
              </w:rPr>
              <w:t>kg</w:t>
            </w:r>
            <w:r>
              <w:rPr>
                <w:color w:val="000000"/>
              </w:rPr>
              <w:t>/h</w:t>
            </w:r>
            <w:r>
              <w:rPr>
                <w:rFonts w:hint="eastAsia"/>
                <w:color w:val="000000"/>
              </w:rPr>
              <w:t>，排放浓度为</w:t>
            </w:r>
            <w:r>
              <w:rPr>
                <w:color w:val="000000"/>
              </w:rPr>
              <w:t>4.17</w:t>
            </w:r>
            <w:r>
              <w:rPr>
                <w:rFonts w:hint="eastAsia"/>
                <w:color w:val="000000"/>
              </w:rPr>
              <w:t>mg</w:t>
            </w:r>
            <w:r>
              <w:rPr>
                <w:color w:val="000000"/>
              </w:rPr>
              <w:t>/m</w:t>
            </w:r>
            <w:r>
              <w:rPr>
                <w:color w:val="000000"/>
                <w:vertAlign w:val="superscript"/>
              </w:rPr>
              <w:t>3</w:t>
            </w:r>
            <w:r>
              <w:rPr>
                <w:rFonts w:hint="eastAsia"/>
                <w:color w:val="000000"/>
              </w:rPr>
              <w:t>，</w:t>
            </w:r>
            <w:r>
              <w:rPr>
                <w:rFonts w:hint="eastAsia"/>
                <w:color w:val="000000"/>
                <w:u w:val="single"/>
              </w:rPr>
              <w:t>能够满足《合成树脂工业污染物排放标准》（GB</w:t>
            </w:r>
            <w:r>
              <w:rPr>
                <w:color w:val="000000"/>
                <w:u w:val="single"/>
              </w:rPr>
              <w:t>31572-2015</w:t>
            </w:r>
            <w:r>
              <w:rPr>
                <w:rFonts w:hint="eastAsia"/>
                <w:color w:val="000000"/>
                <w:u w:val="single"/>
              </w:rPr>
              <w:t>）表4中标准限值，无组织排放量为0</w:t>
            </w:r>
            <w:r>
              <w:rPr>
                <w:color w:val="000000"/>
                <w:u w:val="single"/>
              </w:rPr>
              <w:t>.01</w:t>
            </w:r>
            <w:r>
              <w:rPr>
                <w:rFonts w:hint="eastAsia"/>
                <w:color w:val="000000"/>
                <w:u w:val="single"/>
              </w:rPr>
              <w:t>t</w:t>
            </w:r>
            <w:r>
              <w:rPr>
                <w:color w:val="000000"/>
                <w:u w:val="single"/>
              </w:rPr>
              <w:t>/a</w:t>
            </w:r>
            <w:r>
              <w:rPr>
                <w:rFonts w:hint="eastAsia"/>
                <w:color w:val="000000"/>
                <w:u w:val="single"/>
              </w:rPr>
              <w:t>。</w:t>
            </w:r>
          </w:p>
          <w:p>
            <w:pPr>
              <w:ind w:firstLine="482"/>
              <w:rPr>
                <w:b/>
                <w:bCs/>
                <w:color w:val="000000"/>
              </w:rPr>
            </w:pPr>
            <w:r>
              <w:rPr>
                <w:rFonts w:hint="eastAsia"/>
                <w:b/>
                <w:bCs/>
                <w:color w:val="000000"/>
              </w:rPr>
              <w:t>2、污染防治措施可行性分析</w:t>
            </w:r>
          </w:p>
          <w:p>
            <w:pPr>
              <w:ind w:firstLine="480"/>
              <w:rPr>
                <w:color w:val="000000"/>
                <w:u w:val="single"/>
              </w:rPr>
            </w:pPr>
            <w:r>
              <w:rPr>
                <w:rFonts w:hint="eastAsia"/>
                <w:color w:val="000000"/>
                <w:u w:val="single"/>
              </w:rPr>
              <w:t>项目加热挤出废气产生的非甲烷总烃目前为直接无组织排放，不符合环境保护要求，本次环评要求企业增加废气集气罩，将废气收集后采用活性炭吸附工艺处理后排放，活性炭吸附工艺目前广泛应用于挥发性有机物废气处理行业，且根据《</w:t>
            </w:r>
            <w:r>
              <w:rPr>
                <w:u w:val="single"/>
              </w:rPr>
              <w:t>排污许可证申请与核发技术规范 橡胶和塑料制品工业</w:t>
            </w:r>
            <w:r>
              <w:rPr>
                <w:rFonts w:hint="eastAsia"/>
                <w:color w:val="000000"/>
                <w:u w:val="single"/>
              </w:rPr>
              <w:t>》（</w:t>
            </w:r>
            <w:r>
              <w:rPr>
                <w:u w:val="single"/>
              </w:rPr>
              <w:t>HJ1122—2020</w:t>
            </w:r>
            <w:r>
              <w:rPr>
                <w:rFonts w:hint="eastAsia"/>
                <w:color w:val="000000"/>
                <w:u w:val="single"/>
              </w:rPr>
              <w:t>）中推荐的可行性工艺中包括吸附工艺，因此项目采取的废气处理设施属于可行工艺。</w:t>
            </w:r>
          </w:p>
          <w:p>
            <w:pPr>
              <w:ind w:firstLine="482"/>
              <w:rPr>
                <w:b/>
                <w:bCs/>
                <w:color w:val="000000"/>
                <w:kern w:val="24"/>
              </w:rPr>
            </w:pPr>
            <w:r>
              <w:rPr>
                <w:rFonts w:hint="eastAsia"/>
                <w:b/>
                <w:bCs/>
                <w:color w:val="000000"/>
              </w:rPr>
              <w:t>3、污染物排放量核算</w:t>
            </w:r>
          </w:p>
          <w:p>
            <w:pPr>
              <w:ind w:firstLine="482"/>
              <w:jc w:val="center"/>
              <w:rPr>
                <w:b/>
                <w:color w:val="000000"/>
                <w:szCs w:val="21"/>
              </w:rPr>
            </w:pPr>
            <w:r>
              <w:rPr>
                <w:b/>
                <w:color w:val="000000"/>
                <w:szCs w:val="21"/>
              </w:rPr>
              <w:t>表4-2  大气排放口基本情况表</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351"/>
              <w:gridCol w:w="1341"/>
              <w:gridCol w:w="756"/>
              <w:gridCol w:w="590"/>
              <w:gridCol w:w="1151"/>
              <w:gridCol w:w="1054"/>
              <w:gridCol w:w="744"/>
              <w:gridCol w:w="864"/>
              <w:gridCol w:w="7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51" w:type="dxa"/>
                  <w:vMerge w:val="restart"/>
                  <w:vAlign w:val="center"/>
                </w:tcPr>
                <w:p>
                  <w:pPr>
                    <w:pStyle w:val="50"/>
                  </w:pPr>
                  <w:r>
                    <w:t>序号</w:t>
                  </w:r>
                </w:p>
              </w:tc>
              <w:tc>
                <w:tcPr>
                  <w:tcW w:w="1341" w:type="dxa"/>
                  <w:vMerge w:val="restart"/>
                  <w:vAlign w:val="center"/>
                </w:tcPr>
                <w:p>
                  <w:pPr>
                    <w:pStyle w:val="50"/>
                  </w:pPr>
                  <w:r>
                    <w:t>排放口名</w:t>
                  </w:r>
                </w:p>
                <w:p>
                  <w:pPr>
                    <w:pStyle w:val="50"/>
                  </w:pPr>
                  <w:r>
                    <w:t>称及编号</w:t>
                  </w:r>
                </w:p>
              </w:tc>
              <w:tc>
                <w:tcPr>
                  <w:tcW w:w="756" w:type="dxa"/>
                  <w:vMerge w:val="restart"/>
                  <w:vAlign w:val="center"/>
                </w:tcPr>
                <w:p>
                  <w:pPr>
                    <w:pStyle w:val="50"/>
                  </w:pPr>
                  <w:r>
                    <w:t>污染物种类</w:t>
                  </w:r>
                </w:p>
              </w:tc>
              <w:tc>
                <w:tcPr>
                  <w:tcW w:w="590" w:type="dxa"/>
                  <w:vMerge w:val="restart"/>
                  <w:vAlign w:val="center"/>
                </w:tcPr>
                <w:p>
                  <w:pPr>
                    <w:pStyle w:val="50"/>
                  </w:pPr>
                  <w:r>
                    <w:t>排放口类型</w:t>
                  </w:r>
                </w:p>
              </w:tc>
              <w:tc>
                <w:tcPr>
                  <w:tcW w:w="2205" w:type="dxa"/>
                  <w:gridSpan w:val="2"/>
                  <w:vAlign w:val="center"/>
                </w:tcPr>
                <w:p>
                  <w:pPr>
                    <w:pStyle w:val="50"/>
                  </w:pPr>
                  <w:r>
                    <w:t>排放口地理坐标</w:t>
                  </w:r>
                </w:p>
              </w:tc>
              <w:tc>
                <w:tcPr>
                  <w:tcW w:w="744" w:type="dxa"/>
                  <w:vMerge w:val="restart"/>
                  <w:vAlign w:val="center"/>
                </w:tcPr>
                <w:p>
                  <w:pPr>
                    <w:pStyle w:val="50"/>
                  </w:pPr>
                  <w:r>
                    <w:t>排气筒</w:t>
                  </w:r>
                </w:p>
                <w:p>
                  <w:pPr>
                    <w:pStyle w:val="50"/>
                  </w:pPr>
                  <w:r>
                    <w:t>高度（m）</w:t>
                  </w:r>
                </w:p>
              </w:tc>
              <w:tc>
                <w:tcPr>
                  <w:tcW w:w="864" w:type="dxa"/>
                  <w:vMerge w:val="restart"/>
                  <w:vAlign w:val="center"/>
                </w:tcPr>
                <w:p>
                  <w:pPr>
                    <w:pStyle w:val="50"/>
                  </w:pPr>
                  <w:r>
                    <w:t>排气筒</w:t>
                  </w:r>
                </w:p>
                <w:p>
                  <w:pPr>
                    <w:pStyle w:val="50"/>
                  </w:pPr>
                  <w:r>
                    <w:t>出口内</w:t>
                  </w:r>
                </w:p>
                <w:p>
                  <w:pPr>
                    <w:pStyle w:val="50"/>
                  </w:pPr>
                  <w:r>
                    <w:t>径（m）</w:t>
                  </w:r>
                </w:p>
              </w:tc>
              <w:tc>
                <w:tcPr>
                  <w:tcW w:w="731" w:type="dxa"/>
                  <w:vMerge w:val="restart"/>
                  <w:vAlign w:val="center"/>
                </w:tcPr>
                <w:p>
                  <w:pPr>
                    <w:pStyle w:val="50"/>
                  </w:pPr>
                  <w:r>
                    <w:t>排气</w:t>
                  </w:r>
                </w:p>
                <w:p>
                  <w:pPr>
                    <w:pStyle w:val="50"/>
                  </w:pPr>
                  <w:r>
                    <w:t>温度（℃）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1" w:type="dxa"/>
                  <w:vMerge w:val="continue"/>
                  <w:vAlign w:val="center"/>
                </w:tcPr>
                <w:p>
                  <w:pPr>
                    <w:pStyle w:val="50"/>
                  </w:pPr>
                </w:p>
              </w:tc>
              <w:tc>
                <w:tcPr>
                  <w:tcW w:w="1341" w:type="dxa"/>
                  <w:vMerge w:val="continue"/>
                  <w:vAlign w:val="center"/>
                </w:tcPr>
                <w:p>
                  <w:pPr>
                    <w:pStyle w:val="50"/>
                  </w:pPr>
                </w:p>
              </w:tc>
              <w:tc>
                <w:tcPr>
                  <w:tcW w:w="756" w:type="dxa"/>
                  <w:vMerge w:val="continue"/>
                  <w:vAlign w:val="center"/>
                </w:tcPr>
                <w:p>
                  <w:pPr>
                    <w:pStyle w:val="50"/>
                  </w:pPr>
                </w:p>
              </w:tc>
              <w:tc>
                <w:tcPr>
                  <w:tcW w:w="590" w:type="dxa"/>
                  <w:vMerge w:val="continue"/>
                  <w:vAlign w:val="center"/>
                </w:tcPr>
                <w:p>
                  <w:pPr>
                    <w:pStyle w:val="50"/>
                  </w:pPr>
                </w:p>
              </w:tc>
              <w:tc>
                <w:tcPr>
                  <w:tcW w:w="1151" w:type="dxa"/>
                  <w:vAlign w:val="center"/>
                </w:tcPr>
                <w:p>
                  <w:pPr>
                    <w:pStyle w:val="50"/>
                  </w:pPr>
                  <w:r>
                    <w:t>经度</w:t>
                  </w:r>
                </w:p>
              </w:tc>
              <w:tc>
                <w:tcPr>
                  <w:tcW w:w="1054" w:type="dxa"/>
                  <w:vAlign w:val="center"/>
                </w:tcPr>
                <w:p>
                  <w:pPr>
                    <w:pStyle w:val="50"/>
                  </w:pPr>
                  <w:r>
                    <w:t>纬度</w:t>
                  </w:r>
                </w:p>
              </w:tc>
              <w:tc>
                <w:tcPr>
                  <w:tcW w:w="744" w:type="dxa"/>
                  <w:vMerge w:val="continue"/>
                  <w:vAlign w:val="center"/>
                </w:tcPr>
                <w:p>
                  <w:pPr>
                    <w:pStyle w:val="50"/>
                  </w:pPr>
                </w:p>
              </w:tc>
              <w:tc>
                <w:tcPr>
                  <w:tcW w:w="864" w:type="dxa"/>
                  <w:vMerge w:val="continue"/>
                  <w:vAlign w:val="center"/>
                </w:tcPr>
                <w:p>
                  <w:pPr>
                    <w:pStyle w:val="50"/>
                  </w:pPr>
                </w:p>
              </w:tc>
              <w:tc>
                <w:tcPr>
                  <w:tcW w:w="731" w:type="dxa"/>
                  <w:vMerge w:val="continue"/>
                  <w:vAlign w:val="center"/>
                </w:tcPr>
                <w:p>
                  <w:pPr>
                    <w:pStyle w:val="5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51" w:type="dxa"/>
                  <w:vAlign w:val="center"/>
                </w:tcPr>
                <w:p>
                  <w:pPr>
                    <w:pStyle w:val="50"/>
                  </w:pPr>
                  <w:r>
                    <w:t>1</w:t>
                  </w:r>
                </w:p>
              </w:tc>
              <w:tc>
                <w:tcPr>
                  <w:tcW w:w="1341" w:type="dxa"/>
                  <w:vAlign w:val="center"/>
                </w:tcPr>
                <w:p>
                  <w:pPr>
                    <w:pStyle w:val="50"/>
                  </w:pPr>
                  <w:r>
                    <w:rPr>
                      <w:rFonts w:hint="eastAsia"/>
                    </w:rPr>
                    <w:t>加热挤出废气DA</w:t>
                  </w:r>
                  <w:r>
                    <w:t>001</w:t>
                  </w:r>
                </w:p>
              </w:tc>
              <w:tc>
                <w:tcPr>
                  <w:tcW w:w="756" w:type="dxa"/>
                  <w:vAlign w:val="center"/>
                </w:tcPr>
                <w:p>
                  <w:pPr>
                    <w:pStyle w:val="50"/>
                  </w:pPr>
                  <w:r>
                    <w:rPr>
                      <w:rFonts w:hint="eastAsia"/>
                    </w:rPr>
                    <w:t>NMHC</w:t>
                  </w:r>
                </w:p>
              </w:tc>
              <w:tc>
                <w:tcPr>
                  <w:tcW w:w="590" w:type="dxa"/>
                  <w:vAlign w:val="center"/>
                </w:tcPr>
                <w:p>
                  <w:pPr>
                    <w:pStyle w:val="50"/>
                  </w:pPr>
                  <w:r>
                    <w:t>一般排放口</w:t>
                  </w:r>
                </w:p>
              </w:tc>
              <w:tc>
                <w:tcPr>
                  <w:tcW w:w="1151" w:type="dxa"/>
                  <w:vAlign w:val="center"/>
                </w:tcPr>
                <w:p>
                  <w:pPr>
                    <w:pStyle w:val="50"/>
                  </w:pPr>
                  <w:r>
                    <w:t>111.596454</w:t>
                  </w:r>
                </w:p>
              </w:tc>
              <w:tc>
                <w:tcPr>
                  <w:tcW w:w="1054" w:type="dxa"/>
                  <w:vAlign w:val="center"/>
                </w:tcPr>
                <w:p>
                  <w:pPr>
                    <w:pStyle w:val="50"/>
                  </w:pPr>
                  <w:r>
                    <w:t>26.362938</w:t>
                  </w:r>
                </w:p>
              </w:tc>
              <w:tc>
                <w:tcPr>
                  <w:tcW w:w="744" w:type="dxa"/>
                  <w:vAlign w:val="center"/>
                </w:tcPr>
                <w:p>
                  <w:pPr>
                    <w:pStyle w:val="50"/>
                  </w:pPr>
                  <w:r>
                    <w:t>15</w:t>
                  </w:r>
                </w:p>
              </w:tc>
              <w:tc>
                <w:tcPr>
                  <w:tcW w:w="864" w:type="dxa"/>
                  <w:vAlign w:val="center"/>
                </w:tcPr>
                <w:p>
                  <w:pPr>
                    <w:pStyle w:val="50"/>
                  </w:pPr>
                  <w:r>
                    <w:rPr>
                      <w:rFonts w:hint="eastAsia"/>
                    </w:rPr>
                    <w:t>0.4</w:t>
                  </w:r>
                </w:p>
              </w:tc>
              <w:tc>
                <w:tcPr>
                  <w:tcW w:w="731" w:type="dxa"/>
                  <w:vAlign w:val="center"/>
                </w:tcPr>
                <w:p>
                  <w:pPr>
                    <w:pStyle w:val="50"/>
                  </w:pPr>
                  <w:r>
                    <w:t>25</w:t>
                  </w:r>
                </w:p>
              </w:tc>
            </w:tr>
          </w:tbl>
          <w:p>
            <w:pPr>
              <w:spacing w:before="156" w:beforeLines="50"/>
              <w:ind w:firstLine="482"/>
              <w:jc w:val="center"/>
              <w:rPr>
                <w:b/>
                <w:color w:val="000000"/>
                <w:szCs w:val="21"/>
              </w:rPr>
            </w:pPr>
            <w:r>
              <w:rPr>
                <w:b/>
                <w:color w:val="000000"/>
                <w:szCs w:val="21"/>
              </w:rPr>
              <w:t xml:space="preserve">表4-3  </w:t>
            </w:r>
            <w:r>
              <w:rPr>
                <w:rFonts w:hint="eastAsia"/>
                <w:b/>
                <w:color w:val="000000"/>
                <w:szCs w:val="21"/>
              </w:rPr>
              <w:t>大气污染物有组织排放量核算表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2"/>
              <w:gridCol w:w="1267"/>
              <w:gridCol w:w="1115"/>
              <w:gridCol w:w="1568"/>
              <w:gridCol w:w="1399"/>
              <w:gridCol w:w="14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14" w:type="pct"/>
                  <w:vAlign w:val="center"/>
                </w:tcPr>
                <w:p>
                  <w:pPr>
                    <w:pStyle w:val="108"/>
                    <w:spacing w:line="240" w:lineRule="auto"/>
                    <w:ind w:firstLine="0" w:firstLineChars="0"/>
                    <w:jc w:val="center"/>
                    <w:rPr>
                      <w:sz w:val="21"/>
                      <w:szCs w:val="22"/>
                    </w:rPr>
                  </w:pPr>
                  <w:r>
                    <w:rPr>
                      <w:sz w:val="21"/>
                      <w:szCs w:val="22"/>
                    </w:rPr>
                    <w:t>序号</w:t>
                  </w:r>
                </w:p>
              </w:tc>
              <w:tc>
                <w:tcPr>
                  <w:tcW w:w="816" w:type="pct"/>
                  <w:vAlign w:val="center"/>
                </w:tcPr>
                <w:p>
                  <w:pPr>
                    <w:pStyle w:val="108"/>
                    <w:spacing w:line="240" w:lineRule="auto"/>
                    <w:ind w:firstLine="0" w:firstLineChars="0"/>
                    <w:jc w:val="center"/>
                    <w:rPr>
                      <w:sz w:val="21"/>
                      <w:szCs w:val="22"/>
                    </w:rPr>
                  </w:pPr>
                  <w:r>
                    <w:rPr>
                      <w:sz w:val="21"/>
                      <w:szCs w:val="22"/>
                    </w:rPr>
                    <w:t>排放口</w:t>
                  </w:r>
                </w:p>
                <w:p>
                  <w:pPr>
                    <w:pStyle w:val="108"/>
                    <w:spacing w:line="240" w:lineRule="auto"/>
                    <w:ind w:firstLine="0" w:firstLineChars="0"/>
                    <w:jc w:val="center"/>
                    <w:rPr>
                      <w:sz w:val="21"/>
                      <w:szCs w:val="22"/>
                    </w:rPr>
                  </w:pPr>
                  <w:r>
                    <w:rPr>
                      <w:sz w:val="21"/>
                      <w:szCs w:val="22"/>
                    </w:rPr>
                    <w:t>编号</w:t>
                  </w:r>
                </w:p>
              </w:tc>
              <w:tc>
                <w:tcPr>
                  <w:tcW w:w="718" w:type="pct"/>
                  <w:vAlign w:val="center"/>
                </w:tcPr>
                <w:p>
                  <w:pPr>
                    <w:pStyle w:val="108"/>
                    <w:spacing w:line="240" w:lineRule="auto"/>
                    <w:ind w:firstLine="0" w:firstLineChars="0"/>
                    <w:jc w:val="center"/>
                    <w:rPr>
                      <w:sz w:val="21"/>
                      <w:szCs w:val="22"/>
                    </w:rPr>
                  </w:pPr>
                  <w:r>
                    <w:rPr>
                      <w:sz w:val="21"/>
                      <w:szCs w:val="22"/>
                    </w:rPr>
                    <w:t>污染物</w:t>
                  </w:r>
                </w:p>
              </w:tc>
              <w:tc>
                <w:tcPr>
                  <w:tcW w:w="1010" w:type="pct"/>
                  <w:vAlign w:val="center"/>
                </w:tcPr>
                <w:p>
                  <w:pPr>
                    <w:pStyle w:val="108"/>
                    <w:spacing w:line="240" w:lineRule="auto"/>
                    <w:ind w:firstLine="0" w:firstLineChars="0"/>
                    <w:jc w:val="center"/>
                    <w:rPr>
                      <w:sz w:val="21"/>
                      <w:szCs w:val="22"/>
                    </w:rPr>
                  </w:pPr>
                  <w:r>
                    <w:rPr>
                      <w:sz w:val="21"/>
                      <w:szCs w:val="22"/>
                    </w:rPr>
                    <w:t>核算排放</w:t>
                  </w:r>
                </w:p>
                <w:p>
                  <w:pPr>
                    <w:pStyle w:val="108"/>
                    <w:spacing w:line="240" w:lineRule="auto"/>
                    <w:ind w:firstLine="0" w:firstLineChars="0"/>
                    <w:jc w:val="center"/>
                    <w:rPr>
                      <w:sz w:val="21"/>
                      <w:szCs w:val="22"/>
                    </w:rPr>
                  </w:pPr>
                  <w:r>
                    <w:rPr>
                      <w:sz w:val="21"/>
                      <w:szCs w:val="22"/>
                    </w:rPr>
                    <w:t>浓度ug/m</w:t>
                  </w:r>
                  <w:r>
                    <w:rPr>
                      <w:sz w:val="21"/>
                      <w:szCs w:val="22"/>
                      <w:vertAlign w:val="superscript"/>
                    </w:rPr>
                    <w:t>3</w:t>
                  </w:r>
                </w:p>
              </w:tc>
              <w:tc>
                <w:tcPr>
                  <w:tcW w:w="901" w:type="pct"/>
                  <w:vAlign w:val="center"/>
                </w:tcPr>
                <w:p>
                  <w:pPr>
                    <w:pStyle w:val="108"/>
                    <w:spacing w:line="240" w:lineRule="auto"/>
                    <w:ind w:firstLine="0" w:firstLineChars="0"/>
                    <w:jc w:val="center"/>
                    <w:rPr>
                      <w:sz w:val="21"/>
                      <w:szCs w:val="22"/>
                    </w:rPr>
                  </w:pPr>
                  <w:r>
                    <w:rPr>
                      <w:sz w:val="21"/>
                      <w:szCs w:val="22"/>
                    </w:rPr>
                    <w:t>核算排放</w:t>
                  </w:r>
                </w:p>
                <w:p>
                  <w:pPr>
                    <w:pStyle w:val="108"/>
                    <w:spacing w:line="240" w:lineRule="auto"/>
                    <w:ind w:firstLine="0" w:firstLineChars="0"/>
                    <w:jc w:val="center"/>
                    <w:rPr>
                      <w:sz w:val="21"/>
                      <w:szCs w:val="22"/>
                    </w:rPr>
                  </w:pPr>
                  <w:r>
                    <w:rPr>
                      <w:sz w:val="21"/>
                      <w:szCs w:val="22"/>
                    </w:rPr>
                    <w:t>速率kg/h</w:t>
                  </w:r>
                </w:p>
              </w:tc>
              <w:tc>
                <w:tcPr>
                  <w:tcW w:w="941" w:type="pct"/>
                  <w:vAlign w:val="center"/>
                </w:tcPr>
                <w:p>
                  <w:pPr>
                    <w:pStyle w:val="108"/>
                    <w:spacing w:line="240" w:lineRule="auto"/>
                    <w:ind w:firstLine="0" w:firstLineChars="0"/>
                    <w:jc w:val="center"/>
                    <w:rPr>
                      <w:sz w:val="21"/>
                      <w:szCs w:val="22"/>
                    </w:rPr>
                  </w:pPr>
                  <w:r>
                    <w:rPr>
                      <w:sz w:val="21"/>
                      <w:szCs w:val="22"/>
                    </w:rPr>
                    <w:t>核算年</w:t>
                  </w:r>
                </w:p>
                <w:p>
                  <w:pPr>
                    <w:pStyle w:val="108"/>
                    <w:spacing w:line="240" w:lineRule="auto"/>
                    <w:ind w:firstLine="0" w:firstLineChars="0"/>
                    <w:jc w:val="center"/>
                    <w:rPr>
                      <w:sz w:val="21"/>
                      <w:szCs w:val="22"/>
                    </w:rPr>
                  </w:pPr>
                  <w:r>
                    <w:rPr>
                      <w:sz w:val="21"/>
                      <w:szCs w:val="22"/>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0" w:type="pct"/>
                  <w:gridSpan w:val="6"/>
                  <w:vAlign w:val="center"/>
                </w:tcPr>
                <w:p>
                  <w:pPr>
                    <w:pStyle w:val="108"/>
                    <w:spacing w:line="240" w:lineRule="auto"/>
                    <w:ind w:firstLine="0" w:firstLineChars="0"/>
                    <w:jc w:val="center"/>
                    <w:rPr>
                      <w:sz w:val="21"/>
                      <w:szCs w:val="22"/>
                    </w:rPr>
                  </w:pPr>
                  <w:r>
                    <w:rPr>
                      <w:sz w:val="21"/>
                      <w:szCs w:val="22"/>
                    </w:rPr>
                    <w:t>一般排放口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14" w:type="pct"/>
                  <w:vAlign w:val="center"/>
                </w:tcPr>
                <w:p>
                  <w:pPr>
                    <w:pStyle w:val="108"/>
                    <w:spacing w:line="240" w:lineRule="auto"/>
                    <w:ind w:firstLine="0" w:firstLineChars="0"/>
                    <w:jc w:val="center"/>
                    <w:rPr>
                      <w:sz w:val="21"/>
                      <w:szCs w:val="22"/>
                    </w:rPr>
                  </w:pPr>
                  <w:r>
                    <w:rPr>
                      <w:sz w:val="21"/>
                      <w:szCs w:val="22"/>
                    </w:rPr>
                    <w:t>1</w:t>
                  </w:r>
                </w:p>
              </w:tc>
              <w:tc>
                <w:tcPr>
                  <w:tcW w:w="816" w:type="pct"/>
                  <w:vAlign w:val="center"/>
                </w:tcPr>
                <w:p>
                  <w:pPr>
                    <w:pStyle w:val="108"/>
                    <w:spacing w:line="240" w:lineRule="auto"/>
                    <w:ind w:firstLine="0" w:firstLineChars="0"/>
                    <w:jc w:val="center"/>
                    <w:rPr>
                      <w:sz w:val="21"/>
                      <w:szCs w:val="22"/>
                    </w:rPr>
                  </w:pPr>
                  <w:r>
                    <w:rPr>
                      <w:sz w:val="21"/>
                      <w:szCs w:val="22"/>
                    </w:rPr>
                    <w:t>DA001</w:t>
                  </w:r>
                </w:p>
              </w:tc>
              <w:tc>
                <w:tcPr>
                  <w:tcW w:w="718" w:type="pct"/>
                  <w:vAlign w:val="center"/>
                </w:tcPr>
                <w:p>
                  <w:pPr>
                    <w:pStyle w:val="108"/>
                    <w:spacing w:line="240" w:lineRule="auto"/>
                    <w:ind w:firstLine="0" w:firstLineChars="0"/>
                    <w:jc w:val="center"/>
                    <w:rPr>
                      <w:sz w:val="21"/>
                      <w:szCs w:val="22"/>
                    </w:rPr>
                  </w:pPr>
                  <w:r>
                    <w:rPr>
                      <w:rFonts w:hint="eastAsia"/>
                      <w:sz w:val="21"/>
                      <w:szCs w:val="22"/>
                    </w:rPr>
                    <w:t>NMHC</w:t>
                  </w:r>
                </w:p>
              </w:tc>
              <w:tc>
                <w:tcPr>
                  <w:tcW w:w="1010" w:type="pct"/>
                  <w:vAlign w:val="center"/>
                </w:tcPr>
                <w:p>
                  <w:pPr>
                    <w:pStyle w:val="108"/>
                    <w:spacing w:line="240" w:lineRule="auto"/>
                    <w:ind w:firstLine="0" w:firstLineChars="0"/>
                    <w:jc w:val="center"/>
                    <w:rPr>
                      <w:sz w:val="21"/>
                      <w:szCs w:val="22"/>
                    </w:rPr>
                  </w:pPr>
                  <w:r>
                    <w:rPr>
                      <w:sz w:val="21"/>
                      <w:szCs w:val="22"/>
                    </w:rPr>
                    <w:t>37500</w:t>
                  </w:r>
                </w:p>
              </w:tc>
              <w:tc>
                <w:tcPr>
                  <w:tcW w:w="901" w:type="pct"/>
                  <w:vAlign w:val="center"/>
                </w:tcPr>
                <w:p>
                  <w:pPr>
                    <w:pStyle w:val="108"/>
                    <w:spacing w:line="240" w:lineRule="auto"/>
                    <w:ind w:firstLine="0" w:firstLineChars="0"/>
                    <w:jc w:val="center"/>
                    <w:rPr>
                      <w:sz w:val="21"/>
                      <w:szCs w:val="22"/>
                    </w:rPr>
                  </w:pPr>
                  <w:r>
                    <w:rPr>
                      <w:sz w:val="21"/>
                      <w:szCs w:val="22"/>
                    </w:rPr>
                    <w:t>0.0125</w:t>
                  </w:r>
                </w:p>
              </w:tc>
              <w:tc>
                <w:tcPr>
                  <w:tcW w:w="941" w:type="pct"/>
                  <w:vAlign w:val="center"/>
                </w:tcPr>
                <w:p>
                  <w:pPr>
                    <w:pStyle w:val="108"/>
                    <w:spacing w:line="240" w:lineRule="auto"/>
                    <w:ind w:firstLine="0" w:firstLineChars="0"/>
                    <w:jc w:val="center"/>
                    <w:rPr>
                      <w:sz w:val="21"/>
                      <w:szCs w:val="22"/>
                    </w:rPr>
                  </w:pPr>
                  <w:r>
                    <w:rPr>
                      <w:sz w:val="21"/>
                      <w:szCs w:val="22"/>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30" w:type="pct"/>
                  <w:gridSpan w:val="2"/>
                  <w:vAlign w:val="center"/>
                </w:tcPr>
                <w:p>
                  <w:pPr>
                    <w:pStyle w:val="108"/>
                    <w:spacing w:line="240" w:lineRule="auto"/>
                    <w:ind w:firstLine="0" w:firstLineChars="0"/>
                    <w:jc w:val="center"/>
                    <w:rPr>
                      <w:sz w:val="21"/>
                      <w:szCs w:val="22"/>
                    </w:rPr>
                  </w:pPr>
                  <w:r>
                    <w:rPr>
                      <w:sz w:val="21"/>
                      <w:szCs w:val="22"/>
                    </w:rPr>
                    <w:t>一般排放口合计</w:t>
                  </w:r>
                </w:p>
              </w:tc>
              <w:tc>
                <w:tcPr>
                  <w:tcW w:w="2629" w:type="pct"/>
                  <w:gridSpan w:val="3"/>
                  <w:vAlign w:val="center"/>
                </w:tcPr>
                <w:p>
                  <w:pPr>
                    <w:pStyle w:val="108"/>
                    <w:spacing w:line="240" w:lineRule="auto"/>
                    <w:ind w:firstLine="0" w:firstLineChars="0"/>
                    <w:jc w:val="center"/>
                    <w:rPr>
                      <w:sz w:val="21"/>
                      <w:szCs w:val="22"/>
                    </w:rPr>
                  </w:pPr>
                  <w:r>
                    <w:rPr>
                      <w:rFonts w:hint="eastAsia"/>
                      <w:sz w:val="21"/>
                      <w:szCs w:val="22"/>
                    </w:rPr>
                    <w:t>NMHC</w:t>
                  </w:r>
                </w:p>
              </w:tc>
              <w:tc>
                <w:tcPr>
                  <w:tcW w:w="941" w:type="pct"/>
                  <w:vAlign w:val="center"/>
                </w:tcPr>
                <w:p>
                  <w:pPr>
                    <w:pStyle w:val="108"/>
                    <w:spacing w:line="240" w:lineRule="auto"/>
                    <w:ind w:firstLine="0" w:firstLineChars="0"/>
                    <w:jc w:val="center"/>
                    <w:rPr>
                      <w:sz w:val="21"/>
                      <w:szCs w:val="22"/>
                    </w:rPr>
                  </w:pPr>
                  <w:r>
                    <w:rPr>
                      <w:sz w:val="21"/>
                      <w:szCs w:val="22"/>
                    </w:rPr>
                    <w:t>0.03</w:t>
                  </w:r>
                </w:p>
              </w:tc>
            </w:tr>
          </w:tbl>
          <w:p>
            <w:pPr>
              <w:spacing w:before="156" w:beforeLines="50"/>
              <w:ind w:firstLine="482"/>
              <w:jc w:val="center"/>
              <w:rPr>
                <w:b/>
                <w:color w:val="000000"/>
                <w:szCs w:val="21"/>
              </w:rPr>
            </w:pPr>
            <w:r>
              <w:rPr>
                <w:b/>
                <w:color w:val="000000"/>
                <w:szCs w:val="21"/>
              </w:rPr>
              <w:t xml:space="preserve">表4-4  </w:t>
            </w:r>
            <w:r>
              <w:rPr>
                <w:rFonts w:hint="eastAsia"/>
                <w:b/>
                <w:color w:val="000000"/>
                <w:szCs w:val="21"/>
              </w:rPr>
              <w:t>大气污染物无组织排放量核算表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7"/>
              <w:gridCol w:w="782"/>
              <w:gridCol w:w="650"/>
              <w:gridCol w:w="866"/>
              <w:gridCol w:w="823"/>
              <w:gridCol w:w="2161"/>
              <w:gridCol w:w="1180"/>
              <w:gridCol w:w="8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 w:type="pct"/>
                  <w:vMerge w:val="restart"/>
                  <w:vAlign w:val="center"/>
                </w:tcPr>
                <w:p>
                  <w:pPr>
                    <w:pStyle w:val="112"/>
                  </w:pPr>
                  <w:r>
                    <w:t>序号</w:t>
                  </w:r>
                </w:p>
              </w:tc>
              <w:tc>
                <w:tcPr>
                  <w:tcW w:w="504" w:type="pct"/>
                  <w:vMerge w:val="restart"/>
                  <w:vAlign w:val="center"/>
                </w:tcPr>
                <w:p>
                  <w:pPr>
                    <w:pStyle w:val="112"/>
                  </w:pPr>
                  <w:r>
                    <w:t>排放口编号</w:t>
                  </w:r>
                </w:p>
              </w:tc>
              <w:tc>
                <w:tcPr>
                  <w:tcW w:w="419" w:type="pct"/>
                  <w:vMerge w:val="restart"/>
                  <w:vAlign w:val="center"/>
                </w:tcPr>
                <w:p>
                  <w:pPr>
                    <w:pStyle w:val="112"/>
                  </w:pPr>
                  <w:r>
                    <w:t>产污环节</w:t>
                  </w:r>
                </w:p>
              </w:tc>
              <w:tc>
                <w:tcPr>
                  <w:tcW w:w="558" w:type="pct"/>
                  <w:vMerge w:val="restart"/>
                  <w:vAlign w:val="center"/>
                </w:tcPr>
                <w:p>
                  <w:pPr>
                    <w:pStyle w:val="112"/>
                  </w:pPr>
                  <w:r>
                    <w:t>污染物</w:t>
                  </w:r>
                </w:p>
              </w:tc>
              <w:tc>
                <w:tcPr>
                  <w:tcW w:w="530" w:type="pct"/>
                  <w:vMerge w:val="restart"/>
                  <w:vAlign w:val="center"/>
                </w:tcPr>
                <w:p>
                  <w:pPr>
                    <w:pStyle w:val="112"/>
                  </w:pPr>
                  <w:r>
                    <w:t>主要污染防治措施</w:t>
                  </w:r>
                </w:p>
              </w:tc>
              <w:tc>
                <w:tcPr>
                  <w:tcW w:w="2152" w:type="pct"/>
                  <w:gridSpan w:val="2"/>
                  <w:vAlign w:val="center"/>
                </w:tcPr>
                <w:p>
                  <w:pPr>
                    <w:pStyle w:val="112"/>
                  </w:pPr>
                  <w:r>
                    <w:t>国家或地方污染物排放标准</w:t>
                  </w:r>
                </w:p>
              </w:tc>
              <w:tc>
                <w:tcPr>
                  <w:tcW w:w="557" w:type="pct"/>
                  <w:vMerge w:val="restart"/>
                  <w:vAlign w:val="center"/>
                </w:tcPr>
                <w:p>
                  <w:pPr>
                    <w:pStyle w:val="112"/>
                  </w:pPr>
                  <w: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1" w:type="pct"/>
                  <w:vMerge w:val="continue"/>
                  <w:vAlign w:val="center"/>
                </w:tcPr>
                <w:p>
                  <w:pPr>
                    <w:pStyle w:val="112"/>
                  </w:pPr>
                </w:p>
              </w:tc>
              <w:tc>
                <w:tcPr>
                  <w:tcW w:w="504" w:type="pct"/>
                  <w:vMerge w:val="continue"/>
                  <w:vAlign w:val="center"/>
                </w:tcPr>
                <w:p>
                  <w:pPr>
                    <w:pStyle w:val="112"/>
                  </w:pPr>
                </w:p>
              </w:tc>
              <w:tc>
                <w:tcPr>
                  <w:tcW w:w="419" w:type="pct"/>
                  <w:vMerge w:val="continue"/>
                  <w:vAlign w:val="center"/>
                </w:tcPr>
                <w:p>
                  <w:pPr>
                    <w:pStyle w:val="112"/>
                  </w:pPr>
                </w:p>
              </w:tc>
              <w:tc>
                <w:tcPr>
                  <w:tcW w:w="558" w:type="pct"/>
                  <w:vMerge w:val="continue"/>
                  <w:vAlign w:val="center"/>
                </w:tcPr>
                <w:p>
                  <w:pPr>
                    <w:pStyle w:val="112"/>
                  </w:pPr>
                </w:p>
              </w:tc>
              <w:tc>
                <w:tcPr>
                  <w:tcW w:w="530" w:type="pct"/>
                  <w:vMerge w:val="continue"/>
                  <w:vAlign w:val="center"/>
                </w:tcPr>
                <w:p>
                  <w:pPr>
                    <w:pStyle w:val="112"/>
                  </w:pPr>
                </w:p>
              </w:tc>
              <w:tc>
                <w:tcPr>
                  <w:tcW w:w="1392" w:type="pct"/>
                  <w:vAlign w:val="center"/>
                </w:tcPr>
                <w:p>
                  <w:pPr>
                    <w:pStyle w:val="112"/>
                  </w:pPr>
                  <w:r>
                    <w:t>标准名称</w:t>
                  </w:r>
                </w:p>
              </w:tc>
              <w:tc>
                <w:tcPr>
                  <w:tcW w:w="760" w:type="pct"/>
                  <w:vAlign w:val="center"/>
                </w:tcPr>
                <w:p>
                  <w:pPr>
                    <w:pStyle w:val="112"/>
                  </w:pPr>
                  <w:r>
                    <w:t>浓度限值（</w:t>
                  </w:r>
                  <w:r>
                    <w:rPr>
                      <w:bCs/>
                      <w:snapToGrid w:val="0"/>
                      <w:kern w:val="0"/>
                    </w:rPr>
                    <w:t>µg/m</w:t>
                  </w:r>
                  <w:r>
                    <w:rPr>
                      <w:bCs/>
                      <w:snapToGrid w:val="0"/>
                      <w:kern w:val="0"/>
                      <w:vertAlign w:val="superscript"/>
                    </w:rPr>
                    <w:t>3</w:t>
                  </w:r>
                  <w:r>
                    <w:t>）</w:t>
                  </w:r>
                </w:p>
              </w:tc>
              <w:tc>
                <w:tcPr>
                  <w:tcW w:w="557" w:type="pct"/>
                  <w:vMerge w:val="continue"/>
                  <w:vAlign w:val="center"/>
                </w:tcPr>
                <w:p>
                  <w:pPr>
                    <w:pStyle w:val="112"/>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1" w:type="pct"/>
                  <w:vMerge w:val="restart"/>
                  <w:vAlign w:val="center"/>
                </w:tcPr>
                <w:p>
                  <w:pPr>
                    <w:pStyle w:val="112"/>
                  </w:pPr>
                  <w:r>
                    <w:t>1</w:t>
                  </w:r>
                </w:p>
              </w:tc>
              <w:tc>
                <w:tcPr>
                  <w:tcW w:w="504" w:type="pct"/>
                  <w:vMerge w:val="restart"/>
                  <w:vAlign w:val="center"/>
                </w:tcPr>
                <w:p>
                  <w:pPr>
                    <w:pStyle w:val="112"/>
                  </w:pPr>
                  <w:r>
                    <w:t>MY01</w:t>
                  </w:r>
                </w:p>
              </w:tc>
              <w:tc>
                <w:tcPr>
                  <w:tcW w:w="419" w:type="pct"/>
                  <w:vAlign w:val="center"/>
                </w:tcPr>
                <w:p>
                  <w:pPr>
                    <w:pStyle w:val="112"/>
                  </w:pPr>
                  <w:r>
                    <w:rPr>
                      <w:rFonts w:hint="eastAsia"/>
                    </w:rPr>
                    <w:t>混料、切割</w:t>
                  </w:r>
                </w:p>
              </w:tc>
              <w:tc>
                <w:tcPr>
                  <w:tcW w:w="558" w:type="pct"/>
                  <w:vAlign w:val="center"/>
                </w:tcPr>
                <w:p>
                  <w:pPr>
                    <w:pStyle w:val="112"/>
                  </w:pPr>
                  <w:r>
                    <w:t>颗粒物</w:t>
                  </w:r>
                </w:p>
              </w:tc>
              <w:tc>
                <w:tcPr>
                  <w:tcW w:w="530" w:type="pct"/>
                  <w:vAlign w:val="center"/>
                </w:tcPr>
                <w:p>
                  <w:pPr>
                    <w:pStyle w:val="112"/>
                  </w:pPr>
                  <w:r>
                    <w:rPr>
                      <w:rFonts w:hint="eastAsia"/>
                    </w:rPr>
                    <w:t>车间密闭</w:t>
                  </w:r>
                </w:p>
              </w:tc>
              <w:tc>
                <w:tcPr>
                  <w:tcW w:w="1392" w:type="pct"/>
                  <w:vAlign w:val="center"/>
                </w:tcPr>
                <w:p>
                  <w:pPr>
                    <w:pStyle w:val="112"/>
                  </w:pPr>
                  <w:r>
                    <w:rPr>
                      <w:rFonts w:hint="eastAsia"/>
                      <w:color w:val="000000"/>
                    </w:rPr>
                    <w:t>《合成树脂工业污染物排放标准》（GB</w:t>
                  </w:r>
                  <w:r>
                    <w:rPr>
                      <w:color w:val="000000"/>
                    </w:rPr>
                    <w:t>31572-2015</w:t>
                  </w:r>
                  <w:r>
                    <w:rPr>
                      <w:rFonts w:hint="eastAsia"/>
                      <w:color w:val="000000"/>
                    </w:rPr>
                    <w:t>）</w:t>
                  </w:r>
                </w:p>
              </w:tc>
              <w:tc>
                <w:tcPr>
                  <w:tcW w:w="760" w:type="pct"/>
                  <w:vAlign w:val="center"/>
                </w:tcPr>
                <w:p>
                  <w:pPr>
                    <w:pStyle w:val="112"/>
                  </w:pPr>
                  <w:r>
                    <w:t>1000</w:t>
                  </w:r>
                </w:p>
              </w:tc>
              <w:tc>
                <w:tcPr>
                  <w:tcW w:w="557" w:type="pct"/>
                  <w:vAlign w:val="center"/>
                </w:tcPr>
                <w:p>
                  <w:pPr>
                    <w:pStyle w:val="112"/>
                  </w:pPr>
                  <w:r>
                    <w:t>0.083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1" w:type="pct"/>
                  <w:vMerge w:val="continue"/>
                  <w:vAlign w:val="center"/>
                </w:tcPr>
                <w:p>
                  <w:pPr>
                    <w:pStyle w:val="112"/>
                  </w:pPr>
                </w:p>
              </w:tc>
              <w:tc>
                <w:tcPr>
                  <w:tcW w:w="504" w:type="pct"/>
                  <w:vMerge w:val="continue"/>
                  <w:vAlign w:val="center"/>
                </w:tcPr>
                <w:p>
                  <w:pPr>
                    <w:pStyle w:val="112"/>
                  </w:pPr>
                </w:p>
              </w:tc>
              <w:tc>
                <w:tcPr>
                  <w:tcW w:w="419" w:type="pct"/>
                  <w:vAlign w:val="center"/>
                </w:tcPr>
                <w:p>
                  <w:pPr>
                    <w:pStyle w:val="112"/>
                  </w:pPr>
                  <w:r>
                    <w:rPr>
                      <w:rFonts w:hint="eastAsia"/>
                    </w:rPr>
                    <w:t>加热挤出</w:t>
                  </w:r>
                </w:p>
              </w:tc>
              <w:tc>
                <w:tcPr>
                  <w:tcW w:w="558" w:type="pct"/>
                  <w:vAlign w:val="center"/>
                </w:tcPr>
                <w:p>
                  <w:pPr>
                    <w:pStyle w:val="112"/>
                  </w:pPr>
                  <w:r>
                    <w:rPr>
                      <w:rFonts w:hint="eastAsia"/>
                    </w:rPr>
                    <w:t>NMHC</w:t>
                  </w:r>
                </w:p>
              </w:tc>
              <w:tc>
                <w:tcPr>
                  <w:tcW w:w="530" w:type="pct"/>
                  <w:vAlign w:val="center"/>
                </w:tcPr>
                <w:p>
                  <w:pPr>
                    <w:pStyle w:val="112"/>
                  </w:pPr>
                  <w:r>
                    <w:rPr>
                      <w:rFonts w:hint="eastAsia"/>
                    </w:rPr>
                    <w:t>集气罩收集</w:t>
                  </w:r>
                </w:p>
              </w:tc>
              <w:tc>
                <w:tcPr>
                  <w:tcW w:w="1392" w:type="pct"/>
                  <w:vAlign w:val="center"/>
                </w:tcPr>
                <w:p>
                  <w:pPr>
                    <w:pStyle w:val="112"/>
                    <w:rPr>
                      <w:color w:val="000000"/>
                    </w:rPr>
                  </w:pPr>
                  <w:r>
                    <w:rPr>
                      <w:rFonts w:hint="eastAsia"/>
                      <w:color w:val="000000"/>
                    </w:rPr>
                    <w:t>《合成树脂工业污染物排放标准》（GB</w:t>
                  </w:r>
                  <w:r>
                    <w:rPr>
                      <w:color w:val="000000"/>
                    </w:rPr>
                    <w:t>31572-2015</w:t>
                  </w:r>
                  <w:r>
                    <w:rPr>
                      <w:rFonts w:hint="eastAsia"/>
                      <w:color w:val="000000"/>
                    </w:rPr>
                    <w:t>）</w:t>
                  </w:r>
                </w:p>
              </w:tc>
              <w:tc>
                <w:tcPr>
                  <w:tcW w:w="760" w:type="pct"/>
                  <w:vAlign w:val="center"/>
                </w:tcPr>
                <w:p>
                  <w:pPr>
                    <w:pStyle w:val="112"/>
                  </w:pPr>
                  <w:r>
                    <w:rPr>
                      <w:rFonts w:hint="eastAsia"/>
                    </w:rPr>
                    <w:t>4</w:t>
                  </w:r>
                  <w:r>
                    <w:t>000</w:t>
                  </w:r>
                </w:p>
              </w:tc>
              <w:tc>
                <w:tcPr>
                  <w:tcW w:w="557" w:type="pct"/>
                  <w:vAlign w:val="center"/>
                </w:tcPr>
                <w:p>
                  <w:pPr>
                    <w:pStyle w:val="112"/>
                  </w:pPr>
                  <w:r>
                    <w:rPr>
                      <w:rFonts w:hint="eastAsia"/>
                    </w:rPr>
                    <w:t>0</w:t>
                  </w:r>
                  <w: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1" w:type="pct"/>
                  <w:vAlign w:val="center"/>
                </w:tcPr>
                <w:p>
                  <w:pPr>
                    <w:pStyle w:val="112"/>
                  </w:pPr>
                  <w:r>
                    <w:t>2</w:t>
                  </w:r>
                </w:p>
              </w:tc>
              <w:tc>
                <w:tcPr>
                  <w:tcW w:w="504" w:type="pct"/>
                  <w:vAlign w:val="center"/>
                </w:tcPr>
                <w:p>
                  <w:pPr>
                    <w:pStyle w:val="112"/>
                  </w:pPr>
                  <w:r>
                    <w:t>MY02</w:t>
                  </w:r>
                </w:p>
              </w:tc>
              <w:tc>
                <w:tcPr>
                  <w:tcW w:w="419" w:type="pct"/>
                  <w:vAlign w:val="center"/>
                </w:tcPr>
                <w:p>
                  <w:pPr>
                    <w:pStyle w:val="112"/>
                  </w:pPr>
                  <w:r>
                    <w:rPr>
                      <w:rFonts w:hint="eastAsia"/>
                    </w:rPr>
                    <w:t>破碎、粉磨</w:t>
                  </w:r>
                </w:p>
              </w:tc>
              <w:tc>
                <w:tcPr>
                  <w:tcW w:w="558" w:type="pct"/>
                  <w:vAlign w:val="center"/>
                </w:tcPr>
                <w:p>
                  <w:pPr>
                    <w:pStyle w:val="112"/>
                  </w:pPr>
                  <w:r>
                    <w:t>颗粒物</w:t>
                  </w:r>
                </w:p>
              </w:tc>
              <w:tc>
                <w:tcPr>
                  <w:tcW w:w="530" w:type="pct"/>
                  <w:vAlign w:val="center"/>
                </w:tcPr>
                <w:p>
                  <w:pPr>
                    <w:pStyle w:val="112"/>
                  </w:pPr>
                  <w:r>
                    <w:rPr>
                      <w:rFonts w:hint="eastAsia"/>
                    </w:rPr>
                    <w:t>车间密闭</w:t>
                  </w:r>
                </w:p>
              </w:tc>
              <w:tc>
                <w:tcPr>
                  <w:tcW w:w="1392" w:type="pct"/>
                  <w:vAlign w:val="center"/>
                </w:tcPr>
                <w:p>
                  <w:pPr>
                    <w:pStyle w:val="112"/>
                  </w:pPr>
                  <w:r>
                    <w:rPr>
                      <w:rFonts w:hint="eastAsia"/>
                      <w:color w:val="000000"/>
                    </w:rPr>
                    <w:t>《合成树脂工业污染物排放标准》（GB</w:t>
                  </w:r>
                  <w:r>
                    <w:rPr>
                      <w:color w:val="000000"/>
                    </w:rPr>
                    <w:t>31572-2015</w:t>
                  </w:r>
                  <w:r>
                    <w:rPr>
                      <w:rFonts w:hint="eastAsia"/>
                      <w:color w:val="000000"/>
                    </w:rPr>
                    <w:t>）</w:t>
                  </w:r>
                </w:p>
              </w:tc>
              <w:tc>
                <w:tcPr>
                  <w:tcW w:w="760" w:type="pct"/>
                  <w:vAlign w:val="center"/>
                </w:tcPr>
                <w:p>
                  <w:pPr>
                    <w:pStyle w:val="112"/>
                  </w:pPr>
                  <w:r>
                    <w:t>1000</w:t>
                  </w:r>
                </w:p>
              </w:tc>
              <w:tc>
                <w:tcPr>
                  <w:tcW w:w="557" w:type="pct"/>
                  <w:vAlign w:val="center"/>
                </w:tcPr>
                <w:p>
                  <w:pPr>
                    <w:pStyle w:val="112"/>
                  </w:pPr>
                  <w: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vAlign w:val="center"/>
                </w:tcPr>
                <w:p>
                  <w:pPr>
                    <w:pStyle w:val="112"/>
                  </w:pPr>
                  <w: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1" w:type="pct"/>
                  <w:gridSpan w:val="4"/>
                  <w:vMerge w:val="restart"/>
                  <w:vAlign w:val="center"/>
                </w:tcPr>
                <w:p>
                  <w:pPr>
                    <w:pStyle w:val="112"/>
                  </w:pPr>
                  <w:r>
                    <w:t>无组织排放总计</w:t>
                  </w:r>
                </w:p>
              </w:tc>
              <w:tc>
                <w:tcPr>
                  <w:tcW w:w="2682" w:type="pct"/>
                  <w:gridSpan w:val="3"/>
                  <w:vAlign w:val="center"/>
                </w:tcPr>
                <w:p>
                  <w:pPr>
                    <w:pStyle w:val="112"/>
                  </w:pPr>
                  <w:r>
                    <w:t>颗粒物</w:t>
                  </w:r>
                </w:p>
              </w:tc>
              <w:tc>
                <w:tcPr>
                  <w:tcW w:w="557" w:type="pct"/>
                  <w:vAlign w:val="center"/>
                </w:tcPr>
                <w:p>
                  <w:pPr>
                    <w:pStyle w:val="112"/>
                  </w:pPr>
                  <w:r>
                    <w:t>0.143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61" w:type="pct"/>
                  <w:gridSpan w:val="4"/>
                  <w:vMerge w:val="continue"/>
                  <w:vAlign w:val="center"/>
                </w:tcPr>
                <w:p>
                  <w:pPr>
                    <w:pStyle w:val="112"/>
                  </w:pPr>
                </w:p>
              </w:tc>
              <w:tc>
                <w:tcPr>
                  <w:tcW w:w="2682" w:type="pct"/>
                  <w:gridSpan w:val="3"/>
                  <w:vAlign w:val="center"/>
                </w:tcPr>
                <w:p>
                  <w:pPr>
                    <w:pStyle w:val="112"/>
                  </w:pPr>
                  <w:r>
                    <w:rPr>
                      <w:rFonts w:hint="eastAsia"/>
                    </w:rPr>
                    <w:t>NMHC</w:t>
                  </w:r>
                </w:p>
              </w:tc>
              <w:tc>
                <w:tcPr>
                  <w:tcW w:w="557" w:type="pct"/>
                  <w:vAlign w:val="center"/>
                </w:tcPr>
                <w:p>
                  <w:pPr>
                    <w:pStyle w:val="112"/>
                  </w:pPr>
                  <w:r>
                    <w:rPr>
                      <w:rFonts w:hint="eastAsia"/>
                    </w:rPr>
                    <w:t>0</w:t>
                  </w:r>
                  <w:r>
                    <w:t>.01</w:t>
                  </w:r>
                </w:p>
              </w:tc>
            </w:tr>
          </w:tbl>
          <w:p>
            <w:pPr>
              <w:spacing w:before="156" w:beforeLines="50"/>
              <w:ind w:firstLine="482"/>
              <w:jc w:val="center"/>
              <w:rPr>
                <w:b/>
                <w:color w:val="000000"/>
                <w:szCs w:val="21"/>
              </w:rPr>
            </w:pPr>
            <w:r>
              <w:rPr>
                <w:b/>
                <w:color w:val="000000"/>
                <w:szCs w:val="21"/>
              </w:rPr>
              <w:t xml:space="preserve">表4-5  </w:t>
            </w:r>
            <w:r>
              <w:rPr>
                <w:rFonts w:hint="eastAsia"/>
                <w:b/>
                <w:color w:val="000000"/>
                <w:szCs w:val="21"/>
              </w:rPr>
              <w:t>大气污染物年排放量核算表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77"/>
              <w:gridCol w:w="2575"/>
              <w:gridCol w:w="26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60" w:type="pct"/>
                  <w:vAlign w:val="center"/>
                </w:tcPr>
                <w:p>
                  <w:pPr>
                    <w:pStyle w:val="112"/>
                  </w:pPr>
                  <w:r>
                    <w:t>序号</w:t>
                  </w:r>
                </w:p>
              </w:tc>
              <w:tc>
                <w:tcPr>
                  <w:tcW w:w="1659" w:type="pct"/>
                  <w:vAlign w:val="center"/>
                </w:tcPr>
                <w:p>
                  <w:pPr>
                    <w:pStyle w:val="112"/>
                  </w:pPr>
                  <w:r>
                    <w:t>污染物</w:t>
                  </w:r>
                </w:p>
              </w:tc>
              <w:tc>
                <w:tcPr>
                  <w:tcW w:w="1681" w:type="pct"/>
                  <w:vAlign w:val="center"/>
                </w:tcPr>
                <w:p>
                  <w:pPr>
                    <w:pStyle w:val="112"/>
                  </w:pPr>
                  <w: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60" w:type="pct"/>
                  <w:vAlign w:val="center"/>
                </w:tcPr>
                <w:p>
                  <w:pPr>
                    <w:pStyle w:val="112"/>
                  </w:pPr>
                  <w:r>
                    <w:t>1</w:t>
                  </w:r>
                </w:p>
              </w:tc>
              <w:tc>
                <w:tcPr>
                  <w:tcW w:w="1659" w:type="pct"/>
                  <w:vAlign w:val="center"/>
                </w:tcPr>
                <w:p>
                  <w:pPr>
                    <w:pStyle w:val="112"/>
                  </w:pPr>
                  <w:r>
                    <w:t>颗粒物</w:t>
                  </w:r>
                </w:p>
              </w:tc>
              <w:tc>
                <w:tcPr>
                  <w:tcW w:w="1681" w:type="pct"/>
                  <w:vAlign w:val="center"/>
                </w:tcPr>
                <w:p>
                  <w:pPr>
                    <w:pStyle w:val="112"/>
                    <w:rPr>
                      <w:spacing w:val="6"/>
                    </w:rPr>
                  </w:pPr>
                  <w:r>
                    <w:t>0.173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660" w:type="pct"/>
                  <w:vAlign w:val="center"/>
                </w:tcPr>
                <w:p>
                  <w:pPr>
                    <w:pStyle w:val="112"/>
                  </w:pPr>
                  <w:r>
                    <w:t>2</w:t>
                  </w:r>
                </w:p>
              </w:tc>
              <w:tc>
                <w:tcPr>
                  <w:tcW w:w="1659" w:type="pct"/>
                  <w:vAlign w:val="center"/>
                </w:tcPr>
                <w:p>
                  <w:pPr>
                    <w:pStyle w:val="112"/>
                  </w:pPr>
                  <w:r>
                    <w:rPr>
                      <w:rFonts w:hint="eastAsia"/>
                    </w:rPr>
                    <w:t>NMHC</w:t>
                  </w:r>
                </w:p>
              </w:tc>
              <w:tc>
                <w:tcPr>
                  <w:tcW w:w="1681" w:type="pct"/>
                  <w:vAlign w:val="center"/>
                </w:tcPr>
                <w:p>
                  <w:pPr>
                    <w:pStyle w:val="112"/>
                    <w:rPr>
                      <w:spacing w:val="6"/>
                    </w:rPr>
                  </w:pPr>
                  <w:r>
                    <w:t>0.04</w:t>
                  </w:r>
                </w:p>
              </w:tc>
            </w:tr>
          </w:tbl>
          <w:p>
            <w:pPr>
              <w:pStyle w:val="6"/>
              <w:spacing w:line="360" w:lineRule="auto"/>
              <w:ind w:firstLine="482"/>
              <w:rPr>
                <w:b/>
                <w:bCs/>
                <w:color w:val="000000"/>
                <w:sz w:val="24"/>
              </w:rPr>
            </w:pPr>
            <w:r>
              <w:rPr>
                <w:rFonts w:hint="eastAsia"/>
                <w:b/>
                <w:bCs/>
                <w:color w:val="000000"/>
                <w:sz w:val="24"/>
              </w:rPr>
              <w:t>4、大气环境影响分析</w:t>
            </w:r>
          </w:p>
          <w:p>
            <w:pPr>
              <w:pStyle w:val="6"/>
              <w:spacing w:line="360" w:lineRule="auto"/>
              <w:ind w:firstLine="480"/>
              <w:rPr>
                <w:color w:val="000000"/>
                <w:sz w:val="24"/>
                <w:u w:val="single"/>
              </w:rPr>
            </w:pPr>
            <w:r>
              <w:rPr>
                <w:rFonts w:hint="eastAsia"/>
                <w:color w:val="000000"/>
                <w:sz w:val="24"/>
                <w:u w:val="single"/>
              </w:rPr>
              <w:t>本项目落实环评所提措施后，各废气污染物均能达标排放，对周边环境空气影响较小。项目周边敏感点距离项目较近，但本项目污染物浓度排放量很低，仅排放颗粒物0</w:t>
            </w:r>
            <w:r>
              <w:rPr>
                <w:color w:val="000000"/>
                <w:sz w:val="24"/>
                <w:u w:val="single"/>
              </w:rPr>
              <w:t>.173</w:t>
            </w:r>
            <w:r>
              <w:rPr>
                <w:rFonts w:hint="eastAsia"/>
                <w:color w:val="000000"/>
                <w:sz w:val="24"/>
                <w:u w:val="single"/>
              </w:rPr>
              <w:t>t</w:t>
            </w:r>
            <w:r>
              <w:rPr>
                <w:color w:val="000000"/>
                <w:sz w:val="24"/>
                <w:u w:val="single"/>
              </w:rPr>
              <w:t>/a</w:t>
            </w:r>
            <w:r>
              <w:rPr>
                <w:rFonts w:hint="eastAsia"/>
                <w:color w:val="000000"/>
                <w:sz w:val="24"/>
                <w:u w:val="single"/>
              </w:rPr>
              <w:t>、NMHC</w:t>
            </w:r>
            <w:r>
              <w:rPr>
                <w:color w:val="000000"/>
                <w:sz w:val="24"/>
                <w:u w:val="single"/>
              </w:rPr>
              <w:t>0.04</w:t>
            </w:r>
            <w:r>
              <w:rPr>
                <w:rFonts w:hint="eastAsia"/>
                <w:color w:val="000000"/>
                <w:sz w:val="24"/>
                <w:u w:val="single"/>
              </w:rPr>
              <w:t>t</w:t>
            </w:r>
            <w:r>
              <w:rPr>
                <w:color w:val="000000"/>
                <w:sz w:val="24"/>
                <w:u w:val="single"/>
              </w:rPr>
              <w:t>/a</w:t>
            </w:r>
            <w:r>
              <w:rPr>
                <w:rFonts w:hint="eastAsia"/>
                <w:color w:val="000000"/>
                <w:sz w:val="24"/>
                <w:u w:val="single"/>
              </w:rPr>
              <w:t>，对周边居民点影响很小。</w:t>
            </w:r>
          </w:p>
          <w:p>
            <w:pPr>
              <w:pStyle w:val="6"/>
              <w:spacing w:line="360" w:lineRule="auto"/>
              <w:ind w:firstLine="482"/>
              <w:rPr>
                <w:b/>
                <w:bCs/>
                <w:color w:val="000000"/>
                <w:sz w:val="24"/>
              </w:rPr>
            </w:pPr>
            <w:r>
              <w:rPr>
                <w:b/>
                <w:bCs/>
                <w:color w:val="000000"/>
                <w:sz w:val="24"/>
              </w:rPr>
              <w:t>5、项目营运期废气监测计划</w:t>
            </w:r>
          </w:p>
          <w:p>
            <w:pPr>
              <w:pStyle w:val="6"/>
              <w:spacing w:line="360" w:lineRule="auto"/>
              <w:ind w:firstLine="480"/>
              <w:rPr>
                <w:color w:val="000000"/>
                <w:sz w:val="24"/>
              </w:rPr>
            </w:pPr>
            <w:r>
              <w:rPr>
                <w:color w:val="000000"/>
                <w:sz w:val="24"/>
              </w:rPr>
              <w:t>根据</w:t>
            </w:r>
            <w:r>
              <w:rPr>
                <w:rFonts w:hint="eastAsia"/>
                <w:color w:val="000000"/>
                <w:sz w:val="24"/>
              </w:rPr>
              <w:t>《排污许可证申请与核发技术规范 橡胶和塑料制品工业》（HJ1122—2020）</w:t>
            </w:r>
            <w:r>
              <w:rPr>
                <w:color w:val="000000"/>
                <w:sz w:val="24"/>
              </w:rPr>
              <w:t>及《排污单位自行监测技术指南 总则》（HJ 819-2017），项目运营期废气环境监测计划如下：</w:t>
            </w:r>
          </w:p>
          <w:p>
            <w:pPr>
              <w:ind w:firstLine="482"/>
              <w:jc w:val="center"/>
              <w:rPr>
                <w:b/>
                <w:bCs/>
                <w:color w:val="000000"/>
                <w:szCs w:val="21"/>
              </w:rPr>
            </w:pPr>
            <w:r>
              <w:rPr>
                <w:b/>
                <w:bCs/>
                <w:color w:val="000000"/>
                <w:szCs w:val="21"/>
              </w:rPr>
              <w:t>表4-6  项目营运期废气环境监测计划一览表</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5"/>
              <w:gridCol w:w="1404"/>
              <w:gridCol w:w="1560"/>
              <w:gridCol w:w="1069"/>
              <w:gridCol w:w="28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vAlign w:val="center"/>
                </w:tcPr>
                <w:p>
                  <w:pPr>
                    <w:pStyle w:val="112"/>
                  </w:pPr>
                  <w:r>
                    <w:t>内容</w:t>
                  </w:r>
                </w:p>
              </w:tc>
              <w:tc>
                <w:tcPr>
                  <w:tcW w:w="1404" w:type="dxa"/>
                  <w:vAlign w:val="center"/>
                </w:tcPr>
                <w:p>
                  <w:pPr>
                    <w:pStyle w:val="112"/>
                  </w:pPr>
                  <w:r>
                    <w:t>监测点位</w:t>
                  </w:r>
                </w:p>
              </w:tc>
              <w:tc>
                <w:tcPr>
                  <w:tcW w:w="1560" w:type="dxa"/>
                  <w:vAlign w:val="center"/>
                </w:tcPr>
                <w:p>
                  <w:pPr>
                    <w:pStyle w:val="112"/>
                  </w:pPr>
                  <w:r>
                    <w:t>监测因子</w:t>
                  </w:r>
                </w:p>
              </w:tc>
              <w:tc>
                <w:tcPr>
                  <w:tcW w:w="1069" w:type="dxa"/>
                  <w:vAlign w:val="center"/>
                </w:tcPr>
                <w:p>
                  <w:pPr>
                    <w:pStyle w:val="112"/>
                  </w:pPr>
                  <w:r>
                    <w:t>监测频次</w:t>
                  </w:r>
                </w:p>
              </w:tc>
              <w:tc>
                <w:tcPr>
                  <w:tcW w:w="2882" w:type="dxa"/>
                  <w:vAlign w:val="center"/>
                </w:tcPr>
                <w:p>
                  <w:pPr>
                    <w:pStyle w:val="112"/>
                  </w:pPr>
                  <w: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vAlign w:val="center"/>
                </w:tcPr>
                <w:p>
                  <w:pPr>
                    <w:pStyle w:val="112"/>
                  </w:pPr>
                  <w:r>
                    <w:t>有组织废气</w:t>
                  </w:r>
                </w:p>
              </w:tc>
              <w:tc>
                <w:tcPr>
                  <w:tcW w:w="1404" w:type="dxa"/>
                  <w:vAlign w:val="center"/>
                </w:tcPr>
                <w:p>
                  <w:pPr>
                    <w:pStyle w:val="112"/>
                  </w:pPr>
                  <w:r>
                    <w:t>DA001</w:t>
                  </w:r>
                </w:p>
              </w:tc>
              <w:tc>
                <w:tcPr>
                  <w:tcW w:w="1560" w:type="dxa"/>
                  <w:vAlign w:val="center"/>
                </w:tcPr>
                <w:p>
                  <w:pPr>
                    <w:pStyle w:val="112"/>
                  </w:pPr>
                  <w:r>
                    <w:rPr>
                      <w:rFonts w:hint="eastAsia"/>
                    </w:rPr>
                    <w:t>NMHC</w:t>
                  </w:r>
                </w:p>
              </w:tc>
              <w:tc>
                <w:tcPr>
                  <w:tcW w:w="1069" w:type="dxa"/>
                  <w:vAlign w:val="center"/>
                </w:tcPr>
                <w:p>
                  <w:pPr>
                    <w:pStyle w:val="112"/>
                  </w:pPr>
                  <w:r>
                    <w:t>每年</w:t>
                  </w:r>
                </w:p>
              </w:tc>
              <w:tc>
                <w:tcPr>
                  <w:tcW w:w="2882" w:type="dxa"/>
                  <w:vAlign w:val="center"/>
                </w:tcPr>
                <w:p>
                  <w:pPr>
                    <w:pStyle w:val="112"/>
                  </w:pPr>
                  <w:r>
                    <w:rPr>
                      <w:rFonts w:hint="eastAsia"/>
                      <w:color w:val="000000"/>
                    </w:rPr>
                    <w:t>《合成树脂工业污染物排放标准》（GB</w:t>
                  </w:r>
                  <w:r>
                    <w:rPr>
                      <w:color w:val="000000"/>
                    </w:rPr>
                    <w:t>31572-2015</w:t>
                  </w:r>
                  <w:r>
                    <w:rPr>
                      <w:rFonts w:hint="eastAsia"/>
                      <w:color w:val="000000"/>
                    </w:rPr>
                    <w:t>）表4中标准限值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vMerge w:val="restart"/>
                  <w:vAlign w:val="center"/>
                </w:tcPr>
                <w:p>
                  <w:pPr>
                    <w:pStyle w:val="112"/>
                  </w:pPr>
                  <w:r>
                    <w:t>无组织废气</w:t>
                  </w:r>
                </w:p>
              </w:tc>
              <w:tc>
                <w:tcPr>
                  <w:tcW w:w="1404" w:type="dxa"/>
                  <w:vMerge w:val="restart"/>
                  <w:vAlign w:val="center"/>
                </w:tcPr>
                <w:p>
                  <w:pPr>
                    <w:pStyle w:val="112"/>
                  </w:pPr>
                  <w:r>
                    <w:t>厂界上风向20m处、下风向20m处</w:t>
                  </w:r>
                </w:p>
              </w:tc>
              <w:tc>
                <w:tcPr>
                  <w:tcW w:w="1560" w:type="dxa"/>
                  <w:vAlign w:val="center"/>
                </w:tcPr>
                <w:p>
                  <w:pPr>
                    <w:pStyle w:val="112"/>
                  </w:pPr>
                  <w:r>
                    <w:t>颗粒物</w:t>
                  </w:r>
                </w:p>
              </w:tc>
              <w:tc>
                <w:tcPr>
                  <w:tcW w:w="1069" w:type="dxa"/>
                  <w:vAlign w:val="center"/>
                </w:tcPr>
                <w:p>
                  <w:pPr>
                    <w:pStyle w:val="112"/>
                  </w:pPr>
                  <w:r>
                    <w:t>每年</w:t>
                  </w:r>
                </w:p>
              </w:tc>
              <w:tc>
                <w:tcPr>
                  <w:tcW w:w="2882" w:type="dxa"/>
                  <w:vMerge w:val="restart"/>
                  <w:vAlign w:val="center"/>
                </w:tcPr>
                <w:p>
                  <w:pPr>
                    <w:pStyle w:val="112"/>
                  </w:pPr>
                  <w:r>
                    <w:rPr>
                      <w:rFonts w:hint="eastAsia"/>
                      <w:color w:val="000000"/>
                    </w:rPr>
                    <w:t>《合成树脂工业污染物排放标准》（GB</w:t>
                  </w:r>
                  <w:r>
                    <w:rPr>
                      <w:color w:val="000000"/>
                    </w:rPr>
                    <w:t>31572-2015</w:t>
                  </w:r>
                  <w:r>
                    <w:rPr>
                      <w:rFonts w:hint="eastAsia"/>
                      <w:color w:val="000000"/>
                    </w:rPr>
                    <w:t>）表</w:t>
                  </w:r>
                  <w:r>
                    <w:rPr>
                      <w:color w:val="000000"/>
                    </w:rPr>
                    <w:t>9</w:t>
                  </w:r>
                  <w:r>
                    <w:rPr>
                      <w:rFonts w:hint="eastAsia"/>
                      <w:color w:val="000000"/>
                    </w:rPr>
                    <w:t>中标准限值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5" w:type="dxa"/>
                  <w:vMerge w:val="continue"/>
                  <w:vAlign w:val="center"/>
                </w:tcPr>
                <w:p>
                  <w:pPr>
                    <w:pStyle w:val="112"/>
                  </w:pPr>
                </w:p>
              </w:tc>
              <w:tc>
                <w:tcPr>
                  <w:tcW w:w="1404" w:type="dxa"/>
                  <w:vMerge w:val="continue"/>
                  <w:vAlign w:val="center"/>
                </w:tcPr>
                <w:p>
                  <w:pPr>
                    <w:pStyle w:val="112"/>
                  </w:pPr>
                </w:p>
              </w:tc>
              <w:tc>
                <w:tcPr>
                  <w:tcW w:w="1560" w:type="dxa"/>
                  <w:vAlign w:val="center"/>
                </w:tcPr>
                <w:p>
                  <w:pPr>
                    <w:pStyle w:val="112"/>
                  </w:pPr>
                  <w:r>
                    <w:rPr>
                      <w:rFonts w:hint="eastAsia"/>
                    </w:rPr>
                    <w:t>NMHC</w:t>
                  </w:r>
                </w:p>
              </w:tc>
              <w:tc>
                <w:tcPr>
                  <w:tcW w:w="1069" w:type="dxa"/>
                  <w:vAlign w:val="center"/>
                </w:tcPr>
                <w:p>
                  <w:pPr>
                    <w:pStyle w:val="112"/>
                  </w:pPr>
                  <w:r>
                    <w:t>每年</w:t>
                  </w:r>
                </w:p>
              </w:tc>
              <w:tc>
                <w:tcPr>
                  <w:tcW w:w="2882" w:type="dxa"/>
                  <w:vMerge w:val="continue"/>
                  <w:vAlign w:val="center"/>
                </w:tcPr>
                <w:p>
                  <w:pPr>
                    <w:pStyle w:val="112"/>
                  </w:pPr>
                </w:p>
              </w:tc>
            </w:tr>
          </w:tbl>
          <w:p>
            <w:pPr>
              <w:pStyle w:val="6"/>
              <w:spacing w:line="360" w:lineRule="auto"/>
              <w:ind w:firstLine="482"/>
              <w:rPr>
                <w:b/>
                <w:bCs/>
                <w:color w:val="000000"/>
                <w:sz w:val="24"/>
              </w:rPr>
            </w:pPr>
            <w:r>
              <w:rPr>
                <w:b/>
                <w:bCs/>
                <w:color w:val="000000"/>
                <w:sz w:val="24"/>
              </w:rPr>
              <w:t>二、废水环境影响和保护措施</w:t>
            </w:r>
          </w:p>
          <w:p>
            <w:pPr>
              <w:ind w:firstLine="482"/>
              <w:rPr>
                <w:b/>
                <w:bCs/>
                <w:color w:val="000000"/>
              </w:rPr>
            </w:pPr>
            <w:r>
              <w:rPr>
                <w:rFonts w:hint="eastAsia"/>
                <w:b/>
                <w:bCs/>
                <w:color w:val="000000"/>
              </w:rPr>
              <w:t>1</w:t>
            </w:r>
            <w:r>
              <w:rPr>
                <w:b/>
                <w:bCs/>
                <w:color w:val="000000"/>
              </w:rPr>
              <w:t>、废水排放源强</w:t>
            </w:r>
          </w:p>
          <w:p>
            <w:pPr>
              <w:ind w:firstLine="480"/>
              <w:rPr>
                <w:color w:val="000000"/>
                <w:u w:val="single"/>
              </w:rPr>
            </w:pPr>
            <w:r>
              <w:rPr>
                <w:color w:val="000000"/>
                <w:u w:val="single"/>
              </w:rPr>
              <w:t>（1）生活污水</w:t>
            </w:r>
          </w:p>
          <w:p>
            <w:pPr>
              <w:ind w:firstLine="480"/>
              <w:rPr>
                <w:color w:val="000000"/>
                <w:u w:val="single"/>
              </w:rPr>
            </w:pPr>
            <w:r>
              <w:rPr>
                <w:color w:val="000000"/>
                <w:u w:val="single"/>
              </w:rPr>
              <w:t>本项目员工人数为10人，均不在厂区住宿。用水参照湖南省地方标准《用水定额》（DB43/T388-2020），按照80L/人•d计算，则本项目生活用水总量为0.8m</w:t>
            </w:r>
            <w:r>
              <w:rPr>
                <w:color w:val="000000"/>
                <w:u w:val="single"/>
                <w:vertAlign w:val="superscript"/>
              </w:rPr>
              <w:t>3</w:t>
            </w:r>
            <w:r>
              <w:rPr>
                <w:color w:val="000000"/>
                <w:u w:val="single"/>
              </w:rPr>
              <w:t>/d（240m</w:t>
            </w:r>
            <w:r>
              <w:rPr>
                <w:color w:val="000000"/>
                <w:u w:val="single"/>
                <w:vertAlign w:val="superscript"/>
              </w:rPr>
              <w:t>3</w:t>
            </w:r>
            <w:r>
              <w:rPr>
                <w:color w:val="000000"/>
                <w:u w:val="single"/>
              </w:rPr>
              <w:t>/a）。排放系数为0.8，则生活污水产生量为0.64m</w:t>
            </w:r>
            <w:r>
              <w:rPr>
                <w:color w:val="000000"/>
                <w:u w:val="single"/>
                <w:vertAlign w:val="superscript"/>
              </w:rPr>
              <w:t>3</w:t>
            </w:r>
            <w:r>
              <w:rPr>
                <w:color w:val="000000"/>
                <w:u w:val="single"/>
              </w:rPr>
              <w:t>/d（192m</w:t>
            </w:r>
            <w:r>
              <w:rPr>
                <w:color w:val="000000"/>
                <w:u w:val="single"/>
                <w:vertAlign w:val="superscript"/>
              </w:rPr>
              <w:t>3</w:t>
            </w:r>
            <w:r>
              <w:rPr>
                <w:color w:val="000000"/>
                <w:u w:val="single"/>
              </w:rPr>
              <w:t>/a）。污水中主要污染因子为COD、BOD</w:t>
            </w:r>
            <w:r>
              <w:rPr>
                <w:color w:val="000000"/>
                <w:u w:val="single"/>
                <w:vertAlign w:val="subscript"/>
              </w:rPr>
              <w:t>5</w:t>
            </w:r>
            <w:r>
              <w:rPr>
                <w:color w:val="000000"/>
                <w:u w:val="single"/>
              </w:rPr>
              <w:t>、SS、NH</w:t>
            </w:r>
            <w:r>
              <w:rPr>
                <w:color w:val="000000"/>
                <w:u w:val="single"/>
                <w:vertAlign w:val="subscript"/>
              </w:rPr>
              <w:t>3</w:t>
            </w:r>
            <w:r>
              <w:rPr>
                <w:color w:val="000000"/>
                <w:u w:val="single"/>
              </w:rPr>
              <w:t>-N和动植物油，类比一般生活污水水质，即 COD的浓度为250mg/L，BOD</w:t>
            </w:r>
            <w:r>
              <w:rPr>
                <w:color w:val="000000"/>
                <w:u w:val="single"/>
                <w:vertAlign w:val="subscript"/>
              </w:rPr>
              <w:t>5</w:t>
            </w:r>
            <w:r>
              <w:rPr>
                <w:color w:val="000000"/>
                <w:u w:val="single"/>
              </w:rPr>
              <w:t>的浓度为150mg/L，SS的浓度为100mg/L，NH</w:t>
            </w:r>
            <w:r>
              <w:rPr>
                <w:color w:val="000000"/>
                <w:u w:val="single"/>
                <w:vertAlign w:val="subscript"/>
              </w:rPr>
              <w:t>3</w:t>
            </w:r>
            <w:r>
              <w:rPr>
                <w:color w:val="000000"/>
                <w:u w:val="single"/>
              </w:rPr>
              <w:t>-N的浓度为25mg/L，动植物油40mg/L。生活污水一起进入化粪池，经化粪池处理后用作农肥。项目生活污水产生情况详见表4-11。</w:t>
            </w:r>
          </w:p>
          <w:p>
            <w:pPr>
              <w:ind w:firstLine="482"/>
              <w:jc w:val="center"/>
              <w:rPr>
                <w:b/>
                <w:color w:val="000000"/>
                <w:szCs w:val="21"/>
                <w:u w:val="single"/>
              </w:rPr>
            </w:pPr>
            <w:r>
              <w:rPr>
                <w:b/>
                <w:color w:val="000000"/>
                <w:szCs w:val="21"/>
                <w:u w:val="single"/>
              </w:rPr>
              <w:t>表4-7  废水类别、污染控制项目及污染防治设施一览表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9"/>
              <w:gridCol w:w="1324"/>
              <w:gridCol w:w="835"/>
              <w:gridCol w:w="885"/>
              <w:gridCol w:w="835"/>
              <w:gridCol w:w="983"/>
              <w:gridCol w:w="12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96" w:type="pct"/>
                  <w:gridSpan w:val="2"/>
                  <w:vAlign w:val="center"/>
                </w:tcPr>
                <w:p>
                  <w:pPr>
                    <w:pStyle w:val="112"/>
                    <w:rPr>
                      <w:u w:val="single"/>
                    </w:rPr>
                  </w:pPr>
                  <w:r>
                    <w:rPr>
                      <w:u w:val="single"/>
                    </w:rPr>
                    <w:t>项目</w:t>
                  </w:r>
                </w:p>
              </w:tc>
              <w:tc>
                <w:tcPr>
                  <w:tcW w:w="538" w:type="pct"/>
                  <w:vAlign w:val="center"/>
                </w:tcPr>
                <w:p>
                  <w:pPr>
                    <w:pStyle w:val="112"/>
                    <w:rPr>
                      <w:u w:val="single"/>
                    </w:rPr>
                  </w:pPr>
                  <w:r>
                    <w:rPr>
                      <w:u w:val="single"/>
                    </w:rPr>
                    <w:t>COD</w:t>
                  </w:r>
                </w:p>
              </w:tc>
              <w:tc>
                <w:tcPr>
                  <w:tcW w:w="570" w:type="pct"/>
                  <w:vAlign w:val="center"/>
                </w:tcPr>
                <w:p>
                  <w:pPr>
                    <w:pStyle w:val="112"/>
                    <w:rPr>
                      <w:u w:val="single"/>
                    </w:rPr>
                  </w:pPr>
                  <w:r>
                    <w:rPr>
                      <w:u w:val="single"/>
                    </w:rPr>
                    <w:t>BOD</w:t>
                  </w:r>
                  <w:r>
                    <w:rPr>
                      <w:u w:val="single"/>
                      <w:vertAlign w:val="subscript"/>
                    </w:rPr>
                    <w:t>5</w:t>
                  </w:r>
                </w:p>
              </w:tc>
              <w:tc>
                <w:tcPr>
                  <w:tcW w:w="538" w:type="pct"/>
                  <w:vAlign w:val="center"/>
                </w:tcPr>
                <w:p>
                  <w:pPr>
                    <w:pStyle w:val="112"/>
                    <w:rPr>
                      <w:u w:val="single"/>
                    </w:rPr>
                  </w:pPr>
                  <w:r>
                    <w:rPr>
                      <w:u w:val="single"/>
                    </w:rPr>
                    <w:t>SS</w:t>
                  </w:r>
                </w:p>
              </w:tc>
              <w:tc>
                <w:tcPr>
                  <w:tcW w:w="633" w:type="pct"/>
                  <w:vAlign w:val="center"/>
                </w:tcPr>
                <w:p>
                  <w:pPr>
                    <w:pStyle w:val="112"/>
                    <w:rPr>
                      <w:u w:val="single"/>
                    </w:rPr>
                  </w:pPr>
                  <w:r>
                    <w:rPr>
                      <w:u w:val="single"/>
                    </w:rPr>
                    <w:t>NH</w:t>
                  </w:r>
                  <w:r>
                    <w:rPr>
                      <w:u w:val="single"/>
                      <w:vertAlign w:val="subscript"/>
                    </w:rPr>
                    <w:t>3</w:t>
                  </w:r>
                  <w:r>
                    <w:rPr>
                      <w:u w:val="single"/>
                    </w:rPr>
                    <w:t>-N</w:t>
                  </w:r>
                </w:p>
              </w:tc>
              <w:tc>
                <w:tcPr>
                  <w:tcW w:w="825" w:type="pct"/>
                  <w:vAlign w:val="center"/>
                </w:tcPr>
                <w:p>
                  <w:pPr>
                    <w:pStyle w:val="112"/>
                    <w:rPr>
                      <w:u w:val="single"/>
                    </w:rPr>
                  </w:pPr>
                  <w:r>
                    <w:rPr>
                      <w:u w:val="single"/>
                    </w:rPr>
                    <w:t>动植物油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3" w:type="pct"/>
                  <w:vMerge w:val="restart"/>
                  <w:vAlign w:val="center"/>
                </w:tcPr>
                <w:p>
                  <w:pPr>
                    <w:pStyle w:val="112"/>
                    <w:rPr>
                      <w:u w:val="single"/>
                    </w:rPr>
                  </w:pPr>
                  <w:r>
                    <w:rPr>
                      <w:u w:val="single"/>
                    </w:rPr>
                    <w:t>生活污水</w:t>
                  </w:r>
                </w:p>
                <w:p>
                  <w:pPr>
                    <w:pStyle w:val="112"/>
                    <w:rPr>
                      <w:u w:val="single"/>
                    </w:rPr>
                  </w:pPr>
                  <w:r>
                    <w:rPr>
                      <w:u w:val="single"/>
                    </w:rPr>
                    <w:t>（192m</w:t>
                  </w:r>
                  <w:r>
                    <w:rPr>
                      <w:u w:val="single"/>
                      <w:vertAlign w:val="superscript"/>
                    </w:rPr>
                    <w:t>3</w:t>
                  </w:r>
                  <w:r>
                    <w:rPr>
                      <w:u w:val="single"/>
                    </w:rPr>
                    <w:t>/a）</w:t>
                  </w:r>
                </w:p>
              </w:tc>
              <w:tc>
                <w:tcPr>
                  <w:tcW w:w="852" w:type="pct"/>
                  <w:vAlign w:val="center"/>
                </w:tcPr>
                <w:p>
                  <w:pPr>
                    <w:pStyle w:val="112"/>
                    <w:rPr>
                      <w:u w:val="single"/>
                    </w:rPr>
                  </w:pPr>
                  <w:r>
                    <w:rPr>
                      <w:u w:val="single"/>
                    </w:rPr>
                    <w:t>产生浓度</w:t>
                  </w:r>
                </w:p>
                <w:p>
                  <w:pPr>
                    <w:pStyle w:val="112"/>
                    <w:rPr>
                      <w:u w:val="single"/>
                    </w:rPr>
                  </w:pPr>
                  <w:r>
                    <w:rPr>
                      <w:u w:val="single"/>
                    </w:rPr>
                    <w:t>（mg/L）</w:t>
                  </w:r>
                </w:p>
              </w:tc>
              <w:tc>
                <w:tcPr>
                  <w:tcW w:w="538" w:type="pct"/>
                  <w:vAlign w:val="center"/>
                </w:tcPr>
                <w:p>
                  <w:pPr>
                    <w:pStyle w:val="112"/>
                    <w:rPr>
                      <w:u w:val="single"/>
                    </w:rPr>
                  </w:pPr>
                  <w:r>
                    <w:rPr>
                      <w:u w:val="single"/>
                    </w:rPr>
                    <w:t>250</w:t>
                  </w:r>
                </w:p>
              </w:tc>
              <w:tc>
                <w:tcPr>
                  <w:tcW w:w="570" w:type="pct"/>
                  <w:vAlign w:val="center"/>
                </w:tcPr>
                <w:p>
                  <w:pPr>
                    <w:pStyle w:val="112"/>
                    <w:rPr>
                      <w:u w:val="single"/>
                    </w:rPr>
                  </w:pPr>
                  <w:r>
                    <w:rPr>
                      <w:u w:val="single"/>
                    </w:rPr>
                    <w:t>150</w:t>
                  </w:r>
                </w:p>
              </w:tc>
              <w:tc>
                <w:tcPr>
                  <w:tcW w:w="538" w:type="pct"/>
                  <w:vAlign w:val="center"/>
                </w:tcPr>
                <w:p>
                  <w:pPr>
                    <w:pStyle w:val="112"/>
                    <w:rPr>
                      <w:u w:val="single"/>
                    </w:rPr>
                  </w:pPr>
                  <w:r>
                    <w:rPr>
                      <w:u w:val="single"/>
                    </w:rPr>
                    <w:t>100</w:t>
                  </w:r>
                </w:p>
              </w:tc>
              <w:tc>
                <w:tcPr>
                  <w:tcW w:w="633" w:type="pct"/>
                  <w:vAlign w:val="center"/>
                </w:tcPr>
                <w:p>
                  <w:pPr>
                    <w:pStyle w:val="112"/>
                    <w:rPr>
                      <w:u w:val="single"/>
                    </w:rPr>
                  </w:pPr>
                  <w:r>
                    <w:rPr>
                      <w:u w:val="single"/>
                    </w:rPr>
                    <w:t>25</w:t>
                  </w:r>
                </w:p>
              </w:tc>
              <w:tc>
                <w:tcPr>
                  <w:tcW w:w="825" w:type="pct"/>
                  <w:vAlign w:val="center"/>
                </w:tcPr>
                <w:p>
                  <w:pPr>
                    <w:pStyle w:val="112"/>
                    <w:rPr>
                      <w:u w:val="single"/>
                    </w:rPr>
                  </w:pPr>
                  <w:r>
                    <w:rPr>
                      <w:u w:val="single"/>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43" w:type="pct"/>
                  <w:vMerge w:val="continue"/>
                  <w:vAlign w:val="center"/>
                </w:tcPr>
                <w:p>
                  <w:pPr>
                    <w:pStyle w:val="112"/>
                    <w:rPr>
                      <w:u w:val="single"/>
                    </w:rPr>
                  </w:pPr>
                </w:p>
              </w:tc>
              <w:tc>
                <w:tcPr>
                  <w:tcW w:w="852" w:type="pct"/>
                  <w:vAlign w:val="center"/>
                </w:tcPr>
                <w:p>
                  <w:pPr>
                    <w:pStyle w:val="112"/>
                    <w:rPr>
                      <w:u w:val="single"/>
                    </w:rPr>
                  </w:pPr>
                  <w:r>
                    <w:rPr>
                      <w:u w:val="single"/>
                    </w:rPr>
                    <w:t>产生量</w:t>
                  </w:r>
                </w:p>
                <w:p>
                  <w:pPr>
                    <w:pStyle w:val="112"/>
                    <w:rPr>
                      <w:u w:val="single"/>
                    </w:rPr>
                  </w:pPr>
                  <w:r>
                    <w:rPr>
                      <w:u w:val="single"/>
                    </w:rPr>
                    <w:t>（t/a）</w:t>
                  </w:r>
                </w:p>
              </w:tc>
              <w:tc>
                <w:tcPr>
                  <w:tcW w:w="538" w:type="pct"/>
                  <w:vAlign w:val="center"/>
                </w:tcPr>
                <w:p>
                  <w:pPr>
                    <w:pStyle w:val="112"/>
                    <w:rPr>
                      <w:u w:val="single"/>
                    </w:rPr>
                  </w:pPr>
                  <w:r>
                    <w:rPr>
                      <w:rFonts w:hint="eastAsia"/>
                      <w:u w:val="single"/>
                    </w:rPr>
                    <w:t>0</w:t>
                  </w:r>
                  <w:r>
                    <w:rPr>
                      <w:u w:val="single"/>
                    </w:rPr>
                    <w:t>.048</w:t>
                  </w:r>
                </w:p>
              </w:tc>
              <w:tc>
                <w:tcPr>
                  <w:tcW w:w="570" w:type="pct"/>
                  <w:vAlign w:val="center"/>
                </w:tcPr>
                <w:p>
                  <w:pPr>
                    <w:pStyle w:val="112"/>
                    <w:rPr>
                      <w:u w:val="single"/>
                    </w:rPr>
                  </w:pPr>
                  <w:r>
                    <w:rPr>
                      <w:rFonts w:hint="eastAsia"/>
                      <w:u w:val="single"/>
                    </w:rPr>
                    <w:t>0</w:t>
                  </w:r>
                  <w:r>
                    <w:rPr>
                      <w:u w:val="single"/>
                    </w:rPr>
                    <w:t>.029</w:t>
                  </w:r>
                </w:p>
              </w:tc>
              <w:tc>
                <w:tcPr>
                  <w:tcW w:w="538" w:type="pct"/>
                  <w:vAlign w:val="center"/>
                </w:tcPr>
                <w:p>
                  <w:pPr>
                    <w:pStyle w:val="112"/>
                    <w:rPr>
                      <w:u w:val="single"/>
                    </w:rPr>
                  </w:pPr>
                  <w:r>
                    <w:rPr>
                      <w:rFonts w:hint="eastAsia"/>
                      <w:u w:val="single"/>
                    </w:rPr>
                    <w:t>0</w:t>
                  </w:r>
                  <w:r>
                    <w:rPr>
                      <w:u w:val="single"/>
                    </w:rPr>
                    <w:t>.019</w:t>
                  </w:r>
                </w:p>
              </w:tc>
              <w:tc>
                <w:tcPr>
                  <w:tcW w:w="633" w:type="pct"/>
                  <w:vAlign w:val="center"/>
                </w:tcPr>
                <w:p>
                  <w:pPr>
                    <w:pStyle w:val="112"/>
                    <w:rPr>
                      <w:u w:val="single"/>
                    </w:rPr>
                  </w:pPr>
                  <w:r>
                    <w:rPr>
                      <w:rFonts w:hint="eastAsia"/>
                      <w:u w:val="single"/>
                    </w:rPr>
                    <w:t>0</w:t>
                  </w:r>
                  <w:r>
                    <w:rPr>
                      <w:u w:val="single"/>
                    </w:rPr>
                    <w:t>.005</w:t>
                  </w:r>
                </w:p>
              </w:tc>
              <w:tc>
                <w:tcPr>
                  <w:tcW w:w="825" w:type="pct"/>
                  <w:vAlign w:val="center"/>
                </w:tcPr>
                <w:p>
                  <w:pPr>
                    <w:pStyle w:val="112"/>
                    <w:rPr>
                      <w:u w:val="single"/>
                    </w:rPr>
                  </w:pPr>
                  <w:r>
                    <w:rPr>
                      <w:rFonts w:hint="eastAsia"/>
                      <w:u w:val="single"/>
                    </w:rPr>
                    <w:t>0</w:t>
                  </w:r>
                  <w:r>
                    <w:rPr>
                      <w:u w:val="single"/>
                    </w:rPr>
                    <w:t>.008</w:t>
                  </w:r>
                </w:p>
              </w:tc>
            </w:tr>
          </w:tbl>
          <w:p>
            <w:pPr>
              <w:ind w:firstLine="480"/>
              <w:rPr>
                <w:color w:val="000000"/>
                <w:u w:val="single"/>
              </w:rPr>
            </w:pPr>
            <w:r>
              <w:rPr>
                <w:rFonts w:hint="eastAsia" w:ascii="宋体" w:hAnsi="宋体" w:cs="宋体"/>
                <w:color w:val="000000"/>
                <w:u w:val="single"/>
              </w:rPr>
              <w:t>②</w:t>
            </w:r>
            <w:r>
              <w:rPr>
                <w:color w:val="000000"/>
                <w:u w:val="single"/>
              </w:rPr>
              <w:t>初期雨水</w:t>
            </w:r>
          </w:p>
          <w:p>
            <w:pPr>
              <w:ind w:firstLine="480"/>
              <w:rPr>
                <w:color w:val="000000"/>
                <w:u w:val="single"/>
              </w:rPr>
            </w:pPr>
            <w:r>
              <w:rPr>
                <w:color w:val="000000"/>
                <w:u w:val="single"/>
              </w:rPr>
              <w:t>项目生产过程中有粉尘产生，因此在下雨天会产生含悬浮物的初期雨水。为了避免污染附近地表水体，项目建设初期雨水将初期雨水收集沉淀后</w:t>
            </w:r>
            <w:r>
              <w:rPr>
                <w:rFonts w:hint="eastAsia"/>
                <w:color w:val="000000"/>
                <w:u w:val="single"/>
              </w:rPr>
              <w:t>上清液排放</w:t>
            </w:r>
            <w:r>
              <w:rPr>
                <w:color w:val="000000"/>
                <w:u w:val="single"/>
              </w:rPr>
              <w:t>。项目初期雨水量按照以下公式计算：</w:t>
            </w:r>
          </w:p>
          <w:p>
            <w:pPr>
              <w:ind w:firstLine="480"/>
              <w:rPr>
                <w:color w:val="000000"/>
                <w:u w:val="single"/>
              </w:rPr>
            </w:pPr>
            <w:r>
              <w:rPr>
                <w:color w:val="000000"/>
                <w:u w:val="single"/>
              </w:rPr>
              <w:t>首先计算项目所处地区的暴雨强度，计算公式如下：</w:t>
            </w:r>
          </w:p>
          <w:p>
            <w:pPr>
              <w:adjustRightInd w:val="0"/>
              <w:snapToGrid w:val="0"/>
              <w:ind w:firstLine="480"/>
              <w:jc w:val="center"/>
              <w:rPr>
                <w:i/>
                <w:color w:val="000000"/>
                <w:u w:val="single"/>
              </w:rPr>
            </w:pPr>
            <m:oMathPara>
              <m:oMath>
                <m:r>
                  <m:rPr>
                    <m:sty m:val="p"/>
                  </m:rPr>
                  <w:rPr>
                    <w:rFonts w:ascii="Cambria Math" w:hAnsi="Cambria Math"/>
                    <w:u w:val="single"/>
                  </w:rPr>
                  <m:t>q=</m:t>
                </m:r>
                <m:f>
                  <m:fPr>
                    <m:ctrlPr>
                      <w:rPr>
                        <w:rFonts w:ascii="Cambria Math" w:hAnsi="Cambria Math"/>
                        <w:u w:val="single"/>
                      </w:rPr>
                    </m:ctrlPr>
                  </m:fPr>
                  <m:num>
                    <m:r>
                      <m:rPr>
                        <m:sty m:val="p"/>
                      </m:rPr>
                      <w:rPr>
                        <w:rFonts w:ascii="Cambria Math" w:hAnsi="Cambria Math"/>
                        <w:u w:val="single"/>
                      </w:rPr>
                      <m:t>6.897+6.251lgP</m:t>
                    </m:r>
                    <m:ctrlPr>
                      <w:rPr>
                        <w:rFonts w:ascii="Cambria Math" w:hAnsi="Cambria Math"/>
                        <w:u w:val="single"/>
                      </w:rPr>
                    </m:ctrlPr>
                  </m:num>
                  <m:den>
                    <m:sSup>
                      <m:sSupPr>
                        <m:ctrlPr>
                          <w:rPr>
                            <w:rFonts w:ascii="Cambria Math" w:hAnsi="Cambria Math"/>
                            <w:u w:val="single"/>
                          </w:rPr>
                        </m:ctrlPr>
                      </m:sSupPr>
                      <m:e>
                        <m:r>
                          <m:rPr>
                            <m:sty m:val="p"/>
                          </m:rPr>
                          <w:rPr>
                            <w:rFonts w:ascii="Cambria Math" w:hAnsi="Cambria Math"/>
                            <w:u w:val="single"/>
                          </w:rPr>
                          <m:t>(t+4.367)</m:t>
                        </m:r>
                        <m:ctrlPr>
                          <w:rPr>
                            <w:rFonts w:ascii="Cambria Math" w:hAnsi="Cambria Math"/>
                            <w:u w:val="single"/>
                          </w:rPr>
                        </m:ctrlPr>
                      </m:e>
                      <m:sup>
                        <m:r>
                          <m:rPr>
                            <m:sty m:val="p"/>
                          </m:rPr>
                          <w:rPr>
                            <w:rFonts w:ascii="Cambria Math" w:hAnsi="Cambria Math"/>
                            <w:u w:val="single"/>
                          </w:rPr>
                          <m:t>0.602</m:t>
                        </m:r>
                        <m:ctrlPr>
                          <w:rPr>
                            <w:rFonts w:ascii="Cambria Math" w:hAnsi="Cambria Math"/>
                            <w:u w:val="single"/>
                          </w:rPr>
                        </m:ctrlPr>
                      </m:sup>
                    </m:sSup>
                    <m:ctrlPr>
                      <w:rPr>
                        <w:rFonts w:ascii="Cambria Math" w:hAnsi="Cambria Math"/>
                        <w:u w:val="single"/>
                      </w:rPr>
                    </m:ctrlPr>
                  </m:den>
                </m:f>
              </m:oMath>
            </m:oMathPara>
          </w:p>
          <w:p>
            <w:pPr>
              <w:ind w:firstLine="480"/>
              <w:rPr>
                <w:color w:val="000000"/>
                <w:u w:val="single"/>
              </w:rPr>
            </w:pPr>
            <w:r>
              <w:rPr>
                <w:color w:val="000000"/>
                <w:u w:val="single"/>
              </w:rPr>
              <w:t>其中：q——暴雨强度（L/s·hm</w:t>
            </w:r>
            <w:r>
              <w:rPr>
                <w:color w:val="000000"/>
                <w:u w:val="single"/>
                <w:vertAlign w:val="superscript"/>
              </w:rPr>
              <w:t>2</w:t>
            </w:r>
            <w:r>
              <w:rPr>
                <w:color w:val="000000"/>
                <w:u w:val="single"/>
              </w:rPr>
              <w:t>）；</w:t>
            </w:r>
          </w:p>
          <w:p>
            <w:pPr>
              <w:ind w:firstLine="1200" w:firstLineChars="500"/>
              <w:rPr>
                <w:color w:val="000000"/>
                <w:u w:val="single"/>
              </w:rPr>
            </w:pPr>
            <w:r>
              <w:rPr>
                <w:color w:val="000000"/>
                <w:u w:val="single"/>
              </w:rPr>
              <w:t>P——重现期，重现期取1年；</w:t>
            </w:r>
          </w:p>
          <w:p>
            <w:pPr>
              <w:ind w:firstLine="480"/>
              <w:rPr>
                <w:color w:val="000000"/>
                <w:u w:val="single"/>
              </w:rPr>
            </w:pPr>
            <w:r>
              <w:rPr>
                <w:color w:val="000000"/>
                <w:u w:val="single"/>
              </w:rPr>
              <w:t xml:space="preserve">      t——降雨历时，本次取15min。</w:t>
            </w:r>
          </w:p>
          <w:p>
            <w:pPr>
              <w:ind w:firstLine="480"/>
              <w:rPr>
                <w:color w:val="000000"/>
                <w:u w:val="single"/>
              </w:rPr>
            </w:pPr>
            <w:r>
              <w:rPr>
                <w:color w:val="000000"/>
                <w:u w:val="single"/>
              </w:rPr>
              <w:t>经计算，本项目所在区域暴雨强度为192.87L/s·hm</w:t>
            </w:r>
            <w:r>
              <w:rPr>
                <w:color w:val="000000"/>
                <w:u w:val="single"/>
                <w:vertAlign w:val="superscript"/>
              </w:rPr>
              <w:t>2</w:t>
            </w:r>
            <w:r>
              <w:rPr>
                <w:color w:val="000000"/>
                <w:u w:val="single"/>
              </w:rPr>
              <w:t>。</w:t>
            </w:r>
          </w:p>
          <w:p>
            <w:pPr>
              <w:adjustRightInd w:val="0"/>
              <w:snapToGrid w:val="0"/>
              <w:ind w:firstLine="480"/>
              <w:rPr>
                <w:color w:val="000000"/>
                <w:u w:val="single"/>
              </w:rPr>
            </w:pPr>
            <w:r>
              <w:rPr>
                <w:color w:val="000000"/>
                <w:u w:val="single"/>
              </w:rPr>
              <w:t>根据《室外排水设计规范》（GB50014-2006）雨水设计流量计算公式：</w:t>
            </w:r>
          </w:p>
          <w:p>
            <w:pPr>
              <w:adjustRightInd w:val="0"/>
              <w:snapToGrid w:val="0"/>
              <w:ind w:firstLine="480"/>
              <w:jc w:val="center"/>
              <w:rPr>
                <w:color w:val="000000"/>
                <w:u w:val="single"/>
              </w:rPr>
            </w:pPr>
            <w:r>
              <w:rPr>
                <w:color w:val="000000"/>
                <w:u w:val="single"/>
              </w:rPr>
              <w:object>
                <v:shape id="_x0000_i1026" o:spt="75" type="#_x0000_t75" style="height:21.6pt;width:57.6pt;" o:ole="t" filled="f" o:preferrelative="t" stroked="f" coordsize="21600,21600">
                  <v:path/>
                  <v:fill on="f" focussize="0,0"/>
                  <v:stroke on="f" joinstyle="miter"/>
                  <v:imagedata r:id="rId23" o:title=""/>
                  <o:lock v:ext="edit" aspectratio="t"/>
                  <w10:wrap type="none"/>
                  <w10:anchorlock/>
                </v:shape>
                <o:OLEObject Type="Embed" ProgID="Equation.3" ShapeID="_x0000_i1026" DrawAspect="Content" ObjectID="_1468075726" r:id="rId22">
                  <o:LockedField>false</o:LockedField>
                </o:OLEObject>
              </w:object>
            </w:r>
          </w:p>
          <w:p>
            <w:pPr>
              <w:adjustRightInd w:val="0"/>
              <w:snapToGrid w:val="0"/>
              <w:ind w:firstLine="480"/>
              <w:rPr>
                <w:color w:val="000000"/>
                <w:u w:val="single"/>
              </w:rPr>
            </w:pPr>
            <w:r>
              <w:rPr>
                <w:color w:val="000000"/>
                <w:u w:val="single"/>
              </w:rPr>
              <w:t>其中：</w:t>
            </w:r>
            <w:r>
              <w:rPr>
                <w:i/>
                <w:color w:val="000000"/>
                <w:u w:val="single"/>
              </w:rPr>
              <w:t>Q</w:t>
            </w:r>
            <w:r>
              <w:rPr>
                <w:i/>
                <w:color w:val="000000"/>
                <w:u w:val="single"/>
                <w:vertAlign w:val="subscript"/>
              </w:rPr>
              <w:t>s</w:t>
            </w:r>
            <w:r>
              <w:rPr>
                <w:i/>
                <w:color w:val="000000"/>
                <w:u w:val="single"/>
              </w:rPr>
              <w:t>——</w:t>
            </w:r>
            <w:r>
              <w:rPr>
                <w:color w:val="000000"/>
                <w:u w:val="single"/>
              </w:rPr>
              <w:t>雨水设计流量（L/s）；</w:t>
            </w:r>
          </w:p>
          <w:p>
            <w:pPr>
              <w:adjustRightInd w:val="0"/>
              <w:snapToGrid w:val="0"/>
              <w:ind w:firstLine="1200" w:firstLineChars="500"/>
              <w:rPr>
                <w:color w:val="000000"/>
                <w:u w:val="single"/>
              </w:rPr>
            </w:pPr>
            <w:r>
              <w:rPr>
                <w:i/>
                <w:color w:val="000000"/>
                <w:u w:val="single"/>
              </w:rPr>
              <w:t>q——</w:t>
            </w:r>
            <w:r>
              <w:rPr>
                <w:color w:val="000000"/>
                <w:u w:val="single"/>
              </w:rPr>
              <w:t>暴雨强度（L/s·hm</w:t>
            </w:r>
            <w:r>
              <w:rPr>
                <w:color w:val="000000"/>
                <w:u w:val="single"/>
                <w:vertAlign w:val="superscript"/>
              </w:rPr>
              <w:t>2</w:t>
            </w:r>
            <w:r>
              <w:rPr>
                <w:color w:val="000000"/>
                <w:u w:val="single"/>
              </w:rPr>
              <w:t>）；</w:t>
            </w:r>
          </w:p>
          <w:p>
            <w:pPr>
              <w:ind w:firstLine="1200" w:firstLineChars="500"/>
              <w:rPr>
                <w:color w:val="000000"/>
                <w:u w:val="single"/>
              </w:rPr>
            </w:pPr>
            <w:r>
              <w:rPr>
                <w:color w:val="000000"/>
                <w:u w:val="single"/>
              </w:rPr>
              <w:t>ψ——径流系数，本次取0.85（各种屋面、混凝土或沥青路面为0.85~0.95）；</w:t>
            </w:r>
          </w:p>
          <w:p>
            <w:pPr>
              <w:ind w:firstLine="1200" w:firstLineChars="500"/>
              <w:rPr>
                <w:color w:val="000000"/>
                <w:u w:val="single"/>
              </w:rPr>
            </w:pPr>
            <w:r>
              <w:rPr>
                <w:color w:val="000000"/>
                <w:u w:val="single"/>
              </w:rPr>
              <w:t>F——汇水面积，汇水面积以裸露地面计，因此本项目取0.66hm</w:t>
            </w:r>
            <w:r>
              <w:rPr>
                <w:color w:val="000000"/>
                <w:u w:val="single"/>
                <w:vertAlign w:val="superscript"/>
              </w:rPr>
              <w:t>2</w:t>
            </w:r>
            <w:r>
              <w:rPr>
                <w:color w:val="000000"/>
                <w:u w:val="single"/>
              </w:rPr>
              <w:t>。</w:t>
            </w:r>
          </w:p>
          <w:p>
            <w:pPr>
              <w:ind w:firstLine="480"/>
              <w:rPr>
                <w:color w:val="000000"/>
                <w:u w:val="single"/>
              </w:rPr>
            </w:pPr>
            <w:r>
              <w:rPr>
                <w:color w:val="000000"/>
                <w:u w:val="single"/>
              </w:rPr>
              <w:t>经计算，项目雨水设计流量约为245.9L/s，暴雨持续时间按照15min计算，雨水量约为108.2m</w:t>
            </w:r>
            <w:r>
              <w:rPr>
                <w:color w:val="000000"/>
                <w:u w:val="single"/>
                <w:vertAlign w:val="superscript"/>
              </w:rPr>
              <w:t>3</w:t>
            </w:r>
            <w:r>
              <w:rPr>
                <w:color w:val="000000"/>
                <w:u w:val="single"/>
              </w:rPr>
              <w:t>/次，此为最大一次降水量。本项目初期雨水经厂区四周排水沟收集</w:t>
            </w:r>
            <w:r>
              <w:rPr>
                <w:rFonts w:hint="eastAsia"/>
                <w:color w:val="000000"/>
                <w:u w:val="single"/>
              </w:rPr>
              <w:t>至初期雨水池</w:t>
            </w:r>
            <w:r>
              <w:rPr>
                <w:color w:val="000000"/>
                <w:u w:val="single"/>
              </w:rPr>
              <w:t>（</w:t>
            </w:r>
            <w:r>
              <w:rPr>
                <w:rFonts w:hint="eastAsia"/>
                <w:color w:val="000000"/>
                <w:u w:val="single"/>
              </w:rPr>
              <w:t>容积为2</w:t>
            </w:r>
            <w:r>
              <w:rPr>
                <w:color w:val="000000"/>
                <w:u w:val="single"/>
              </w:rPr>
              <w:t>00</w:t>
            </w:r>
            <w:r>
              <w:rPr>
                <w:rFonts w:hint="eastAsia"/>
                <w:color w:val="000000"/>
                <w:u w:val="single"/>
              </w:rPr>
              <w:t>m</w:t>
            </w:r>
            <w:r>
              <w:rPr>
                <w:color w:val="000000"/>
                <w:u w:val="single"/>
                <w:vertAlign w:val="superscript"/>
              </w:rPr>
              <w:t>3</w:t>
            </w:r>
            <w:r>
              <w:rPr>
                <w:color w:val="000000"/>
                <w:u w:val="single"/>
              </w:rPr>
              <w:t>）</w:t>
            </w:r>
            <w:r>
              <w:rPr>
                <w:rFonts w:hint="eastAsia"/>
                <w:color w:val="000000"/>
                <w:u w:val="single"/>
              </w:rPr>
              <w:t>，沉淀后上清液直接排放至周边沟渠</w:t>
            </w:r>
            <w:r>
              <w:rPr>
                <w:color w:val="000000"/>
                <w:u w:val="single"/>
              </w:rPr>
              <w:t>。</w:t>
            </w:r>
          </w:p>
          <w:p>
            <w:pPr>
              <w:ind w:firstLine="482"/>
              <w:rPr>
                <w:b/>
                <w:bCs/>
                <w:color w:val="000000"/>
              </w:rPr>
            </w:pPr>
            <w:r>
              <w:rPr>
                <w:b/>
                <w:bCs/>
                <w:color w:val="000000"/>
              </w:rPr>
              <w:t>3、废水治理设施技术可行性分析</w:t>
            </w:r>
          </w:p>
          <w:p>
            <w:pPr>
              <w:ind w:firstLine="480"/>
              <w:rPr>
                <w:color w:val="000000"/>
              </w:rPr>
            </w:pPr>
            <w:r>
              <w:rPr>
                <w:color w:val="000000"/>
              </w:rPr>
              <w:t>根据“《排污许可证申请与核发技术规范 总则》（HJ942-2018）中4.5.3.1”，生活污水防治工艺为“过滤、沉淀-活性污泥法、生物接触氧化、其他”等处理技术或其他。</w:t>
            </w:r>
          </w:p>
          <w:p>
            <w:pPr>
              <w:ind w:firstLine="480"/>
              <w:rPr>
                <w:color w:val="000000"/>
              </w:rPr>
            </w:pPr>
            <w:r>
              <w:rPr>
                <w:color w:val="000000"/>
              </w:rPr>
              <w:t>生活污水处理工艺为化粪池（过滤、沉淀、生物接触氧化），属于可行技术。化粪池是一种利用沉淀和厌氧发酵的原理，去除生活污水中悬浮性有机物的处理设施，属于初级的过渡性生活处理构筑物，可有效处理粪便等，属于可行性技术。</w:t>
            </w:r>
          </w:p>
          <w:p>
            <w:pPr>
              <w:pStyle w:val="6"/>
              <w:spacing w:line="360" w:lineRule="auto"/>
              <w:ind w:firstLine="480"/>
              <w:rPr>
                <w:b/>
                <w:bCs/>
                <w:color w:val="FF0000"/>
                <w:sz w:val="24"/>
              </w:rPr>
            </w:pPr>
            <w:r>
              <w:rPr>
                <w:color w:val="000000"/>
                <w:sz w:val="24"/>
              </w:rPr>
              <w:t>综上所述，本项目</w:t>
            </w:r>
            <w:r>
              <w:rPr>
                <w:bCs/>
                <w:color w:val="000000"/>
                <w:kern w:val="0"/>
                <w:sz w:val="24"/>
              </w:rPr>
              <w:t>不产生工艺废水，生活污水经隔油池、化粪池收集处理后用作</w:t>
            </w:r>
            <w:r>
              <w:rPr>
                <w:rFonts w:hint="eastAsia"/>
                <w:bCs/>
                <w:color w:val="000000"/>
                <w:kern w:val="0"/>
                <w:sz w:val="24"/>
              </w:rPr>
              <w:t>周边农田施肥，</w:t>
            </w:r>
            <w:r>
              <w:rPr>
                <w:bCs/>
                <w:color w:val="000000"/>
                <w:kern w:val="0"/>
                <w:sz w:val="24"/>
              </w:rPr>
              <w:t>对周边水环境影响较小。</w:t>
            </w:r>
          </w:p>
          <w:p>
            <w:pPr>
              <w:pStyle w:val="6"/>
              <w:spacing w:line="360" w:lineRule="auto"/>
              <w:ind w:firstLine="482"/>
              <w:rPr>
                <w:b/>
                <w:bCs/>
                <w:color w:val="000000"/>
                <w:sz w:val="24"/>
              </w:rPr>
            </w:pPr>
            <w:r>
              <w:rPr>
                <w:b/>
                <w:bCs/>
                <w:color w:val="000000"/>
                <w:sz w:val="24"/>
              </w:rPr>
              <w:t>三、声环境影响和保护措施</w:t>
            </w:r>
          </w:p>
          <w:p>
            <w:pPr>
              <w:pStyle w:val="6"/>
              <w:spacing w:line="360" w:lineRule="auto"/>
              <w:ind w:firstLine="482"/>
              <w:rPr>
                <w:b/>
                <w:bCs/>
                <w:color w:val="000000"/>
                <w:sz w:val="24"/>
              </w:rPr>
            </w:pPr>
            <w:r>
              <w:rPr>
                <w:b/>
                <w:bCs/>
                <w:color w:val="000000"/>
                <w:sz w:val="24"/>
              </w:rPr>
              <w:t>1、噪声污染源分析</w:t>
            </w:r>
          </w:p>
          <w:p>
            <w:pPr>
              <w:pStyle w:val="16"/>
              <w:spacing w:after="0" w:line="360" w:lineRule="auto"/>
              <w:ind w:left="0" w:leftChars="0" w:firstLine="480" w:firstLineChars="200"/>
              <w:rPr>
                <w:color w:val="000000"/>
                <w:sz w:val="24"/>
              </w:rPr>
            </w:pPr>
            <w:r>
              <w:rPr>
                <w:color w:val="000000"/>
                <w:sz w:val="24"/>
              </w:rPr>
              <w:t>厂区营运期噪声源主要为</w:t>
            </w:r>
            <w:r>
              <w:rPr>
                <w:rFonts w:hint="eastAsia"/>
                <w:color w:val="000000"/>
                <w:sz w:val="24"/>
              </w:rPr>
              <w:t>自动上料机、锥双螺杆、两辊机、成型机、切割机、破碎机、磨粉机、风机</w:t>
            </w:r>
            <w:r>
              <w:rPr>
                <w:color w:val="000000"/>
                <w:sz w:val="24"/>
              </w:rPr>
              <w:t>等设备运转及作业噪声，噪声源强为</w:t>
            </w:r>
            <w:r>
              <w:rPr>
                <w:rFonts w:hint="eastAsia"/>
                <w:color w:val="000000"/>
                <w:sz w:val="24"/>
              </w:rPr>
              <w:t>70</w:t>
            </w:r>
            <w:r>
              <w:rPr>
                <w:color w:val="000000"/>
                <w:sz w:val="24"/>
              </w:rPr>
              <w:t>～95dB（A），生产设备在运行期产生噪声值见下表4-8：</w:t>
            </w:r>
          </w:p>
          <w:p>
            <w:pPr>
              <w:pStyle w:val="90"/>
              <w:ind w:firstLine="480"/>
              <w:rPr>
                <w:color w:val="000000"/>
              </w:rPr>
            </w:pPr>
            <w:r>
              <w:rPr>
                <w:color w:val="000000"/>
              </w:rPr>
              <w:t>表4-8 主要声源及控制方案</w:t>
            </w:r>
          </w:p>
          <w:tbl>
            <w:tblPr>
              <w:tblStyle w:val="2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8" w:type="dxa"/>
                <w:bottom w:w="0" w:type="dxa"/>
                <w:right w:w="28" w:type="dxa"/>
              </w:tblCellMar>
            </w:tblPr>
            <w:tblGrid>
              <w:gridCol w:w="1513"/>
              <w:gridCol w:w="1195"/>
              <w:gridCol w:w="382"/>
              <w:gridCol w:w="382"/>
              <w:gridCol w:w="380"/>
              <w:gridCol w:w="380"/>
              <w:gridCol w:w="682"/>
              <w:gridCol w:w="682"/>
              <w:gridCol w:w="1514"/>
              <w:gridCol w:w="65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75" w:type="pct"/>
                  <w:vMerge w:val="restart"/>
                  <w:tcBorders>
                    <w:top w:val="single" w:color="auto" w:sz="4" w:space="0"/>
                    <w:left w:val="single" w:color="auto" w:sz="4" w:space="0"/>
                    <w:bottom w:val="single" w:color="auto" w:sz="4" w:space="0"/>
                  </w:tcBorders>
                  <w:vAlign w:val="center"/>
                </w:tcPr>
                <w:p>
                  <w:pPr>
                    <w:pStyle w:val="112"/>
                  </w:pPr>
                  <w:r>
                    <w:t>设备名称</w:t>
                  </w:r>
                </w:p>
              </w:tc>
              <w:tc>
                <w:tcPr>
                  <w:tcW w:w="770" w:type="pct"/>
                  <w:vMerge w:val="restart"/>
                  <w:tcBorders>
                    <w:top w:val="single" w:color="auto" w:sz="4" w:space="0"/>
                    <w:bottom w:val="single" w:color="auto" w:sz="4" w:space="0"/>
                  </w:tcBorders>
                  <w:vAlign w:val="center"/>
                </w:tcPr>
                <w:p>
                  <w:pPr>
                    <w:pStyle w:val="112"/>
                  </w:pPr>
                  <w:r>
                    <w:t>噪声值</w:t>
                  </w:r>
                </w:p>
                <w:p>
                  <w:pPr>
                    <w:pStyle w:val="112"/>
                  </w:pPr>
                  <w:r>
                    <w:t>dB（A）</w:t>
                  </w:r>
                </w:p>
              </w:tc>
              <w:tc>
                <w:tcPr>
                  <w:tcW w:w="1860" w:type="pct"/>
                  <w:gridSpan w:val="6"/>
                  <w:tcBorders>
                    <w:top w:val="single" w:color="auto" w:sz="4" w:space="0"/>
                    <w:bottom w:val="single" w:color="auto" w:sz="4" w:space="0"/>
                  </w:tcBorders>
                  <w:vAlign w:val="center"/>
                </w:tcPr>
                <w:p>
                  <w:pPr>
                    <w:pStyle w:val="112"/>
                  </w:pPr>
                  <w:r>
                    <w:t>距厂界最近距离（m）</w:t>
                  </w:r>
                </w:p>
              </w:tc>
              <w:tc>
                <w:tcPr>
                  <w:tcW w:w="975" w:type="pct"/>
                  <w:vMerge w:val="restart"/>
                  <w:tcBorders>
                    <w:top w:val="single" w:color="auto" w:sz="4" w:space="0"/>
                    <w:bottom w:val="single" w:color="auto" w:sz="4" w:space="0"/>
                  </w:tcBorders>
                  <w:vAlign w:val="center"/>
                </w:tcPr>
                <w:p>
                  <w:pPr>
                    <w:pStyle w:val="112"/>
                  </w:pPr>
                  <w:r>
                    <w:t>治理措施</w:t>
                  </w:r>
                </w:p>
              </w:tc>
              <w:tc>
                <w:tcPr>
                  <w:tcW w:w="420" w:type="pct"/>
                  <w:vMerge w:val="restart"/>
                  <w:tcBorders>
                    <w:top w:val="single" w:color="auto" w:sz="4" w:space="0"/>
                    <w:bottom w:val="single" w:color="auto" w:sz="4" w:space="0"/>
                    <w:right w:val="single" w:color="auto" w:sz="4" w:space="0"/>
                  </w:tcBorders>
                  <w:vAlign w:val="center"/>
                </w:tcPr>
                <w:p>
                  <w:pPr>
                    <w:pStyle w:val="112"/>
                  </w:pPr>
                  <w:r>
                    <w:t>降噪</w:t>
                  </w:r>
                </w:p>
                <w:p>
                  <w:pPr>
                    <w:pStyle w:val="112"/>
                  </w:pPr>
                  <w:r>
                    <w:t>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75" w:type="pct"/>
                  <w:vMerge w:val="continue"/>
                  <w:tcBorders>
                    <w:top w:val="single" w:color="auto" w:sz="4" w:space="0"/>
                    <w:left w:val="single" w:color="auto" w:sz="4" w:space="0"/>
                    <w:bottom w:val="single" w:color="auto" w:sz="4" w:space="0"/>
                  </w:tcBorders>
                  <w:vAlign w:val="center"/>
                </w:tcPr>
                <w:p>
                  <w:pPr>
                    <w:pStyle w:val="112"/>
                  </w:pPr>
                </w:p>
              </w:tc>
              <w:tc>
                <w:tcPr>
                  <w:tcW w:w="770" w:type="pct"/>
                  <w:vMerge w:val="continue"/>
                  <w:tcBorders>
                    <w:top w:val="single" w:color="auto" w:sz="4" w:space="0"/>
                    <w:bottom w:val="single" w:color="auto" w:sz="4" w:space="0"/>
                  </w:tcBorders>
                  <w:vAlign w:val="center"/>
                </w:tcPr>
                <w:p>
                  <w:pPr>
                    <w:pStyle w:val="112"/>
                  </w:pPr>
                </w:p>
              </w:tc>
              <w:tc>
                <w:tcPr>
                  <w:tcW w:w="246" w:type="pct"/>
                  <w:tcBorders>
                    <w:top w:val="single" w:color="auto" w:sz="4" w:space="0"/>
                    <w:bottom w:val="single" w:color="auto" w:sz="4" w:space="0"/>
                  </w:tcBorders>
                  <w:vAlign w:val="center"/>
                </w:tcPr>
                <w:p>
                  <w:pPr>
                    <w:pStyle w:val="112"/>
                  </w:pPr>
                  <w:r>
                    <w:t>E</w:t>
                  </w:r>
                </w:p>
              </w:tc>
              <w:tc>
                <w:tcPr>
                  <w:tcW w:w="246" w:type="pct"/>
                  <w:tcBorders>
                    <w:top w:val="single" w:color="auto" w:sz="4" w:space="0"/>
                    <w:bottom w:val="single" w:color="auto" w:sz="4" w:space="0"/>
                  </w:tcBorders>
                  <w:vAlign w:val="center"/>
                </w:tcPr>
                <w:p>
                  <w:pPr>
                    <w:pStyle w:val="112"/>
                  </w:pPr>
                  <w:r>
                    <w:t>S</w:t>
                  </w:r>
                </w:p>
              </w:tc>
              <w:tc>
                <w:tcPr>
                  <w:tcW w:w="245" w:type="pct"/>
                  <w:tcBorders>
                    <w:top w:val="single" w:color="auto" w:sz="4" w:space="0"/>
                    <w:bottom w:val="single" w:color="auto" w:sz="4" w:space="0"/>
                  </w:tcBorders>
                  <w:vAlign w:val="center"/>
                </w:tcPr>
                <w:p>
                  <w:pPr>
                    <w:pStyle w:val="112"/>
                  </w:pPr>
                  <w:r>
                    <w:t>W</w:t>
                  </w:r>
                </w:p>
              </w:tc>
              <w:tc>
                <w:tcPr>
                  <w:tcW w:w="245" w:type="pct"/>
                  <w:tcBorders>
                    <w:top w:val="single" w:color="auto" w:sz="4" w:space="0"/>
                    <w:bottom w:val="single" w:color="auto" w:sz="4" w:space="0"/>
                  </w:tcBorders>
                  <w:vAlign w:val="center"/>
                </w:tcPr>
                <w:p>
                  <w:pPr>
                    <w:pStyle w:val="112"/>
                  </w:pPr>
                  <w:r>
                    <w:t>N</w:t>
                  </w:r>
                </w:p>
              </w:tc>
              <w:tc>
                <w:tcPr>
                  <w:tcW w:w="439" w:type="pct"/>
                  <w:tcBorders>
                    <w:top w:val="single" w:color="auto" w:sz="4" w:space="0"/>
                    <w:bottom w:val="single" w:color="auto" w:sz="4" w:space="0"/>
                  </w:tcBorders>
                  <w:vAlign w:val="center"/>
                </w:tcPr>
                <w:p>
                  <w:pPr>
                    <w:pStyle w:val="112"/>
                  </w:pPr>
                  <w:r>
                    <w:rPr>
                      <w:rFonts w:hint="eastAsia"/>
                    </w:rPr>
                    <w:t>东侧</w:t>
                  </w:r>
                </w:p>
                <w:p>
                  <w:pPr>
                    <w:pStyle w:val="112"/>
                  </w:pPr>
                  <w:r>
                    <w:rPr>
                      <w:rFonts w:hint="eastAsia"/>
                    </w:rPr>
                    <w:t>居民</w:t>
                  </w:r>
                </w:p>
              </w:tc>
              <w:tc>
                <w:tcPr>
                  <w:tcW w:w="439" w:type="pct"/>
                  <w:tcBorders>
                    <w:top w:val="single" w:color="auto" w:sz="4" w:space="0"/>
                    <w:bottom w:val="single" w:color="auto" w:sz="4" w:space="0"/>
                  </w:tcBorders>
                  <w:vAlign w:val="center"/>
                </w:tcPr>
                <w:p>
                  <w:pPr>
                    <w:pStyle w:val="112"/>
                  </w:pPr>
                  <w:r>
                    <w:rPr>
                      <w:rFonts w:hint="eastAsia"/>
                    </w:rPr>
                    <w:t>北侧</w:t>
                  </w:r>
                </w:p>
                <w:p>
                  <w:pPr>
                    <w:pStyle w:val="112"/>
                  </w:pPr>
                  <w:r>
                    <w:rPr>
                      <w:rFonts w:hint="eastAsia"/>
                    </w:rPr>
                    <w:t>居民</w:t>
                  </w:r>
                </w:p>
              </w:tc>
              <w:tc>
                <w:tcPr>
                  <w:tcW w:w="975" w:type="pct"/>
                  <w:vMerge w:val="continue"/>
                  <w:tcBorders>
                    <w:top w:val="single" w:color="auto" w:sz="4" w:space="0"/>
                    <w:bottom w:val="single" w:color="auto" w:sz="4" w:space="0"/>
                  </w:tcBorders>
                  <w:vAlign w:val="center"/>
                </w:tcPr>
                <w:p>
                  <w:pPr>
                    <w:pStyle w:val="112"/>
                  </w:pPr>
                </w:p>
              </w:tc>
              <w:tc>
                <w:tcPr>
                  <w:tcW w:w="420" w:type="pct"/>
                  <w:vMerge w:val="continue"/>
                  <w:tcBorders>
                    <w:top w:val="single" w:color="auto" w:sz="4" w:space="0"/>
                    <w:bottom w:val="single" w:color="auto" w:sz="4" w:space="0"/>
                    <w:right w:val="single" w:color="auto" w:sz="4" w:space="0"/>
                  </w:tcBorders>
                  <w:vAlign w:val="center"/>
                </w:tcPr>
                <w:p>
                  <w:pPr>
                    <w:pStyle w:val="112"/>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75" w:type="pct"/>
                  <w:tcBorders>
                    <w:top w:val="single" w:color="auto" w:sz="4" w:space="0"/>
                    <w:left w:val="single" w:color="auto" w:sz="4" w:space="0"/>
                    <w:bottom w:val="single" w:color="auto" w:sz="4" w:space="0"/>
                  </w:tcBorders>
                  <w:vAlign w:val="center"/>
                </w:tcPr>
                <w:p>
                  <w:pPr>
                    <w:pStyle w:val="112"/>
                  </w:pPr>
                  <w:r>
                    <w:rPr>
                      <w:rFonts w:hint="eastAsia"/>
                    </w:rPr>
                    <w:t>自动上料机</w:t>
                  </w:r>
                </w:p>
              </w:tc>
              <w:tc>
                <w:tcPr>
                  <w:tcW w:w="770" w:type="pct"/>
                  <w:tcBorders>
                    <w:top w:val="single" w:color="auto" w:sz="4" w:space="0"/>
                    <w:bottom w:val="single" w:color="auto" w:sz="4" w:space="0"/>
                  </w:tcBorders>
                  <w:vAlign w:val="center"/>
                </w:tcPr>
                <w:p>
                  <w:pPr>
                    <w:pStyle w:val="112"/>
                  </w:pPr>
                  <w:r>
                    <w:t>65</w:t>
                  </w:r>
                </w:p>
              </w:tc>
              <w:tc>
                <w:tcPr>
                  <w:tcW w:w="246" w:type="pct"/>
                  <w:tcBorders>
                    <w:top w:val="single" w:color="auto" w:sz="4" w:space="0"/>
                    <w:bottom w:val="single" w:color="auto" w:sz="4" w:space="0"/>
                  </w:tcBorders>
                  <w:vAlign w:val="center"/>
                </w:tcPr>
                <w:p>
                  <w:pPr>
                    <w:pStyle w:val="112"/>
                  </w:pPr>
                  <w:r>
                    <w:t>30</w:t>
                  </w:r>
                </w:p>
              </w:tc>
              <w:tc>
                <w:tcPr>
                  <w:tcW w:w="246" w:type="pct"/>
                  <w:tcBorders>
                    <w:top w:val="single" w:color="auto" w:sz="4" w:space="0"/>
                    <w:bottom w:val="single" w:color="auto" w:sz="4" w:space="0"/>
                  </w:tcBorders>
                  <w:vAlign w:val="center"/>
                </w:tcPr>
                <w:p>
                  <w:pPr>
                    <w:pStyle w:val="112"/>
                  </w:pPr>
                  <w:r>
                    <w:rPr>
                      <w:rFonts w:hint="eastAsia"/>
                    </w:rPr>
                    <w:t>9</w:t>
                  </w:r>
                  <w:r>
                    <w:t>5</w:t>
                  </w:r>
                </w:p>
              </w:tc>
              <w:tc>
                <w:tcPr>
                  <w:tcW w:w="245" w:type="pct"/>
                  <w:tcBorders>
                    <w:top w:val="single" w:color="auto" w:sz="4" w:space="0"/>
                    <w:bottom w:val="single" w:color="auto" w:sz="4" w:space="0"/>
                  </w:tcBorders>
                  <w:vAlign w:val="center"/>
                </w:tcPr>
                <w:p>
                  <w:pPr>
                    <w:pStyle w:val="112"/>
                  </w:pPr>
                  <w:r>
                    <w:rPr>
                      <w:rFonts w:hint="eastAsia"/>
                    </w:rPr>
                    <w:t>1</w:t>
                  </w:r>
                  <w:r>
                    <w:t>0</w:t>
                  </w:r>
                </w:p>
              </w:tc>
              <w:tc>
                <w:tcPr>
                  <w:tcW w:w="245" w:type="pct"/>
                  <w:tcBorders>
                    <w:top w:val="single" w:color="auto" w:sz="4" w:space="0"/>
                    <w:bottom w:val="single" w:color="auto" w:sz="4" w:space="0"/>
                  </w:tcBorders>
                  <w:vAlign w:val="center"/>
                </w:tcPr>
                <w:p>
                  <w:pPr>
                    <w:pStyle w:val="112"/>
                  </w:pPr>
                  <w:r>
                    <w:rPr>
                      <w:rFonts w:hint="eastAsia"/>
                    </w:rPr>
                    <w:t>5</w:t>
                  </w:r>
                </w:p>
              </w:tc>
              <w:tc>
                <w:tcPr>
                  <w:tcW w:w="439" w:type="pct"/>
                  <w:tcBorders>
                    <w:top w:val="single" w:color="auto" w:sz="4" w:space="0"/>
                    <w:bottom w:val="single" w:color="auto" w:sz="4" w:space="0"/>
                  </w:tcBorders>
                  <w:vAlign w:val="center"/>
                </w:tcPr>
                <w:p>
                  <w:pPr>
                    <w:pStyle w:val="112"/>
                  </w:pPr>
                  <w:r>
                    <w:t>70</w:t>
                  </w:r>
                </w:p>
              </w:tc>
              <w:tc>
                <w:tcPr>
                  <w:tcW w:w="439" w:type="pct"/>
                  <w:tcBorders>
                    <w:top w:val="single" w:color="auto" w:sz="4" w:space="0"/>
                    <w:bottom w:val="single" w:color="auto" w:sz="4" w:space="0"/>
                  </w:tcBorders>
                  <w:vAlign w:val="center"/>
                </w:tcPr>
                <w:p>
                  <w:pPr>
                    <w:pStyle w:val="112"/>
                  </w:pPr>
                  <w:r>
                    <w:t>35</w:t>
                  </w:r>
                </w:p>
              </w:tc>
              <w:tc>
                <w:tcPr>
                  <w:tcW w:w="975" w:type="pct"/>
                  <w:tcBorders>
                    <w:top w:val="single" w:color="auto" w:sz="4" w:space="0"/>
                    <w:bottom w:val="single" w:color="auto" w:sz="4" w:space="0"/>
                  </w:tcBorders>
                  <w:vAlign w:val="center"/>
                </w:tcPr>
                <w:p>
                  <w:pPr>
                    <w:pStyle w:val="112"/>
                  </w:pPr>
                  <w:r>
                    <w:t>减震、隔声</w:t>
                  </w:r>
                </w:p>
              </w:tc>
              <w:tc>
                <w:tcPr>
                  <w:tcW w:w="420" w:type="pct"/>
                  <w:tcBorders>
                    <w:top w:val="single" w:color="auto" w:sz="4" w:space="0"/>
                    <w:bottom w:val="single" w:color="auto" w:sz="4" w:space="0"/>
                    <w:right w:val="single" w:color="auto" w:sz="4" w:space="0"/>
                  </w:tcBorders>
                  <w:vAlign w:val="center"/>
                </w:tcPr>
                <w:p>
                  <w:pPr>
                    <w:pStyle w:val="112"/>
                  </w:pPr>
                  <w: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75" w:type="pct"/>
                  <w:tcBorders>
                    <w:top w:val="single" w:color="auto" w:sz="4" w:space="0"/>
                    <w:left w:val="single" w:color="auto" w:sz="4" w:space="0"/>
                    <w:bottom w:val="single" w:color="auto" w:sz="4" w:space="0"/>
                  </w:tcBorders>
                  <w:vAlign w:val="center"/>
                </w:tcPr>
                <w:p>
                  <w:pPr>
                    <w:pStyle w:val="112"/>
                  </w:pPr>
                  <w:r>
                    <w:rPr>
                      <w:rFonts w:hint="eastAsia"/>
                    </w:rPr>
                    <w:t>锥双螺杆</w:t>
                  </w:r>
                </w:p>
              </w:tc>
              <w:tc>
                <w:tcPr>
                  <w:tcW w:w="770" w:type="pct"/>
                  <w:tcBorders>
                    <w:top w:val="single" w:color="auto" w:sz="4" w:space="0"/>
                    <w:bottom w:val="single" w:color="auto" w:sz="4" w:space="0"/>
                  </w:tcBorders>
                  <w:vAlign w:val="center"/>
                </w:tcPr>
                <w:p>
                  <w:pPr>
                    <w:pStyle w:val="112"/>
                  </w:pPr>
                  <w:r>
                    <w:rPr>
                      <w:rFonts w:hint="eastAsia"/>
                    </w:rPr>
                    <w:t>7</w:t>
                  </w:r>
                  <w:r>
                    <w:t>0</w:t>
                  </w:r>
                </w:p>
              </w:tc>
              <w:tc>
                <w:tcPr>
                  <w:tcW w:w="246" w:type="pct"/>
                  <w:tcBorders>
                    <w:top w:val="single" w:color="auto" w:sz="4" w:space="0"/>
                    <w:bottom w:val="single" w:color="auto" w:sz="4" w:space="0"/>
                  </w:tcBorders>
                  <w:vAlign w:val="center"/>
                </w:tcPr>
                <w:p>
                  <w:pPr>
                    <w:pStyle w:val="112"/>
                  </w:pPr>
                  <w:r>
                    <w:rPr>
                      <w:rFonts w:hint="eastAsia"/>
                    </w:rPr>
                    <w:t>3</w:t>
                  </w:r>
                  <w:r>
                    <w:t>0</w:t>
                  </w:r>
                </w:p>
              </w:tc>
              <w:tc>
                <w:tcPr>
                  <w:tcW w:w="246" w:type="pct"/>
                  <w:tcBorders>
                    <w:top w:val="single" w:color="auto" w:sz="4" w:space="0"/>
                    <w:bottom w:val="single" w:color="auto" w:sz="4" w:space="0"/>
                  </w:tcBorders>
                  <w:vAlign w:val="center"/>
                </w:tcPr>
                <w:p>
                  <w:pPr>
                    <w:pStyle w:val="112"/>
                  </w:pPr>
                  <w:r>
                    <w:rPr>
                      <w:rFonts w:hint="eastAsia"/>
                    </w:rPr>
                    <w:t>9</w:t>
                  </w:r>
                  <w:r>
                    <w:t>0</w:t>
                  </w:r>
                </w:p>
              </w:tc>
              <w:tc>
                <w:tcPr>
                  <w:tcW w:w="245" w:type="pct"/>
                  <w:tcBorders>
                    <w:top w:val="single" w:color="auto" w:sz="4" w:space="0"/>
                    <w:bottom w:val="single" w:color="auto" w:sz="4" w:space="0"/>
                  </w:tcBorders>
                  <w:vAlign w:val="center"/>
                </w:tcPr>
                <w:p>
                  <w:pPr>
                    <w:pStyle w:val="112"/>
                  </w:pPr>
                  <w:r>
                    <w:rPr>
                      <w:rFonts w:hint="eastAsia"/>
                    </w:rPr>
                    <w:t>1</w:t>
                  </w:r>
                  <w:r>
                    <w:t>0</w:t>
                  </w:r>
                </w:p>
              </w:tc>
              <w:tc>
                <w:tcPr>
                  <w:tcW w:w="245" w:type="pct"/>
                  <w:tcBorders>
                    <w:top w:val="single" w:color="auto" w:sz="4" w:space="0"/>
                    <w:bottom w:val="single" w:color="auto" w:sz="4" w:space="0"/>
                  </w:tcBorders>
                  <w:vAlign w:val="center"/>
                </w:tcPr>
                <w:p>
                  <w:pPr>
                    <w:pStyle w:val="112"/>
                  </w:pPr>
                  <w:r>
                    <w:rPr>
                      <w:rFonts w:hint="eastAsia"/>
                    </w:rPr>
                    <w:t>1</w:t>
                  </w:r>
                  <w:r>
                    <w:t>0</w:t>
                  </w:r>
                </w:p>
              </w:tc>
              <w:tc>
                <w:tcPr>
                  <w:tcW w:w="439" w:type="pct"/>
                  <w:tcBorders>
                    <w:top w:val="single" w:color="auto" w:sz="4" w:space="0"/>
                    <w:bottom w:val="single" w:color="auto" w:sz="4" w:space="0"/>
                  </w:tcBorders>
                  <w:vAlign w:val="center"/>
                </w:tcPr>
                <w:p>
                  <w:pPr>
                    <w:pStyle w:val="112"/>
                  </w:pPr>
                  <w:r>
                    <w:rPr>
                      <w:rFonts w:hint="eastAsia"/>
                    </w:rPr>
                    <w:t>7</w:t>
                  </w:r>
                  <w:r>
                    <w:t>0</w:t>
                  </w:r>
                </w:p>
              </w:tc>
              <w:tc>
                <w:tcPr>
                  <w:tcW w:w="439" w:type="pct"/>
                  <w:tcBorders>
                    <w:top w:val="single" w:color="auto" w:sz="4" w:space="0"/>
                    <w:bottom w:val="single" w:color="auto" w:sz="4" w:space="0"/>
                  </w:tcBorders>
                  <w:vAlign w:val="center"/>
                </w:tcPr>
                <w:p>
                  <w:pPr>
                    <w:pStyle w:val="112"/>
                  </w:pPr>
                  <w:r>
                    <w:rPr>
                      <w:rFonts w:hint="eastAsia"/>
                    </w:rPr>
                    <w:t>4</w:t>
                  </w:r>
                  <w:r>
                    <w:t>0</w:t>
                  </w:r>
                </w:p>
              </w:tc>
              <w:tc>
                <w:tcPr>
                  <w:tcW w:w="975" w:type="pct"/>
                  <w:tcBorders>
                    <w:top w:val="single" w:color="auto" w:sz="4" w:space="0"/>
                    <w:bottom w:val="single" w:color="auto" w:sz="4" w:space="0"/>
                  </w:tcBorders>
                  <w:vAlign w:val="center"/>
                </w:tcPr>
                <w:p>
                  <w:pPr>
                    <w:pStyle w:val="112"/>
                  </w:pPr>
                  <w:r>
                    <w:t>减震、隔声</w:t>
                  </w:r>
                </w:p>
              </w:tc>
              <w:tc>
                <w:tcPr>
                  <w:tcW w:w="420" w:type="pct"/>
                  <w:tcBorders>
                    <w:top w:val="single" w:color="auto" w:sz="4" w:space="0"/>
                    <w:bottom w:val="single" w:color="auto" w:sz="4" w:space="0"/>
                    <w:right w:val="single" w:color="auto" w:sz="4" w:space="0"/>
                  </w:tcBorders>
                  <w:vAlign w:val="center"/>
                </w:tcPr>
                <w:p>
                  <w:pPr>
                    <w:pStyle w:val="112"/>
                  </w:pPr>
                  <w: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75" w:type="pct"/>
                  <w:tcBorders>
                    <w:top w:val="single" w:color="auto" w:sz="4" w:space="0"/>
                    <w:left w:val="single" w:color="auto" w:sz="4" w:space="0"/>
                    <w:bottom w:val="single" w:color="auto" w:sz="4" w:space="0"/>
                  </w:tcBorders>
                  <w:vAlign w:val="center"/>
                </w:tcPr>
                <w:p>
                  <w:pPr>
                    <w:pStyle w:val="112"/>
                  </w:pPr>
                  <w:r>
                    <w:rPr>
                      <w:rFonts w:hint="eastAsia"/>
                    </w:rPr>
                    <w:t>两辊机</w:t>
                  </w:r>
                </w:p>
              </w:tc>
              <w:tc>
                <w:tcPr>
                  <w:tcW w:w="770" w:type="pct"/>
                  <w:tcBorders>
                    <w:top w:val="single" w:color="auto" w:sz="4" w:space="0"/>
                    <w:bottom w:val="single" w:color="auto" w:sz="4" w:space="0"/>
                  </w:tcBorders>
                  <w:vAlign w:val="center"/>
                </w:tcPr>
                <w:p>
                  <w:pPr>
                    <w:pStyle w:val="112"/>
                  </w:pPr>
                  <w:r>
                    <w:rPr>
                      <w:rFonts w:hint="eastAsia"/>
                    </w:rPr>
                    <w:t>7</w:t>
                  </w:r>
                  <w:r>
                    <w:t>0</w:t>
                  </w:r>
                </w:p>
              </w:tc>
              <w:tc>
                <w:tcPr>
                  <w:tcW w:w="246" w:type="pct"/>
                  <w:tcBorders>
                    <w:top w:val="single" w:color="auto" w:sz="4" w:space="0"/>
                    <w:bottom w:val="single" w:color="auto" w:sz="4" w:space="0"/>
                  </w:tcBorders>
                  <w:vAlign w:val="center"/>
                </w:tcPr>
                <w:p>
                  <w:pPr>
                    <w:pStyle w:val="112"/>
                  </w:pPr>
                  <w:r>
                    <w:rPr>
                      <w:rFonts w:hint="eastAsia"/>
                    </w:rPr>
                    <w:t>3</w:t>
                  </w:r>
                  <w:r>
                    <w:t>0</w:t>
                  </w:r>
                </w:p>
              </w:tc>
              <w:tc>
                <w:tcPr>
                  <w:tcW w:w="246" w:type="pct"/>
                  <w:tcBorders>
                    <w:top w:val="single" w:color="auto" w:sz="4" w:space="0"/>
                    <w:bottom w:val="single" w:color="auto" w:sz="4" w:space="0"/>
                  </w:tcBorders>
                  <w:vAlign w:val="center"/>
                </w:tcPr>
                <w:p>
                  <w:pPr>
                    <w:pStyle w:val="112"/>
                  </w:pPr>
                  <w:r>
                    <w:rPr>
                      <w:rFonts w:hint="eastAsia"/>
                    </w:rPr>
                    <w:t>8</w:t>
                  </w:r>
                  <w:r>
                    <w:t>5</w:t>
                  </w:r>
                </w:p>
              </w:tc>
              <w:tc>
                <w:tcPr>
                  <w:tcW w:w="245" w:type="pct"/>
                  <w:tcBorders>
                    <w:top w:val="single" w:color="auto" w:sz="4" w:space="0"/>
                    <w:bottom w:val="single" w:color="auto" w:sz="4" w:space="0"/>
                  </w:tcBorders>
                  <w:vAlign w:val="center"/>
                </w:tcPr>
                <w:p>
                  <w:pPr>
                    <w:pStyle w:val="112"/>
                  </w:pPr>
                  <w:r>
                    <w:rPr>
                      <w:rFonts w:hint="eastAsia"/>
                    </w:rPr>
                    <w:t>1</w:t>
                  </w:r>
                  <w:r>
                    <w:t>0</w:t>
                  </w:r>
                </w:p>
              </w:tc>
              <w:tc>
                <w:tcPr>
                  <w:tcW w:w="245" w:type="pct"/>
                  <w:tcBorders>
                    <w:top w:val="single" w:color="auto" w:sz="4" w:space="0"/>
                    <w:bottom w:val="single" w:color="auto" w:sz="4" w:space="0"/>
                  </w:tcBorders>
                  <w:vAlign w:val="center"/>
                </w:tcPr>
                <w:p>
                  <w:pPr>
                    <w:pStyle w:val="112"/>
                  </w:pPr>
                  <w:r>
                    <w:rPr>
                      <w:rFonts w:hint="eastAsia"/>
                    </w:rPr>
                    <w:t>1</w:t>
                  </w:r>
                  <w:r>
                    <w:t>5</w:t>
                  </w:r>
                </w:p>
              </w:tc>
              <w:tc>
                <w:tcPr>
                  <w:tcW w:w="439" w:type="pct"/>
                  <w:tcBorders>
                    <w:top w:val="single" w:color="auto" w:sz="4" w:space="0"/>
                    <w:bottom w:val="single" w:color="auto" w:sz="4" w:space="0"/>
                  </w:tcBorders>
                  <w:vAlign w:val="center"/>
                </w:tcPr>
                <w:p>
                  <w:pPr>
                    <w:pStyle w:val="112"/>
                  </w:pPr>
                  <w:r>
                    <w:rPr>
                      <w:rFonts w:hint="eastAsia"/>
                    </w:rPr>
                    <w:t>7</w:t>
                  </w:r>
                  <w:r>
                    <w:t>0</w:t>
                  </w:r>
                </w:p>
              </w:tc>
              <w:tc>
                <w:tcPr>
                  <w:tcW w:w="439" w:type="pct"/>
                  <w:tcBorders>
                    <w:top w:val="single" w:color="auto" w:sz="4" w:space="0"/>
                    <w:bottom w:val="single" w:color="auto" w:sz="4" w:space="0"/>
                  </w:tcBorders>
                  <w:vAlign w:val="center"/>
                </w:tcPr>
                <w:p>
                  <w:pPr>
                    <w:pStyle w:val="112"/>
                  </w:pPr>
                  <w:r>
                    <w:rPr>
                      <w:rFonts w:hint="eastAsia"/>
                    </w:rPr>
                    <w:t>4</w:t>
                  </w:r>
                  <w:r>
                    <w:t>5</w:t>
                  </w:r>
                </w:p>
              </w:tc>
              <w:tc>
                <w:tcPr>
                  <w:tcW w:w="975" w:type="pct"/>
                  <w:tcBorders>
                    <w:top w:val="single" w:color="auto" w:sz="4" w:space="0"/>
                    <w:bottom w:val="single" w:color="auto" w:sz="4" w:space="0"/>
                  </w:tcBorders>
                  <w:vAlign w:val="center"/>
                </w:tcPr>
                <w:p>
                  <w:pPr>
                    <w:pStyle w:val="112"/>
                  </w:pPr>
                  <w:r>
                    <w:t>减震、隔声</w:t>
                  </w:r>
                </w:p>
              </w:tc>
              <w:tc>
                <w:tcPr>
                  <w:tcW w:w="420" w:type="pct"/>
                  <w:tcBorders>
                    <w:top w:val="single" w:color="auto" w:sz="4" w:space="0"/>
                    <w:bottom w:val="single" w:color="auto" w:sz="4" w:space="0"/>
                    <w:right w:val="single" w:color="auto" w:sz="4" w:space="0"/>
                  </w:tcBorders>
                  <w:vAlign w:val="center"/>
                </w:tcPr>
                <w:p>
                  <w:pPr>
                    <w:pStyle w:val="112"/>
                  </w:pPr>
                  <w: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975" w:type="pct"/>
                  <w:tcBorders>
                    <w:top w:val="single" w:color="auto" w:sz="4" w:space="0"/>
                    <w:left w:val="single" w:color="auto" w:sz="4" w:space="0"/>
                    <w:bottom w:val="single" w:color="auto" w:sz="4" w:space="0"/>
                  </w:tcBorders>
                  <w:vAlign w:val="center"/>
                </w:tcPr>
                <w:p>
                  <w:pPr>
                    <w:pStyle w:val="112"/>
                  </w:pPr>
                  <w:r>
                    <w:rPr>
                      <w:rFonts w:hint="eastAsia"/>
                    </w:rPr>
                    <w:t>成型机</w:t>
                  </w:r>
                </w:p>
              </w:tc>
              <w:tc>
                <w:tcPr>
                  <w:tcW w:w="770" w:type="pct"/>
                  <w:tcBorders>
                    <w:top w:val="single" w:color="auto" w:sz="4" w:space="0"/>
                    <w:bottom w:val="single" w:color="auto" w:sz="4" w:space="0"/>
                  </w:tcBorders>
                  <w:vAlign w:val="center"/>
                </w:tcPr>
                <w:p>
                  <w:pPr>
                    <w:pStyle w:val="112"/>
                  </w:pPr>
                  <w:r>
                    <w:rPr>
                      <w:rFonts w:hint="eastAsia"/>
                    </w:rPr>
                    <w:t>6</w:t>
                  </w:r>
                  <w:r>
                    <w:t>5</w:t>
                  </w:r>
                </w:p>
              </w:tc>
              <w:tc>
                <w:tcPr>
                  <w:tcW w:w="246" w:type="pct"/>
                  <w:tcBorders>
                    <w:top w:val="single" w:color="auto" w:sz="4" w:space="0"/>
                    <w:bottom w:val="single" w:color="auto" w:sz="4" w:space="0"/>
                  </w:tcBorders>
                  <w:vAlign w:val="center"/>
                </w:tcPr>
                <w:p>
                  <w:pPr>
                    <w:pStyle w:val="112"/>
                  </w:pPr>
                  <w:r>
                    <w:rPr>
                      <w:rFonts w:hint="eastAsia"/>
                    </w:rPr>
                    <w:t>3</w:t>
                  </w:r>
                  <w:r>
                    <w:t>0</w:t>
                  </w:r>
                </w:p>
              </w:tc>
              <w:tc>
                <w:tcPr>
                  <w:tcW w:w="246" w:type="pct"/>
                  <w:tcBorders>
                    <w:top w:val="single" w:color="auto" w:sz="4" w:space="0"/>
                    <w:bottom w:val="single" w:color="auto" w:sz="4" w:space="0"/>
                  </w:tcBorders>
                  <w:vAlign w:val="center"/>
                </w:tcPr>
                <w:p>
                  <w:pPr>
                    <w:pStyle w:val="112"/>
                  </w:pPr>
                  <w:r>
                    <w:rPr>
                      <w:rFonts w:hint="eastAsia"/>
                    </w:rPr>
                    <w:t>8</w:t>
                  </w:r>
                  <w:r>
                    <w:t>0</w:t>
                  </w:r>
                </w:p>
              </w:tc>
              <w:tc>
                <w:tcPr>
                  <w:tcW w:w="245" w:type="pct"/>
                  <w:tcBorders>
                    <w:top w:val="single" w:color="auto" w:sz="4" w:space="0"/>
                    <w:bottom w:val="single" w:color="auto" w:sz="4" w:space="0"/>
                  </w:tcBorders>
                  <w:vAlign w:val="center"/>
                </w:tcPr>
                <w:p>
                  <w:pPr>
                    <w:pStyle w:val="112"/>
                  </w:pPr>
                  <w:r>
                    <w:rPr>
                      <w:rFonts w:hint="eastAsia"/>
                    </w:rPr>
                    <w:t>1</w:t>
                  </w:r>
                  <w:r>
                    <w:t>0</w:t>
                  </w:r>
                </w:p>
              </w:tc>
              <w:tc>
                <w:tcPr>
                  <w:tcW w:w="245" w:type="pct"/>
                  <w:tcBorders>
                    <w:top w:val="single" w:color="auto" w:sz="4" w:space="0"/>
                    <w:bottom w:val="single" w:color="auto" w:sz="4" w:space="0"/>
                  </w:tcBorders>
                  <w:vAlign w:val="center"/>
                </w:tcPr>
                <w:p>
                  <w:pPr>
                    <w:pStyle w:val="112"/>
                  </w:pPr>
                  <w:r>
                    <w:rPr>
                      <w:rFonts w:hint="eastAsia"/>
                    </w:rPr>
                    <w:t>2</w:t>
                  </w:r>
                  <w:r>
                    <w:t>0</w:t>
                  </w:r>
                </w:p>
              </w:tc>
              <w:tc>
                <w:tcPr>
                  <w:tcW w:w="439" w:type="pct"/>
                  <w:tcBorders>
                    <w:top w:val="single" w:color="auto" w:sz="4" w:space="0"/>
                    <w:bottom w:val="single" w:color="auto" w:sz="4" w:space="0"/>
                  </w:tcBorders>
                  <w:vAlign w:val="center"/>
                </w:tcPr>
                <w:p>
                  <w:pPr>
                    <w:pStyle w:val="112"/>
                  </w:pPr>
                  <w:r>
                    <w:rPr>
                      <w:rFonts w:hint="eastAsia"/>
                    </w:rPr>
                    <w:t>7</w:t>
                  </w:r>
                  <w:r>
                    <w:t>0</w:t>
                  </w:r>
                </w:p>
              </w:tc>
              <w:tc>
                <w:tcPr>
                  <w:tcW w:w="439" w:type="pct"/>
                  <w:tcBorders>
                    <w:top w:val="single" w:color="auto" w:sz="4" w:space="0"/>
                    <w:bottom w:val="single" w:color="auto" w:sz="4" w:space="0"/>
                  </w:tcBorders>
                  <w:vAlign w:val="center"/>
                </w:tcPr>
                <w:p>
                  <w:pPr>
                    <w:pStyle w:val="112"/>
                  </w:pPr>
                  <w:r>
                    <w:rPr>
                      <w:rFonts w:hint="eastAsia"/>
                    </w:rPr>
                    <w:t>5</w:t>
                  </w:r>
                  <w:r>
                    <w:t>0</w:t>
                  </w:r>
                </w:p>
              </w:tc>
              <w:tc>
                <w:tcPr>
                  <w:tcW w:w="975" w:type="pct"/>
                  <w:tcBorders>
                    <w:top w:val="single" w:color="auto" w:sz="4" w:space="0"/>
                    <w:bottom w:val="single" w:color="auto" w:sz="4" w:space="0"/>
                  </w:tcBorders>
                  <w:vAlign w:val="center"/>
                </w:tcPr>
                <w:p>
                  <w:pPr>
                    <w:pStyle w:val="112"/>
                  </w:pPr>
                  <w:r>
                    <w:t>减震、隔声</w:t>
                  </w:r>
                </w:p>
              </w:tc>
              <w:tc>
                <w:tcPr>
                  <w:tcW w:w="420" w:type="pct"/>
                  <w:tcBorders>
                    <w:top w:val="single" w:color="auto" w:sz="4" w:space="0"/>
                    <w:bottom w:val="single" w:color="auto" w:sz="4" w:space="0"/>
                    <w:right w:val="single" w:color="auto" w:sz="4" w:space="0"/>
                  </w:tcBorders>
                  <w:vAlign w:val="center"/>
                </w:tcPr>
                <w:p>
                  <w:pPr>
                    <w:pStyle w:val="112"/>
                  </w:pPr>
                  <w: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975" w:type="pct"/>
                  <w:tcBorders>
                    <w:top w:val="single" w:color="auto" w:sz="4" w:space="0"/>
                    <w:left w:val="single" w:color="auto" w:sz="4" w:space="0"/>
                    <w:bottom w:val="single" w:color="auto" w:sz="4" w:space="0"/>
                  </w:tcBorders>
                  <w:vAlign w:val="center"/>
                </w:tcPr>
                <w:p>
                  <w:pPr>
                    <w:pStyle w:val="112"/>
                  </w:pPr>
                  <w:r>
                    <w:rPr>
                      <w:rFonts w:hint="eastAsia"/>
                    </w:rPr>
                    <w:t>切割机</w:t>
                  </w:r>
                </w:p>
              </w:tc>
              <w:tc>
                <w:tcPr>
                  <w:tcW w:w="770" w:type="pct"/>
                  <w:tcBorders>
                    <w:top w:val="single" w:color="auto" w:sz="4" w:space="0"/>
                    <w:bottom w:val="single" w:color="auto" w:sz="4" w:space="0"/>
                  </w:tcBorders>
                  <w:vAlign w:val="center"/>
                </w:tcPr>
                <w:p>
                  <w:pPr>
                    <w:pStyle w:val="112"/>
                  </w:pPr>
                  <w:r>
                    <w:rPr>
                      <w:rFonts w:hint="eastAsia"/>
                    </w:rPr>
                    <w:t>8</w:t>
                  </w:r>
                  <w:r>
                    <w:t>5</w:t>
                  </w:r>
                </w:p>
              </w:tc>
              <w:tc>
                <w:tcPr>
                  <w:tcW w:w="246" w:type="pct"/>
                  <w:tcBorders>
                    <w:top w:val="single" w:color="auto" w:sz="4" w:space="0"/>
                    <w:bottom w:val="single" w:color="auto" w:sz="4" w:space="0"/>
                  </w:tcBorders>
                  <w:vAlign w:val="center"/>
                </w:tcPr>
                <w:p>
                  <w:pPr>
                    <w:pStyle w:val="112"/>
                  </w:pPr>
                  <w:r>
                    <w:rPr>
                      <w:rFonts w:hint="eastAsia"/>
                    </w:rPr>
                    <w:t>3</w:t>
                  </w:r>
                  <w:r>
                    <w:t>0</w:t>
                  </w:r>
                </w:p>
              </w:tc>
              <w:tc>
                <w:tcPr>
                  <w:tcW w:w="246" w:type="pct"/>
                  <w:tcBorders>
                    <w:top w:val="single" w:color="auto" w:sz="4" w:space="0"/>
                    <w:bottom w:val="single" w:color="auto" w:sz="4" w:space="0"/>
                  </w:tcBorders>
                  <w:vAlign w:val="center"/>
                </w:tcPr>
                <w:p>
                  <w:pPr>
                    <w:pStyle w:val="112"/>
                  </w:pPr>
                  <w:r>
                    <w:rPr>
                      <w:rFonts w:hint="eastAsia"/>
                    </w:rPr>
                    <w:t>7</w:t>
                  </w:r>
                  <w:r>
                    <w:t>5</w:t>
                  </w:r>
                </w:p>
              </w:tc>
              <w:tc>
                <w:tcPr>
                  <w:tcW w:w="245" w:type="pct"/>
                  <w:tcBorders>
                    <w:top w:val="single" w:color="auto" w:sz="4" w:space="0"/>
                    <w:bottom w:val="single" w:color="auto" w:sz="4" w:space="0"/>
                  </w:tcBorders>
                  <w:vAlign w:val="center"/>
                </w:tcPr>
                <w:p>
                  <w:pPr>
                    <w:pStyle w:val="112"/>
                  </w:pPr>
                  <w:r>
                    <w:rPr>
                      <w:rFonts w:hint="eastAsia"/>
                    </w:rPr>
                    <w:t>1</w:t>
                  </w:r>
                  <w:r>
                    <w:t>0</w:t>
                  </w:r>
                </w:p>
              </w:tc>
              <w:tc>
                <w:tcPr>
                  <w:tcW w:w="245" w:type="pct"/>
                  <w:tcBorders>
                    <w:top w:val="single" w:color="auto" w:sz="4" w:space="0"/>
                    <w:bottom w:val="single" w:color="auto" w:sz="4" w:space="0"/>
                  </w:tcBorders>
                  <w:vAlign w:val="center"/>
                </w:tcPr>
                <w:p>
                  <w:pPr>
                    <w:pStyle w:val="112"/>
                  </w:pPr>
                  <w:r>
                    <w:rPr>
                      <w:rFonts w:hint="eastAsia"/>
                    </w:rPr>
                    <w:t>2</w:t>
                  </w:r>
                  <w:r>
                    <w:t>5</w:t>
                  </w:r>
                </w:p>
              </w:tc>
              <w:tc>
                <w:tcPr>
                  <w:tcW w:w="439" w:type="pct"/>
                  <w:tcBorders>
                    <w:top w:val="single" w:color="auto" w:sz="4" w:space="0"/>
                    <w:bottom w:val="single" w:color="auto" w:sz="4" w:space="0"/>
                  </w:tcBorders>
                  <w:vAlign w:val="center"/>
                </w:tcPr>
                <w:p>
                  <w:pPr>
                    <w:pStyle w:val="112"/>
                  </w:pPr>
                  <w:r>
                    <w:rPr>
                      <w:rFonts w:hint="eastAsia"/>
                    </w:rPr>
                    <w:t>7</w:t>
                  </w:r>
                  <w:r>
                    <w:t>0</w:t>
                  </w:r>
                </w:p>
              </w:tc>
              <w:tc>
                <w:tcPr>
                  <w:tcW w:w="439" w:type="pct"/>
                  <w:tcBorders>
                    <w:top w:val="single" w:color="auto" w:sz="4" w:space="0"/>
                    <w:bottom w:val="single" w:color="auto" w:sz="4" w:space="0"/>
                  </w:tcBorders>
                  <w:vAlign w:val="center"/>
                </w:tcPr>
                <w:p>
                  <w:pPr>
                    <w:pStyle w:val="112"/>
                  </w:pPr>
                  <w:r>
                    <w:rPr>
                      <w:rFonts w:hint="eastAsia"/>
                    </w:rPr>
                    <w:t>5</w:t>
                  </w:r>
                  <w:r>
                    <w:t>5</w:t>
                  </w:r>
                </w:p>
              </w:tc>
              <w:tc>
                <w:tcPr>
                  <w:tcW w:w="975" w:type="pct"/>
                  <w:tcBorders>
                    <w:top w:val="single" w:color="auto" w:sz="4" w:space="0"/>
                    <w:bottom w:val="single" w:color="auto" w:sz="4" w:space="0"/>
                  </w:tcBorders>
                  <w:vAlign w:val="center"/>
                </w:tcPr>
                <w:p>
                  <w:pPr>
                    <w:pStyle w:val="112"/>
                  </w:pPr>
                  <w:r>
                    <w:t>减震、隔声</w:t>
                  </w:r>
                </w:p>
              </w:tc>
              <w:tc>
                <w:tcPr>
                  <w:tcW w:w="420" w:type="pct"/>
                  <w:tcBorders>
                    <w:top w:val="single" w:color="auto" w:sz="4" w:space="0"/>
                    <w:bottom w:val="single" w:color="auto" w:sz="4" w:space="0"/>
                    <w:right w:val="single" w:color="auto" w:sz="4" w:space="0"/>
                  </w:tcBorders>
                  <w:vAlign w:val="center"/>
                </w:tcPr>
                <w:p>
                  <w:pPr>
                    <w:pStyle w:val="112"/>
                  </w:pPr>
                  <w: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75" w:type="pct"/>
                  <w:tcBorders>
                    <w:top w:val="single" w:color="auto" w:sz="4" w:space="0"/>
                    <w:left w:val="single" w:color="auto" w:sz="4" w:space="0"/>
                    <w:bottom w:val="single" w:color="auto" w:sz="4" w:space="0"/>
                  </w:tcBorders>
                  <w:vAlign w:val="center"/>
                </w:tcPr>
                <w:p>
                  <w:pPr>
                    <w:pStyle w:val="112"/>
                  </w:pPr>
                  <w:r>
                    <w:rPr>
                      <w:rFonts w:hint="eastAsia"/>
                    </w:rPr>
                    <w:t>波浪瓦辅机</w:t>
                  </w:r>
                </w:p>
              </w:tc>
              <w:tc>
                <w:tcPr>
                  <w:tcW w:w="770" w:type="pct"/>
                  <w:tcBorders>
                    <w:top w:val="single" w:color="auto" w:sz="4" w:space="0"/>
                    <w:bottom w:val="single" w:color="auto" w:sz="4" w:space="0"/>
                  </w:tcBorders>
                  <w:vAlign w:val="center"/>
                </w:tcPr>
                <w:p>
                  <w:pPr>
                    <w:pStyle w:val="112"/>
                  </w:pPr>
                  <w:r>
                    <w:rPr>
                      <w:rFonts w:hint="eastAsia"/>
                    </w:rPr>
                    <w:t>6</w:t>
                  </w:r>
                  <w:r>
                    <w:t>5</w:t>
                  </w:r>
                </w:p>
              </w:tc>
              <w:tc>
                <w:tcPr>
                  <w:tcW w:w="246" w:type="pct"/>
                  <w:tcBorders>
                    <w:top w:val="single" w:color="auto" w:sz="4" w:space="0"/>
                    <w:bottom w:val="single" w:color="auto" w:sz="4" w:space="0"/>
                  </w:tcBorders>
                  <w:vAlign w:val="center"/>
                </w:tcPr>
                <w:p>
                  <w:pPr>
                    <w:pStyle w:val="112"/>
                  </w:pPr>
                  <w:r>
                    <w:rPr>
                      <w:rFonts w:hint="eastAsia"/>
                    </w:rPr>
                    <w:t>3</w:t>
                  </w:r>
                  <w:r>
                    <w:t>0</w:t>
                  </w:r>
                </w:p>
              </w:tc>
              <w:tc>
                <w:tcPr>
                  <w:tcW w:w="246" w:type="pct"/>
                  <w:tcBorders>
                    <w:top w:val="single" w:color="auto" w:sz="4" w:space="0"/>
                    <w:bottom w:val="single" w:color="auto" w:sz="4" w:space="0"/>
                  </w:tcBorders>
                  <w:vAlign w:val="center"/>
                </w:tcPr>
                <w:p>
                  <w:pPr>
                    <w:pStyle w:val="112"/>
                  </w:pPr>
                  <w:r>
                    <w:rPr>
                      <w:rFonts w:hint="eastAsia"/>
                    </w:rPr>
                    <w:t>7</w:t>
                  </w:r>
                  <w:r>
                    <w:t>0</w:t>
                  </w:r>
                </w:p>
              </w:tc>
              <w:tc>
                <w:tcPr>
                  <w:tcW w:w="245" w:type="pct"/>
                  <w:tcBorders>
                    <w:top w:val="single" w:color="auto" w:sz="4" w:space="0"/>
                    <w:bottom w:val="single" w:color="auto" w:sz="4" w:space="0"/>
                  </w:tcBorders>
                  <w:vAlign w:val="center"/>
                </w:tcPr>
                <w:p>
                  <w:pPr>
                    <w:pStyle w:val="112"/>
                  </w:pPr>
                  <w:r>
                    <w:rPr>
                      <w:rFonts w:hint="eastAsia"/>
                    </w:rPr>
                    <w:t>1</w:t>
                  </w:r>
                  <w:r>
                    <w:t>0</w:t>
                  </w:r>
                </w:p>
              </w:tc>
              <w:tc>
                <w:tcPr>
                  <w:tcW w:w="245" w:type="pct"/>
                  <w:tcBorders>
                    <w:top w:val="single" w:color="auto" w:sz="4" w:space="0"/>
                    <w:bottom w:val="single" w:color="auto" w:sz="4" w:space="0"/>
                  </w:tcBorders>
                  <w:vAlign w:val="center"/>
                </w:tcPr>
                <w:p>
                  <w:pPr>
                    <w:pStyle w:val="112"/>
                  </w:pPr>
                  <w:r>
                    <w:rPr>
                      <w:rFonts w:hint="eastAsia"/>
                    </w:rPr>
                    <w:t>3</w:t>
                  </w:r>
                  <w:r>
                    <w:t>0</w:t>
                  </w:r>
                </w:p>
              </w:tc>
              <w:tc>
                <w:tcPr>
                  <w:tcW w:w="439" w:type="pct"/>
                  <w:tcBorders>
                    <w:top w:val="single" w:color="auto" w:sz="4" w:space="0"/>
                    <w:bottom w:val="single" w:color="auto" w:sz="4" w:space="0"/>
                  </w:tcBorders>
                  <w:vAlign w:val="center"/>
                </w:tcPr>
                <w:p>
                  <w:pPr>
                    <w:pStyle w:val="112"/>
                  </w:pPr>
                  <w:r>
                    <w:rPr>
                      <w:rFonts w:hint="eastAsia"/>
                    </w:rPr>
                    <w:t>7</w:t>
                  </w:r>
                  <w:r>
                    <w:t>0</w:t>
                  </w:r>
                </w:p>
              </w:tc>
              <w:tc>
                <w:tcPr>
                  <w:tcW w:w="439" w:type="pct"/>
                  <w:tcBorders>
                    <w:top w:val="single" w:color="auto" w:sz="4" w:space="0"/>
                    <w:bottom w:val="single" w:color="auto" w:sz="4" w:space="0"/>
                  </w:tcBorders>
                  <w:vAlign w:val="center"/>
                </w:tcPr>
                <w:p>
                  <w:pPr>
                    <w:pStyle w:val="112"/>
                  </w:pPr>
                  <w:r>
                    <w:rPr>
                      <w:rFonts w:hint="eastAsia"/>
                    </w:rPr>
                    <w:t>6</w:t>
                  </w:r>
                  <w:r>
                    <w:t>0</w:t>
                  </w:r>
                </w:p>
              </w:tc>
              <w:tc>
                <w:tcPr>
                  <w:tcW w:w="975" w:type="pct"/>
                  <w:tcBorders>
                    <w:top w:val="single" w:color="auto" w:sz="4" w:space="0"/>
                    <w:bottom w:val="single" w:color="auto" w:sz="4" w:space="0"/>
                  </w:tcBorders>
                  <w:vAlign w:val="center"/>
                </w:tcPr>
                <w:p>
                  <w:pPr>
                    <w:pStyle w:val="112"/>
                  </w:pPr>
                  <w:r>
                    <w:t>减震、隔声</w:t>
                  </w:r>
                </w:p>
              </w:tc>
              <w:tc>
                <w:tcPr>
                  <w:tcW w:w="420" w:type="pct"/>
                  <w:tcBorders>
                    <w:top w:val="single" w:color="auto" w:sz="4" w:space="0"/>
                    <w:bottom w:val="single" w:color="auto" w:sz="4" w:space="0"/>
                    <w:right w:val="single" w:color="auto" w:sz="4" w:space="0"/>
                  </w:tcBorders>
                  <w:vAlign w:val="center"/>
                </w:tcPr>
                <w:p>
                  <w:pPr>
                    <w:pStyle w:val="112"/>
                  </w:pPr>
                  <w: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75" w:type="pct"/>
                  <w:tcBorders>
                    <w:top w:val="single" w:color="auto" w:sz="4" w:space="0"/>
                    <w:left w:val="single" w:color="auto" w:sz="4" w:space="0"/>
                    <w:bottom w:val="single" w:color="auto" w:sz="4" w:space="0"/>
                  </w:tcBorders>
                  <w:vAlign w:val="center"/>
                </w:tcPr>
                <w:p>
                  <w:pPr>
                    <w:pStyle w:val="112"/>
                  </w:pPr>
                  <w:r>
                    <w:rPr>
                      <w:rFonts w:hint="eastAsia"/>
                    </w:rPr>
                    <w:t>破碎机</w:t>
                  </w:r>
                </w:p>
              </w:tc>
              <w:tc>
                <w:tcPr>
                  <w:tcW w:w="770" w:type="pct"/>
                  <w:tcBorders>
                    <w:top w:val="single" w:color="auto" w:sz="4" w:space="0"/>
                    <w:bottom w:val="single" w:color="auto" w:sz="4" w:space="0"/>
                  </w:tcBorders>
                  <w:vAlign w:val="center"/>
                </w:tcPr>
                <w:p>
                  <w:pPr>
                    <w:pStyle w:val="112"/>
                  </w:pPr>
                  <w:r>
                    <w:rPr>
                      <w:rFonts w:hint="eastAsia"/>
                    </w:rPr>
                    <w:t>9</w:t>
                  </w:r>
                  <w:r>
                    <w:t>0</w:t>
                  </w:r>
                </w:p>
              </w:tc>
              <w:tc>
                <w:tcPr>
                  <w:tcW w:w="246" w:type="pct"/>
                  <w:tcBorders>
                    <w:top w:val="single" w:color="auto" w:sz="4" w:space="0"/>
                    <w:bottom w:val="single" w:color="auto" w:sz="4" w:space="0"/>
                  </w:tcBorders>
                  <w:vAlign w:val="center"/>
                </w:tcPr>
                <w:p>
                  <w:pPr>
                    <w:pStyle w:val="112"/>
                  </w:pPr>
                  <w:r>
                    <w:rPr>
                      <w:rFonts w:hint="eastAsia"/>
                    </w:rPr>
                    <w:t>3</w:t>
                  </w:r>
                  <w:r>
                    <w:t>0</w:t>
                  </w:r>
                </w:p>
              </w:tc>
              <w:tc>
                <w:tcPr>
                  <w:tcW w:w="246" w:type="pct"/>
                  <w:tcBorders>
                    <w:top w:val="single" w:color="auto" w:sz="4" w:space="0"/>
                    <w:bottom w:val="single" w:color="auto" w:sz="4" w:space="0"/>
                  </w:tcBorders>
                  <w:vAlign w:val="center"/>
                </w:tcPr>
                <w:p>
                  <w:pPr>
                    <w:pStyle w:val="112"/>
                  </w:pPr>
                  <w:r>
                    <w:rPr>
                      <w:rFonts w:hint="eastAsia"/>
                    </w:rPr>
                    <w:t>6</w:t>
                  </w:r>
                  <w:r>
                    <w:t>0</w:t>
                  </w:r>
                </w:p>
              </w:tc>
              <w:tc>
                <w:tcPr>
                  <w:tcW w:w="245" w:type="pct"/>
                  <w:tcBorders>
                    <w:top w:val="single" w:color="auto" w:sz="4" w:space="0"/>
                    <w:bottom w:val="single" w:color="auto" w:sz="4" w:space="0"/>
                  </w:tcBorders>
                  <w:vAlign w:val="center"/>
                </w:tcPr>
                <w:p>
                  <w:pPr>
                    <w:pStyle w:val="112"/>
                  </w:pPr>
                  <w:r>
                    <w:rPr>
                      <w:rFonts w:hint="eastAsia"/>
                    </w:rPr>
                    <w:t>1</w:t>
                  </w:r>
                  <w:r>
                    <w:t>0</w:t>
                  </w:r>
                </w:p>
              </w:tc>
              <w:tc>
                <w:tcPr>
                  <w:tcW w:w="245" w:type="pct"/>
                  <w:tcBorders>
                    <w:top w:val="single" w:color="auto" w:sz="4" w:space="0"/>
                    <w:bottom w:val="single" w:color="auto" w:sz="4" w:space="0"/>
                  </w:tcBorders>
                  <w:vAlign w:val="center"/>
                </w:tcPr>
                <w:p>
                  <w:pPr>
                    <w:pStyle w:val="112"/>
                  </w:pPr>
                  <w:r>
                    <w:rPr>
                      <w:rFonts w:hint="eastAsia"/>
                    </w:rPr>
                    <w:t>4</w:t>
                  </w:r>
                  <w:r>
                    <w:t>0</w:t>
                  </w:r>
                </w:p>
              </w:tc>
              <w:tc>
                <w:tcPr>
                  <w:tcW w:w="439" w:type="pct"/>
                  <w:tcBorders>
                    <w:top w:val="single" w:color="auto" w:sz="4" w:space="0"/>
                    <w:bottom w:val="single" w:color="auto" w:sz="4" w:space="0"/>
                  </w:tcBorders>
                  <w:vAlign w:val="center"/>
                </w:tcPr>
                <w:p>
                  <w:pPr>
                    <w:pStyle w:val="112"/>
                  </w:pPr>
                  <w:r>
                    <w:rPr>
                      <w:rFonts w:hint="eastAsia"/>
                    </w:rPr>
                    <w:t>7</w:t>
                  </w:r>
                  <w:r>
                    <w:t>0</w:t>
                  </w:r>
                </w:p>
              </w:tc>
              <w:tc>
                <w:tcPr>
                  <w:tcW w:w="439" w:type="pct"/>
                  <w:tcBorders>
                    <w:top w:val="single" w:color="auto" w:sz="4" w:space="0"/>
                    <w:bottom w:val="single" w:color="auto" w:sz="4" w:space="0"/>
                  </w:tcBorders>
                  <w:vAlign w:val="center"/>
                </w:tcPr>
                <w:p>
                  <w:pPr>
                    <w:pStyle w:val="112"/>
                  </w:pPr>
                  <w:r>
                    <w:t>70</w:t>
                  </w:r>
                </w:p>
              </w:tc>
              <w:tc>
                <w:tcPr>
                  <w:tcW w:w="975" w:type="pct"/>
                  <w:tcBorders>
                    <w:top w:val="single" w:color="auto" w:sz="4" w:space="0"/>
                    <w:bottom w:val="single" w:color="auto" w:sz="4" w:space="0"/>
                  </w:tcBorders>
                  <w:vAlign w:val="center"/>
                </w:tcPr>
                <w:p>
                  <w:pPr>
                    <w:pStyle w:val="112"/>
                  </w:pPr>
                  <w:r>
                    <w:t>减震、隔声</w:t>
                  </w:r>
                </w:p>
              </w:tc>
              <w:tc>
                <w:tcPr>
                  <w:tcW w:w="420" w:type="pct"/>
                  <w:tcBorders>
                    <w:top w:val="single" w:color="auto" w:sz="4" w:space="0"/>
                    <w:bottom w:val="single" w:color="auto" w:sz="4" w:space="0"/>
                    <w:right w:val="single" w:color="auto" w:sz="4" w:space="0"/>
                  </w:tcBorders>
                  <w:vAlign w:val="center"/>
                </w:tcPr>
                <w:p>
                  <w:pPr>
                    <w:pStyle w:val="112"/>
                  </w:pPr>
                  <w: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75" w:type="pct"/>
                  <w:tcBorders>
                    <w:top w:val="single" w:color="auto" w:sz="4" w:space="0"/>
                    <w:left w:val="single" w:color="auto" w:sz="4" w:space="0"/>
                    <w:bottom w:val="single" w:color="auto" w:sz="4" w:space="0"/>
                  </w:tcBorders>
                  <w:vAlign w:val="center"/>
                </w:tcPr>
                <w:p>
                  <w:pPr>
                    <w:pStyle w:val="112"/>
                  </w:pPr>
                  <w:r>
                    <w:rPr>
                      <w:rFonts w:hint="eastAsia"/>
                    </w:rPr>
                    <w:t>冷热混合机</w:t>
                  </w:r>
                </w:p>
              </w:tc>
              <w:tc>
                <w:tcPr>
                  <w:tcW w:w="770" w:type="pct"/>
                  <w:tcBorders>
                    <w:top w:val="single" w:color="auto" w:sz="4" w:space="0"/>
                    <w:bottom w:val="single" w:color="auto" w:sz="4" w:space="0"/>
                  </w:tcBorders>
                  <w:vAlign w:val="center"/>
                </w:tcPr>
                <w:p>
                  <w:pPr>
                    <w:pStyle w:val="112"/>
                  </w:pPr>
                  <w:r>
                    <w:rPr>
                      <w:rFonts w:hint="eastAsia"/>
                    </w:rPr>
                    <w:t>7</w:t>
                  </w:r>
                  <w:r>
                    <w:t>0</w:t>
                  </w:r>
                </w:p>
              </w:tc>
              <w:tc>
                <w:tcPr>
                  <w:tcW w:w="246" w:type="pct"/>
                  <w:tcBorders>
                    <w:top w:val="single" w:color="auto" w:sz="4" w:space="0"/>
                    <w:bottom w:val="single" w:color="auto" w:sz="4" w:space="0"/>
                  </w:tcBorders>
                  <w:vAlign w:val="center"/>
                </w:tcPr>
                <w:p>
                  <w:pPr>
                    <w:pStyle w:val="112"/>
                  </w:pPr>
                  <w:r>
                    <w:rPr>
                      <w:rFonts w:hint="eastAsia"/>
                    </w:rPr>
                    <w:t>3</w:t>
                  </w:r>
                  <w:r>
                    <w:t>0</w:t>
                  </w:r>
                </w:p>
              </w:tc>
              <w:tc>
                <w:tcPr>
                  <w:tcW w:w="246" w:type="pct"/>
                  <w:tcBorders>
                    <w:top w:val="single" w:color="auto" w:sz="4" w:space="0"/>
                    <w:bottom w:val="single" w:color="auto" w:sz="4" w:space="0"/>
                  </w:tcBorders>
                  <w:vAlign w:val="center"/>
                </w:tcPr>
                <w:p>
                  <w:pPr>
                    <w:pStyle w:val="112"/>
                  </w:pPr>
                  <w:r>
                    <w:rPr>
                      <w:rFonts w:hint="eastAsia"/>
                    </w:rPr>
                    <w:t>6</w:t>
                  </w:r>
                  <w:r>
                    <w:t>5</w:t>
                  </w:r>
                </w:p>
              </w:tc>
              <w:tc>
                <w:tcPr>
                  <w:tcW w:w="245" w:type="pct"/>
                  <w:tcBorders>
                    <w:top w:val="single" w:color="auto" w:sz="4" w:space="0"/>
                    <w:bottom w:val="single" w:color="auto" w:sz="4" w:space="0"/>
                  </w:tcBorders>
                  <w:vAlign w:val="center"/>
                </w:tcPr>
                <w:p>
                  <w:pPr>
                    <w:pStyle w:val="112"/>
                  </w:pPr>
                  <w:r>
                    <w:rPr>
                      <w:rFonts w:hint="eastAsia"/>
                    </w:rPr>
                    <w:t>1</w:t>
                  </w:r>
                  <w:r>
                    <w:t>0</w:t>
                  </w:r>
                </w:p>
              </w:tc>
              <w:tc>
                <w:tcPr>
                  <w:tcW w:w="245" w:type="pct"/>
                  <w:tcBorders>
                    <w:top w:val="single" w:color="auto" w:sz="4" w:space="0"/>
                    <w:bottom w:val="single" w:color="auto" w:sz="4" w:space="0"/>
                  </w:tcBorders>
                  <w:vAlign w:val="center"/>
                </w:tcPr>
                <w:p>
                  <w:pPr>
                    <w:pStyle w:val="112"/>
                  </w:pPr>
                  <w:r>
                    <w:rPr>
                      <w:rFonts w:hint="eastAsia"/>
                    </w:rPr>
                    <w:t>3</w:t>
                  </w:r>
                  <w:r>
                    <w:t>5</w:t>
                  </w:r>
                </w:p>
              </w:tc>
              <w:tc>
                <w:tcPr>
                  <w:tcW w:w="439" w:type="pct"/>
                  <w:tcBorders>
                    <w:top w:val="single" w:color="auto" w:sz="4" w:space="0"/>
                    <w:bottom w:val="single" w:color="auto" w:sz="4" w:space="0"/>
                  </w:tcBorders>
                  <w:vAlign w:val="center"/>
                </w:tcPr>
                <w:p>
                  <w:pPr>
                    <w:pStyle w:val="112"/>
                  </w:pPr>
                  <w:r>
                    <w:rPr>
                      <w:rFonts w:hint="eastAsia"/>
                    </w:rPr>
                    <w:t>7</w:t>
                  </w:r>
                  <w:r>
                    <w:t>0</w:t>
                  </w:r>
                </w:p>
              </w:tc>
              <w:tc>
                <w:tcPr>
                  <w:tcW w:w="439" w:type="pct"/>
                  <w:tcBorders>
                    <w:top w:val="single" w:color="auto" w:sz="4" w:space="0"/>
                    <w:bottom w:val="single" w:color="auto" w:sz="4" w:space="0"/>
                  </w:tcBorders>
                  <w:vAlign w:val="center"/>
                </w:tcPr>
                <w:p>
                  <w:pPr>
                    <w:pStyle w:val="112"/>
                  </w:pPr>
                  <w:r>
                    <w:t>65</w:t>
                  </w:r>
                </w:p>
              </w:tc>
              <w:tc>
                <w:tcPr>
                  <w:tcW w:w="975" w:type="pct"/>
                  <w:tcBorders>
                    <w:top w:val="single" w:color="auto" w:sz="4" w:space="0"/>
                    <w:bottom w:val="single" w:color="auto" w:sz="4" w:space="0"/>
                  </w:tcBorders>
                  <w:vAlign w:val="center"/>
                </w:tcPr>
                <w:p>
                  <w:pPr>
                    <w:pStyle w:val="112"/>
                  </w:pPr>
                  <w:r>
                    <w:t>减震、隔声</w:t>
                  </w:r>
                </w:p>
              </w:tc>
              <w:tc>
                <w:tcPr>
                  <w:tcW w:w="420" w:type="pct"/>
                  <w:tcBorders>
                    <w:top w:val="single" w:color="auto" w:sz="4" w:space="0"/>
                    <w:bottom w:val="single" w:color="auto" w:sz="4" w:space="0"/>
                    <w:right w:val="single" w:color="auto" w:sz="4" w:space="0"/>
                  </w:tcBorders>
                  <w:vAlign w:val="center"/>
                </w:tcPr>
                <w:p>
                  <w:pPr>
                    <w:pStyle w:val="112"/>
                  </w:pPr>
                  <w: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75" w:type="pct"/>
                  <w:tcBorders>
                    <w:top w:val="single" w:color="auto" w:sz="4" w:space="0"/>
                    <w:left w:val="single" w:color="auto" w:sz="4" w:space="0"/>
                    <w:bottom w:val="single" w:color="auto" w:sz="4" w:space="0"/>
                  </w:tcBorders>
                  <w:vAlign w:val="center"/>
                </w:tcPr>
                <w:p>
                  <w:pPr>
                    <w:pStyle w:val="112"/>
                  </w:pPr>
                  <w:r>
                    <w:rPr>
                      <w:rFonts w:hint="eastAsia"/>
                    </w:rPr>
                    <w:t>磨粉机</w:t>
                  </w:r>
                </w:p>
              </w:tc>
              <w:tc>
                <w:tcPr>
                  <w:tcW w:w="770" w:type="pct"/>
                  <w:tcBorders>
                    <w:top w:val="single" w:color="auto" w:sz="4" w:space="0"/>
                    <w:bottom w:val="single" w:color="auto" w:sz="4" w:space="0"/>
                  </w:tcBorders>
                  <w:vAlign w:val="center"/>
                </w:tcPr>
                <w:p>
                  <w:pPr>
                    <w:pStyle w:val="112"/>
                  </w:pPr>
                  <w:r>
                    <w:t>85</w:t>
                  </w:r>
                </w:p>
              </w:tc>
              <w:tc>
                <w:tcPr>
                  <w:tcW w:w="246" w:type="pct"/>
                  <w:tcBorders>
                    <w:top w:val="single" w:color="auto" w:sz="4" w:space="0"/>
                    <w:bottom w:val="single" w:color="auto" w:sz="4" w:space="0"/>
                  </w:tcBorders>
                  <w:vAlign w:val="center"/>
                </w:tcPr>
                <w:p>
                  <w:pPr>
                    <w:pStyle w:val="112"/>
                  </w:pPr>
                  <w:r>
                    <w:rPr>
                      <w:rFonts w:hint="eastAsia"/>
                    </w:rPr>
                    <w:t>3</w:t>
                  </w:r>
                  <w:r>
                    <w:t>0</w:t>
                  </w:r>
                </w:p>
              </w:tc>
              <w:tc>
                <w:tcPr>
                  <w:tcW w:w="246" w:type="pct"/>
                  <w:tcBorders>
                    <w:top w:val="single" w:color="auto" w:sz="4" w:space="0"/>
                    <w:bottom w:val="single" w:color="auto" w:sz="4" w:space="0"/>
                  </w:tcBorders>
                  <w:vAlign w:val="center"/>
                </w:tcPr>
                <w:p>
                  <w:pPr>
                    <w:pStyle w:val="112"/>
                  </w:pPr>
                  <w:r>
                    <w:rPr>
                      <w:rFonts w:hint="eastAsia"/>
                    </w:rPr>
                    <w:t>6</w:t>
                  </w:r>
                  <w:r>
                    <w:t>5</w:t>
                  </w:r>
                </w:p>
              </w:tc>
              <w:tc>
                <w:tcPr>
                  <w:tcW w:w="245" w:type="pct"/>
                  <w:tcBorders>
                    <w:top w:val="single" w:color="auto" w:sz="4" w:space="0"/>
                    <w:bottom w:val="single" w:color="auto" w:sz="4" w:space="0"/>
                  </w:tcBorders>
                  <w:vAlign w:val="center"/>
                </w:tcPr>
                <w:p>
                  <w:pPr>
                    <w:pStyle w:val="112"/>
                  </w:pPr>
                  <w:r>
                    <w:rPr>
                      <w:rFonts w:hint="eastAsia"/>
                    </w:rPr>
                    <w:t>1</w:t>
                  </w:r>
                  <w:r>
                    <w:t>0</w:t>
                  </w:r>
                </w:p>
              </w:tc>
              <w:tc>
                <w:tcPr>
                  <w:tcW w:w="245" w:type="pct"/>
                  <w:tcBorders>
                    <w:top w:val="single" w:color="auto" w:sz="4" w:space="0"/>
                    <w:bottom w:val="single" w:color="auto" w:sz="4" w:space="0"/>
                  </w:tcBorders>
                  <w:vAlign w:val="center"/>
                </w:tcPr>
                <w:p>
                  <w:pPr>
                    <w:pStyle w:val="112"/>
                  </w:pPr>
                  <w:r>
                    <w:rPr>
                      <w:rFonts w:hint="eastAsia"/>
                    </w:rPr>
                    <w:t>3</w:t>
                  </w:r>
                  <w:r>
                    <w:t>5</w:t>
                  </w:r>
                </w:p>
              </w:tc>
              <w:tc>
                <w:tcPr>
                  <w:tcW w:w="439" w:type="pct"/>
                  <w:tcBorders>
                    <w:top w:val="single" w:color="auto" w:sz="4" w:space="0"/>
                    <w:bottom w:val="single" w:color="auto" w:sz="4" w:space="0"/>
                  </w:tcBorders>
                  <w:vAlign w:val="center"/>
                </w:tcPr>
                <w:p>
                  <w:pPr>
                    <w:pStyle w:val="112"/>
                  </w:pPr>
                  <w:r>
                    <w:rPr>
                      <w:rFonts w:hint="eastAsia"/>
                    </w:rPr>
                    <w:t>7</w:t>
                  </w:r>
                  <w:r>
                    <w:t>0</w:t>
                  </w:r>
                </w:p>
              </w:tc>
              <w:tc>
                <w:tcPr>
                  <w:tcW w:w="439" w:type="pct"/>
                  <w:tcBorders>
                    <w:top w:val="single" w:color="auto" w:sz="4" w:space="0"/>
                    <w:bottom w:val="single" w:color="auto" w:sz="4" w:space="0"/>
                  </w:tcBorders>
                  <w:vAlign w:val="center"/>
                </w:tcPr>
                <w:p>
                  <w:pPr>
                    <w:pStyle w:val="112"/>
                  </w:pPr>
                  <w:r>
                    <w:rPr>
                      <w:rFonts w:hint="eastAsia"/>
                    </w:rPr>
                    <w:t>6</w:t>
                  </w:r>
                  <w:r>
                    <w:t>5</w:t>
                  </w:r>
                </w:p>
              </w:tc>
              <w:tc>
                <w:tcPr>
                  <w:tcW w:w="975" w:type="pct"/>
                  <w:tcBorders>
                    <w:top w:val="single" w:color="auto" w:sz="4" w:space="0"/>
                    <w:bottom w:val="single" w:color="auto" w:sz="4" w:space="0"/>
                  </w:tcBorders>
                  <w:vAlign w:val="center"/>
                </w:tcPr>
                <w:p>
                  <w:pPr>
                    <w:pStyle w:val="112"/>
                  </w:pPr>
                  <w:r>
                    <w:t>减震、隔声</w:t>
                  </w:r>
                </w:p>
              </w:tc>
              <w:tc>
                <w:tcPr>
                  <w:tcW w:w="420" w:type="pct"/>
                  <w:tcBorders>
                    <w:top w:val="single" w:color="auto" w:sz="4" w:space="0"/>
                    <w:bottom w:val="single" w:color="auto" w:sz="4" w:space="0"/>
                    <w:right w:val="single" w:color="auto" w:sz="4" w:space="0"/>
                  </w:tcBorders>
                  <w:vAlign w:val="center"/>
                </w:tcPr>
                <w:p>
                  <w:pPr>
                    <w:pStyle w:val="112"/>
                  </w:pPr>
                  <w: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975" w:type="pct"/>
                  <w:tcBorders>
                    <w:top w:val="single" w:color="auto" w:sz="4" w:space="0"/>
                    <w:left w:val="single" w:color="auto" w:sz="4" w:space="0"/>
                    <w:bottom w:val="single" w:color="auto" w:sz="4" w:space="0"/>
                  </w:tcBorders>
                  <w:vAlign w:val="center"/>
                </w:tcPr>
                <w:p>
                  <w:pPr>
                    <w:pStyle w:val="112"/>
                  </w:pPr>
                  <w:r>
                    <w:rPr>
                      <w:rFonts w:hint="eastAsia"/>
                    </w:rPr>
                    <w:t>风机</w:t>
                  </w:r>
                </w:p>
              </w:tc>
              <w:tc>
                <w:tcPr>
                  <w:tcW w:w="770" w:type="pct"/>
                  <w:tcBorders>
                    <w:top w:val="single" w:color="auto" w:sz="4" w:space="0"/>
                    <w:bottom w:val="single" w:color="auto" w:sz="4" w:space="0"/>
                  </w:tcBorders>
                  <w:vAlign w:val="center"/>
                </w:tcPr>
                <w:p>
                  <w:pPr>
                    <w:pStyle w:val="112"/>
                  </w:pPr>
                  <w:r>
                    <w:rPr>
                      <w:rFonts w:hint="eastAsia"/>
                    </w:rPr>
                    <w:t>9</w:t>
                  </w:r>
                  <w:r>
                    <w:t>0</w:t>
                  </w:r>
                </w:p>
              </w:tc>
              <w:tc>
                <w:tcPr>
                  <w:tcW w:w="246" w:type="pct"/>
                  <w:tcBorders>
                    <w:top w:val="single" w:color="auto" w:sz="4" w:space="0"/>
                    <w:bottom w:val="single" w:color="auto" w:sz="4" w:space="0"/>
                  </w:tcBorders>
                  <w:vAlign w:val="center"/>
                </w:tcPr>
                <w:p>
                  <w:pPr>
                    <w:pStyle w:val="112"/>
                  </w:pPr>
                  <w:r>
                    <w:rPr>
                      <w:rFonts w:hint="eastAsia"/>
                    </w:rPr>
                    <w:t>3</w:t>
                  </w:r>
                  <w:r>
                    <w:t>0</w:t>
                  </w:r>
                </w:p>
              </w:tc>
              <w:tc>
                <w:tcPr>
                  <w:tcW w:w="246" w:type="pct"/>
                  <w:tcBorders>
                    <w:top w:val="single" w:color="auto" w:sz="4" w:space="0"/>
                    <w:bottom w:val="single" w:color="auto" w:sz="4" w:space="0"/>
                  </w:tcBorders>
                  <w:vAlign w:val="center"/>
                </w:tcPr>
                <w:p>
                  <w:pPr>
                    <w:pStyle w:val="112"/>
                  </w:pPr>
                  <w:r>
                    <w:rPr>
                      <w:rFonts w:hint="eastAsia"/>
                    </w:rPr>
                    <w:t>8</w:t>
                  </w:r>
                  <w:r>
                    <w:t>0</w:t>
                  </w:r>
                </w:p>
              </w:tc>
              <w:tc>
                <w:tcPr>
                  <w:tcW w:w="245" w:type="pct"/>
                  <w:tcBorders>
                    <w:top w:val="single" w:color="auto" w:sz="4" w:space="0"/>
                    <w:bottom w:val="single" w:color="auto" w:sz="4" w:space="0"/>
                  </w:tcBorders>
                  <w:vAlign w:val="center"/>
                </w:tcPr>
                <w:p>
                  <w:pPr>
                    <w:pStyle w:val="112"/>
                  </w:pPr>
                  <w:r>
                    <w:rPr>
                      <w:rFonts w:hint="eastAsia"/>
                    </w:rPr>
                    <w:t>1</w:t>
                  </w:r>
                  <w:r>
                    <w:t>0</w:t>
                  </w:r>
                </w:p>
              </w:tc>
              <w:tc>
                <w:tcPr>
                  <w:tcW w:w="245" w:type="pct"/>
                  <w:tcBorders>
                    <w:top w:val="single" w:color="auto" w:sz="4" w:space="0"/>
                    <w:bottom w:val="single" w:color="auto" w:sz="4" w:space="0"/>
                  </w:tcBorders>
                  <w:vAlign w:val="center"/>
                </w:tcPr>
                <w:p>
                  <w:pPr>
                    <w:pStyle w:val="112"/>
                  </w:pPr>
                  <w:r>
                    <w:rPr>
                      <w:rFonts w:hint="eastAsia"/>
                    </w:rPr>
                    <w:t>2</w:t>
                  </w:r>
                  <w:r>
                    <w:t>0</w:t>
                  </w:r>
                </w:p>
              </w:tc>
              <w:tc>
                <w:tcPr>
                  <w:tcW w:w="439" w:type="pct"/>
                  <w:tcBorders>
                    <w:top w:val="single" w:color="auto" w:sz="4" w:space="0"/>
                    <w:bottom w:val="single" w:color="auto" w:sz="4" w:space="0"/>
                  </w:tcBorders>
                  <w:vAlign w:val="center"/>
                </w:tcPr>
                <w:p>
                  <w:pPr>
                    <w:pStyle w:val="112"/>
                  </w:pPr>
                  <w:r>
                    <w:rPr>
                      <w:rFonts w:hint="eastAsia"/>
                    </w:rPr>
                    <w:t>7</w:t>
                  </w:r>
                  <w:r>
                    <w:t>0</w:t>
                  </w:r>
                </w:p>
              </w:tc>
              <w:tc>
                <w:tcPr>
                  <w:tcW w:w="439" w:type="pct"/>
                  <w:tcBorders>
                    <w:top w:val="single" w:color="auto" w:sz="4" w:space="0"/>
                    <w:bottom w:val="single" w:color="auto" w:sz="4" w:space="0"/>
                  </w:tcBorders>
                  <w:vAlign w:val="center"/>
                </w:tcPr>
                <w:p>
                  <w:pPr>
                    <w:pStyle w:val="112"/>
                  </w:pPr>
                  <w:r>
                    <w:rPr>
                      <w:rFonts w:hint="eastAsia"/>
                    </w:rPr>
                    <w:t>4</w:t>
                  </w:r>
                  <w:r>
                    <w:t>5</w:t>
                  </w:r>
                </w:p>
              </w:tc>
              <w:tc>
                <w:tcPr>
                  <w:tcW w:w="975" w:type="pct"/>
                  <w:tcBorders>
                    <w:top w:val="single" w:color="auto" w:sz="4" w:space="0"/>
                    <w:bottom w:val="single" w:color="auto" w:sz="4" w:space="0"/>
                  </w:tcBorders>
                  <w:vAlign w:val="center"/>
                </w:tcPr>
                <w:p>
                  <w:pPr>
                    <w:pStyle w:val="112"/>
                  </w:pPr>
                  <w:r>
                    <w:t>减震、隔声</w:t>
                  </w:r>
                </w:p>
              </w:tc>
              <w:tc>
                <w:tcPr>
                  <w:tcW w:w="420" w:type="pct"/>
                  <w:tcBorders>
                    <w:top w:val="single" w:color="auto" w:sz="4" w:space="0"/>
                    <w:bottom w:val="single" w:color="auto" w:sz="4" w:space="0"/>
                    <w:right w:val="single" w:color="auto" w:sz="4" w:space="0"/>
                  </w:tcBorders>
                  <w:vAlign w:val="center"/>
                </w:tcPr>
                <w:p>
                  <w:pPr>
                    <w:pStyle w:val="112"/>
                  </w:pPr>
                  <w:r>
                    <w:t>20</w:t>
                  </w:r>
                </w:p>
              </w:tc>
            </w:tr>
          </w:tbl>
          <w:p>
            <w:pPr>
              <w:pStyle w:val="16"/>
              <w:spacing w:after="0" w:line="360" w:lineRule="auto"/>
              <w:ind w:left="0" w:leftChars="0" w:firstLine="480" w:firstLineChars="200"/>
              <w:rPr>
                <w:color w:val="000000"/>
                <w:sz w:val="24"/>
              </w:rPr>
            </w:pPr>
            <w:r>
              <w:rPr>
                <w:color w:val="000000"/>
                <w:sz w:val="24"/>
              </w:rPr>
              <w:t>项目营运期噪声主要来源于生产加工设备产生的机械噪声，项目拟采用减振、隔声等降噪措施，降噪效果约20dB(A)。</w:t>
            </w:r>
            <w:r>
              <w:rPr>
                <w:rFonts w:hint="eastAsia"/>
                <w:color w:val="000000"/>
                <w:sz w:val="24"/>
              </w:rPr>
              <w:t xml:space="preserve"> </w:t>
            </w:r>
          </w:p>
          <w:p>
            <w:pPr>
              <w:pStyle w:val="6"/>
              <w:spacing w:line="360" w:lineRule="auto"/>
              <w:ind w:firstLine="482"/>
              <w:rPr>
                <w:b/>
                <w:bCs/>
                <w:color w:val="000000"/>
                <w:sz w:val="24"/>
              </w:rPr>
            </w:pPr>
            <w:r>
              <w:rPr>
                <w:b/>
                <w:bCs/>
                <w:color w:val="000000"/>
                <w:sz w:val="24"/>
              </w:rPr>
              <w:t>2、预测模式</w:t>
            </w:r>
          </w:p>
          <w:p>
            <w:pPr>
              <w:pStyle w:val="16"/>
              <w:spacing w:after="0" w:line="360" w:lineRule="auto"/>
              <w:ind w:left="0" w:leftChars="0" w:firstLine="480" w:firstLineChars="200"/>
              <w:rPr>
                <w:color w:val="000000"/>
                <w:sz w:val="24"/>
              </w:rPr>
            </w:pPr>
            <w:r>
              <w:rPr>
                <w:color w:val="000000"/>
                <w:sz w:val="24"/>
              </w:rPr>
              <w:t>采用如下预测模式进行预测：</w:t>
            </w:r>
          </w:p>
          <w:p>
            <w:pPr>
              <w:ind w:firstLine="480"/>
              <w:rPr>
                <w:color w:val="000000"/>
              </w:rPr>
            </w:pPr>
            <w:bookmarkStart w:id="10" w:name="_Toc329264019"/>
            <w:r>
              <w:rPr>
                <w:color w:val="000000"/>
                <w:kern w:val="0"/>
              </w:rPr>
              <w:t>①</w:t>
            </w:r>
            <w:r>
              <w:rPr>
                <w:bCs/>
                <w:color w:val="000000"/>
              </w:rPr>
              <w:t>噪</w:t>
            </w:r>
            <w:r>
              <w:rPr>
                <w:color w:val="000000"/>
              </w:rPr>
              <w:t>声在空气中的理论衰减公式为：</w:t>
            </w:r>
          </w:p>
          <w:p>
            <w:pPr>
              <w:ind w:firstLine="960" w:firstLineChars="400"/>
              <w:rPr>
                <w:color w:val="000000"/>
              </w:rPr>
            </w:pPr>
            <w:r>
              <w:rPr>
                <w:color w:val="000000"/>
                <w:position w:val="-26"/>
              </w:rPr>
              <w:object>
                <v:shape id="_x0000_i1027" o:spt="75" type="#_x0000_t75" style="height:28.8pt;width:100.8pt;" o:ole="t" filled="f" o:preferrelative="t" stroked="f" coordsize="21600,21600">
                  <v:path/>
                  <v:fill on="f" focussize="0,0"/>
                  <v:stroke on="f" joinstyle="miter"/>
                  <v:imagedata r:id="rId25" o:title=""/>
                  <o:lock v:ext="edit" aspectratio="t"/>
                  <w10:wrap type="none"/>
                  <w10:anchorlock/>
                </v:shape>
                <o:OLEObject Type="Embed" ProgID="Equation.3" ShapeID="_x0000_i1027" DrawAspect="Content" ObjectID="_1468075727" r:id="rId24">
                  <o:LockedField>false</o:LockedField>
                </o:OLEObject>
              </w:object>
            </w:r>
          </w:p>
          <w:p>
            <w:pPr>
              <w:pStyle w:val="13"/>
              <w:ind w:firstLine="480"/>
              <w:rPr>
                <w:rFonts w:ascii="Times New Roman" w:hAnsi="Times New Roman"/>
                <w:color w:val="000000"/>
                <w:sz w:val="24"/>
                <w:szCs w:val="24"/>
              </w:rPr>
            </w:pPr>
            <w:r>
              <w:rPr>
                <w:rFonts w:ascii="Times New Roman" w:hAnsi="Times New Roman"/>
                <w:color w:val="000000"/>
                <w:sz w:val="24"/>
                <w:szCs w:val="24"/>
              </w:rPr>
              <w:t>式中：L</w:t>
            </w:r>
            <w:r>
              <w:rPr>
                <w:rFonts w:ascii="Times New Roman" w:hAnsi="Times New Roman"/>
                <w:color w:val="000000"/>
                <w:sz w:val="24"/>
                <w:szCs w:val="24"/>
                <w:vertAlign w:val="subscript"/>
              </w:rPr>
              <w:t>p</w:t>
            </w:r>
            <w:r>
              <w:rPr>
                <w:rFonts w:ascii="Times New Roman" w:hAnsi="Times New Roman"/>
                <w:color w:val="000000"/>
                <w:sz w:val="24"/>
                <w:szCs w:val="24"/>
              </w:rPr>
              <w:t>——距声源r(m)处的噪声值，dB(A)；</w:t>
            </w:r>
          </w:p>
          <w:p>
            <w:pPr>
              <w:pStyle w:val="13"/>
              <w:ind w:firstLine="480"/>
              <w:rPr>
                <w:rFonts w:ascii="Times New Roman" w:hAnsi="Times New Roman"/>
                <w:color w:val="000000"/>
                <w:sz w:val="24"/>
                <w:szCs w:val="24"/>
              </w:rPr>
            </w:pPr>
            <w:r>
              <w:rPr>
                <w:rFonts w:ascii="Times New Roman" w:hAnsi="Times New Roman"/>
                <w:color w:val="000000"/>
                <w:sz w:val="24"/>
                <w:szCs w:val="24"/>
              </w:rPr>
              <w:t>L</w:t>
            </w:r>
            <w:r>
              <w:rPr>
                <w:rFonts w:ascii="Times New Roman" w:hAnsi="Times New Roman"/>
                <w:color w:val="000000"/>
                <w:sz w:val="24"/>
                <w:szCs w:val="24"/>
                <w:vertAlign w:val="subscript"/>
              </w:rPr>
              <w:t>0</w:t>
            </w:r>
            <w:r>
              <w:rPr>
                <w:rFonts w:ascii="Times New Roman" w:hAnsi="Times New Roman"/>
                <w:color w:val="000000"/>
                <w:sz w:val="24"/>
                <w:szCs w:val="24"/>
              </w:rPr>
              <w:t>——距声源r</w:t>
            </w:r>
            <w:r>
              <w:rPr>
                <w:rFonts w:ascii="Times New Roman" w:hAnsi="Times New Roman"/>
                <w:color w:val="000000"/>
                <w:sz w:val="24"/>
                <w:szCs w:val="24"/>
                <w:vertAlign w:val="subscript"/>
              </w:rPr>
              <w:t>0</w:t>
            </w:r>
            <w:r>
              <w:rPr>
                <w:rFonts w:ascii="Times New Roman" w:hAnsi="Times New Roman"/>
                <w:color w:val="000000"/>
                <w:sz w:val="24"/>
                <w:szCs w:val="24"/>
              </w:rPr>
              <w:t>(m)处声源值，dB(A)；</w:t>
            </w:r>
          </w:p>
          <w:p>
            <w:pPr>
              <w:pStyle w:val="13"/>
              <w:ind w:firstLine="480"/>
              <w:rPr>
                <w:rFonts w:ascii="Times New Roman" w:hAnsi="Times New Roman"/>
                <w:color w:val="000000"/>
                <w:sz w:val="24"/>
                <w:szCs w:val="24"/>
              </w:rPr>
            </w:pPr>
            <w:r>
              <w:rPr>
                <w:rFonts w:ascii="Times New Roman" w:hAnsi="Times New Roman"/>
                <w:color w:val="000000"/>
                <w:sz w:val="24"/>
                <w:szCs w:val="24"/>
              </w:rPr>
              <w:t>r</w:t>
            </w:r>
            <w:r>
              <w:rPr>
                <w:rFonts w:ascii="Times New Roman" w:hAnsi="Times New Roman"/>
                <w:color w:val="000000"/>
                <w:sz w:val="24"/>
                <w:szCs w:val="24"/>
                <w:vertAlign w:val="subscript"/>
              </w:rPr>
              <w:t>0</w:t>
            </w:r>
            <w:r>
              <w:rPr>
                <w:rFonts w:ascii="Times New Roman" w:hAnsi="Times New Roman"/>
                <w:color w:val="000000"/>
                <w:sz w:val="24"/>
                <w:szCs w:val="24"/>
              </w:rPr>
              <w:t>——测定声源时距离，m；</w:t>
            </w:r>
          </w:p>
          <w:p>
            <w:pPr>
              <w:pStyle w:val="13"/>
              <w:ind w:firstLine="480"/>
              <w:rPr>
                <w:rFonts w:ascii="Times New Roman" w:hAnsi="Times New Roman"/>
                <w:color w:val="000000"/>
                <w:sz w:val="24"/>
                <w:szCs w:val="24"/>
              </w:rPr>
            </w:pPr>
            <w:r>
              <w:rPr>
                <w:rFonts w:ascii="Times New Roman" w:hAnsi="Times New Roman"/>
                <w:color w:val="000000"/>
                <w:sz w:val="24"/>
                <w:szCs w:val="24"/>
              </w:rPr>
              <w:t>r——衰减距离，m；</w:t>
            </w:r>
          </w:p>
          <w:p>
            <w:pPr>
              <w:pStyle w:val="13"/>
              <w:ind w:firstLine="480"/>
              <w:rPr>
                <w:rFonts w:ascii="Times New Roman" w:hAnsi="Times New Roman"/>
                <w:color w:val="000000"/>
                <w:sz w:val="24"/>
                <w:szCs w:val="24"/>
              </w:rPr>
            </w:pPr>
            <w:r>
              <w:rPr>
                <w:rFonts w:ascii="Times New Roman" w:hAnsi="Times New Roman"/>
                <w:color w:val="000000"/>
                <w:sz w:val="24"/>
                <w:szCs w:val="24"/>
              </w:rPr>
              <w:t>α——空气中衰减系数。</w:t>
            </w:r>
          </w:p>
          <w:p>
            <w:pPr>
              <w:pStyle w:val="13"/>
              <w:ind w:firstLine="480"/>
              <w:rPr>
                <w:rFonts w:ascii="Times New Roman" w:hAnsi="Times New Roman"/>
                <w:color w:val="000000"/>
                <w:sz w:val="24"/>
                <w:szCs w:val="24"/>
              </w:rPr>
            </w:pPr>
            <w:r>
              <w:rPr>
                <w:rFonts w:ascii="Times New Roman" w:hAnsi="Times New Roman"/>
                <w:color w:val="000000"/>
                <w:sz w:val="24"/>
                <w:szCs w:val="24"/>
              </w:rPr>
              <w:t>②噪声叠加计算模式</w:t>
            </w:r>
          </w:p>
          <w:p>
            <w:pPr>
              <w:pStyle w:val="13"/>
              <w:ind w:firstLine="960" w:firstLineChars="400"/>
              <w:jc w:val="center"/>
              <w:rPr>
                <w:rFonts w:ascii="Times New Roman" w:hAnsi="Times New Roman"/>
                <w:color w:val="000000"/>
                <w:sz w:val="24"/>
                <w:szCs w:val="24"/>
              </w:rPr>
            </w:pPr>
            <w:r>
              <w:rPr>
                <w:rFonts w:ascii="Times New Roman" w:hAnsi="Times New Roman"/>
                <w:color w:val="000000"/>
                <w:position w:val="-30"/>
                <w:sz w:val="24"/>
                <w:szCs w:val="24"/>
              </w:rPr>
              <w:object>
                <v:shape id="_x0000_i1028" o:spt="75" type="#_x0000_t75" style="height:36pt;width:86.4pt;" o:ole="t" filled="f" o:preferrelative="t" stroked="f" coordsize="21600,21600">
                  <v:path/>
                  <v:fill on="f" focussize="0,0"/>
                  <v:stroke on="f" joinstyle="miter"/>
                  <v:imagedata r:id="rId27" o:title=""/>
                  <o:lock v:ext="edit" aspectratio="t"/>
                  <w10:wrap type="none"/>
                  <w10:anchorlock/>
                </v:shape>
                <o:OLEObject Type="Embed" ProgID="Equation.3" ShapeID="_x0000_i1028" DrawAspect="Content" ObjectID="_1468075728" r:id="rId26">
                  <o:LockedField>false</o:LockedField>
                </o:OLEObject>
              </w:object>
            </w:r>
          </w:p>
          <w:p>
            <w:pPr>
              <w:pStyle w:val="13"/>
              <w:ind w:firstLine="480"/>
              <w:rPr>
                <w:rFonts w:ascii="Times New Roman" w:hAnsi="Times New Roman"/>
                <w:color w:val="000000"/>
                <w:sz w:val="24"/>
                <w:szCs w:val="24"/>
              </w:rPr>
            </w:pPr>
            <w:r>
              <w:rPr>
                <w:rFonts w:ascii="Times New Roman" w:hAnsi="Times New Roman"/>
                <w:color w:val="000000"/>
                <w:sz w:val="24"/>
                <w:szCs w:val="24"/>
              </w:rPr>
              <w:t>式中：L——噪声叠加后噪声值dB(A)；</w:t>
            </w:r>
          </w:p>
          <w:p>
            <w:pPr>
              <w:pStyle w:val="13"/>
              <w:ind w:firstLine="1200" w:firstLineChars="500"/>
              <w:rPr>
                <w:rFonts w:ascii="Times New Roman" w:hAnsi="Times New Roman"/>
                <w:color w:val="000000"/>
                <w:sz w:val="24"/>
                <w:szCs w:val="24"/>
              </w:rPr>
            </w:pPr>
            <w:r>
              <w:rPr>
                <w:rFonts w:ascii="Times New Roman" w:hAnsi="Times New Roman"/>
                <w:color w:val="000000"/>
                <w:sz w:val="24"/>
                <w:szCs w:val="24"/>
              </w:rPr>
              <w:t>L</w:t>
            </w:r>
            <w:r>
              <w:rPr>
                <w:rFonts w:ascii="Times New Roman" w:hAnsi="Times New Roman"/>
                <w:color w:val="000000"/>
                <w:sz w:val="24"/>
                <w:szCs w:val="24"/>
                <w:vertAlign w:val="subscript"/>
              </w:rPr>
              <w:t>i</w:t>
            </w:r>
            <w:r>
              <w:rPr>
                <w:rFonts w:ascii="Times New Roman" w:hAnsi="Times New Roman"/>
                <w:color w:val="000000"/>
                <w:sz w:val="24"/>
                <w:szCs w:val="24"/>
              </w:rPr>
              <w:t>——第i个噪声值，dB(A)；</w:t>
            </w:r>
          </w:p>
          <w:p>
            <w:pPr>
              <w:pStyle w:val="13"/>
              <w:ind w:firstLine="480"/>
              <w:rPr>
                <w:rFonts w:ascii="Times New Roman" w:hAnsi="Times New Roman"/>
                <w:color w:val="000000"/>
                <w:sz w:val="24"/>
                <w:szCs w:val="24"/>
              </w:rPr>
            </w:pPr>
            <w:r>
              <w:rPr>
                <w:rFonts w:ascii="Times New Roman" w:hAnsi="Times New Roman"/>
                <w:color w:val="000000"/>
                <w:sz w:val="24"/>
                <w:szCs w:val="24"/>
              </w:rPr>
              <w:t>若上式的几个噪声值均相同，可简化为：</w:t>
            </w:r>
          </w:p>
          <w:p>
            <w:pPr>
              <w:pStyle w:val="13"/>
              <w:ind w:firstLine="480"/>
              <w:jc w:val="center"/>
              <w:rPr>
                <w:rFonts w:ascii="Times New Roman" w:hAnsi="Times New Roman"/>
                <w:color w:val="000000"/>
                <w:sz w:val="24"/>
                <w:szCs w:val="24"/>
              </w:rPr>
            </w:pPr>
            <w:r>
              <w:rPr>
                <w:rFonts w:ascii="Times New Roman" w:hAnsi="Times New Roman"/>
                <w:color w:val="000000"/>
                <w:position w:val="-10"/>
                <w:sz w:val="24"/>
                <w:szCs w:val="24"/>
              </w:rPr>
              <w:object>
                <v:shape id="_x0000_i1029" o:spt="75" type="#_x0000_t75" style="height:14.4pt;width:86.4pt;" o:ole="t" filled="f" o:preferrelative="t" stroked="f" coordsize="21600,21600">
                  <v:path/>
                  <v:fill on="f" focussize="0,0"/>
                  <v:stroke on="f" joinstyle="miter"/>
                  <v:imagedata r:id="rId29" o:title=""/>
                  <o:lock v:ext="edit" aspectratio="t"/>
                  <w10:wrap type="none"/>
                  <w10:anchorlock/>
                </v:shape>
                <o:OLEObject Type="Embed" ProgID="Equation.3" ShapeID="_x0000_i1029" DrawAspect="Content" ObjectID="_1468075729" r:id="rId28">
                  <o:LockedField>false</o:LockedField>
                </o:OLEObject>
              </w:object>
            </w:r>
          </w:p>
          <w:p>
            <w:pPr>
              <w:pStyle w:val="13"/>
              <w:ind w:firstLine="480"/>
              <w:rPr>
                <w:rFonts w:ascii="Times New Roman" w:hAnsi="Times New Roman"/>
                <w:color w:val="000000"/>
                <w:sz w:val="24"/>
                <w:szCs w:val="24"/>
              </w:rPr>
            </w:pPr>
            <w:r>
              <w:rPr>
                <w:rFonts w:ascii="Times New Roman" w:hAnsi="Times New Roman"/>
                <w:color w:val="000000"/>
                <w:sz w:val="24"/>
                <w:szCs w:val="24"/>
              </w:rPr>
              <w:t>式中：L——噪声叠加后噪声值dB(A)；</w:t>
            </w:r>
          </w:p>
          <w:p>
            <w:pPr>
              <w:pStyle w:val="13"/>
              <w:ind w:firstLine="1200" w:firstLineChars="500"/>
              <w:rPr>
                <w:rFonts w:ascii="Times New Roman" w:hAnsi="Times New Roman"/>
                <w:color w:val="000000"/>
                <w:sz w:val="24"/>
                <w:szCs w:val="24"/>
              </w:rPr>
            </w:pPr>
            <w:r>
              <w:rPr>
                <w:rFonts w:ascii="Times New Roman" w:hAnsi="Times New Roman"/>
                <w:color w:val="000000"/>
                <w:sz w:val="24"/>
                <w:szCs w:val="24"/>
              </w:rPr>
              <w:t>L</w:t>
            </w:r>
            <w:r>
              <w:rPr>
                <w:rFonts w:ascii="Times New Roman" w:hAnsi="Times New Roman"/>
                <w:color w:val="000000"/>
                <w:sz w:val="24"/>
                <w:szCs w:val="24"/>
                <w:vertAlign w:val="subscript"/>
              </w:rPr>
              <w:t>p</w:t>
            </w:r>
            <w:r>
              <w:rPr>
                <w:rFonts w:ascii="Times New Roman" w:hAnsi="Times New Roman"/>
                <w:color w:val="000000"/>
                <w:sz w:val="24"/>
                <w:szCs w:val="24"/>
              </w:rPr>
              <w:t>——单个噪声值，dB(A)；</w:t>
            </w:r>
          </w:p>
          <w:p>
            <w:pPr>
              <w:pStyle w:val="13"/>
              <w:ind w:firstLine="1200" w:firstLineChars="500"/>
              <w:rPr>
                <w:rFonts w:ascii="Times New Roman" w:hAnsi="Times New Roman"/>
                <w:color w:val="000000"/>
                <w:sz w:val="24"/>
                <w:szCs w:val="24"/>
              </w:rPr>
            </w:pPr>
            <w:r>
              <w:rPr>
                <w:rFonts w:ascii="Times New Roman" w:hAnsi="Times New Roman"/>
                <w:color w:val="000000"/>
                <w:sz w:val="24"/>
                <w:szCs w:val="24"/>
              </w:rPr>
              <w:t>N——相同噪声值的个数。</w:t>
            </w:r>
          </w:p>
          <w:p>
            <w:pPr>
              <w:pStyle w:val="6"/>
              <w:spacing w:line="360" w:lineRule="auto"/>
              <w:ind w:firstLine="482"/>
              <w:rPr>
                <w:b/>
                <w:bCs/>
                <w:color w:val="000000"/>
                <w:sz w:val="24"/>
              </w:rPr>
            </w:pPr>
            <w:r>
              <w:rPr>
                <w:b/>
                <w:bCs/>
                <w:color w:val="000000"/>
                <w:sz w:val="24"/>
              </w:rPr>
              <w:t>3、噪声预测结果</w:t>
            </w:r>
            <w:bookmarkEnd w:id="10"/>
            <w:r>
              <w:rPr>
                <w:b/>
                <w:bCs/>
                <w:color w:val="000000"/>
                <w:sz w:val="24"/>
              </w:rPr>
              <w:t>及影响分析</w:t>
            </w:r>
          </w:p>
          <w:p>
            <w:pPr>
              <w:pStyle w:val="16"/>
              <w:spacing w:after="0" w:line="360" w:lineRule="auto"/>
              <w:ind w:left="0" w:leftChars="0" w:firstLine="480" w:firstLineChars="200"/>
              <w:rPr>
                <w:color w:val="000000"/>
                <w:sz w:val="24"/>
              </w:rPr>
            </w:pPr>
            <w:r>
              <w:rPr>
                <w:color w:val="000000"/>
                <w:sz w:val="24"/>
              </w:rPr>
              <w:t>本项目厂区内噪声源为生产设备产生的噪声，噪声在室外空间的传播，由于受到遮挡物的隔断，各种介质的吸收与反射，以及空气介质的吸收等物理作用而逐渐减弱。为了简化计算条件并能考虑到最不利因素，计算时只考虑噪声随距离的衰减。项目设备噪声值及其通过距离衰减到厂界处贡献值见表4-9：</w:t>
            </w:r>
          </w:p>
          <w:p>
            <w:pPr>
              <w:pStyle w:val="90"/>
              <w:ind w:firstLine="480"/>
              <w:rPr>
                <w:color w:val="000000"/>
              </w:rPr>
            </w:pPr>
            <w:r>
              <w:rPr>
                <w:color w:val="000000"/>
              </w:rPr>
              <w:t xml:space="preserve">表4-9  项目厂界噪声预测预测结果  单位：dB(A) </w:t>
            </w:r>
          </w:p>
          <w:tbl>
            <w:tblPr>
              <w:tblStyle w:val="28"/>
              <w:tblW w:w="75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5"/>
              <w:gridCol w:w="741"/>
              <w:gridCol w:w="980"/>
              <w:gridCol w:w="980"/>
              <w:gridCol w:w="980"/>
              <w:gridCol w:w="980"/>
              <w:gridCol w:w="737"/>
              <w:gridCol w:w="7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pct"/>
                  <w:vAlign w:val="center"/>
                </w:tcPr>
                <w:p>
                  <w:pPr>
                    <w:pStyle w:val="50"/>
                  </w:pPr>
                  <w:r>
                    <w:t>噪声源</w:t>
                  </w:r>
                </w:p>
              </w:tc>
              <w:tc>
                <w:tcPr>
                  <w:tcW w:w="488" w:type="pct"/>
                  <w:vAlign w:val="center"/>
                </w:tcPr>
                <w:p>
                  <w:pPr>
                    <w:pStyle w:val="50"/>
                  </w:pPr>
                  <w:r>
                    <w:t>噪声</w:t>
                  </w:r>
                </w:p>
                <w:p>
                  <w:pPr>
                    <w:pStyle w:val="50"/>
                  </w:pPr>
                  <w:r>
                    <w:t>源强</w:t>
                  </w:r>
                </w:p>
              </w:tc>
              <w:tc>
                <w:tcPr>
                  <w:tcW w:w="645" w:type="pct"/>
                  <w:vAlign w:val="center"/>
                </w:tcPr>
                <w:p>
                  <w:pPr>
                    <w:pStyle w:val="50"/>
                  </w:pPr>
                  <w:r>
                    <w:t>厂界东</w:t>
                  </w:r>
                </w:p>
              </w:tc>
              <w:tc>
                <w:tcPr>
                  <w:tcW w:w="645" w:type="pct"/>
                  <w:vAlign w:val="center"/>
                </w:tcPr>
                <w:p>
                  <w:pPr>
                    <w:pStyle w:val="50"/>
                  </w:pPr>
                  <w:r>
                    <w:t>厂界南</w:t>
                  </w:r>
                </w:p>
              </w:tc>
              <w:tc>
                <w:tcPr>
                  <w:tcW w:w="645" w:type="pct"/>
                  <w:vAlign w:val="center"/>
                </w:tcPr>
                <w:p>
                  <w:pPr>
                    <w:pStyle w:val="50"/>
                  </w:pPr>
                  <w:r>
                    <w:t>厂界西</w:t>
                  </w:r>
                </w:p>
              </w:tc>
              <w:tc>
                <w:tcPr>
                  <w:tcW w:w="645" w:type="pct"/>
                  <w:vAlign w:val="center"/>
                </w:tcPr>
                <w:p>
                  <w:pPr>
                    <w:pStyle w:val="50"/>
                  </w:pPr>
                  <w:r>
                    <w:t>厂界北</w:t>
                  </w:r>
                </w:p>
              </w:tc>
              <w:tc>
                <w:tcPr>
                  <w:tcW w:w="485" w:type="pct"/>
                  <w:vAlign w:val="center"/>
                </w:tcPr>
                <w:p>
                  <w:pPr>
                    <w:pStyle w:val="50"/>
                  </w:pPr>
                  <w:r>
                    <w:t>东侧</w:t>
                  </w:r>
                </w:p>
                <w:p>
                  <w:pPr>
                    <w:pStyle w:val="50"/>
                  </w:pPr>
                  <w:r>
                    <w:t>居民</w:t>
                  </w:r>
                </w:p>
              </w:tc>
              <w:tc>
                <w:tcPr>
                  <w:tcW w:w="481" w:type="pct"/>
                  <w:vAlign w:val="center"/>
                </w:tcPr>
                <w:p>
                  <w:pPr>
                    <w:pStyle w:val="50"/>
                  </w:pPr>
                  <w:r>
                    <w:t>北侧</w:t>
                  </w:r>
                </w:p>
                <w:p>
                  <w:pPr>
                    <w:pStyle w:val="50"/>
                  </w:pPr>
                  <w:r>
                    <w:t>居民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pct"/>
                  <w:vAlign w:val="center"/>
                </w:tcPr>
                <w:p>
                  <w:pPr>
                    <w:pStyle w:val="50"/>
                  </w:pPr>
                  <w:r>
                    <w:t>自动上料机</w:t>
                  </w:r>
                </w:p>
              </w:tc>
              <w:tc>
                <w:tcPr>
                  <w:tcW w:w="488" w:type="pct"/>
                  <w:vAlign w:val="center"/>
                </w:tcPr>
                <w:p>
                  <w:pPr>
                    <w:pStyle w:val="50"/>
                  </w:pPr>
                  <w:r>
                    <w:t>65</w:t>
                  </w:r>
                </w:p>
              </w:tc>
              <w:tc>
                <w:tcPr>
                  <w:tcW w:w="645" w:type="pct"/>
                  <w:vAlign w:val="center"/>
                </w:tcPr>
                <w:p>
                  <w:pPr>
                    <w:pStyle w:val="50"/>
                  </w:pPr>
                  <w:r>
                    <w:t>30.2</w:t>
                  </w:r>
                </w:p>
              </w:tc>
              <w:tc>
                <w:tcPr>
                  <w:tcW w:w="645" w:type="pct"/>
                  <w:vAlign w:val="center"/>
                </w:tcPr>
                <w:p>
                  <w:pPr>
                    <w:pStyle w:val="50"/>
                  </w:pPr>
                  <w:r>
                    <w:t>25.2</w:t>
                  </w:r>
                </w:p>
              </w:tc>
              <w:tc>
                <w:tcPr>
                  <w:tcW w:w="645" w:type="pct"/>
                  <w:vAlign w:val="center"/>
                </w:tcPr>
                <w:p>
                  <w:pPr>
                    <w:pStyle w:val="50"/>
                  </w:pPr>
                  <w:r>
                    <w:t>35.0</w:t>
                  </w:r>
                </w:p>
              </w:tc>
              <w:tc>
                <w:tcPr>
                  <w:tcW w:w="645" w:type="pct"/>
                  <w:vAlign w:val="center"/>
                </w:tcPr>
                <w:p>
                  <w:pPr>
                    <w:pStyle w:val="50"/>
                  </w:pPr>
                  <w:r>
                    <w:t>38.0</w:t>
                  </w:r>
                </w:p>
              </w:tc>
              <w:tc>
                <w:tcPr>
                  <w:tcW w:w="485" w:type="pct"/>
                  <w:vAlign w:val="center"/>
                </w:tcPr>
                <w:p>
                  <w:pPr>
                    <w:pStyle w:val="50"/>
                  </w:pPr>
                  <w:r>
                    <w:t>26.5</w:t>
                  </w:r>
                </w:p>
              </w:tc>
              <w:tc>
                <w:tcPr>
                  <w:tcW w:w="481" w:type="pct"/>
                  <w:vAlign w:val="center"/>
                </w:tcPr>
                <w:p>
                  <w:pPr>
                    <w:pStyle w:val="50"/>
                  </w:pPr>
                  <w:r>
                    <w:t>29.6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pct"/>
                  <w:vAlign w:val="center"/>
                </w:tcPr>
                <w:p>
                  <w:pPr>
                    <w:pStyle w:val="50"/>
                  </w:pPr>
                  <w:r>
                    <w:t>锥双螺杆</w:t>
                  </w:r>
                </w:p>
              </w:tc>
              <w:tc>
                <w:tcPr>
                  <w:tcW w:w="488" w:type="pct"/>
                  <w:vAlign w:val="center"/>
                </w:tcPr>
                <w:p>
                  <w:pPr>
                    <w:pStyle w:val="50"/>
                  </w:pPr>
                  <w:r>
                    <w:t>70</w:t>
                  </w:r>
                </w:p>
              </w:tc>
              <w:tc>
                <w:tcPr>
                  <w:tcW w:w="645" w:type="pct"/>
                  <w:vAlign w:val="center"/>
                </w:tcPr>
                <w:p>
                  <w:pPr>
                    <w:pStyle w:val="50"/>
                  </w:pPr>
                  <w:r>
                    <w:t>35.2</w:t>
                  </w:r>
                </w:p>
              </w:tc>
              <w:tc>
                <w:tcPr>
                  <w:tcW w:w="645" w:type="pct"/>
                  <w:vAlign w:val="center"/>
                </w:tcPr>
                <w:p>
                  <w:pPr>
                    <w:pStyle w:val="50"/>
                  </w:pPr>
                  <w:r>
                    <w:t>30.5</w:t>
                  </w:r>
                </w:p>
              </w:tc>
              <w:tc>
                <w:tcPr>
                  <w:tcW w:w="645" w:type="pct"/>
                  <w:vAlign w:val="center"/>
                </w:tcPr>
                <w:p>
                  <w:pPr>
                    <w:pStyle w:val="50"/>
                  </w:pPr>
                  <w:r>
                    <w:t>40.0</w:t>
                  </w:r>
                </w:p>
              </w:tc>
              <w:tc>
                <w:tcPr>
                  <w:tcW w:w="645" w:type="pct"/>
                  <w:vAlign w:val="center"/>
                </w:tcPr>
                <w:p>
                  <w:pPr>
                    <w:pStyle w:val="50"/>
                  </w:pPr>
                  <w:r>
                    <w:t>40.0</w:t>
                  </w:r>
                </w:p>
              </w:tc>
              <w:tc>
                <w:tcPr>
                  <w:tcW w:w="485" w:type="pct"/>
                  <w:vAlign w:val="center"/>
                </w:tcPr>
                <w:p>
                  <w:pPr>
                    <w:pStyle w:val="50"/>
                  </w:pPr>
                  <w:r>
                    <w:t>31.5</w:t>
                  </w:r>
                </w:p>
              </w:tc>
              <w:tc>
                <w:tcPr>
                  <w:tcW w:w="481" w:type="pct"/>
                  <w:vAlign w:val="center"/>
                </w:tcPr>
                <w:p>
                  <w:pPr>
                    <w:pStyle w:val="50"/>
                  </w:pPr>
                  <w:r>
                    <w:t>34.0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pct"/>
                  <w:vAlign w:val="center"/>
                </w:tcPr>
                <w:p>
                  <w:pPr>
                    <w:pStyle w:val="50"/>
                  </w:pPr>
                  <w:r>
                    <w:t>两辊机</w:t>
                  </w:r>
                </w:p>
              </w:tc>
              <w:tc>
                <w:tcPr>
                  <w:tcW w:w="488" w:type="pct"/>
                  <w:vAlign w:val="center"/>
                </w:tcPr>
                <w:p>
                  <w:pPr>
                    <w:pStyle w:val="50"/>
                  </w:pPr>
                  <w:r>
                    <w:t>70</w:t>
                  </w:r>
                </w:p>
              </w:tc>
              <w:tc>
                <w:tcPr>
                  <w:tcW w:w="645" w:type="pct"/>
                  <w:vAlign w:val="center"/>
                </w:tcPr>
                <w:p>
                  <w:pPr>
                    <w:pStyle w:val="50"/>
                  </w:pPr>
                  <w:r>
                    <w:t>35.2</w:t>
                  </w:r>
                </w:p>
              </w:tc>
              <w:tc>
                <w:tcPr>
                  <w:tcW w:w="645" w:type="pct"/>
                  <w:vAlign w:val="center"/>
                </w:tcPr>
                <w:p>
                  <w:pPr>
                    <w:pStyle w:val="50"/>
                  </w:pPr>
                  <w:r>
                    <w:t>30.7</w:t>
                  </w:r>
                </w:p>
              </w:tc>
              <w:tc>
                <w:tcPr>
                  <w:tcW w:w="645" w:type="pct"/>
                  <w:vAlign w:val="center"/>
                </w:tcPr>
                <w:p>
                  <w:pPr>
                    <w:pStyle w:val="50"/>
                  </w:pPr>
                  <w:r>
                    <w:t>40.0</w:t>
                  </w:r>
                </w:p>
              </w:tc>
              <w:tc>
                <w:tcPr>
                  <w:tcW w:w="645" w:type="pct"/>
                  <w:vAlign w:val="center"/>
                </w:tcPr>
                <w:p>
                  <w:pPr>
                    <w:pStyle w:val="50"/>
                  </w:pPr>
                  <w:r>
                    <w:t>38.2</w:t>
                  </w:r>
                </w:p>
              </w:tc>
              <w:tc>
                <w:tcPr>
                  <w:tcW w:w="485" w:type="pct"/>
                  <w:vAlign w:val="center"/>
                </w:tcPr>
                <w:p>
                  <w:pPr>
                    <w:pStyle w:val="50"/>
                  </w:pPr>
                  <w:r>
                    <w:t>31.5</w:t>
                  </w:r>
                </w:p>
              </w:tc>
              <w:tc>
                <w:tcPr>
                  <w:tcW w:w="481" w:type="pct"/>
                  <w:vAlign w:val="center"/>
                </w:tcPr>
                <w:p>
                  <w:pPr>
                    <w:pStyle w:val="50"/>
                  </w:pPr>
                  <w:r>
                    <w:t>33.5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965" w:type="pct"/>
                  <w:vAlign w:val="center"/>
                </w:tcPr>
                <w:p>
                  <w:pPr>
                    <w:pStyle w:val="50"/>
                  </w:pPr>
                  <w:r>
                    <w:t>成型机</w:t>
                  </w:r>
                </w:p>
              </w:tc>
              <w:tc>
                <w:tcPr>
                  <w:tcW w:w="488" w:type="pct"/>
                  <w:vAlign w:val="center"/>
                </w:tcPr>
                <w:p>
                  <w:pPr>
                    <w:pStyle w:val="50"/>
                  </w:pPr>
                  <w:r>
                    <w:t>65</w:t>
                  </w:r>
                </w:p>
              </w:tc>
              <w:tc>
                <w:tcPr>
                  <w:tcW w:w="645" w:type="pct"/>
                  <w:vAlign w:val="center"/>
                </w:tcPr>
                <w:p>
                  <w:pPr>
                    <w:pStyle w:val="50"/>
                  </w:pPr>
                  <w:r>
                    <w:t>30.2</w:t>
                  </w:r>
                </w:p>
              </w:tc>
              <w:tc>
                <w:tcPr>
                  <w:tcW w:w="645" w:type="pct"/>
                  <w:vAlign w:val="center"/>
                </w:tcPr>
                <w:p>
                  <w:pPr>
                    <w:pStyle w:val="50"/>
                  </w:pPr>
                  <w:r>
                    <w:t>26.0</w:t>
                  </w:r>
                </w:p>
              </w:tc>
              <w:tc>
                <w:tcPr>
                  <w:tcW w:w="645" w:type="pct"/>
                  <w:vAlign w:val="center"/>
                </w:tcPr>
                <w:p>
                  <w:pPr>
                    <w:pStyle w:val="50"/>
                  </w:pPr>
                  <w:r>
                    <w:t>35.0</w:t>
                  </w:r>
                </w:p>
              </w:tc>
              <w:tc>
                <w:tcPr>
                  <w:tcW w:w="645" w:type="pct"/>
                  <w:vAlign w:val="center"/>
                </w:tcPr>
                <w:p>
                  <w:pPr>
                    <w:pStyle w:val="50"/>
                  </w:pPr>
                  <w:r>
                    <w:t>32.0</w:t>
                  </w:r>
                </w:p>
              </w:tc>
              <w:tc>
                <w:tcPr>
                  <w:tcW w:w="485" w:type="pct"/>
                  <w:vAlign w:val="center"/>
                </w:tcPr>
                <w:p>
                  <w:pPr>
                    <w:pStyle w:val="50"/>
                  </w:pPr>
                  <w:r>
                    <w:t>26.5</w:t>
                  </w:r>
                </w:p>
              </w:tc>
              <w:tc>
                <w:tcPr>
                  <w:tcW w:w="481" w:type="pct"/>
                  <w:vAlign w:val="center"/>
                </w:tcPr>
                <w:p>
                  <w:pPr>
                    <w:pStyle w:val="50"/>
                  </w:pPr>
                  <w: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pct"/>
                  <w:vAlign w:val="center"/>
                </w:tcPr>
                <w:p>
                  <w:pPr>
                    <w:pStyle w:val="50"/>
                  </w:pPr>
                  <w:r>
                    <w:t>切割机</w:t>
                  </w:r>
                </w:p>
              </w:tc>
              <w:tc>
                <w:tcPr>
                  <w:tcW w:w="488" w:type="pct"/>
                  <w:vAlign w:val="center"/>
                </w:tcPr>
                <w:p>
                  <w:pPr>
                    <w:pStyle w:val="50"/>
                  </w:pPr>
                  <w:r>
                    <w:t>85</w:t>
                  </w:r>
                </w:p>
              </w:tc>
              <w:tc>
                <w:tcPr>
                  <w:tcW w:w="645" w:type="pct"/>
                  <w:vAlign w:val="center"/>
                </w:tcPr>
                <w:p>
                  <w:pPr>
                    <w:pStyle w:val="50"/>
                  </w:pPr>
                  <w:r>
                    <w:t>50.2</w:t>
                  </w:r>
                </w:p>
              </w:tc>
              <w:tc>
                <w:tcPr>
                  <w:tcW w:w="645" w:type="pct"/>
                  <w:vAlign w:val="center"/>
                </w:tcPr>
                <w:p>
                  <w:pPr>
                    <w:pStyle w:val="50"/>
                  </w:pPr>
                  <w:r>
                    <w:t>46.2</w:t>
                  </w:r>
                </w:p>
              </w:tc>
              <w:tc>
                <w:tcPr>
                  <w:tcW w:w="645" w:type="pct"/>
                  <w:vAlign w:val="center"/>
                </w:tcPr>
                <w:p>
                  <w:pPr>
                    <w:pStyle w:val="50"/>
                  </w:pPr>
                  <w:r>
                    <w:t>55.0</w:t>
                  </w:r>
                </w:p>
              </w:tc>
              <w:tc>
                <w:tcPr>
                  <w:tcW w:w="645" w:type="pct"/>
                  <w:vAlign w:val="center"/>
                </w:tcPr>
                <w:p>
                  <w:pPr>
                    <w:pStyle w:val="50"/>
                  </w:pPr>
                  <w:r>
                    <w:t>51.0</w:t>
                  </w:r>
                </w:p>
              </w:tc>
              <w:tc>
                <w:tcPr>
                  <w:tcW w:w="485" w:type="pct"/>
                  <w:vAlign w:val="center"/>
                </w:tcPr>
                <w:p>
                  <w:pPr>
                    <w:pStyle w:val="50"/>
                  </w:pPr>
                  <w:r>
                    <w:t>46.5</w:t>
                  </w:r>
                </w:p>
              </w:tc>
              <w:tc>
                <w:tcPr>
                  <w:tcW w:w="481" w:type="pct"/>
                  <w:vAlign w:val="center"/>
                </w:tcPr>
                <w:p>
                  <w:pPr>
                    <w:pStyle w:val="50"/>
                  </w:pPr>
                  <w:r>
                    <w:t>47.6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pct"/>
                  <w:vAlign w:val="center"/>
                </w:tcPr>
                <w:p>
                  <w:pPr>
                    <w:pStyle w:val="50"/>
                  </w:pPr>
                  <w:r>
                    <w:t>波浪瓦辅机</w:t>
                  </w:r>
                </w:p>
              </w:tc>
              <w:tc>
                <w:tcPr>
                  <w:tcW w:w="488" w:type="pct"/>
                  <w:vAlign w:val="center"/>
                </w:tcPr>
                <w:p>
                  <w:pPr>
                    <w:pStyle w:val="50"/>
                  </w:pPr>
                  <w:r>
                    <w:t>65</w:t>
                  </w:r>
                </w:p>
              </w:tc>
              <w:tc>
                <w:tcPr>
                  <w:tcW w:w="645" w:type="pct"/>
                  <w:vAlign w:val="center"/>
                </w:tcPr>
                <w:p>
                  <w:pPr>
                    <w:pStyle w:val="50"/>
                  </w:pPr>
                  <w:r>
                    <w:t>30.2</w:t>
                  </w:r>
                </w:p>
              </w:tc>
              <w:tc>
                <w:tcPr>
                  <w:tcW w:w="645" w:type="pct"/>
                  <w:vAlign w:val="center"/>
                </w:tcPr>
                <w:p>
                  <w:pPr>
                    <w:pStyle w:val="50"/>
                  </w:pPr>
                  <w:r>
                    <w:t>26.5</w:t>
                  </w:r>
                </w:p>
              </w:tc>
              <w:tc>
                <w:tcPr>
                  <w:tcW w:w="645" w:type="pct"/>
                  <w:vAlign w:val="center"/>
                </w:tcPr>
                <w:p>
                  <w:pPr>
                    <w:pStyle w:val="50"/>
                  </w:pPr>
                  <w:r>
                    <w:t>35.0</w:t>
                  </w:r>
                </w:p>
              </w:tc>
              <w:tc>
                <w:tcPr>
                  <w:tcW w:w="645" w:type="pct"/>
                  <w:vAlign w:val="center"/>
                </w:tcPr>
                <w:p>
                  <w:pPr>
                    <w:pStyle w:val="50"/>
                  </w:pPr>
                  <w:r>
                    <w:t>30.2</w:t>
                  </w:r>
                </w:p>
              </w:tc>
              <w:tc>
                <w:tcPr>
                  <w:tcW w:w="485" w:type="pct"/>
                  <w:vAlign w:val="center"/>
                </w:tcPr>
                <w:p>
                  <w:pPr>
                    <w:pStyle w:val="50"/>
                  </w:pPr>
                  <w:r>
                    <w:t>26.5</w:t>
                  </w:r>
                </w:p>
              </w:tc>
              <w:tc>
                <w:tcPr>
                  <w:tcW w:w="481" w:type="pct"/>
                  <w:vAlign w:val="center"/>
                </w:tcPr>
                <w:p>
                  <w:pPr>
                    <w:pStyle w:val="50"/>
                  </w:pPr>
                  <w:r>
                    <w:t>27.2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pct"/>
                  <w:vAlign w:val="center"/>
                </w:tcPr>
                <w:p>
                  <w:pPr>
                    <w:pStyle w:val="50"/>
                  </w:pPr>
                  <w:r>
                    <w:t>破碎机</w:t>
                  </w:r>
                </w:p>
              </w:tc>
              <w:tc>
                <w:tcPr>
                  <w:tcW w:w="488" w:type="pct"/>
                  <w:vAlign w:val="center"/>
                </w:tcPr>
                <w:p>
                  <w:pPr>
                    <w:pStyle w:val="50"/>
                  </w:pPr>
                  <w:r>
                    <w:t>90</w:t>
                  </w:r>
                </w:p>
              </w:tc>
              <w:tc>
                <w:tcPr>
                  <w:tcW w:w="645" w:type="pct"/>
                  <w:vAlign w:val="center"/>
                </w:tcPr>
                <w:p>
                  <w:pPr>
                    <w:pStyle w:val="50"/>
                  </w:pPr>
                  <w:r>
                    <w:t>50.2</w:t>
                  </w:r>
                </w:p>
              </w:tc>
              <w:tc>
                <w:tcPr>
                  <w:tcW w:w="645" w:type="pct"/>
                  <w:vAlign w:val="center"/>
                </w:tcPr>
                <w:p>
                  <w:pPr>
                    <w:pStyle w:val="50"/>
                  </w:pPr>
                  <w:r>
                    <w:t>47.2</w:t>
                  </w:r>
                </w:p>
              </w:tc>
              <w:tc>
                <w:tcPr>
                  <w:tcW w:w="645" w:type="pct"/>
                  <w:vAlign w:val="center"/>
                </w:tcPr>
                <w:p>
                  <w:pPr>
                    <w:pStyle w:val="50"/>
                  </w:pPr>
                  <w:r>
                    <w:t>55.0</w:t>
                  </w:r>
                </w:p>
              </w:tc>
              <w:tc>
                <w:tcPr>
                  <w:tcW w:w="645" w:type="pct"/>
                  <w:vAlign w:val="center"/>
                </w:tcPr>
                <w:p>
                  <w:pPr>
                    <w:pStyle w:val="50"/>
                  </w:pPr>
                  <w:r>
                    <w:t>49.0</w:t>
                  </w:r>
                </w:p>
              </w:tc>
              <w:tc>
                <w:tcPr>
                  <w:tcW w:w="485" w:type="pct"/>
                  <w:vAlign w:val="center"/>
                </w:tcPr>
                <w:p>
                  <w:pPr>
                    <w:pStyle w:val="50"/>
                  </w:pPr>
                  <w:r>
                    <w:t>46.5</w:t>
                  </w:r>
                </w:p>
              </w:tc>
              <w:tc>
                <w:tcPr>
                  <w:tcW w:w="481" w:type="pct"/>
                  <w:vAlign w:val="center"/>
                </w:tcPr>
                <w:p>
                  <w:pPr>
                    <w:pStyle w:val="50"/>
                  </w:pPr>
                  <w:r>
                    <w:t>46.5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pct"/>
                  <w:vAlign w:val="center"/>
                </w:tcPr>
                <w:p>
                  <w:pPr>
                    <w:pStyle w:val="50"/>
                  </w:pPr>
                  <w:r>
                    <w:t>冷热混合机</w:t>
                  </w:r>
                </w:p>
              </w:tc>
              <w:tc>
                <w:tcPr>
                  <w:tcW w:w="488" w:type="pct"/>
                  <w:vAlign w:val="center"/>
                </w:tcPr>
                <w:p>
                  <w:pPr>
                    <w:pStyle w:val="50"/>
                  </w:pPr>
                  <w:r>
                    <w:t>70</w:t>
                  </w:r>
                </w:p>
              </w:tc>
              <w:tc>
                <w:tcPr>
                  <w:tcW w:w="645" w:type="pct"/>
                  <w:vAlign w:val="center"/>
                </w:tcPr>
                <w:p>
                  <w:pPr>
                    <w:pStyle w:val="50"/>
                  </w:pPr>
                  <w:r>
                    <w:t>35.2</w:t>
                  </w:r>
                </w:p>
              </w:tc>
              <w:tc>
                <w:tcPr>
                  <w:tcW w:w="645" w:type="pct"/>
                  <w:vAlign w:val="center"/>
                </w:tcPr>
                <w:p>
                  <w:pPr>
                    <w:pStyle w:val="50"/>
                  </w:pPr>
                  <w:r>
                    <w:t>31.9</w:t>
                  </w:r>
                </w:p>
              </w:tc>
              <w:tc>
                <w:tcPr>
                  <w:tcW w:w="645" w:type="pct"/>
                  <w:vAlign w:val="center"/>
                </w:tcPr>
                <w:p>
                  <w:pPr>
                    <w:pStyle w:val="50"/>
                  </w:pPr>
                  <w:r>
                    <w:t>40.0</w:t>
                  </w:r>
                </w:p>
              </w:tc>
              <w:tc>
                <w:tcPr>
                  <w:tcW w:w="645" w:type="pct"/>
                  <w:vAlign w:val="center"/>
                </w:tcPr>
                <w:p>
                  <w:pPr>
                    <w:pStyle w:val="50"/>
                  </w:pPr>
                  <w:r>
                    <w:t>34.6</w:t>
                  </w:r>
                </w:p>
              </w:tc>
              <w:tc>
                <w:tcPr>
                  <w:tcW w:w="485" w:type="pct"/>
                  <w:vAlign w:val="center"/>
                </w:tcPr>
                <w:p>
                  <w:pPr>
                    <w:pStyle w:val="50"/>
                  </w:pPr>
                  <w:r>
                    <w:t>31.5</w:t>
                  </w:r>
                </w:p>
              </w:tc>
              <w:tc>
                <w:tcPr>
                  <w:tcW w:w="481" w:type="pct"/>
                  <w:vAlign w:val="center"/>
                </w:tcPr>
                <w:p>
                  <w:pPr>
                    <w:pStyle w:val="50"/>
                  </w:pPr>
                  <w:r>
                    <w:t>31.9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pct"/>
                  <w:vAlign w:val="center"/>
                </w:tcPr>
                <w:p>
                  <w:pPr>
                    <w:pStyle w:val="50"/>
                  </w:pPr>
                  <w:r>
                    <w:t>磨粉机</w:t>
                  </w:r>
                </w:p>
              </w:tc>
              <w:tc>
                <w:tcPr>
                  <w:tcW w:w="488" w:type="pct"/>
                  <w:vAlign w:val="center"/>
                </w:tcPr>
                <w:p>
                  <w:pPr>
                    <w:pStyle w:val="50"/>
                  </w:pPr>
                  <w:r>
                    <w:t>85</w:t>
                  </w:r>
                </w:p>
              </w:tc>
              <w:tc>
                <w:tcPr>
                  <w:tcW w:w="645" w:type="pct"/>
                  <w:vAlign w:val="center"/>
                </w:tcPr>
                <w:p>
                  <w:pPr>
                    <w:pStyle w:val="50"/>
                  </w:pPr>
                  <w:r>
                    <w:t>45.2</w:t>
                  </w:r>
                </w:p>
              </w:tc>
              <w:tc>
                <w:tcPr>
                  <w:tcW w:w="645" w:type="pct"/>
                  <w:vAlign w:val="center"/>
                </w:tcPr>
                <w:p>
                  <w:pPr>
                    <w:pStyle w:val="50"/>
                  </w:pPr>
                  <w:r>
                    <w:t>41.9</w:t>
                  </w:r>
                </w:p>
              </w:tc>
              <w:tc>
                <w:tcPr>
                  <w:tcW w:w="645" w:type="pct"/>
                  <w:vAlign w:val="center"/>
                </w:tcPr>
                <w:p>
                  <w:pPr>
                    <w:pStyle w:val="50"/>
                  </w:pPr>
                  <w:r>
                    <w:t>50.0</w:t>
                  </w:r>
                </w:p>
              </w:tc>
              <w:tc>
                <w:tcPr>
                  <w:tcW w:w="645" w:type="pct"/>
                  <w:vAlign w:val="center"/>
                </w:tcPr>
                <w:p>
                  <w:pPr>
                    <w:pStyle w:val="50"/>
                  </w:pPr>
                  <w:r>
                    <w:t>44.6</w:t>
                  </w:r>
                </w:p>
              </w:tc>
              <w:tc>
                <w:tcPr>
                  <w:tcW w:w="485" w:type="pct"/>
                  <w:vAlign w:val="center"/>
                </w:tcPr>
                <w:p>
                  <w:pPr>
                    <w:pStyle w:val="50"/>
                  </w:pPr>
                  <w:r>
                    <w:t>41.5</w:t>
                  </w:r>
                </w:p>
              </w:tc>
              <w:tc>
                <w:tcPr>
                  <w:tcW w:w="481" w:type="pct"/>
                  <w:vAlign w:val="center"/>
                </w:tcPr>
                <w:p>
                  <w:pPr>
                    <w:pStyle w:val="50"/>
                  </w:pPr>
                  <w:r>
                    <w:t>41.9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pct"/>
                  <w:vAlign w:val="center"/>
                </w:tcPr>
                <w:p>
                  <w:pPr>
                    <w:pStyle w:val="50"/>
                  </w:pPr>
                  <w:r>
                    <w:t>风机</w:t>
                  </w:r>
                </w:p>
              </w:tc>
              <w:tc>
                <w:tcPr>
                  <w:tcW w:w="488" w:type="pct"/>
                  <w:vAlign w:val="center"/>
                </w:tcPr>
                <w:p>
                  <w:pPr>
                    <w:pStyle w:val="50"/>
                  </w:pPr>
                  <w:r>
                    <w:t>90</w:t>
                  </w:r>
                </w:p>
              </w:tc>
              <w:tc>
                <w:tcPr>
                  <w:tcW w:w="645" w:type="pct"/>
                  <w:vAlign w:val="center"/>
                </w:tcPr>
                <w:p>
                  <w:pPr>
                    <w:pStyle w:val="50"/>
                  </w:pPr>
                  <w:r>
                    <w:t>50.2</w:t>
                  </w:r>
                </w:p>
              </w:tc>
              <w:tc>
                <w:tcPr>
                  <w:tcW w:w="645" w:type="pct"/>
                  <w:vAlign w:val="center"/>
                </w:tcPr>
                <w:p>
                  <w:pPr>
                    <w:pStyle w:val="50"/>
                  </w:pPr>
                  <w:r>
                    <w:t>46.0</w:t>
                  </w:r>
                </w:p>
              </w:tc>
              <w:tc>
                <w:tcPr>
                  <w:tcW w:w="645" w:type="pct"/>
                  <w:vAlign w:val="center"/>
                </w:tcPr>
                <w:p>
                  <w:pPr>
                    <w:pStyle w:val="50"/>
                  </w:pPr>
                  <w:r>
                    <w:t>55.0</w:t>
                  </w:r>
                </w:p>
              </w:tc>
              <w:tc>
                <w:tcPr>
                  <w:tcW w:w="645" w:type="pct"/>
                  <w:vAlign w:val="center"/>
                </w:tcPr>
                <w:p>
                  <w:pPr>
                    <w:pStyle w:val="50"/>
                  </w:pPr>
                  <w:r>
                    <w:t>52.0</w:t>
                  </w:r>
                </w:p>
              </w:tc>
              <w:tc>
                <w:tcPr>
                  <w:tcW w:w="485" w:type="pct"/>
                  <w:vAlign w:val="center"/>
                </w:tcPr>
                <w:p>
                  <w:pPr>
                    <w:pStyle w:val="50"/>
                  </w:pPr>
                  <w:r>
                    <w:t>46.5</w:t>
                  </w:r>
                </w:p>
              </w:tc>
              <w:tc>
                <w:tcPr>
                  <w:tcW w:w="481" w:type="pct"/>
                  <w:vAlign w:val="center"/>
                </w:tcPr>
                <w:p>
                  <w:pPr>
                    <w:pStyle w:val="50"/>
                  </w:pPr>
                  <w:r>
                    <w:t>48.5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53" w:type="pct"/>
                  <w:gridSpan w:val="2"/>
                  <w:vAlign w:val="center"/>
                </w:tcPr>
                <w:p>
                  <w:pPr>
                    <w:pStyle w:val="50"/>
                  </w:pPr>
                  <w:r>
                    <w:t>厂界噪声贡献值</w:t>
                  </w:r>
                </w:p>
              </w:tc>
              <w:tc>
                <w:tcPr>
                  <w:tcW w:w="645" w:type="pct"/>
                  <w:vAlign w:val="center"/>
                </w:tcPr>
                <w:p>
                  <w:pPr>
                    <w:pStyle w:val="50"/>
                  </w:pPr>
                  <w:r>
                    <w:t>55.6</w:t>
                  </w:r>
                </w:p>
              </w:tc>
              <w:tc>
                <w:tcPr>
                  <w:tcW w:w="645" w:type="pct"/>
                  <w:vAlign w:val="center"/>
                </w:tcPr>
                <w:p>
                  <w:pPr>
                    <w:pStyle w:val="50"/>
                  </w:pPr>
                  <w:r>
                    <w:t>51.9</w:t>
                  </w:r>
                </w:p>
              </w:tc>
              <w:tc>
                <w:tcPr>
                  <w:tcW w:w="645" w:type="pct"/>
                  <w:vAlign w:val="center"/>
                </w:tcPr>
                <w:p>
                  <w:pPr>
                    <w:pStyle w:val="50"/>
                  </w:pPr>
                  <w:r>
                    <w:t>60.4</w:t>
                  </w:r>
                </w:p>
              </w:tc>
              <w:tc>
                <w:tcPr>
                  <w:tcW w:w="645" w:type="pct"/>
                  <w:vAlign w:val="center"/>
                </w:tcPr>
                <w:p>
                  <w:pPr>
                    <w:pStyle w:val="50"/>
                  </w:pPr>
                  <w:r>
                    <w:t>56.2</w:t>
                  </w:r>
                </w:p>
              </w:tc>
              <w:tc>
                <w:tcPr>
                  <w:tcW w:w="485" w:type="pct"/>
                  <w:vAlign w:val="center"/>
                </w:tcPr>
                <w:p>
                  <w:pPr>
                    <w:pStyle w:val="50"/>
                  </w:pPr>
                  <w:r>
                    <w:t>51.9</w:t>
                  </w:r>
                </w:p>
              </w:tc>
              <w:tc>
                <w:tcPr>
                  <w:tcW w:w="481" w:type="pct"/>
                  <w:vAlign w:val="center"/>
                </w:tcPr>
                <w:p>
                  <w:pPr>
                    <w:pStyle w:val="50"/>
                    <w:rPr>
                      <w:lang w:bidi="ar"/>
                    </w:rPr>
                  </w:pPr>
                  <w:r>
                    <w:t>52.9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pct"/>
                  <w:vAlign w:val="center"/>
                </w:tcPr>
                <w:p>
                  <w:pPr>
                    <w:pStyle w:val="50"/>
                  </w:pPr>
                  <w:r>
                    <w:t>标准限值</w:t>
                  </w:r>
                </w:p>
              </w:tc>
              <w:tc>
                <w:tcPr>
                  <w:tcW w:w="488" w:type="pct"/>
                  <w:vAlign w:val="center"/>
                </w:tcPr>
                <w:p>
                  <w:pPr>
                    <w:pStyle w:val="50"/>
                  </w:pPr>
                  <w:r>
                    <w:t>昼间</w:t>
                  </w:r>
                </w:p>
              </w:tc>
              <w:tc>
                <w:tcPr>
                  <w:tcW w:w="645" w:type="pct"/>
                  <w:vAlign w:val="center"/>
                </w:tcPr>
                <w:p>
                  <w:pPr>
                    <w:pStyle w:val="50"/>
                  </w:pPr>
                  <w:r>
                    <w:t>60</w:t>
                  </w:r>
                </w:p>
              </w:tc>
              <w:tc>
                <w:tcPr>
                  <w:tcW w:w="645" w:type="pct"/>
                  <w:vAlign w:val="center"/>
                </w:tcPr>
                <w:p>
                  <w:pPr>
                    <w:pStyle w:val="50"/>
                  </w:pPr>
                  <w:r>
                    <w:t>60</w:t>
                  </w:r>
                </w:p>
              </w:tc>
              <w:tc>
                <w:tcPr>
                  <w:tcW w:w="645" w:type="pct"/>
                  <w:vAlign w:val="center"/>
                </w:tcPr>
                <w:p>
                  <w:pPr>
                    <w:pStyle w:val="50"/>
                  </w:pPr>
                  <w:r>
                    <w:t>60</w:t>
                  </w:r>
                </w:p>
              </w:tc>
              <w:tc>
                <w:tcPr>
                  <w:tcW w:w="645" w:type="pct"/>
                  <w:vAlign w:val="center"/>
                </w:tcPr>
                <w:p>
                  <w:pPr>
                    <w:pStyle w:val="50"/>
                  </w:pPr>
                  <w:r>
                    <w:t>60</w:t>
                  </w:r>
                </w:p>
              </w:tc>
              <w:tc>
                <w:tcPr>
                  <w:tcW w:w="485" w:type="pct"/>
                  <w:vAlign w:val="center"/>
                </w:tcPr>
                <w:p>
                  <w:pPr>
                    <w:pStyle w:val="50"/>
                  </w:pPr>
                  <w:r>
                    <w:t>/</w:t>
                  </w:r>
                </w:p>
              </w:tc>
              <w:tc>
                <w:tcPr>
                  <w:tcW w:w="481" w:type="pct"/>
                  <w:vAlign w:val="center"/>
                </w:tcPr>
                <w:p>
                  <w:pPr>
                    <w:pStyle w:val="5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53" w:type="pct"/>
                  <w:gridSpan w:val="2"/>
                  <w:vAlign w:val="center"/>
                </w:tcPr>
                <w:p>
                  <w:pPr>
                    <w:pStyle w:val="50"/>
                  </w:pPr>
                  <w:r>
                    <w:t>达标情况</w:t>
                  </w:r>
                </w:p>
              </w:tc>
              <w:tc>
                <w:tcPr>
                  <w:tcW w:w="645" w:type="pct"/>
                  <w:vAlign w:val="center"/>
                </w:tcPr>
                <w:p>
                  <w:pPr>
                    <w:pStyle w:val="50"/>
                  </w:pPr>
                  <w:r>
                    <w:t>达标</w:t>
                  </w:r>
                </w:p>
              </w:tc>
              <w:tc>
                <w:tcPr>
                  <w:tcW w:w="645" w:type="pct"/>
                  <w:vAlign w:val="center"/>
                </w:tcPr>
                <w:p>
                  <w:pPr>
                    <w:pStyle w:val="50"/>
                  </w:pPr>
                  <w:r>
                    <w:t>达标</w:t>
                  </w:r>
                </w:p>
              </w:tc>
              <w:tc>
                <w:tcPr>
                  <w:tcW w:w="645" w:type="pct"/>
                  <w:vAlign w:val="center"/>
                </w:tcPr>
                <w:p>
                  <w:pPr>
                    <w:pStyle w:val="50"/>
                  </w:pPr>
                  <w:r>
                    <w:t>达标</w:t>
                  </w:r>
                </w:p>
              </w:tc>
              <w:tc>
                <w:tcPr>
                  <w:tcW w:w="645" w:type="pct"/>
                  <w:vAlign w:val="center"/>
                </w:tcPr>
                <w:p>
                  <w:pPr>
                    <w:pStyle w:val="50"/>
                  </w:pPr>
                  <w:r>
                    <w:t>达标</w:t>
                  </w:r>
                </w:p>
              </w:tc>
              <w:tc>
                <w:tcPr>
                  <w:tcW w:w="485" w:type="pct"/>
                  <w:vAlign w:val="center"/>
                </w:tcPr>
                <w:p>
                  <w:pPr>
                    <w:pStyle w:val="50"/>
                  </w:pPr>
                  <w:r>
                    <w:t>/</w:t>
                  </w:r>
                </w:p>
              </w:tc>
              <w:tc>
                <w:tcPr>
                  <w:tcW w:w="481" w:type="pct"/>
                  <w:vAlign w:val="center"/>
                </w:tcPr>
                <w:p>
                  <w:pPr>
                    <w:pStyle w:val="50"/>
                  </w:pPr>
                  <w:r>
                    <w:t>/</w:t>
                  </w:r>
                </w:p>
              </w:tc>
            </w:tr>
          </w:tbl>
          <w:p>
            <w:pPr>
              <w:ind w:firstLine="482"/>
              <w:jc w:val="center"/>
              <w:rPr>
                <w:b/>
                <w:bCs/>
                <w:color w:val="000000"/>
              </w:rPr>
            </w:pPr>
            <w:r>
              <w:rPr>
                <w:b/>
                <w:bCs/>
                <w:color w:val="000000"/>
              </w:rPr>
              <w:t>表</w:t>
            </w:r>
            <w:r>
              <w:rPr>
                <w:rFonts w:hint="eastAsia"/>
                <w:b/>
                <w:bCs/>
                <w:color w:val="000000"/>
              </w:rPr>
              <w:t>4</w:t>
            </w:r>
            <w:r>
              <w:rPr>
                <w:b/>
                <w:bCs/>
                <w:color w:val="000000"/>
              </w:rPr>
              <w:t>-10 敏感点噪声预测值 单位：dB(A)</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1"/>
              <w:gridCol w:w="2855"/>
              <w:gridCol w:w="2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vAlign w:val="center"/>
                </w:tcPr>
                <w:p>
                  <w:pPr>
                    <w:pStyle w:val="50"/>
                  </w:pPr>
                  <w:r>
                    <w:rPr>
                      <w:rFonts w:hint="eastAsia"/>
                    </w:rPr>
                    <w:t>敏感点</w:t>
                  </w:r>
                </w:p>
              </w:tc>
              <w:tc>
                <w:tcPr>
                  <w:tcW w:w="1839" w:type="pct"/>
                  <w:vAlign w:val="center"/>
                </w:tcPr>
                <w:p>
                  <w:pPr>
                    <w:pStyle w:val="50"/>
                  </w:pPr>
                  <w:r>
                    <w:rPr>
                      <w:rFonts w:hint="eastAsia"/>
                    </w:rPr>
                    <w:t>东侧居民</w:t>
                  </w:r>
                </w:p>
              </w:tc>
              <w:tc>
                <w:tcPr>
                  <w:tcW w:w="1840" w:type="pct"/>
                  <w:vAlign w:val="center"/>
                </w:tcPr>
                <w:p>
                  <w:pPr>
                    <w:pStyle w:val="50"/>
                  </w:pPr>
                  <w:r>
                    <w:rPr>
                      <w:rFonts w:hint="eastAsia"/>
                    </w:rPr>
                    <w:t>北侧居民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vAlign w:val="center"/>
                </w:tcPr>
                <w:p>
                  <w:pPr>
                    <w:pStyle w:val="50"/>
                  </w:pPr>
                  <w:r>
                    <w:t>现状值</w:t>
                  </w:r>
                </w:p>
              </w:tc>
              <w:tc>
                <w:tcPr>
                  <w:tcW w:w="1839" w:type="pct"/>
                  <w:vAlign w:val="center"/>
                </w:tcPr>
                <w:p>
                  <w:pPr>
                    <w:pStyle w:val="50"/>
                  </w:pPr>
                  <w:r>
                    <w:rPr>
                      <w:rFonts w:hint="eastAsia"/>
                    </w:rPr>
                    <w:t>5</w:t>
                  </w:r>
                  <w:r>
                    <w:t>5.1</w:t>
                  </w:r>
                </w:p>
              </w:tc>
              <w:tc>
                <w:tcPr>
                  <w:tcW w:w="1840" w:type="pct"/>
                  <w:vAlign w:val="center"/>
                </w:tcPr>
                <w:p>
                  <w:pPr>
                    <w:pStyle w:val="50"/>
                  </w:pPr>
                  <w:r>
                    <w:rPr>
                      <w:rFonts w:hint="eastAsia"/>
                    </w:rPr>
                    <w:t>5</w:t>
                  </w:r>
                  <w:r>
                    <w:t>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1321" w:type="pct"/>
                  <w:vAlign w:val="center"/>
                </w:tcPr>
                <w:p>
                  <w:pPr>
                    <w:pStyle w:val="50"/>
                  </w:pPr>
                  <w:r>
                    <w:t>贡献值</w:t>
                  </w:r>
                </w:p>
              </w:tc>
              <w:tc>
                <w:tcPr>
                  <w:tcW w:w="1839" w:type="pct"/>
                  <w:vAlign w:val="center"/>
                </w:tcPr>
                <w:p>
                  <w:pPr>
                    <w:pStyle w:val="50"/>
                  </w:pPr>
                  <w:r>
                    <w:rPr>
                      <w:rFonts w:hint="eastAsia"/>
                    </w:rPr>
                    <w:t>5</w:t>
                  </w:r>
                  <w:r>
                    <w:t>1.9</w:t>
                  </w:r>
                </w:p>
              </w:tc>
              <w:tc>
                <w:tcPr>
                  <w:tcW w:w="1840" w:type="pct"/>
                  <w:vAlign w:val="center"/>
                </w:tcPr>
                <w:p>
                  <w:pPr>
                    <w:pStyle w:val="50"/>
                  </w:pPr>
                  <w:r>
                    <w:rPr>
                      <w:rFonts w:hint="eastAsia"/>
                    </w:rPr>
                    <w:t>5</w:t>
                  </w:r>
                  <w: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vAlign w:val="center"/>
                </w:tcPr>
                <w:p>
                  <w:pPr>
                    <w:pStyle w:val="50"/>
                  </w:pPr>
                  <w:r>
                    <w:t>预测值</w:t>
                  </w:r>
                </w:p>
              </w:tc>
              <w:tc>
                <w:tcPr>
                  <w:tcW w:w="1839" w:type="pct"/>
                  <w:vAlign w:val="center"/>
                </w:tcPr>
                <w:p>
                  <w:pPr>
                    <w:pStyle w:val="50"/>
                  </w:pPr>
                  <w:r>
                    <w:rPr>
                      <w:rFonts w:hint="eastAsia"/>
                    </w:rPr>
                    <w:t>5</w:t>
                  </w:r>
                  <w:r>
                    <w:t>6.8</w:t>
                  </w:r>
                </w:p>
              </w:tc>
              <w:tc>
                <w:tcPr>
                  <w:tcW w:w="1840" w:type="pct"/>
                  <w:vAlign w:val="center"/>
                </w:tcPr>
                <w:p>
                  <w:pPr>
                    <w:pStyle w:val="50"/>
                  </w:pPr>
                  <w:r>
                    <w:rPr>
                      <w:rFonts w:hint="eastAsia"/>
                    </w:rPr>
                    <w:t>5</w:t>
                  </w:r>
                  <w: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vAlign w:val="center"/>
                </w:tcPr>
                <w:p>
                  <w:pPr>
                    <w:pStyle w:val="50"/>
                  </w:pPr>
                  <w:r>
                    <w:t>标准限值</w:t>
                  </w:r>
                </w:p>
              </w:tc>
              <w:tc>
                <w:tcPr>
                  <w:tcW w:w="1839" w:type="pct"/>
                  <w:vAlign w:val="center"/>
                </w:tcPr>
                <w:p>
                  <w:pPr>
                    <w:pStyle w:val="50"/>
                  </w:pPr>
                  <w:r>
                    <w:rPr>
                      <w:rFonts w:hint="eastAsia"/>
                    </w:rPr>
                    <w:t>6</w:t>
                  </w:r>
                  <w:r>
                    <w:t>0</w:t>
                  </w:r>
                </w:p>
              </w:tc>
              <w:tc>
                <w:tcPr>
                  <w:tcW w:w="1840" w:type="pct"/>
                  <w:vAlign w:val="center"/>
                </w:tcPr>
                <w:p>
                  <w:pPr>
                    <w:pStyle w:val="50"/>
                  </w:pPr>
                  <w:r>
                    <w:rPr>
                      <w:rFonts w:hint="eastAsia"/>
                    </w:rPr>
                    <w:t>6</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vAlign w:val="center"/>
                </w:tcPr>
                <w:p>
                  <w:pPr>
                    <w:pStyle w:val="50"/>
                  </w:pPr>
                  <w:r>
                    <w:t>评价</w:t>
                  </w:r>
                </w:p>
              </w:tc>
              <w:tc>
                <w:tcPr>
                  <w:tcW w:w="1839" w:type="pct"/>
                  <w:vAlign w:val="center"/>
                </w:tcPr>
                <w:p>
                  <w:pPr>
                    <w:pStyle w:val="50"/>
                  </w:pPr>
                  <w:r>
                    <w:t>达标</w:t>
                  </w:r>
                </w:p>
              </w:tc>
              <w:tc>
                <w:tcPr>
                  <w:tcW w:w="1840" w:type="pct"/>
                  <w:vAlign w:val="center"/>
                </w:tcPr>
                <w:p>
                  <w:pPr>
                    <w:pStyle w:val="50"/>
                  </w:pPr>
                  <w:r>
                    <w:t>达标</w:t>
                  </w:r>
                </w:p>
              </w:tc>
            </w:tr>
          </w:tbl>
          <w:p>
            <w:pPr>
              <w:pStyle w:val="16"/>
              <w:spacing w:after="0" w:line="360" w:lineRule="auto"/>
              <w:ind w:left="0" w:leftChars="0" w:firstLine="480" w:firstLineChars="200"/>
              <w:rPr>
                <w:color w:val="000000"/>
                <w:sz w:val="24"/>
              </w:rPr>
            </w:pPr>
            <w:r>
              <w:rPr>
                <w:color w:val="000000"/>
                <w:sz w:val="24"/>
              </w:rPr>
              <w:t>从上述预测结果可以看出，在采取了降噪措施后，本项目厂界昼间噪声均能满足《工业企业厂界环境噪声排放标准》（GB12348-2008）2类标准</w:t>
            </w:r>
            <w:r>
              <w:rPr>
                <w:rFonts w:hint="eastAsia"/>
                <w:color w:val="000000"/>
                <w:sz w:val="24"/>
              </w:rPr>
              <w:t>，项目周边敏感点声环境质量预测结果昼间噪声值均能满足《声环境质量标准》（GB</w:t>
            </w:r>
            <w:r>
              <w:rPr>
                <w:color w:val="000000"/>
                <w:sz w:val="24"/>
              </w:rPr>
              <w:t>3095</w:t>
            </w:r>
            <w:r>
              <w:rPr>
                <w:rFonts w:hint="eastAsia"/>
                <w:color w:val="000000"/>
                <w:sz w:val="24"/>
              </w:rPr>
              <w:t>-</w:t>
            </w:r>
            <w:r>
              <w:rPr>
                <w:color w:val="000000"/>
                <w:sz w:val="24"/>
              </w:rPr>
              <w:t>2008</w:t>
            </w:r>
            <w:r>
              <w:rPr>
                <w:rFonts w:hint="eastAsia"/>
                <w:color w:val="000000"/>
                <w:sz w:val="24"/>
              </w:rPr>
              <w:t>）2类标准，项目夜间不生产。</w:t>
            </w:r>
          </w:p>
          <w:p>
            <w:pPr>
              <w:pStyle w:val="6"/>
              <w:spacing w:line="360" w:lineRule="auto"/>
              <w:ind w:firstLine="482"/>
              <w:rPr>
                <w:b/>
                <w:bCs/>
                <w:color w:val="000000"/>
                <w:sz w:val="24"/>
              </w:rPr>
            </w:pPr>
            <w:r>
              <w:rPr>
                <w:b/>
                <w:bCs/>
                <w:color w:val="000000"/>
                <w:sz w:val="24"/>
              </w:rPr>
              <w:t>4、防治措施</w:t>
            </w:r>
          </w:p>
          <w:p>
            <w:pPr>
              <w:pStyle w:val="16"/>
              <w:spacing w:after="0" w:line="360" w:lineRule="auto"/>
              <w:ind w:left="0" w:leftChars="0" w:firstLine="480" w:firstLineChars="200"/>
              <w:rPr>
                <w:color w:val="000000"/>
                <w:sz w:val="24"/>
              </w:rPr>
            </w:pPr>
            <w:r>
              <w:rPr>
                <w:rFonts w:hint="eastAsia"/>
                <w:color w:val="000000"/>
                <w:sz w:val="24"/>
              </w:rPr>
              <w:t>（1）项目厂区内噪声防治措施</w:t>
            </w:r>
          </w:p>
          <w:p>
            <w:pPr>
              <w:pStyle w:val="16"/>
              <w:spacing w:after="0" w:line="360" w:lineRule="auto"/>
              <w:ind w:left="0" w:leftChars="0" w:firstLine="480" w:firstLineChars="200"/>
              <w:rPr>
                <w:color w:val="000000"/>
                <w:sz w:val="24"/>
              </w:rPr>
            </w:pPr>
            <w:r>
              <w:rPr>
                <w:color w:val="000000"/>
                <w:sz w:val="24"/>
              </w:rPr>
              <w:t>为了将项目产生的噪声对周围居民及环境的影响降至最低，本环评建议建设单位采取以下的隔声、降噪措施：</w:t>
            </w:r>
          </w:p>
          <w:p>
            <w:pPr>
              <w:pStyle w:val="16"/>
              <w:spacing w:after="0" w:line="360" w:lineRule="auto"/>
              <w:ind w:left="0" w:leftChars="0" w:firstLine="480" w:firstLineChars="200"/>
              <w:rPr>
                <w:color w:val="000000"/>
                <w:sz w:val="24"/>
              </w:rPr>
            </w:pPr>
            <w:r>
              <w:rPr>
                <w:color w:val="000000"/>
                <w:sz w:val="24"/>
              </w:rPr>
              <w:t>①从声源上控制，选择低噪声和符合国家噪声标准的设备；</w:t>
            </w:r>
          </w:p>
          <w:p>
            <w:pPr>
              <w:pStyle w:val="16"/>
              <w:spacing w:after="0" w:line="360" w:lineRule="auto"/>
              <w:ind w:left="0" w:leftChars="0" w:firstLine="480" w:firstLineChars="200"/>
              <w:rPr>
                <w:color w:val="000000"/>
                <w:sz w:val="24"/>
              </w:rPr>
            </w:pPr>
            <w:r>
              <w:rPr>
                <w:color w:val="000000"/>
                <w:sz w:val="24"/>
              </w:rPr>
              <w:t>②合理布局本项目高噪声的设备，将生产设备全部布置于车间内部，尽可能集中布置于车间中部，同时尽可能将厂房进行封闭，减少对外界的影响；</w:t>
            </w:r>
          </w:p>
          <w:p>
            <w:pPr>
              <w:pStyle w:val="16"/>
              <w:spacing w:after="0" w:line="360" w:lineRule="auto"/>
              <w:ind w:left="0" w:leftChars="0" w:firstLine="480" w:firstLineChars="200"/>
              <w:rPr>
                <w:color w:val="000000"/>
                <w:sz w:val="24"/>
              </w:rPr>
            </w:pPr>
            <w:r>
              <w:rPr>
                <w:color w:val="000000"/>
                <w:sz w:val="24"/>
              </w:rPr>
              <w:t>③加强对设备保养维护，确保设备处于良好的运转状态，杜绝因设备不正常运转时产生的高噪声现象；</w:t>
            </w:r>
          </w:p>
          <w:p>
            <w:pPr>
              <w:pStyle w:val="16"/>
              <w:spacing w:after="0" w:line="360" w:lineRule="auto"/>
              <w:ind w:left="0" w:leftChars="0" w:firstLine="480" w:firstLineChars="200"/>
              <w:rPr>
                <w:color w:val="000000"/>
                <w:sz w:val="24"/>
              </w:rPr>
            </w:pPr>
            <w:r>
              <w:rPr>
                <w:color w:val="000000"/>
                <w:sz w:val="24"/>
              </w:rPr>
              <w:t>④风机进、排风管安装消声器，风机与进、排风管采用橡胶柔性接管连接，在风机和基础之间安装隔振器，尽可能增加机座惰性块的重量，一般为2～3倍重量；</w:t>
            </w:r>
          </w:p>
          <w:p>
            <w:pPr>
              <w:pStyle w:val="16"/>
              <w:spacing w:after="0" w:line="360" w:lineRule="auto"/>
              <w:ind w:left="0" w:leftChars="0" w:firstLine="480" w:firstLineChars="200"/>
              <w:rPr>
                <w:color w:val="000000"/>
                <w:sz w:val="24"/>
              </w:rPr>
            </w:pPr>
            <w:r>
              <w:rPr>
                <w:color w:val="000000"/>
                <w:sz w:val="24"/>
              </w:rPr>
              <w:t>⑤在设备和基础之间加弹簧和弹性材料制作的减振器或减振垫层以减少设备基础与墙体振动形成的噪声；</w:t>
            </w:r>
          </w:p>
          <w:p>
            <w:pPr>
              <w:pStyle w:val="16"/>
              <w:spacing w:after="0" w:line="360" w:lineRule="auto"/>
              <w:ind w:left="0" w:leftChars="0" w:firstLine="480" w:firstLineChars="200"/>
              <w:rPr>
                <w:color w:val="000000"/>
                <w:sz w:val="24"/>
              </w:rPr>
            </w:pPr>
            <w:r>
              <w:rPr>
                <w:color w:val="000000"/>
                <w:sz w:val="24"/>
              </w:rPr>
              <w:t>⑥在机械设备结构的连接处作减振处理，如采用弹性的连轴节，弹性垫或其它装置；</w:t>
            </w:r>
          </w:p>
          <w:p>
            <w:pPr>
              <w:pStyle w:val="16"/>
              <w:spacing w:after="0" w:line="360" w:lineRule="auto"/>
              <w:ind w:left="0" w:leftChars="0" w:firstLine="480" w:firstLineChars="200"/>
              <w:rPr>
                <w:color w:val="000000"/>
                <w:sz w:val="24"/>
              </w:rPr>
            </w:pPr>
            <w:r>
              <w:rPr>
                <w:color w:val="000000"/>
                <w:sz w:val="24"/>
              </w:rPr>
              <w:t>⑦工人佩戴防护用品，如耳塞、耳罩、头盔等，减少噪声对工人的伤害。</w:t>
            </w:r>
          </w:p>
          <w:p>
            <w:pPr>
              <w:ind w:firstLine="480"/>
              <w:rPr>
                <w:color w:val="000000"/>
              </w:rPr>
            </w:pPr>
            <w:r>
              <w:rPr>
                <w:rFonts w:hint="eastAsia"/>
                <w:color w:val="000000"/>
              </w:rPr>
              <w:t>（2）</w:t>
            </w:r>
            <w:r>
              <w:rPr>
                <w:color w:val="000000"/>
              </w:rPr>
              <w:t>运输沿线的</w:t>
            </w:r>
            <w:r>
              <w:rPr>
                <w:rFonts w:hint="eastAsia"/>
                <w:color w:val="000000"/>
              </w:rPr>
              <w:t>防治措施</w:t>
            </w:r>
          </w:p>
          <w:p>
            <w:pPr>
              <w:ind w:firstLine="480"/>
              <w:rPr>
                <w:color w:val="000000"/>
              </w:rPr>
            </w:pPr>
            <w:r>
              <w:rPr>
                <w:color w:val="000000"/>
              </w:rPr>
              <w:t>根据项目工程特征，项目原辅材料及成品运输量较大，项目平均每天发空车、重载较多。因此，评价建议采取如下噪声防治措施：</w:t>
            </w:r>
          </w:p>
          <w:p>
            <w:pPr>
              <w:ind w:firstLine="480"/>
              <w:rPr>
                <w:color w:val="000000"/>
              </w:rPr>
            </w:pPr>
            <w:r>
              <w:rPr>
                <w:color w:val="000000"/>
              </w:rPr>
              <w:t>①严禁车辆超速、超载、超高运输，在经过集中居民区时应低速行驶，并严禁鸣笛；</w:t>
            </w:r>
          </w:p>
          <w:p>
            <w:pPr>
              <w:ind w:firstLine="480"/>
              <w:rPr>
                <w:color w:val="000000"/>
              </w:rPr>
            </w:pPr>
            <w:r>
              <w:rPr>
                <w:color w:val="000000"/>
              </w:rPr>
              <w:t>②采用加盖运输车辆运输</w:t>
            </w:r>
            <w:r>
              <w:rPr>
                <w:rFonts w:hint="eastAsia"/>
                <w:color w:val="000000"/>
              </w:rPr>
              <w:t>原辅材</w:t>
            </w:r>
            <w:r>
              <w:rPr>
                <w:color w:val="000000"/>
              </w:rPr>
              <w:t>料；</w:t>
            </w:r>
          </w:p>
          <w:p>
            <w:pPr>
              <w:ind w:firstLine="480"/>
              <w:rPr>
                <w:color w:val="000000"/>
              </w:rPr>
            </w:pPr>
            <w:r>
              <w:rPr>
                <w:color w:val="000000"/>
              </w:rPr>
              <w:t>③合理安排作业时间，尽量减少夜间运输频次；</w:t>
            </w:r>
          </w:p>
          <w:p>
            <w:pPr>
              <w:ind w:firstLine="480"/>
              <w:rPr>
                <w:color w:val="000000"/>
              </w:rPr>
            </w:pPr>
            <w:r>
              <w:rPr>
                <w:color w:val="000000"/>
              </w:rPr>
              <w:t>④加强对运输车辆的日常维护，避免因故障运行而产生高强度噪声；</w:t>
            </w:r>
          </w:p>
          <w:p>
            <w:pPr>
              <w:ind w:firstLine="480"/>
              <w:rPr>
                <w:color w:val="000000"/>
              </w:rPr>
            </w:pPr>
            <w:r>
              <w:rPr>
                <w:color w:val="000000"/>
              </w:rPr>
              <w:t>⑤加强运输道路的维护，对路面破损路段进行硬化修复。</w:t>
            </w:r>
          </w:p>
          <w:p>
            <w:pPr>
              <w:pStyle w:val="6"/>
              <w:spacing w:line="360" w:lineRule="auto"/>
              <w:ind w:firstLine="482"/>
              <w:rPr>
                <w:b/>
                <w:bCs/>
                <w:color w:val="000000"/>
                <w:sz w:val="24"/>
              </w:rPr>
            </w:pPr>
            <w:r>
              <w:rPr>
                <w:b/>
                <w:bCs/>
                <w:color w:val="000000"/>
                <w:sz w:val="24"/>
              </w:rPr>
              <w:t>5、项目营运期噪声监测计划</w:t>
            </w:r>
          </w:p>
          <w:p>
            <w:pPr>
              <w:ind w:firstLine="480"/>
              <w:rPr>
                <w:color w:val="000000"/>
              </w:rPr>
            </w:pPr>
            <w:r>
              <w:rPr>
                <w:color w:val="000000"/>
              </w:rPr>
              <w:t>项目营运期噪声监测计划见下表：</w:t>
            </w:r>
          </w:p>
          <w:p>
            <w:pPr>
              <w:ind w:firstLine="482"/>
              <w:jc w:val="center"/>
              <w:rPr>
                <w:color w:val="000000"/>
                <w:szCs w:val="21"/>
              </w:rPr>
            </w:pPr>
            <w:r>
              <w:rPr>
                <w:b/>
                <w:bCs/>
                <w:color w:val="000000"/>
                <w:szCs w:val="21"/>
              </w:rPr>
              <w:t>表4-11  项目营运期噪声监测计划</w:t>
            </w:r>
            <w:r>
              <w:rPr>
                <w:color w:val="000000"/>
                <w:szCs w:val="21"/>
              </w:rPr>
              <w:t xml:space="preserve">  </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87"/>
              <w:gridCol w:w="2586"/>
              <w:gridCol w:w="25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43" w:type="dxa"/>
                  <w:vAlign w:val="center"/>
                </w:tcPr>
                <w:p>
                  <w:pPr>
                    <w:pStyle w:val="50"/>
                  </w:pPr>
                  <w:r>
                    <w:t>监测点位</w:t>
                  </w:r>
                </w:p>
              </w:tc>
              <w:tc>
                <w:tcPr>
                  <w:tcW w:w="2644" w:type="dxa"/>
                  <w:vAlign w:val="center"/>
                </w:tcPr>
                <w:p>
                  <w:pPr>
                    <w:pStyle w:val="50"/>
                  </w:pPr>
                  <w:r>
                    <w:t>监测因子</w:t>
                  </w:r>
                </w:p>
              </w:tc>
              <w:tc>
                <w:tcPr>
                  <w:tcW w:w="2647" w:type="dxa"/>
                  <w:vAlign w:val="center"/>
                </w:tcPr>
                <w:p>
                  <w:pPr>
                    <w:pStyle w:val="50"/>
                  </w:pPr>
                  <w:r>
                    <w:t>监测频率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43" w:type="dxa"/>
                  <w:vAlign w:val="center"/>
                </w:tcPr>
                <w:p>
                  <w:pPr>
                    <w:pStyle w:val="50"/>
                  </w:pPr>
                  <w:r>
                    <w:t>厂界四周外1m</w:t>
                  </w:r>
                </w:p>
              </w:tc>
              <w:tc>
                <w:tcPr>
                  <w:tcW w:w="2644" w:type="dxa"/>
                  <w:vAlign w:val="center"/>
                </w:tcPr>
                <w:p>
                  <w:pPr>
                    <w:pStyle w:val="50"/>
                  </w:pPr>
                  <w:r>
                    <w:t>等效连续A声级</w:t>
                  </w:r>
                </w:p>
              </w:tc>
              <w:tc>
                <w:tcPr>
                  <w:tcW w:w="2647" w:type="dxa"/>
                  <w:vAlign w:val="center"/>
                </w:tcPr>
                <w:p>
                  <w:pPr>
                    <w:pStyle w:val="50"/>
                  </w:pPr>
                  <w:r>
                    <w:t>每季度</w:t>
                  </w:r>
                  <w:r>
                    <w:rPr>
                      <w:rFonts w:hint="eastAsia"/>
                    </w:rPr>
                    <w:t>1</w:t>
                  </w:r>
                  <w:r>
                    <w:t>次</w:t>
                  </w:r>
                </w:p>
              </w:tc>
            </w:tr>
          </w:tbl>
          <w:p>
            <w:pPr>
              <w:pStyle w:val="6"/>
              <w:spacing w:line="360" w:lineRule="auto"/>
              <w:ind w:firstLine="482"/>
              <w:rPr>
                <w:b/>
                <w:bCs/>
                <w:color w:val="000000"/>
                <w:sz w:val="24"/>
              </w:rPr>
            </w:pPr>
            <w:r>
              <w:rPr>
                <w:b/>
                <w:bCs/>
                <w:color w:val="000000"/>
                <w:sz w:val="24"/>
              </w:rPr>
              <w:t>四、固体废物环境影响和保护措施</w:t>
            </w:r>
          </w:p>
          <w:p>
            <w:pPr>
              <w:pStyle w:val="16"/>
              <w:spacing w:after="0" w:line="360" w:lineRule="auto"/>
              <w:ind w:left="0" w:leftChars="0" w:firstLine="482" w:firstLineChars="200"/>
              <w:rPr>
                <w:b/>
                <w:bCs/>
                <w:color w:val="000000"/>
                <w:sz w:val="24"/>
              </w:rPr>
            </w:pPr>
            <w:r>
              <w:rPr>
                <w:b/>
                <w:bCs/>
                <w:color w:val="000000"/>
                <w:sz w:val="24"/>
              </w:rPr>
              <w:t>1、固废产生及处置情况</w:t>
            </w:r>
          </w:p>
          <w:p>
            <w:pPr>
              <w:pStyle w:val="16"/>
              <w:spacing w:after="0" w:line="360" w:lineRule="auto"/>
              <w:ind w:left="0" w:leftChars="0" w:firstLine="480" w:firstLineChars="200"/>
              <w:rPr>
                <w:color w:val="000000"/>
                <w:sz w:val="24"/>
                <w:lang w:val="zh-CN"/>
              </w:rPr>
            </w:pPr>
            <w:r>
              <w:rPr>
                <w:color w:val="000000"/>
                <w:sz w:val="24"/>
                <w:lang w:val="zh-CN"/>
              </w:rPr>
              <w:t>项目营运期的固体废物主要为员工生活垃圾、切割边角料及不合格产品、废原料包装袋、</w:t>
            </w:r>
            <w:r>
              <w:rPr>
                <w:rFonts w:hint="eastAsia"/>
                <w:color w:val="000000"/>
                <w:sz w:val="24"/>
                <w:lang w:val="zh-CN"/>
              </w:rPr>
              <w:t>废活性炭、</w:t>
            </w:r>
            <w:r>
              <w:rPr>
                <w:color w:val="000000"/>
                <w:sz w:val="24"/>
                <w:lang w:val="zh-CN"/>
              </w:rPr>
              <w:t>废机油等。</w:t>
            </w:r>
          </w:p>
          <w:p>
            <w:pPr>
              <w:pStyle w:val="16"/>
              <w:spacing w:after="0" w:line="360" w:lineRule="auto"/>
              <w:ind w:left="0" w:leftChars="0" w:firstLine="480" w:firstLineChars="200"/>
              <w:rPr>
                <w:color w:val="000000"/>
                <w:sz w:val="24"/>
              </w:rPr>
            </w:pPr>
            <w:r>
              <w:rPr>
                <w:color w:val="000000"/>
                <w:sz w:val="24"/>
              </w:rPr>
              <w:t>（1）生活垃圾</w:t>
            </w:r>
          </w:p>
          <w:p>
            <w:pPr>
              <w:pStyle w:val="16"/>
              <w:spacing w:after="0" w:line="360" w:lineRule="auto"/>
              <w:ind w:left="0" w:leftChars="0" w:firstLine="480" w:firstLineChars="200"/>
              <w:rPr>
                <w:color w:val="000000"/>
                <w:sz w:val="24"/>
              </w:rPr>
            </w:pPr>
            <w:r>
              <w:rPr>
                <w:color w:val="000000"/>
                <w:sz w:val="24"/>
              </w:rPr>
              <w:t>本项目共有工作人员及管理人员共10，按每人0.5kg/d 计算，生活垃圾产生量为5</w:t>
            </w:r>
            <w:r>
              <w:rPr>
                <w:rFonts w:hint="eastAsia"/>
                <w:color w:val="000000"/>
                <w:sz w:val="24"/>
              </w:rPr>
              <w:t>k</w:t>
            </w:r>
            <w:r>
              <w:rPr>
                <w:color w:val="000000"/>
                <w:sz w:val="24"/>
              </w:rPr>
              <w:t>g/d（1.5</w:t>
            </w:r>
            <w:r>
              <w:rPr>
                <w:rFonts w:hint="eastAsia"/>
                <w:color w:val="000000"/>
                <w:sz w:val="24"/>
              </w:rPr>
              <w:t>t</w:t>
            </w:r>
            <w:r>
              <w:rPr>
                <w:color w:val="000000"/>
                <w:sz w:val="24"/>
              </w:rPr>
              <w:t>/a），统一收集清运至垃圾收集点，由当地环卫部门统一处理。项目内设密闭式生活垃圾筒收集生活垃圾，生活垃圾日产日清。</w:t>
            </w:r>
          </w:p>
          <w:p>
            <w:pPr>
              <w:pStyle w:val="16"/>
              <w:spacing w:after="0" w:line="360" w:lineRule="auto"/>
              <w:ind w:left="0" w:leftChars="0" w:firstLine="480" w:firstLineChars="200"/>
              <w:rPr>
                <w:color w:val="000000"/>
                <w:sz w:val="24"/>
              </w:rPr>
            </w:pPr>
            <w:r>
              <w:rPr>
                <w:color w:val="000000"/>
                <w:sz w:val="24"/>
              </w:rPr>
              <w:t>（2）切割边角料</w:t>
            </w:r>
          </w:p>
          <w:p>
            <w:pPr>
              <w:pStyle w:val="16"/>
              <w:spacing w:after="0" w:line="360" w:lineRule="auto"/>
              <w:ind w:left="0" w:leftChars="0" w:firstLine="480" w:firstLineChars="200"/>
              <w:rPr>
                <w:color w:val="000000"/>
                <w:sz w:val="24"/>
              </w:rPr>
            </w:pPr>
            <w:r>
              <w:rPr>
                <w:color w:val="000000"/>
                <w:sz w:val="24"/>
              </w:rPr>
              <w:t>项目切割工序会产生一定量的边角料及会产生一定量的不合格产品，本次按产品产量的</w:t>
            </w:r>
            <w:r>
              <w:rPr>
                <w:rFonts w:hint="eastAsia"/>
                <w:color w:val="000000"/>
                <w:sz w:val="24"/>
              </w:rPr>
              <w:t>1</w:t>
            </w:r>
            <w:r>
              <w:rPr>
                <w:color w:val="000000"/>
                <w:sz w:val="24"/>
              </w:rPr>
              <w:t>0</w:t>
            </w:r>
            <w:r>
              <w:rPr>
                <w:rFonts w:hint="eastAsia"/>
                <w:color w:val="000000"/>
                <w:sz w:val="24"/>
              </w:rPr>
              <w:t>%计算其</w:t>
            </w:r>
            <w:r>
              <w:rPr>
                <w:color w:val="000000"/>
                <w:sz w:val="24"/>
              </w:rPr>
              <w:t>边角料及不合格产品的产生量，产生量约为6.83t/a，全部破碎、磨粉后回用于生产线，不外排。</w:t>
            </w:r>
          </w:p>
          <w:p>
            <w:pPr>
              <w:pStyle w:val="16"/>
              <w:spacing w:after="0" w:line="360" w:lineRule="auto"/>
              <w:ind w:left="0" w:leftChars="0" w:firstLine="480" w:firstLineChars="200"/>
              <w:rPr>
                <w:color w:val="000000"/>
                <w:sz w:val="24"/>
              </w:rPr>
            </w:pPr>
            <w:r>
              <w:rPr>
                <w:color w:val="000000"/>
                <w:sz w:val="24"/>
              </w:rPr>
              <w:t>（3）</w:t>
            </w:r>
            <w:r>
              <w:rPr>
                <w:rFonts w:hint="eastAsia"/>
                <w:color w:val="000000"/>
                <w:sz w:val="24"/>
              </w:rPr>
              <w:t>废原料包装袋</w:t>
            </w:r>
          </w:p>
          <w:p>
            <w:pPr>
              <w:pStyle w:val="16"/>
              <w:spacing w:after="0" w:line="360" w:lineRule="auto"/>
              <w:ind w:left="0" w:leftChars="0" w:firstLine="480" w:firstLineChars="200"/>
              <w:rPr>
                <w:color w:val="000000"/>
                <w:sz w:val="24"/>
              </w:rPr>
            </w:pPr>
            <w:r>
              <w:rPr>
                <w:rFonts w:hint="eastAsia"/>
                <w:color w:val="000000"/>
                <w:sz w:val="24"/>
              </w:rPr>
              <w:t>项目原料聚乙烯树脂粉及钙粉均采用袋装，规格约为5</w:t>
            </w:r>
            <w:r>
              <w:rPr>
                <w:color w:val="000000"/>
                <w:sz w:val="24"/>
              </w:rPr>
              <w:t>0</w:t>
            </w:r>
            <w:r>
              <w:rPr>
                <w:rFonts w:hint="eastAsia"/>
                <w:color w:val="000000"/>
                <w:sz w:val="24"/>
              </w:rPr>
              <w:t>kg</w:t>
            </w:r>
            <w:r>
              <w:rPr>
                <w:color w:val="000000"/>
                <w:sz w:val="24"/>
              </w:rPr>
              <w:t>/</w:t>
            </w:r>
            <w:r>
              <w:rPr>
                <w:rFonts w:hint="eastAsia"/>
                <w:color w:val="000000"/>
                <w:sz w:val="24"/>
              </w:rPr>
              <w:t>袋，则会产生废包装袋量约为2</w:t>
            </w:r>
            <w:r>
              <w:rPr>
                <w:color w:val="000000"/>
                <w:sz w:val="24"/>
              </w:rPr>
              <w:t>880</w:t>
            </w:r>
            <w:r>
              <w:rPr>
                <w:rFonts w:hint="eastAsia"/>
                <w:color w:val="000000"/>
                <w:sz w:val="24"/>
              </w:rPr>
              <w:t>个/</w:t>
            </w:r>
            <w:r>
              <w:rPr>
                <w:color w:val="000000"/>
                <w:sz w:val="24"/>
              </w:rPr>
              <w:t>a</w:t>
            </w:r>
            <w:r>
              <w:rPr>
                <w:rFonts w:hint="eastAsia"/>
                <w:color w:val="000000"/>
                <w:sz w:val="24"/>
              </w:rPr>
              <w:t>，单个包装袋重量约为0</w:t>
            </w:r>
            <w:r>
              <w:rPr>
                <w:color w:val="000000"/>
                <w:sz w:val="24"/>
              </w:rPr>
              <w:t>.5</w:t>
            </w:r>
            <w:r>
              <w:rPr>
                <w:rFonts w:hint="eastAsia"/>
                <w:color w:val="000000"/>
                <w:sz w:val="24"/>
              </w:rPr>
              <w:t>kg，则产生量约为1</w:t>
            </w:r>
            <w:r>
              <w:rPr>
                <w:color w:val="000000"/>
                <w:sz w:val="24"/>
              </w:rPr>
              <w:t>.44</w:t>
            </w:r>
            <w:r>
              <w:rPr>
                <w:rFonts w:hint="eastAsia"/>
                <w:color w:val="000000"/>
                <w:sz w:val="24"/>
              </w:rPr>
              <w:t>t</w:t>
            </w:r>
            <w:r>
              <w:rPr>
                <w:color w:val="000000"/>
                <w:sz w:val="24"/>
              </w:rPr>
              <w:t>/a</w:t>
            </w:r>
            <w:r>
              <w:rPr>
                <w:rFonts w:hint="eastAsia"/>
                <w:color w:val="000000"/>
                <w:sz w:val="24"/>
              </w:rPr>
              <w:t>，暂存于一般固废暂存间，定期外售废品回收站</w:t>
            </w:r>
            <w:r>
              <w:rPr>
                <w:color w:val="000000"/>
                <w:sz w:val="24"/>
              </w:rPr>
              <w:t>。</w:t>
            </w:r>
          </w:p>
          <w:p>
            <w:pPr>
              <w:pStyle w:val="16"/>
              <w:spacing w:after="0" w:line="360" w:lineRule="auto"/>
              <w:ind w:left="0" w:leftChars="0" w:firstLine="480" w:firstLineChars="200"/>
              <w:rPr>
                <w:color w:val="000000"/>
                <w:sz w:val="24"/>
              </w:rPr>
            </w:pPr>
            <w:r>
              <w:rPr>
                <w:rFonts w:hint="eastAsia"/>
                <w:color w:val="000000"/>
                <w:sz w:val="24"/>
              </w:rPr>
              <w:t>（4）废活性炭</w:t>
            </w:r>
          </w:p>
          <w:p>
            <w:pPr>
              <w:pStyle w:val="16"/>
              <w:spacing w:after="0" w:line="360" w:lineRule="auto"/>
              <w:ind w:left="0" w:leftChars="0" w:firstLine="480" w:firstLineChars="200"/>
              <w:rPr>
                <w:color w:val="000000"/>
                <w:sz w:val="24"/>
              </w:rPr>
            </w:pPr>
            <w:r>
              <w:rPr>
                <w:rFonts w:hint="eastAsia"/>
                <w:color w:val="000000"/>
                <w:sz w:val="24"/>
              </w:rPr>
              <w:t>本项目采用活性炭作为废气处理吸附剂，根据相关研究，每g活性炭能吸附0</w:t>
            </w:r>
            <w:r>
              <w:rPr>
                <w:color w:val="000000"/>
                <w:sz w:val="24"/>
              </w:rPr>
              <w:t>.35</w:t>
            </w:r>
            <w:r>
              <w:rPr>
                <w:rFonts w:hint="eastAsia"/>
                <w:color w:val="000000"/>
                <w:sz w:val="24"/>
              </w:rPr>
              <w:t>g挥发性有机物，本项目挥发性有机物去除量约为</w:t>
            </w:r>
            <w:r>
              <w:rPr>
                <w:color w:val="000000"/>
                <w:sz w:val="24"/>
              </w:rPr>
              <w:t>0.06</w:t>
            </w:r>
            <w:r>
              <w:rPr>
                <w:rFonts w:hint="eastAsia"/>
                <w:color w:val="000000"/>
                <w:sz w:val="24"/>
              </w:rPr>
              <w:t>t</w:t>
            </w:r>
            <w:r>
              <w:rPr>
                <w:color w:val="000000"/>
                <w:sz w:val="24"/>
              </w:rPr>
              <w:t>/a</w:t>
            </w:r>
            <w:r>
              <w:rPr>
                <w:rFonts w:hint="eastAsia"/>
                <w:color w:val="000000"/>
                <w:sz w:val="24"/>
              </w:rPr>
              <w:t>，则至少需要活性炭</w:t>
            </w:r>
            <w:r>
              <w:rPr>
                <w:color w:val="000000"/>
                <w:sz w:val="24"/>
              </w:rPr>
              <w:t>0.17</w:t>
            </w:r>
            <w:r>
              <w:rPr>
                <w:rFonts w:hint="eastAsia"/>
                <w:color w:val="000000"/>
                <w:sz w:val="24"/>
              </w:rPr>
              <w:t>t</w:t>
            </w:r>
            <w:r>
              <w:rPr>
                <w:color w:val="000000"/>
                <w:sz w:val="24"/>
              </w:rPr>
              <w:t>/a</w:t>
            </w:r>
            <w:r>
              <w:rPr>
                <w:rFonts w:hint="eastAsia"/>
                <w:color w:val="000000"/>
                <w:sz w:val="24"/>
              </w:rPr>
              <w:t>，考虑活性炭的有效利用效率，按5</w:t>
            </w:r>
            <w:r>
              <w:rPr>
                <w:color w:val="000000"/>
                <w:sz w:val="24"/>
              </w:rPr>
              <w:t>0%</w:t>
            </w:r>
            <w:r>
              <w:rPr>
                <w:rFonts w:hint="eastAsia"/>
                <w:color w:val="000000"/>
                <w:sz w:val="24"/>
              </w:rPr>
              <w:t>进行考虑，则需要活性炭</w:t>
            </w:r>
            <w:r>
              <w:rPr>
                <w:color w:val="000000"/>
                <w:sz w:val="24"/>
              </w:rPr>
              <w:t>0.34</w:t>
            </w:r>
            <w:r>
              <w:rPr>
                <w:rFonts w:hint="eastAsia"/>
                <w:color w:val="000000"/>
                <w:sz w:val="24"/>
              </w:rPr>
              <w:t>t</w:t>
            </w:r>
            <w:r>
              <w:rPr>
                <w:color w:val="000000"/>
                <w:sz w:val="24"/>
              </w:rPr>
              <w:t>/a</w:t>
            </w:r>
            <w:r>
              <w:rPr>
                <w:rFonts w:hint="eastAsia"/>
                <w:color w:val="000000"/>
                <w:sz w:val="24"/>
              </w:rPr>
              <w:t>，产生废活性炭</w:t>
            </w:r>
            <w:r>
              <w:rPr>
                <w:color w:val="000000"/>
                <w:sz w:val="24"/>
              </w:rPr>
              <w:t>0.4</w:t>
            </w:r>
            <w:r>
              <w:rPr>
                <w:rFonts w:hint="eastAsia"/>
                <w:color w:val="000000"/>
                <w:sz w:val="24"/>
              </w:rPr>
              <w:t>t</w:t>
            </w:r>
            <w:r>
              <w:rPr>
                <w:color w:val="000000"/>
                <w:sz w:val="24"/>
              </w:rPr>
              <w:t>/a</w:t>
            </w:r>
            <w:r>
              <w:rPr>
                <w:rFonts w:hint="eastAsia"/>
                <w:color w:val="000000"/>
                <w:sz w:val="24"/>
              </w:rPr>
              <w:t>（活性炭使用量加上吸附的挥发性有机物量），废活性炭属于危险废物（危废类别：HW</w:t>
            </w:r>
            <w:r>
              <w:rPr>
                <w:color w:val="000000"/>
                <w:sz w:val="24"/>
              </w:rPr>
              <w:t>49</w:t>
            </w:r>
            <w:r>
              <w:rPr>
                <w:rFonts w:hint="eastAsia"/>
                <w:color w:val="000000"/>
                <w:sz w:val="24"/>
              </w:rPr>
              <w:t>其他废物，危废代码：</w:t>
            </w:r>
            <w:r>
              <w:rPr>
                <w:color w:val="000000"/>
                <w:sz w:val="24"/>
              </w:rPr>
              <w:t>900-039-49</w:t>
            </w:r>
            <w:r>
              <w:rPr>
                <w:rFonts w:hint="eastAsia"/>
                <w:color w:val="000000"/>
                <w:sz w:val="24"/>
              </w:rPr>
              <w:t>），暂存于危险废物暂存间，委托有资质单位定期回收处理。</w:t>
            </w:r>
          </w:p>
          <w:p>
            <w:pPr>
              <w:pStyle w:val="16"/>
              <w:spacing w:after="0" w:line="360" w:lineRule="auto"/>
              <w:ind w:left="0" w:leftChars="0" w:firstLine="480" w:firstLineChars="200"/>
              <w:rPr>
                <w:color w:val="000000"/>
                <w:sz w:val="24"/>
              </w:rPr>
            </w:pPr>
            <w:r>
              <w:rPr>
                <w:color w:val="000000"/>
                <w:sz w:val="24"/>
              </w:rPr>
              <w:t>（4）废机油</w:t>
            </w:r>
          </w:p>
          <w:p>
            <w:pPr>
              <w:pStyle w:val="16"/>
              <w:spacing w:after="0" w:line="360" w:lineRule="auto"/>
              <w:ind w:left="0" w:leftChars="0" w:firstLine="480" w:firstLineChars="200"/>
              <w:rPr>
                <w:color w:val="000000"/>
                <w:sz w:val="24"/>
              </w:rPr>
            </w:pPr>
            <w:r>
              <w:rPr>
                <w:color w:val="000000"/>
                <w:sz w:val="24"/>
              </w:rPr>
              <w:t>运营期设备维修时会产生废机油，该维修废机油产生量为0.3t/次（一年维修一次），该废油属于危险废物（HW08），桶装暂存于厂内危废暂存间，由专人收集管理，由有资质单位进行无害化处理。</w:t>
            </w:r>
          </w:p>
          <w:p>
            <w:pPr>
              <w:pStyle w:val="16"/>
              <w:spacing w:after="0" w:line="360" w:lineRule="auto"/>
              <w:ind w:left="0" w:leftChars="0" w:firstLine="480" w:firstLineChars="200"/>
              <w:rPr>
                <w:color w:val="000000"/>
                <w:sz w:val="24"/>
              </w:rPr>
            </w:pPr>
            <w:r>
              <w:rPr>
                <w:color w:val="000000"/>
                <w:sz w:val="24"/>
              </w:rPr>
              <w:t>运营期本项目固废产生现状、治理及整治措施一览表如下表所示：</w:t>
            </w:r>
          </w:p>
          <w:p>
            <w:pPr>
              <w:ind w:firstLine="482"/>
              <w:jc w:val="center"/>
              <w:rPr>
                <w:b/>
                <w:color w:val="000000"/>
                <w:szCs w:val="21"/>
              </w:rPr>
            </w:pPr>
            <w:r>
              <w:rPr>
                <w:b/>
                <w:color w:val="000000"/>
                <w:szCs w:val="21"/>
              </w:rPr>
              <w:t>表4-12   固体废物污染源源强核算结果及相关参数一览表</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8"/>
              <w:gridCol w:w="1406"/>
              <w:gridCol w:w="1088"/>
              <w:gridCol w:w="959"/>
              <w:gridCol w:w="949"/>
              <w:gridCol w:w="2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Align w:val="center"/>
                </w:tcPr>
                <w:p>
                  <w:pPr>
                    <w:pStyle w:val="50"/>
                  </w:pPr>
                  <w:r>
                    <w:t>工序/生产线</w:t>
                  </w:r>
                </w:p>
              </w:tc>
              <w:tc>
                <w:tcPr>
                  <w:tcW w:w="1406" w:type="dxa"/>
                  <w:vAlign w:val="center"/>
                </w:tcPr>
                <w:p>
                  <w:pPr>
                    <w:pStyle w:val="50"/>
                  </w:pPr>
                  <w:r>
                    <w:t>固废名称</w:t>
                  </w:r>
                </w:p>
              </w:tc>
              <w:tc>
                <w:tcPr>
                  <w:tcW w:w="1088" w:type="dxa"/>
                  <w:vAlign w:val="center"/>
                </w:tcPr>
                <w:p>
                  <w:pPr>
                    <w:pStyle w:val="50"/>
                  </w:pPr>
                  <w:r>
                    <w:t>固废属性</w:t>
                  </w:r>
                </w:p>
              </w:tc>
              <w:tc>
                <w:tcPr>
                  <w:tcW w:w="959" w:type="dxa"/>
                  <w:vAlign w:val="center"/>
                </w:tcPr>
                <w:p>
                  <w:pPr>
                    <w:pStyle w:val="50"/>
                  </w:pPr>
                  <w:r>
                    <w:rPr>
                      <w:rFonts w:hint="eastAsia"/>
                    </w:rPr>
                    <w:t>固废代码</w:t>
                  </w:r>
                </w:p>
              </w:tc>
              <w:tc>
                <w:tcPr>
                  <w:tcW w:w="949" w:type="dxa"/>
                  <w:vAlign w:val="center"/>
                </w:tcPr>
                <w:p>
                  <w:pPr>
                    <w:pStyle w:val="50"/>
                  </w:pPr>
                  <w:r>
                    <w:t>产生量(t/a)</w:t>
                  </w:r>
                </w:p>
              </w:tc>
              <w:tc>
                <w:tcPr>
                  <w:tcW w:w="2322" w:type="dxa"/>
                  <w:vAlign w:val="center"/>
                </w:tcPr>
                <w:p>
                  <w:pPr>
                    <w:pStyle w:val="50"/>
                  </w:pPr>
                  <w:r>
                    <w:t>处理措施/最终去向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Align w:val="center"/>
                </w:tcPr>
                <w:p>
                  <w:pPr>
                    <w:pStyle w:val="50"/>
                  </w:pPr>
                  <w:r>
                    <w:rPr>
                      <w:rFonts w:hint="eastAsia"/>
                    </w:rPr>
                    <w:t>切割</w:t>
                  </w:r>
                </w:p>
              </w:tc>
              <w:tc>
                <w:tcPr>
                  <w:tcW w:w="1406" w:type="dxa"/>
                  <w:vAlign w:val="center"/>
                </w:tcPr>
                <w:p>
                  <w:pPr>
                    <w:pStyle w:val="50"/>
                  </w:pPr>
                  <w:r>
                    <w:rPr>
                      <w:rFonts w:hint="eastAsia"/>
                    </w:rPr>
                    <w:t>边角料/不合格产品</w:t>
                  </w:r>
                </w:p>
              </w:tc>
              <w:tc>
                <w:tcPr>
                  <w:tcW w:w="1088" w:type="dxa"/>
                  <w:vMerge w:val="restart"/>
                  <w:vAlign w:val="center"/>
                </w:tcPr>
                <w:p>
                  <w:pPr>
                    <w:pStyle w:val="50"/>
                  </w:pPr>
                  <w:r>
                    <w:t>一般</w:t>
                  </w:r>
                  <w:r>
                    <w:rPr>
                      <w:rFonts w:hint="eastAsia"/>
                    </w:rPr>
                    <w:t>工业</w:t>
                  </w:r>
                  <w:r>
                    <w:t>固废</w:t>
                  </w:r>
                </w:p>
              </w:tc>
              <w:tc>
                <w:tcPr>
                  <w:tcW w:w="959" w:type="dxa"/>
                  <w:vAlign w:val="center"/>
                </w:tcPr>
                <w:p>
                  <w:pPr>
                    <w:pStyle w:val="50"/>
                  </w:pPr>
                  <w:r>
                    <w:rPr>
                      <w:rFonts w:hint="eastAsia"/>
                    </w:rPr>
                    <w:t>0</w:t>
                  </w:r>
                  <w:r>
                    <w:t>6</w:t>
                  </w:r>
                </w:p>
              </w:tc>
              <w:tc>
                <w:tcPr>
                  <w:tcW w:w="949" w:type="dxa"/>
                  <w:vAlign w:val="center"/>
                </w:tcPr>
                <w:p>
                  <w:pPr>
                    <w:pStyle w:val="50"/>
                  </w:pPr>
                  <w:r>
                    <w:rPr>
                      <w:rFonts w:hint="eastAsia"/>
                    </w:rPr>
                    <w:t>6</w:t>
                  </w:r>
                  <w:r>
                    <w:t>.83</w:t>
                  </w:r>
                </w:p>
              </w:tc>
              <w:tc>
                <w:tcPr>
                  <w:tcW w:w="2322" w:type="dxa"/>
                  <w:vAlign w:val="center"/>
                </w:tcPr>
                <w:p>
                  <w:pPr>
                    <w:pStyle w:val="50"/>
                  </w:pPr>
                  <w:r>
                    <w:rPr>
                      <w:rFonts w:hint="eastAsia"/>
                    </w:rPr>
                    <w:t>破碎、粉磨后回用于生产线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Align w:val="center"/>
                </w:tcPr>
                <w:p>
                  <w:pPr>
                    <w:pStyle w:val="50"/>
                  </w:pPr>
                  <w:r>
                    <w:rPr>
                      <w:rFonts w:hint="eastAsia"/>
                    </w:rPr>
                    <w:t>混料</w:t>
                  </w:r>
                </w:p>
              </w:tc>
              <w:tc>
                <w:tcPr>
                  <w:tcW w:w="1406" w:type="dxa"/>
                  <w:vAlign w:val="center"/>
                </w:tcPr>
                <w:p>
                  <w:pPr>
                    <w:pStyle w:val="50"/>
                  </w:pPr>
                  <w:r>
                    <w:rPr>
                      <w:rFonts w:hint="eastAsia"/>
                    </w:rPr>
                    <w:t>废原料包装袋</w:t>
                  </w:r>
                </w:p>
              </w:tc>
              <w:tc>
                <w:tcPr>
                  <w:tcW w:w="1088" w:type="dxa"/>
                  <w:vMerge w:val="continue"/>
                  <w:vAlign w:val="center"/>
                </w:tcPr>
                <w:p>
                  <w:pPr>
                    <w:pStyle w:val="50"/>
                  </w:pPr>
                </w:p>
              </w:tc>
              <w:tc>
                <w:tcPr>
                  <w:tcW w:w="959" w:type="dxa"/>
                  <w:vAlign w:val="center"/>
                </w:tcPr>
                <w:p>
                  <w:pPr>
                    <w:pStyle w:val="50"/>
                  </w:pPr>
                  <w:r>
                    <w:rPr>
                      <w:rFonts w:hint="eastAsia"/>
                    </w:rPr>
                    <w:t>0</w:t>
                  </w:r>
                  <w:r>
                    <w:t>6</w:t>
                  </w:r>
                </w:p>
              </w:tc>
              <w:tc>
                <w:tcPr>
                  <w:tcW w:w="949" w:type="dxa"/>
                  <w:vAlign w:val="center"/>
                </w:tcPr>
                <w:p>
                  <w:pPr>
                    <w:pStyle w:val="50"/>
                  </w:pPr>
                  <w:r>
                    <w:rPr>
                      <w:rFonts w:hint="eastAsia"/>
                    </w:rPr>
                    <w:t>1</w:t>
                  </w:r>
                  <w:r>
                    <w:t>.44</w:t>
                  </w:r>
                </w:p>
              </w:tc>
              <w:tc>
                <w:tcPr>
                  <w:tcW w:w="2322" w:type="dxa"/>
                  <w:vAlign w:val="center"/>
                </w:tcPr>
                <w:p>
                  <w:pPr>
                    <w:pStyle w:val="50"/>
                  </w:pPr>
                  <w:r>
                    <w:rPr>
                      <w:rFonts w:hint="eastAsia"/>
                    </w:rPr>
                    <w:t>暂存于一般固废暂存间，定期外售废品回收站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Align w:val="center"/>
                </w:tcPr>
                <w:p>
                  <w:pPr>
                    <w:pStyle w:val="50"/>
                  </w:pPr>
                  <w:r>
                    <w:rPr>
                      <w:rFonts w:hint="eastAsia"/>
                    </w:rPr>
                    <w:t>员工</w:t>
                  </w:r>
                </w:p>
              </w:tc>
              <w:tc>
                <w:tcPr>
                  <w:tcW w:w="1406" w:type="dxa"/>
                  <w:vAlign w:val="center"/>
                </w:tcPr>
                <w:p>
                  <w:pPr>
                    <w:pStyle w:val="50"/>
                  </w:pPr>
                  <w:r>
                    <w:rPr>
                      <w:rFonts w:hint="eastAsia"/>
                    </w:rPr>
                    <w:t>生活垃圾</w:t>
                  </w:r>
                </w:p>
              </w:tc>
              <w:tc>
                <w:tcPr>
                  <w:tcW w:w="1088" w:type="dxa"/>
                  <w:vAlign w:val="center"/>
                </w:tcPr>
                <w:p>
                  <w:pPr>
                    <w:pStyle w:val="50"/>
                  </w:pPr>
                  <w:r>
                    <w:rPr>
                      <w:rFonts w:hint="eastAsia"/>
                    </w:rPr>
                    <w:t>生活垃圾</w:t>
                  </w:r>
                </w:p>
              </w:tc>
              <w:tc>
                <w:tcPr>
                  <w:tcW w:w="959" w:type="dxa"/>
                  <w:vAlign w:val="center"/>
                </w:tcPr>
                <w:p>
                  <w:pPr>
                    <w:pStyle w:val="50"/>
                  </w:pPr>
                  <w:r>
                    <w:rPr>
                      <w:rFonts w:hint="eastAsia"/>
                    </w:rPr>
                    <w:t>/</w:t>
                  </w:r>
                </w:p>
              </w:tc>
              <w:tc>
                <w:tcPr>
                  <w:tcW w:w="949" w:type="dxa"/>
                  <w:vAlign w:val="center"/>
                </w:tcPr>
                <w:p>
                  <w:pPr>
                    <w:pStyle w:val="50"/>
                  </w:pPr>
                  <w:r>
                    <w:rPr>
                      <w:rFonts w:hint="eastAsia"/>
                    </w:rPr>
                    <w:t>1</w:t>
                  </w:r>
                  <w:r>
                    <w:t>.5</w:t>
                  </w:r>
                </w:p>
              </w:tc>
              <w:tc>
                <w:tcPr>
                  <w:tcW w:w="2322" w:type="dxa"/>
                  <w:vAlign w:val="center"/>
                </w:tcPr>
                <w:p>
                  <w:pPr>
                    <w:pStyle w:val="50"/>
                  </w:pPr>
                  <w:r>
                    <w:rPr>
                      <w:rFonts w:hint="eastAsia"/>
                    </w:rPr>
                    <w:t>分类收集后交由环卫部门处置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Align w:val="center"/>
                </w:tcPr>
                <w:p>
                  <w:pPr>
                    <w:pStyle w:val="50"/>
                  </w:pPr>
                  <w:r>
                    <w:rPr>
                      <w:rFonts w:hint="eastAsia"/>
                    </w:rPr>
                    <w:t>废气处理</w:t>
                  </w:r>
                </w:p>
              </w:tc>
              <w:tc>
                <w:tcPr>
                  <w:tcW w:w="1406" w:type="dxa"/>
                  <w:vAlign w:val="center"/>
                </w:tcPr>
                <w:p>
                  <w:pPr>
                    <w:pStyle w:val="50"/>
                  </w:pPr>
                  <w:r>
                    <w:rPr>
                      <w:rFonts w:hint="eastAsia"/>
                    </w:rPr>
                    <w:t>废活性炭</w:t>
                  </w:r>
                </w:p>
              </w:tc>
              <w:tc>
                <w:tcPr>
                  <w:tcW w:w="1088" w:type="dxa"/>
                  <w:vAlign w:val="center"/>
                </w:tcPr>
                <w:p>
                  <w:pPr>
                    <w:pStyle w:val="50"/>
                  </w:pPr>
                  <w:r>
                    <w:rPr>
                      <w:rFonts w:hint="eastAsia"/>
                    </w:rPr>
                    <w:t>危险废物HW</w:t>
                  </w:r>
                  <w:r>
                    <w:t>49</w:t>
                  </w:r>
                </w:p>
              </w:tc>
              <w:tc>
                <w:tcPr>
                  <w:tcW w:w="959" w:type="dxa"/>
                  <w:vAlign w:val="center"/>
                </w:tcPr>
                <w:p>
                  <w:pPr>
                    <w:pStyle w:val="50"/>
                  </w:pPr>
                  <w:r>
                    <w:t>900-039-49</w:t>
                  </w:r>
                </w:p>
              </w:tc>
              <w:tc>
                <w:tcPr>
                  <w:tcW w:w="949" w:type="dxa"/>
                  <w:vAlign w:val="center"/>
                </w:tcPr>
                <w:p>
                  <w:pPr>
                    <w:pStyle w:val="50"/>
                  </w:pPr>
                  <w:r>
                    <w:t>0.4</w:t>
                  </w:r>
                </w:p>
              </w:tc>
              <w:tc>
                <w:tcPr>
                  <w:tcW w:w="2322" w:type="dxa"/>
                  <w:vMerge w:val="restart"/>
                  <w:vAlign w:val="center"/>
                </w:tcPr>
                <w:p>
                  <w:pPr>
                    <w:pStyle w:val="50"/>
                  </w:pPr>
                  <w:r>
                    <w:rPr>
                      <w:rFonts w:hint="eastAsia"/>
                    </w:rPr>
                    <w:t>暂存于危险废物暂存间，委托有资质单位定期回收处理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38" w:type="dxa"/>
                  <w:vAlign w:val="center"/>
                </w:tcPr>
                <w:p>
                  <w:pPr>
                    <w:pStyle w:val="50"/>
                  </w:pPr>
                  <w:r>
                    <w:rPr>
                      <w:rFonts w:hint="eastAsia"/>
                    </w:rPr>
                    <w:t>设备维修</w:t>
                  </w:r>
                </w:p>
              </w:tc>
              <w:tc>
                <w:tcPr>
                  <w:tcW w:w="1406" w:type="dxa"/>
                  <w:vAlign w:val="center"/>
                </w:tcPr>
                <w:p>
                  <w:pPr>
                    <w:pStyle w:val="50"/>
                  </w:pPr>
                  <w:r>
                    <w:rPr>
                      <w:rFonts w:hint="eastAsia"/>
                    </w:rPr>
                    <w:t>废机油</w:t>
                  </w:r>
                </w:p>
              </w:tc>
              <w:tc>
                <w:tcPr>
                  <w:tcW w:w="1088" w:type="dxa"/>
                  <w:vAlign w:val="center"/>
                </w:tcPr>
                <w:p>
                  <w:pPr>
                    <w:pStyle w:val="50"/>
                  </w:pPr>
                  <w:r>
                    <w:rPr>
                      <w:rFonts w:hint="eastAsia"/>
                    </w:rPr>
                    <w:t>危险废物HW</w:t>
                  </w:r>
                  <w:r>
                    <w:t>08</w:t>
                  </w:r>
                </w:p>
              </w:tc>
              <w:tc>
                <w:tcPr>
                  <w:tcW w:w="959" w:type="dxa"/>
                  <w:vAlign w:val="center"/>
                </w:tcPr>
                <w:p>
                  <w:pPr>
                    <w:pStyle w:val="50"/>
                  </w:pPr>
                  <w:r>
                    <w:rPr>
                      <w:rFonts w:hint="eastAsia"/>
                    </w:rPr>
                    <w:t>9</w:t>
                  </w:r>
                  <w:r>
                    <w:t>00-217-08</w:t>
                  </w:r>
                </w:p>
              </w:tc>
              <w:tc>
                <w:tcPr>
                  <w:tcW w:w="949" w:type="dxa"/>
                  <w:vAlign w:val="center"/>
                </w:tcPr>
                <w:p>
                  <w:pPr>
                    <w:pStyle w:val="50"/>
                  </w:pPr>
                  <w:r>
                    <w:rPr>
                      <w:rFonts w:hint="eastAsia"/>
                    </w:rPr>
                    <w:t>0</w:t>
                  </w:r>
                  <w:r>
                    <w:t>.3</w:t>
                  </w:r>
                </w:p>
              </w:tc>
              <w:tc>
                <w:tcPr>
                  <w:tcW w:w="2322" w:type="dxa"/>
                  <w:vMerge w:val="continue"/>
                  <w:vAlign w:val="center"/>
                </w:tcPr>
                <w:p>
                  <w:pPr>
                    <w:pStyle w:val="50"/>
                  </w:pPr>
                </w:p>
              </w:tc>
            </w:tr>
          </w:tbl>
          <w:p>
            <w:pPr>
              <w:ind w:firstLine="482"/>
              <w:rPr>
                <w:b/>
                <w:bCs/>
                <w:color w:val="000000"/>
              </w:rPr>
            </w:pPr>
            <w:r>
              <w:rPr>
                <w:b/>
                <w:bCs/>
                <w:color w:val="000000"/>
              </w:rPr>
              <w:t>2、环境管理要求</w:t>
            </w:r>
          </w:p>
          <w:p>
            <w:pPr>
              <w:ind w:firstLine="480"/>
              <w:rPr>
                <w:color w:val="000000"/>
              </w:rPr>
            </w:pPr>
            <w:r>
              <w:rPr>
                <w:color w:val="000000"/>
              </w:rPr>
              <w:t>上述固体废物从产生、收集、贮存、转运、处置等各个环节都可能因管理不善而进入环境。因此必须从各个环节进行全方位管理，采取有效措施防止固废在产生、收集、贮存、运输过程中的散失，并采用有效处置的方案和技术。首先从有用物料回收再利用着眼，化废为宝，既回收一部分资源，又减轻处置负荷，对目前还不能回收利用的，应遵循无害化处置原则进行有效处置。</w:t>
            </w:r>
          </w:p>
          <w:p>
            <w:pPr>
              <w:ind w:firstLine="482"/>
              <w:rPr>
                <w:b/>
                <w:bCs/>
                <w:color w:val="000000"/>
              </w:rPr>
            </w:pPr>
            <w:r>
              <w:rPr>
                <w:b/>
                <w:bCs/>
                <w:color w:val="000000"/>
              </w:rPr>
              <w:t>（1）一般固废处置措施要求</w:t>
            </w:r>
          </w:p>
          <w:p>
            <w:pPr>
              <w:ind w:firstLine="480"/>
              <w:rPr>
                <w:color w:val="000000"/>
              </w:rPr>
            </w:pPr>
            <w:r>
              <w:rPr>
                <w:color w:val="000000"/>
              </w:rPr>
              <w:t>本项目一般固体废物中各类垃圾应分类收集，在垃圾暂存区内分类暂存，不得随处堆放，垃圾暂存区应防雨、防风、防渗漏，固废临时贮存场应满足如下要求：</w:t>
            </w:r>
          </w:p>
          <w:p>
            <w:pPr>
              <w:ind w:firstLine="480"/>
              <w:rPr>
                <w:color w:val="000000"/>
              </w:rPr>
            </w:pPr>
            <w:r>
              <w:rPr>
                <w:color w:val="000000"/>
              </w:rPr>
              <w:t>①地面应采取硬化措施并满足承载力要求，必要时采取相应措施防止地基下沉。</w:t>
            </w:r>
          </w:p>
          <w:p>
            <w:pPr>
              <w:ind w:firstLine="480"/>
              <w:rPr>
                <w:color w:val="000000"/>
              </w:rPr>
            </w:pPr>
            <w:r>
              <w:rPr>
                <w:color w:val="000000"/>
              </w:rPr>
              <w:t>②要求设置必要的防风、防雨、防晒措施。</w:t>
            </w:r>
          </w:p>
          <w:p>
            <w:pPr>
              <w:ind w:firstLine="480"/>
              <w:rPr>
                <w:color w:val="000000"/>
              </w:rPr>
            </w:pPr>
            <w:r>
              <w:rPr>
                <w:color w:val="000000"/>
              </w:rPr>
              <w:t>③按《环境保护图形标识—固体废物贮存（处置）场》（GB15562.2）要求设置环境保护图形标志。</w:t>
            </w:r>
          </w:p>
          <w:p>
            <w:pPr>
              <w:pStyle w:val="16"/>
              <w:spacing w:after="0" w:line="360" w:lineRule="auto"/>
              <w:ind w:left="0" w:leftChars="0" w:firstLine="480" w:firstLineChars="200"/>
              <w:rPr>
                <w:color w:val="000000"/>
                <w:sz w:val="24"/>
              </w:rPr>
            </w:pPr>
            <w:r>
              <w:rPr>
                <w:color w:val="000000"/>
                <w:sz w:val="24"/>
              </w:rPr>
              <w:t>营运期固废都能得到妥善处置，不会产生二次污染。</w:t>
            </w:r>
          </w:p>
          <w:p>
            <w:pPr>
              <w:ind w:firstLine="480"/>
              <w:rPr>
                <w:color w:val="000000"/>
              </w:rPr>
            </w:pPr>
            <w:r>
              <w:rPr>
                <w:color w:val="000000"/>
              </w:rPr>
              <w:t>综上所述，本项目固体废物处理处置符合国家《固体废物污染环境防治法》规定的原则，符合《一般工业固体废物贮存和填埋污染控制标准》（GB18599-2020）规定，采取上述措施后，本项目固体废物可得到妥善的处理，对周围环境造成的影响很小。</w:t>
            </w:r>
          </w:p>
          <w:p>
            <w:pPr>
              <w:pStyle w:val="16"/>
              <w:spacing w:after="0" w:line="360" w:lineRule="auto"/>
              <w:ind w:left="0" w:leftChars="0" w:firstLine="482" w:firstLineChars="200"/>
              <w:rPr>
                <w:b/>
                <w:bCs/>
                <w:color w:val="000000"/>
                <w:sz w:val="24"/>
              </w:rPr>
            </w:pPr>
            <w:r>
              <w:rPr>
                <w:b/>
                <w:bCs/>
                <w:color w:val="000000"/>
                <w:sz w:val="24"/>
              </w:rPr>
              <w:t>（2）危险废物储运方式及管理要求</w:t>
            </w:r>
          </w:p>
          <w:p>
            <w:pPr>
              <w:pStyle w:val="16"/>
              <w:spacing w:after="0" w:line="360" w:lineRule="auto"/>
              <w:ind w:left="0" w:leftChars="0" w:firstLine="480" w:firstLineChars="200"/>
              <w:rPr>
                <w:color w:val="000000"/>
                <w:sz w:val="24"/>
              </w:rPr>
            </w:pPr>
            <w:r>
              <w:rPr>
                <w:color w:val="000000"/>
                <w:sz w:val="24"/>
              </w:rPr>
              <w:t>①设置危险废物暂存间</w:t>
            </w:r>
          </w:p>
          <w:p>
            <w:pPr>
              <w:pStyle w:val="16"/>
              <w:spacing w:after="0" w:line="360" w:lineRule="auto"/>
              <w:ind w:left="0" w:leftChars="0" w:firstLine="480" w:firstLineChars="200"/>
              <w:rPr>
                <w:color w:val="000000"/>
                <w:sz w:val="24"/>
              </w:rPr>
            </w:pPr>
            <w:r>
              <w:rPr>
                <w:color w:val="000000"/>
                <w:sz w:val="24"/>
              </w:rPr>
              <w:t>为了减小废弃物的储运风险，防止危废流失污染环境，本项目将产生的危险废物全部收集至危废暂存间内，采用密闭专用容器收集储存危废，并对危险废物暂存间设围堰等。</w:t>
            </w:r>
          </w:p>
          <w:p>
            <w:pPr>
              <w:pStyle w:val="16"/>
              <w:spacing w:after="0" w:line="360" w:lineRule="auto"/>
              <w:ind w:left="0" w:leftChars="0" w:firstLine="480" w:firstLineChars="200"/>
              <w:rPr>
                <w:color w:val="000000"/>
                <w:sz w:val="24"/>
              </w:rPr>
            </w:pPr>
            <w:r>
              <w:rPr>
                <w:color w:val="000000"/>
                <w:sz w:val="24"/>
              </w:rPr>
              <w:t>危废暂存间将严格按照《危险废物储存污染控制标准》的要求设计，做好防雨、防渗，防止二次污染。地面采用坚固、防渗、耐腐蚀的材料建造。库内废物定期由有资质的公司使用专用运输车辆运输。</w:t>
            </w:r>
          </w:p>
          <w:p>
            <w:pPr>
              <w:pStyle w:val="16"/>
              <w:spacing w:after="0" w:line="360" w:lineRule="auto"/>
              <w:ind w:left="0" w:leftChars="0" w:firstLine="480" w:firstLineChars="200"/>
              <w:rPr>
                <w:color w:val="000000"/>
                <w:sz w:val="24"/>
              </w:rPr>
            </w:pPr>
            <w:r>
              <w:rPr>
                <w:color w:val="000000"/>
                <w:sz w:val="24"/>
              </w:rPr>
              <w:t>②危险废弃物的收集和管理</w:t>
            </w:r>
          </w:p>
          <w:p>
            <w:pPr>
              <w:pStyle w:val="16"/>
              <w:spacing w:after="0" w:line="360" w:lineRule="auto"/>
              <w:ind w:left="0" w:leftChars="0" w:firstLine="480" w:firstLineChars="200"/>
              <w:rPr>
                <w:color w:val="000000"/>
                <w:sz w:val="24"/>
              </w:rPr>
            </w:pPr>
            <w:r>
              <w:rPr>
                <w:color w:val="000000"/>
                <w:sz w:val="24"/>
              </w:rPr>
              <w:t>对危险废弃物的收集和管理，拟采用以下措施：</w:t>
            </w:r>
          </w:p>
          <w:p>
            <w:pPr>
              <w:pStyle w:val="16"/>
              <w:spacing w:after="0" w:line="360" w:lineRule="auto"/>
              <w:ind w:left="0" w:leftChars="0" w:firstLine="480" w:firstLineChars="200"/>
              <w:rPr>
                <w:color w:val="000000"/>
                <w:sz w:val="24"/>
              </w:rPr>
            </w:pPr>
            <w:r>
              <w:rPr>
                <w:color w:val="000000"/>
                <w:sz w:val="24"/>
              </w:rPr>
              <w:t>A、对生产过程产生的废机油</w:t>
            </w:r>
            <w:r>
              <w:rPr>
                <w:rFonts w:hint="eastAsia"/>
                <w:color w:val="000000"/>
                <w:sz w:val="24"/>
              </w:rPr>
              <w:t>、废活性炭</w:t>
            </w:r>
            <w:r>
              <w:rPr>
                <w:color w:val="000000"/>
                <w:sz w:val="24"/>
              </w:rPr>
              <w:t>等，根据生产过程的特点，拟将其直接存放在危废暂存间内；其他废物，如废抹布等存放于相应的容器中，并贴上废弃物分类专用标签，临时堆放在危废暂存间中，累计一定数量后由有资质的公司使用专用运输车辆外运后统一处置。</w:t>
            </w:r>
          </w:p>
          <w:p>
            <w:pPr>
              <w:pStyle w:val="16"/>
              <w:spacing w:after="0" w:line="360" w:lineRule="auto"/>
              <w:ind w:left="0" w:leftChars="0" w:firstLine="480" w:firstLineChars="200"/>
              <w:rPr>
                <w:color w:val="000000"/>
                <w:sz w:val="24"/>
              </w:rPr>
            </w:pPr>
            <w:r>
              <w:rPr>
                <w:color w:val="000000"/>
                <w:sz w:val="24"/>
              </w:rPr>
              <w:t>B、危险废物全部暂存于危废暂存间内，做到防风、防雨、防晒措施，并设置堵截泄漏的裙脚、围堰等设施。</w:t>
            </w:r>
          </w:p>
          <w:p>
            <w:pPr>
              <w:pStyle w:val="16"/>
              <w:spacing w:after="0" w:line="360" w:lineRule="auto"/>
              <w:ind w:left="0" w:leftChars="0" w:firstLine="480" w:firstLineChars="200"/>
              <w:rPr>
                <w:color w:val="000000"/>
                <w:sz w:val="24"/>
              </w:rPr>
            </w:pPr>
            <w:r>
              <w:rPr>
                <w:color w:val="000000"/>
                <w:sz w:val="24"/>
              </w:rPr>
              <w:t>C、危险废物暂存间及化学品间地面基础必须防渗、防腐处理，本项目拟采用抗渗混凝土进行防渗。</w:t>
            </w:r>
          </w:p>
          <w:p>
            <w:pPr>
              <w:pStyle w:val="16"/>
              <w:spacing w:after="0" w:line="360" w:lineRule="auto"/>
              <w:ind w:left="0" w:leftChars="0" w:firstLine="480" w:firstLineChars="200"/>
              <w:rPr>
                <w:color w:val="000000"/>
                <w:sz w:val="24"/>
              </w:rPr>
            </w:pPr>
            <w:r>
              <w:rPr>
                <w:color w:val="000000"/>
                <w:sz w:val="24"/>
              </w:rPr>
              <w:t>上述危险废弃物的收集和管理，建设单位将委派专人负责，各种废弃物的储存容器都有很好的密封性，危废临时储存场所按照《危险废物贮存污染控制标准》（GB18597-2001） 相关要求进行防渗、防漏处理，安全可靠，不会受到风雨侵蚀，可有效地防止了临时存放过程中的二次污染。</w:t>
            </w:r>
          </w:p>
          <w:p>
            <w:pPr>
              <w:pStyle w:val="16"/>
              <w:spacing w:after="0" w:line="360" w:lineRule="auto"/>
              <w:ind w:left="0" w:leftChars="0" w:firstLine="480" w:firstLineChars="200"/>
              <w:rPr>
                <w:color w:val="000000"/>
                <w:sz w:val="24"/>
              </w:rPr>
            </w:pPr>
            <w:r>
              <w:rPr>
                <w:color w:val="000000"/>
                <w:sz w:val="24"/>
              </w:rPr>
              <w:t>根据中华人民共和国国务院令第 344 号《危险化学品安全管理条例》的有关规定，</w:t>
            </w:r>
          </w:p>
          <w:p>
            <w:pPr>
              <w:pStyle w:val="16"/>
              <w:spacing w:after="0" w:line="360" w:lineRule="auto"/>
              <w:ind w:left="0" w:leftChars="0" w:firstLine="480" w:firstLineChars="200"/>
              <w:rPr>
                <w:color w:val="000000"/>
                <w:sz w:val="24"/>
              </w:rPr>
            </w:pPr>
            <w:r>
              <w:rPr>
                <w:color w:val="000000"/>
                <w:sz w:val="24"/>
              </w:rPr>
              <w:t>在危险废弃物外运至处置单位时必须严格遵守以下要求：</w:t>
            </w:r>
          </w:p>
          <w:p>
            <w:pPr>
              <w:pStyle w:val="16"/>
              <w:spacing w:after="0" w:line="360" w:lineRule="auto"/>
              <w:ind w:left="0" w:leftChars="0" w:firstLine="480" w:firstLineChars="200"/>
              <w:rPr>
                <w:color w:val="000000"/>
                <w:sz w:val="24"/>
              </w:rPr>
            </w:pPr>
            <w:r>
              <w:rPr>
                <w:color w:val="000000"/>
                <w:sz w:val="24"/>
              </w:rPr>
              <w:t>A、做好每次外运处置废弃物的运输登记，认真填写危险废物转移联单（每种废物填写一份联单），并加盖公司公章，经运输单位核实验收签字后，将联单第一联副联自留存档，将联单第二联交移出地环境保护行政主管部门，第三联及其余各联交付运输单位，随危险废物转移运行。第四联交接受单位，第五联交接受地环保局。</w:t>
            </w:r>
          </w:p>
          <w:p>
            <w:pPr>
              <w:pStyle w:val="16"/>
              <w:spacing w:after="0" w:line="360" w:lineRule="auto"/>
              <w:ind w:left="0" w:leftChars="0" w:firstLine="480" w:firstLineChars="200"/>
              <w:rPr>
                <w:color w:val="000000"/>
                <w:sz w:val="24"/>
              </w:rPr>
            </w:pPr>
            <w:r>
              <w:rPr>
                <w:color w:val="000000"/>
                <w:sz w:val="24"/>
              </w:rPr>
              <w:t>B、废弃物处置单位的运输人员必须掌握危险化学品运输的安全知识，了解所运载的危险化学品的性质、危害特性、包装容器的使用特性和发生意外时的应急措施。运输车辆必须具有车辆危险货物运输许可证。驾驶人员必须由取得驾驶执照的熟练人员担任。</w:t>
            </w:r>
          </w:p>
          <w:p>
            <w:pPr>
              <w:pStyle w:val="16"/>
              <w:spacing w:after="0" w:line="360" w:lineRule="auto"/>
              <w:ind w:left="0" w:leftChars="0" w:firstLine="480" w:firstLineChars="200"/>
              <w:rPr>
                <w:color w:val="000000"/>
                <w:sz w:val="24"/>
              </w:rPr>
            </w:pPr>
            <w:r>
              <w:rPr>
                <w:color w:val="000000"/>
                <w:sz w:val="24"/>
              </w:rPr>
              <w:t>C、处置单位在运输危险废弃物时必须配备押运人员，并随时处于押运人员的监管之下，不得超装、超载，严格按照所在城市规定的行车时间和行车路线行驶，不得进入危险化学品运输车辆禁止通行的区域。</w:t>
            </w:r>
          </w:p>
          <w:p>
            <w:pPr>
              <w:pStyle w:val="16"/>
              <w:spacing w:after="0" w:line="360" w:lineRule="auto"/>
              <w:ind w:left="0" w:leftChars="0" w:firstLine="480" w:firstLineChars="200"/>
              <w:rPr>
                <w:color w:val="000000"/>
                <w:sz w:val="24"/>
              </w:rPr>
            </w:pPr>
            <w:r>
              <w:rPr>
                <w:color w:val="000000"/>
                <w:sz w:val="24"/>
              </w:rPr>
              <w:t>D、危险废弃物在运输途中若发生被盗、丢失、流散、泄漏等情况时，建设单位及押运人员必须立即向当地公安部门报告，并采取一切可能的警示措施。</w:t>
            </w:r>
          </w:p>
          <w:p>
            <w:pPr>
              <w:pStyle w:val="16"/>
              <w:spacing w:after="0" w:line="360" w:lineRule="auto"/>
              <w:ind w:left="0" w:leftChars="0" w:firstLine="480" w:firstLineChars="200"/>
              <w:rPr>
                <w:color w:val="000000"/>
                <w:sz w:val="24"/>
              </w:rPr>
            </w:pPr>
            <w:r>
              <w:rPr>
                <w:color w:val="000000"/>
                <w:sz w:val="24"/>
              </w:rPr>
              <w:t>一旦发生废弃物泄漏事故，建设单位和废弃物处置单位都应积极协助有关部门采取必要的安全措施，减少事故损失，防止事故蔓延、扩大；针对事故对人体、动植物、土壤、水源、空气造成的现实危害和可能产生的危害，应迅速采取封闭、隔离、洗消等措施，并对事故造成的危害进行监测、处置，直至符合国家环境保护标准。</w:t>
            </w:r>
          </w:p>
          <w:p>
            <w:pPr>
              <w:ind w:firstLine="480"/>
              <w:rPr>
                <w:color w:val="000000"/>
              </w:rPr>
            </w:pPr>
            <w:r>
              <w:rPr>
                <w:color w:val="000000"/>
              </w:rPr>
              <w:t>企业在危险废物的临时贮存过程中，要加强管理，并按以上危险废物临时储存要求实施后对周围环境不会产生二次污染。本项目建成后固体废物处理处置率达100％，固废实现零排放，在收集和处置中不会产生二次污染。</w:t>
            </w:r>
          </w:p>
          <w:p>
            <w:pPr>
              <w:ind w:firstLine="480"/>
              <w:rPr>
                <w:b/>
                <w:bCs/>
                <w:color w:val="000000"/>
              </w:rPr>
            </w:pPr>
            <w:r>
              <w:rPr>
                <w:color w:val="000000"/>
              </w:rPr>
              <w:t>综上所述，本项目固体废物处理处置符合国家《固体废物污染环境防治法》规定的原则，符合《一般工业固体废物贮存和填埋污染控制标准》（GB18599-2020）和《危险废物贮存污染控制标准》（GB18597-2001）规定，采取上述措施后，本项目固体废物可得到妥善的处理，对周围环境造成的影响很小。</w:t>
            </w:r>
          </w:p>
          <w:p>
            <w:pPr>
              <w:pStyle w:val="6"/>
              <w:spacing w:line="360" w:lineRule="auto"/>
              <w:ind w:firstLine="482"/>
              <w:rPr>
                <w:b/>
                <w:bCs/>
                <w:color w:val="000000"/>
                <w:sz w:val="24"/>
              </w:rPr>
            </w:pPr>
            <w:r>
              <w:rPr>
                <w:b/>
                <w:bCs/>
                <w:color w:val="000000"/>
                <w:sz w:val="24"/>
              </w:rPr>
              <w:t>五、土壤及地下水环境影响和保护措施</w:t>
            </w:r>
          </w:p>
          <w:p>
            <w:pPr>
              <w:ind w:firstLine="480"/>
              <w:rPr>
                <w:color w:val="000000"/>
              </w:rPr>
            </w:pPr>
            <w:r>
              <w:rPr>
                <w:color w:val="000000"/>
              </w:rPr>
              <w:t>根据分析，本项目实施后对土壤和地下水可能造成污染的主要途径有：</w:t>
            </w:r>
          </w:p>
          <w:p>
            <w:pPr>
              <w:ind w:firstLine="480"/>
              <w:rPr>
                <w:color w:val="000000"/>
              </w:rPr>
            </w:pPr>
            <w:r>
              <w:rPr>
                <w:color w:val="000000"/>
              </w:rPr>
              <w:t>①化粪池、污水处理设施及收集输送污废水管道发生破裂或防渗性能差，可能导致污染物</w:t>
            </w:r>
            <w:r>
              <w:rPr>
                <w:rFonts w:hint="eastAsia"/>
                <w:color w:val="000000"/>
              </w:rPr>
              <w:t>泄漏</w:t>
            </w:r>
            <w:r>
              <w:rPr>
                <w:color w:val="000000"/>
              </w:rPr>
              <w:t>渗入地下污染地下水。</w:t>
            </w:r>
          </w:p>
          <w:p>
            <w:pPr>
              <w:ind w:firstLine="480"/>
              <w:rPr>
                <w:color w:val="000000"/>
              </w:rPr>
            </w:pPr>
            <w:r>
              <w:rPr>
                <w:color w:val="000000"/>
              </w:rPr>
              <w:t>②危废间废机油发生</w:t>
            </w:r>
            <w:r>
              <w:rPr>
                <w:rFonts w:hint="eastAsia"/>
                <w:color w:val="000000"/>
              </w:rPr>
              <w:t>泄漏</w:t>
            </w:r>
            <w:r>
              <w:rPr>
                <w:color w:val="000000"/>
              </w:rPr>
              <w:t>事故，溢流出危废间渗透至地下污染土壤和地下水。</w:t>
            </w:r>
          </w:p>
          <w:p>
            <w:pPr>
              <w:ind w:firstLine="480"/>
              <w:rPr>
                <w:color w:val="000000"/>
              </w:rPr>
            </w:pPr>
            <w:r>
              <w:rPr>
                <w:color w:val="000000"/>
              </w:rPr>
              <w:t>根据以上土壤和地下水污染途径，为避免本项目污水、废矿物油对土壤和地下水造成影响，本环评建议采取以下保护措施：</w:t>
            </w:r>
          </w:p>
          <w:p>
            <w:pPr>
              <w:ind w:firstLine="480"/>
              <w:rPr>
                <w:color w:val="000000"/>
              </w:rPr>
            </w:pPr>
            <w:r>
              <w:rPr>
                <w:color w:val="000000"/>
              </w:rPr>
              <w:t>（1）源头控制</w:t>
            </w:r>
          </w:p>
          <w:p>
            <w:pPr>
              <w:ind w:firstLine="480"/>
              <w:rPr>
                <w:color w:val="000000"/>
              </w:rPr>
            </w:pPr>
            <w:r>
              <w:rPr>
                <w:color w:val="000000"/>
              </w:rPr>
              <w:t>从设计、采购、施工等方面全过程加强对工艺、管道、设备等的质量控制，开展回收利用工作，严格控制</w:t>
            </w:r>
            <w:r>
              <w:rPr>
                <w:rFonts w:hint="eastAsia" w:ascii="宋体" w:hAnsi="宋体" w:cs="宋体"/>
                <w:color w:val="000000"/>
              </w:rPr>
              <w:t>“三废”</w:t>
            </w:r>
            <w:r>
              <w:rPr>
                <w:color w:val="000000"/>
              </w:rPr>
              <w:t>排放标准，消除生产设备和管道“跑、冒、滴、漏”现象发生。</w:t>
            </w:r>
          </w:p>
          <w:p>
            <w:pPr>
              <w:ind w:firstLine="480"/>
              <w:rPr>
                <w:color w:val="000000"/>
              </w:rPr>
            </w:pPr>
            <w:r>
              <w:rPr>
                <w:color w:val="000000"/>
              </w:rPr>
              <w:t>（2）分区防控</w:t>
            </w:r>
          </w:p>
          <w:p>
            <w:pPr>
              <w:ind w:firstLine="480"/>
              <w:rPr>
                <w:color w:val="000000"/>
              </w:rPr>
            </w:pPr>
            <w:r>
              <w:rPr>
                <w:color w:val="000000"/>
              </w:rPr>
              <w:t>针对可能对地下水造成影响的各环节，按照“考虑重点，辐射全面”的防腐防渗原则，根据本项目可能泄漏至地面区域污染物的性质和生产单元的构筑方式，将厂区划分为重点污染防治区、一般污染防治区和非污染防治区，针对不同的区域提出相应的防渗要求。并要求每年检修一次，发现问题及时解决。</w:t>
            </w:r>
          </w:p>
          <w:p>
            <w:pPr>
              <w:pStyle w:val="6"/>
              <w:spacing w:line="360" w:lineRule="auto"/>
              <w:ind w:firstLine="480"/>
              <w:rPr>
                <w:color w:val="000000"/>
                <w:sz w:val="24"/>
              </w:rPr>
            </w:pPr>
            <w:r>
              <w:rPr>
                <w:color w:val="000000"/>
                <w:sz w:val="24"/>
              </w:rPr>
              <w:t>（3）污染监控</w:t>
            </w:r>
          </w:p>
          <w:p>
            <w:pPr>
              <w:pStyle w:val="6"/>
              <w:spacing w:line="360" w:lineRule="auto"/>
              <w:ind w:firstLine="480"/>
              <w:rPr>
                <w:color w:val="000000"/>
                <w:sz w:val="24"/>
              </w:rPr>
            </w:pPr>
            <w:r>
              <w:rPr>
                <w:color w:val="000000"/>
                <w:sz w:val="24"/>
              </w:rPr>
              <w:t>据调查，项目厂界外500m范围内无地下水集中式饮用水源水源和热水、矿泉水、温泉等特殊地下水资源，厂址周边为林地，周边地下水和土壤环境相对不敏感，采取有效的防渗措施后，项目对地下水、土壤环境影响很小，因此本评价不对项目地下水、土壤环境进行跟踪监测，只提出地下水、土壤污染防控措施。</w:t>
            </w:r>
          </w:p>
          <w:p>
            <w:pPr>
              <w:pStyle w:val="6"/>
              <w:spacing w:line="360" w:lineRule="auto"/>
              <w:ind w:firstLine="480"/>
              <w:rPr>
                <w:color w:val="000000"/>
                <w:sz w:val="24"/>
              </w:rPr>
            </w:pPr>
            <w:r>
              <w:rPr>
                <w:color w:val="000000"/>
                <w:sz w:val="24"/>
              </w:rPr>
              <w:t>（4）日常管理</w:t>
            </w:r>
          </w:p>
          <w:p>
            <w:pPr>
              <w:pStyle w:val="6"/>
              <w:spacing w:line="360" w:lineRule="auto"/>
              <w:ind w:firstLine="480"/>
              <w:rPr>
                <w:color w:val="000000"/>
                <w:sz w:val="24"/>
              </w:rPr>
            </w:pPr>
            <w:r>
              <w:rPr>
                <w:color w:val="000000"/>
                <w:sz w:val="24"/>
              </w:rPr>
              <w:t>建立经常性的检修制度，如每年对厂区的危废间进行一次或两次全面的检查以便及时发现问题，及时处理解决，及时更新维护各类</w:t>
            </w:r>
            <w:r>
              <w:rPr>
                <w:rFonts w:hint="eastAsia"/>
                <w:color w:val="000000"/>
                <w:sz w:val="24"/>
              </w:rPr>
              <w:t>储运设施</w:t>
            </w:r>
            <w:r>
              <w:rPr>
                <w:color w:val="000000"/>
                <w:sz w:val="24"/>
              </w:rPr>
              <w:t>。加强生产管理，杜绝事故性排放和泄漏。</w:t>
            </w:r>
          </w:p>
          <w:p>
            <w:pPr>
              <w:pStyle w:val="6"/>
              <w:spacing w:line="360" w:lineRule="auto"/>
              <w:ind w:firstLine="482"/>
              <w:rPr>
                <w:b/>
                <w:bCs/>
                <w:color w:val="000000"/>
                <w:sz w:val="24"/>
              </w:rPr>
            </w:pPr>
            <w:r>
              <w:rPr>
                <w:b/>
                <w:bCs/>
                <w:color w:val="000000"/>
                <w:sz w:val="24"/>
              </w:rPr>
              <w:t>六、环境风险分析</w:t>
            </w:r>
          </w:p>
          <w:p>
            <w:pPr>
              <w:pStyle w:val="6"/>
              <w:spacing w:line="360" w:lineRule="auto"/>
              <w:ind w:firstLine="482"/>
              <w:rPr>
                <w:b/>
                <w:bCs/>
                <w:color w:val="000000"/>
                <w:sz w:val="24"/>
              </w:rPr>
            </w:pPr>
            <w:r>
              <w:rPr>
                <w:b/>
                <w:bCs/>
                <w:color w:val="000000"/>
                <w:sz w:val="24"/>
              </w:rPr>
              <w:t>1、风险调查</w:t>
            </w:r>
          </w:p>
          <w:p>
            <w:pPr>
              <w:pStyle w:val="6"/>
              <w:spacing w:line="360" w:lineRule="auto"/>
              <w:ind w:firstLine="480"/>
              <w:rPr>
                <w:color w:val="000000"/>
                <w:sz w:val="24"/>
              </w:rPr>
            </w:pPr>
            <w:r>
              <w:rPr>
                <w:color w:val="000000"/>
                <w:sz w:val="24"/>
              </w:rPr>
              <w:t>根据《建设项目环境风险评价技术导则》建设项目风险源调查，调查建设项目危险物质数量和分布情况，生产工艺特点，收集危险物质安全技术说书等基础资料。</w:t>
            </w:r>
          </w:p>
          <w:p>
            <w:pPr>
              <w:pStyle w:val="6"/>
              <w:spacing w:line="360" w:lineRule="auto"/>
              <w:ind w:firstLine="480"/>
              <w:rPr>
                <w:color w:val="000000"/>
                <w:sz w:val="24"/>
              </w:rPr>
            </w:pPr>
            <w:r>
              <w:rPr>
                <w:color w:val="000000"/>
                <w:sz w:val="24"/>
              </w:rPr>
              <w:t>根据《建设项目环境风险评价技术导则》（HJ169-2018）附录B重点关注的危险物质及临界量，选取代表性环境风险物质，本项目风险评价以最不利情况进行预测。</w:t>
            </w:r>
          </w:p>
          <w:p>
            <w:pPr>
              <w:pStyle w:val="6"/>
              <w:spacing w:line="360" w:lineRule="auto"/>
              <w:ind w:firstLine="480"/>
              <w:rPr>
                <w:color w:val="000000"/>
                <w:sz w:val="24"/>
              </w:rPr>
            </w:pPr>
            <w:r>
              <w:rPr>
                <w:color w:val="000000"/>
                <w:sz w:val="24"/>
              </w:rPr>
              <w:t>项目风险物质</w:t>
            </w:r>
            <w:r>
              <w:rPr>
                <w:rFonts w:hint="eastAsia"/>
                <w:color w:val="000000"/>
                <w:sz w:val="24"/>
              </w:rPr>
              <w:t>主要为油类物质等</w:t>
            </w:r>
            <w:r>
              <w:rPr>
                <w:color w:val="000000"/>
                <w:sz w:val="24"/>
              </w:rPr>
              <w:t>。</w:t>
            </w:r>
            <w:r>
              <w:rPr>
                <w:rFonts w:hint="eastAsia"/>
                <w:color w:val="000000"/>
                <w:sz w:val="24"/>
              </w:rPr>
              <w:t>油类物质最大储存量为0.</w:t>
            </w:r>
            <w:r>
              <w:rPr>
                <w:color w:val="000000"/>
                <w:sz w:val="24"/>
              </w:rPr>
              <w:t>3</w:t>
            </w:r>
            <w:r>
              <w:rPr>
                <w:rFonts w:hint="eastAsia"/>
                <w:color w:val="000000"/>
                <w:sz w:val="24"/>
              </w:rPr>
              <w:t>t（临界量为2</w:t>
            </w:r>
            <w:r>
              <w:rPr>
                <w:color w:val="000000"/>
                <w:sz w:val="24"/>
              </w:rPr>
              <w:t>500</w:t>
            </w:r>
            <w:r>
              <w:rPr>
                <w:rFonts w:hint="eastAsia"/>
                <w:color w:val="000000"/>
                <w:sz w:val="24"/>
              </w:rPr>
              <w:t>t）</w:t>
            </w:r>
            <w:r>
              <w:rPr>
                <w:color w:val="000000"/>
                <w:sz w:val="24"/>
              </w:rPr>
              <w:t>。项目风险物质总量与其临界量比值（Q）为：</w:t>
            </w:r>
            <w:r>
              <w:rPr>
                <w:rFonts w:hint="eastAsia"/>
                <w:color w:val="000000"/>
                <w:sz w:val="24"/>
              </w:rPr>
              <w:t>Q</w:t>
            </w:r>
            <w:r>
              <w:rPr>
                <w:color w:val="000000"/>
                <w:sz w:val="24"/>
              </w:rPr>
              <w:t>＜1，故环境风险潜势为Ⅰ，本项目风险评价为开展简单分析。</w:t>
            </w:r>
          </w:p>
          <w:p>
            <w:pPr>
              <w:pStyle w:val="6"/>
              <w:spacing w:line="360" w:lineRule="auto"/>
              <w:ind w:firstLine="482"/>
              <w:rPr>
                <w:b/>
                <w:bCs/>
                <w:color w:val="000000"/>
                <w:sz w:val="24"/>
              </w:rPr>
            </w:pPr>
            <w:r>
              <w:rPr>
                <w:b/>
                <w:bCs/>
                <w:color w:val="000000"/>
                <w:sz w:val="24"/>
              </w:rPr>
              <w:t>2、环境风险识别</w:t>
            </w:r>
          </w:p>
          <w:p>
            <w:pPr>
              <w:pStyle w:val="93"/>
              <w:spacing w:line="360" w:lineRule="auto"/>
              <w:ind w:firstLine="480"/>
              <w:rPr>
                <w:color w:val="000000"/>
              </w:rPr>
            </w:pPr>
            <w:r>
              <w:rPr>
                <w:color w:val="000000"/>
              </w:rPr>
              <w:t>项目运行过程中存在的环境风险源有：</w:t>
            </w:r>
          </w:p>
          <w:p>
            <w:pPr>
              <w:pStyle w:val="93"/>
              <w:spacing w:line="360" w:lineRule="auto"/>
              <w:ind w:firstLine="480"/>
              <w:rPr>
                <w:color w:val="000000"/>
              </w:rPr>
            </w:pPr>
            <w:r>
              <w:rPr>
                <w:color w:val="000000"/>
              </w:rPr>
              <w:t>（1）</w:t>
            </w:r>
            <w:r>
              <w:rPr>
                <w:rFonts w:hint="eastAsia"/>
                <w:color w:val="000000"/>
              </w:rPr>
              <w:t>项目有机废气</w:t>
            </w:r>
            <w:r>
              <w:rPr>
                <w:color w:val="000000"/>
              </w:rPr>
              <w:t>事故排放，对周边大气环境产生影响；</w:t>
            </w:r>
          </w:p>
          <w:p>
            <w:pPr>
              <w:pStyle w:val="93"/>
              <w:spacing w:line="360" w:lineRule="auto"/>
              <w:ind w:firstLine="480"/>
              <w:rPr>
                <w:color w:val="000000"/>
              </w:rPr>
            </w:pPr>
            <w:r>
              <w:rPr>
                <w:color w:val="000000"/>
              </w:rPr>
              <w:t>（2）废机油可能出现</w:t>
            </w:r>
            <w:r>
              <w:rPr>
                <w:rFonts w:hint="eastAsia"/>
                <w:color w:val="000000"/>
              </w:rPr>
              <w:t>泄漏</w:t>
            </w:r>
            <w:r>
              <w:rPr>
                <w:color w:val="000000"/>
              </w:rPr>
              <w:t>。</w:t>
            </w:r>
          </w:p>
          <w:p>
            <w:pPr>
              <w:pStyle w:val="93"/>
              <w:spacing w:line="360" w:lineRule="auto"/>
              <w:ind w:firstLine="482"/>
              <w:rPr>
                <w:b/>
                <w:bCs/>
                <w:color w:val="000000"/>
              </w:rPr>
            </w:pPr>
            <w:r>
              <w:rPr>
                <w:b/>
                <w:bCs/>
                <w:color w:val="000000"/>
              </w:rPr>
              <w:t>3、环境风险分析</w:t>
            </w:r>
          </w:p>
          <w:p>
            <w:pPr>
              <w:pStyle w:val="93"/>
              <w:spacing w:line="360" w:lineRule="auto"/>
              <w:ind w:firstLine="480"/>
              <w:rPr>
                <w:color w:val="000000"/>
              </w:rPr>
            </w:pPr>
            <w:r>
              <w:rPr>
                <w:color w:val="000000"/>
              </w:rPr>
              <w:t>本项目原材料涉及风险物质，存储和使用过程中可能发生</w:t>
            </w:r>
            <w:r>
              <w:rPr>
                <w:rFonts w:hint="eastAsia"/>
                <w:color w:val="000000"/>
              </w:rPr>
              <w:t>泄漏</w:t>
            </w:r>
            <w:r>
              <w:rPr>
                <w:color w:val="000000"/>
              </w:rPr>
              <w:t>，考虑到本项目</w:t>
            </w:r>
            <w:r>
              <w:rPr>
                <w:rFonts w:hint="eastAsia"/>
                <w:color w:val="000000"/>
              </w:rPr>
              <w:t>油类物质</w:t>
            </w:r>
            <w:r>
              <w:rPr>
                <w:color w:val="000000"/>
              </w:rPr>
              <w:t>为桶装，废机油储存在危废暂存间，</w:t>
            </w:r>
            <w:r>
              <w:rPr>
                <w:rFonts w:hint="eastAsia"/>
                <w:color w:val="000000"/>
              </w:rPr>
              <w:t>泄漏</w:t>
            </w:r>
            <w:r>
              <w:rPr>
                <w:color w:val="000000"/>
              </w:rPr>
              <w:t>风险不大。</w:t>
            </w:r>
          </w:p>
          <w:p>
            <w:pPr>
              <w:pStyle w:val="93"/>
              <w:spacing w:line="360" w:lineRule="auto"/>
              <w:ind w:firstLine="480"/>
              <w:rPr>
                <w:color w:val="000000"/>
              </w:rPr>
            </w:pPr>
            <w:r>
              <w:rPr>
                <w:color w:val="000000"/>
              </w:rPr>
              <w:t>废气处理设施故障导致废气中</w:t>
            </w:r>
            <w:r>
              <w:rPr>
                <w:rFonts w:hint="eastAsia"/>
                <w:color w:val="000000"/>
              </w:rPr>
              <w:t>非甲烷总烃</w:t>
            </w:r>
            <w:r>
              <w:rPr>
                <w:color w:val="000000"/>
              </w:rPr>
              <w:t>超标排放对项目周边大气环境造成影响。</w:t>
            </w:r>
          </w:p>
          <w:p>
            <w:pPr>
              <w:pStyle w:val="93"/>
              <w:spacing w:line="360" w:lineRule="auto"/>
              <w:ind w:firstLine="482"/>
              <w:rPr>
                <w:b/>
                <w:bCs/>
                <w:color w:val="000000"/>
              </w:rPr>
            </w:pPr>
            <w:r>
              <w:rPr>
                <w:b/>
                <w:bCs/>
                <w:color w:val="000000"/>
              </w:rPr>
              <w:t>4、风险防范措施</w:t>
            </w:r>
          </w:p>
          <w:p>
            <w:pPr>
              <w:pStyle w:val="93"/>
              <w:spacing w:line="360" w:lineRule="auto"/>
              <w:ind w:firstLine="480" w:firstLineChars="0"/>
              <w:rPr>
                <w:color w:val="000000"/>
              </w:rPr>
            </w:pPr>
            <w:r>
              <w:rPr>
                <w:color w:val="000000"/>
              </w:rPr>
              <w:t>（1）环境风险防范措施</w:t>
            </w:r>
          </w:p>
          <w:p>
            <w:pPr>
              <w:pStyle w:val="93"/>
              <w:spacing w:line="360" w:lineRule="auto"/>
              <w:ind w:firstLine="480" w:firstLineChars="0"/>
              <w:rPr>
                <w:color w:val="000000"/>
              </w:rPr>
            </w:pPr>
            <w:r>
              <w:rPr>
                <w:color w:val="000000"/>
              </w:rPr>
              <w:t>①废气事故排放风险防范措施</w:t>
            </w:r>
          </w:p>
          <w:p>
            <w:pPr>
              <w:pStyle w:val="93"/>
              <w:spacing w:line="360" w:lineRule="auto"/>
              <w:ind w:firstLine="480" w:firstLineChars="0"/>
              <w:rPr>
                <w:color w:val="000000"/>
              </w:rPr>
            </w:pPr>
            <w:r>
              <w:rPr>
                <w:color w:val="000000"/>
              </w:rPr>
              <w:t>为了避免废气出现事故排放的极端情况，本报告建议厂区内废气处理设施应按要求定期检查，规范操作，防止周边大气环境因为环保设备故障而受到较大影响。一旦环保设备出现故障，必须立即停止生产，使生产废气对周围环境的影响降到最低。</w:t>
            </w:r>
          </w:p>
          <w:p>
            <w:pPr>
              <w:pStyle w:val="93"/>
              <w:spacing w:line="360" w:lineRule="auto"/>
              <w:ind w:firstLine="480" w:firstLineChars="0"/>
              <w:rPr>
                <w:color w:val="000000"/>
              </w:rPr>
            </w:pPr>
            <w:r>
              <w:rPr>
                <w:rFonts w:hint="eastAsia"/>
                <w:color w:val="000000"/>
              </w:rPr>
              <w:t>②</w:t>
            </w:r>
            <w:r>
              <w:rPr>
                <w:color w:val="000000"/>
              </w:rPr>
              <w:t>机油、废机油</w:t>
            </w:r>
            <w:r>
              <w:rPr>
                <w:rFonts w:hint="eastAsia"/>
                <w:color w:val="000000"/>
              </w:rPr>
              <w:t>泄漏</w:t>
            </w:r>
            <w:r>
              <w:rPr>
                <w:color w:val="000000"/>
              </w:rPr>
              <w:t>风险防范措施</w:t>
            </w:r>
          </w:p>
          <w:p>
            <w:pPr>
              <w:pStyle w:val="93"/>
              <w:spacing w:line="360" w:lineRule="auto"/>
              <w:ind w:firstLine="480" w:firstLineChars="0"/>
              <w:rPr>
                <w:color w:val="000000"/>
              </w:rPr>
            </w:pPr>
            <w:r>
              <w:rPr>
                <w:color w:val="000000"/>
              </w:rPr>
              <w:t>如泄漏的油品数量较少，则当班领导组织现场处置组对现场已泄漏的油品用沙土覆盖，待被充分吸收后将附有废润滑油的沙土放至指定的场所进行专业处理。</w:t>
            </w:r>
          </w:p>
          <w:p>
            <w:pPr>
              <w:pStyle w:val="93"/>
              <w:spacing w:line="360" w:lineRule="auto"/>
              <w:ind w:firstLine="480" w:firstLineChars="0"/>
              <w:rPr>
                <w:color w:val="000000"/>
              </w:rPr>
            </w:pPr>
            <w:r>
              <w:rPr>
                <w:color w:val="000000"/>
              </w:rPr>
              <w:t>对泄漏的油品数量较多时，应立即用沙土将泄漏的油品等团团围住，防止进一步外溢，并取来消防器材放至事故现场，作好警戒、疏散工作。</w:t>
            </w:r>
          </w:p>
          <w:p>
            <w:pPr>
              <w:pStyle w:val="93"/>
              <w:spacing w:line="360" w:lineRule="auto"/>
              <w:ind w:firstLine="480" w:firstLineChars="0"/>
              <w:rPr>
                <w:color w:val="000000"/>
              </w:rPr>
            </w:pPr>
            <w:r>
              <w:rPr>
                <w:rFonts w:hint="eastAsia"/>
                <w:color w:val="000000"/>
              </w:rPr>
              <w:t>危险废物</w:t>
            </w:r>
            <w:r>
              <w:rPr>
                <w:color w:val="000000"/>
              </w:rPr>
              <w:t>必须与其他垃圾分开收集，并设立相应的标示和警示牌，危废间和车间应做好防渗、防漏措施，并配备灭火器，指定专人进行严格管理，并建立相关档案。</w:t>
            </w:r>
          </w:p>
          <w:p>
            <w:pPr>
              <w:pStyle w:val="93"/>
              <w:spacing w:line="360" w:lineRule="auto"/>
              <w:ind w:firstLine="482"/>
              <w:rPr>
                <w:b/>
                <w:bCs/>
                <w:color w:val="000000"/>
              </w:rPr>
            </w:pPr>
            <w:r>
              <w:rPr>
                <w:b/>
                <w:bCs/>
                <w:color w:val="000000"/>
              </w:rPr>
              <w:t>5、风险事故应急预案</w:t>
            </w:r>
          </w:p>
          <w:p>
            <w:pPr>
              <w:pStyle w:val="93"/>
              <w:spacing w:line="360" w:lineRule="auto"/>
              <w:ind w:firstLine="480" w:firstLineChars="0"/>
              <w:rPr>
                <w:color w:val="000000"/>
              </w:rPr>
            </w:pPr>
            <w:r>
              <w:rPr>
                <w:color w:val="000000"/>
              </w:rPr>
              <w:t>为了能在事故发生时，迅速准确、有条不紊地处理和控制事故，把损失和危害减少到最低程度，本评价提出了以下风险事故应急预案：</w:t>
            </w:r>
          </w:p>
          <w:p>
            <w:pPr>
              <w:pStyle w:val="93"/>
              <w:spacing w:line="360" w:lineRule="auto"/>
              <w:ind w:firstLine="480" w:firstLineChars="0"/>
              <w:rPr>
                <w:color w:val="000000"/>
              </w:rPr>
            </w:pPr>
            <w:r>
              <w:rPr>
                <w:color w:val="000000"/>
              </w:rPr>
              <w:t>①最早发现事故的报警责任人，应立即按事故处理程序报警。</w:t>
            </w:r>
          </w:p>
          <w:p>
            <w:pPr>
              <w:pStyle w:val="93"/>
              <w:spacing w:line="360" w:lineRule="auto"/>
              <w:ind w:firstLine="480" w:firstLineChars="0"/>
              <w:rPr>
                <w:color w:val="000000"/>
              </w:rPr>
            </w:pPr>
            <w:r>
              <w:rPr>
                <w:color w:val="000000"/>
              </w:rPr>
              <w:t>②值班领导及指挥部成员接到报替后，应立即赶赴现场，指挥有关人员迅速查明事故发生的原因。</w:t>
            </w:r>
          </w:p>
          <w:p>
            <w:pPr>
              <w:pStyle w:val="93"/>
              <w:spacing w:line="360" w:lineRule="auto"/>
              <w:ind w:firstLine="480" w:firstLineChars="0"/>
              <w:rPr>
                <w:color w:val="000000"/>
              </w:rPr>
            </w:pPr>
            <w:r>
              <w:rPr>
                <w:color w:val="000000"/>
              </w:rPr>
              <w:t>③根据事故状况及危害程度做出相应的应急（救护、治安、警戒、疏散、抢修）决定。</w:t>
            </w:r>
          </w:p>
          <w:p>
            <w:pPr>
              <w:pStyle w:val="93"/>
              <w:spacing w:line="360" w:lineRule="auto"/>
              <w:ind w:firstLine="480" w:firstLineChars="0"/>
              <w:rPr>
                <w:color w:val="000000"/>
              </w:rPr>
            </w:pPr>
            <w:r>
              <w:rPr>
                <w:color w:val="000000"/>
              </w:rPr>
              <w:t>④根据事故程度，如短时间内事故设施无法修复，应向领导汇报，申请暂时停止生产，待事故处理完毕后再行生产。</w:t>
            </w:r>
          </w:p>
          <w:p>
            <w:pPr>
              <w:pStyle w:val="93"/>
              <w:spacing w:line="360" w:lineRule="auto"/>
              <w:ind w:firstLine="480" w:firstLineChars="0"/>
              <w:rPr>
                <w:color w:val="000000"/>
              </w:rPr>
            </w:pPr>
            <w:r>
              <w:rPr>
                <w:color w:val="000000"/>
              </w:rPr>
              <w:t>⑤事故应急指挥部应协助上级部门和工程抢险队制定、实施抢险方案。</w:t>
            </w:r>
          </w:p>
          <w:p>
            <w:pPr>
              <w:pStyle w:val="93"/>
              <w:spacing w:line="360" w:lineRule="auto"/>
              <w:ind w:firstLine="480" w:firstLineChars="0"/>
              <w:rPr>
                <w:color w:val="000000"/>
              </w:rPr>
            </w:pPr>
            <w:r>
              <w:rPr>
                <w:color w:val="000000"/>
              </w:rPr>
              <w:t>⑥当事故得到控制后，应积极主动配合事故调查小组，进行事故调查和落实防范</w:t>
            </w:r>
            <w:r>
              <w:rPr>
                <w:rFonts w:hint="eastAsia"/>
                <w:color w:val="000000"/>
              </w:rPr>
              <w:t>措施</w:t>
            </w:r>
            <w:r>
              <w:rPr>
                <w:color w:val="000000"/>
              </w:rPr>
              <w:t>通过采取相应的风险防范措施后，可以将本项目的风险降到较低的水平，本项目的环境</w:t>
            </w:r>
            <w:r>
              <w:rPr>
                <w:rFonts w:hint="eastAsia"/>
                <w:color w:val="000000"/>
              </w:rPr>
              <w:t>风险</w:t>
            </w:r>
            <w:r>
              <w:rPr>
                <w:color w:val="000000"/>
              </w:rPr>
              <w:t>可以接受。但应加强环境风险管理措施，严格执行风险防范措施，制定应急方案，并进行应急演习。</w:t>
            </w:r>
          </w:p>
          <w:p>
            <w:pPr>
              <w:pStyle w:val="93"/>
              <w:spacing w:line="360" w:lineRule="auto"/>
              <w:ind w:firstLine="482"/>
              <w:rPr>
                <w:b/>
                <w:bCs/>
                <w:color w:val="000000"/>
              </w:rPr>
            </w:pPr>
            <w:r>
              <w:rPr>
                <w:b/>
                <w:bCs/>
                <w:color w:val="000000"/>
              </w:rPr>
              <w:t>6、分析结论</w:t>
            </w:r>
          </w:p>
          <w:p>
            <w:pPr>
              <w:pStyle w:val="64"/>
              <w:ind w:firstLine="480"/>
              <w:rPr>
                <w:rFonts w:hint="default" w:ascii="Times New Roman" w:hAnsi="Times New Roman"/>
              </w:rPr>
            </w:pPr>
            <w:r>
              <w:rPr>
                <w:rFonts w:hint="default" w:ascii="Times New Roman" w:hAnsi="Times New Roman"/>
              </w:rPr>
              <w:t>根据本项目特征及同类项目类比调查，项目环境风险事故发生几率较小，环境风险在可接受范围内。建设单位若能严格执行国家有关环保、安全、卫生和劳动方面的标准规定，严格</w:t>
            </w:r>
            <w:r>
              <w:rPr>
                <w:rFonts w:cs="宋体"/>
              </w:rPr>
              <w:t>履行环保“三同时”制度，</w:t>
            </w:r>
            <w:r>
              <w:rPr>
                <w:rFonts w:hint="default" w:ascii="Times New Roman" w:hAnsi="Times New Roman"/>
              </w:rPr>
              <w:t>确保投产过程中环保设施正常运行，投产过程中加强环境和安全管理，做好每日的巡检工作和记录。在做好以上各项安全和环境风险防范措施的前提下，项目的环境风险将降低到可接受的程度。</w:t>
            </w:r>
          </w:p>
          <w:p>
            <w:pPr>
              <w:pStyle w:val="9"/>
              <w:kinsoku w:val="0"/>
              <w:overflowPunct w:val="0"/>
              <w:autoSpaceDE w:val="0"/>
              <w:autoSpaceDN w:val="0"/>
              <w:spacing w:after="0" w:line="240" w:lineRule="auto"/>
              <w:ind w:firstLine="422"/>
              <w:jc w:val="center"/>
              <w:rPr>
                <w:b/>
                <w:bCs/>
                <w:color w:val="000000"/>
                <w:sz w:val="21"/>
                <w:szCs w:val="21"/>
              </w:rPr>
            </w:pPr>
            <w:r>
              <w:rPr>
                <w:b/>
                <w:bCs/>
                <w:color w:val="000000"/>
                <w:sz w:val="21"/>
                <w:szCs w:val="21"/>
              </w:rPr>
              <w:t>表4-13  建设项目环境风险简单分析内容表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0"/>
              <w:gridCol w:w="1038"/>
              <w:gridCol w:w="2001"/>
              <w:gridCol w:w="766"/>
              <w:gridCol w:w="20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73" w:type="dxa"/>
                  <w:vAlign w:val="center"/>
                </w:tcPr>
                <w:p>
                  <w:pPr>
                    <w:pStyle w:val="50"/>
                  </w:pPr>
                  <w:r>
                    <w:t>建设项目名称</w:t>
                  </w:r>
                </w:p>
              </w:tc>
              <w:tc>
                <w:tcPr>
                  <w:tcW w:w="6077" w:type="dxa"/>
                  <w:gridSpan w:val="4"/>
                  <w:vAlign w:val="center"/>
                </w:tcPr>
                <w:p>
                  <w:pPr>
                    <w:pStyle w:val="50"/>
                  </w:pPr>
                  <w:r>
                    <w:rPr>
                      <w:rFonts w:hint="eastAsia"/>
                    </w:rPr>
                    <w:t>年产2</w:t>
                  </w:r>
                  <w:r>
                    <w:t>6</w:t>
                  </w:r>
                  <w:r>
                    <w:rPr>
                      <w:rFonts w:hint="eastAsia"/>
                    </w:rPr>
                    <w:t>万米合成树脂瓦建设项目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73" w:type="dxa"/>
                  <w:vAlign w:val="center"/>
                </w:tcPr>
                <w:p>
                  <w:pPr>
                    <w:pStyle w:val="50"/>
                  </w:pPr>
                  <w:r>
                    <w:t>建设地点</w:t>
                  </w:r>
                </w:p>
              </w:tc>
              <w:tc>
                <w:tcPr>
                  <w:tcW w:w="6077" w:type="dxa"/>
                  <w:gridSpan w:val="4"/>
                  <w:vAlign w:val="center"/>
                </w:tcPr>
                <w:p>
                  <w:pPr>
                    <w:pStyle w:val="50"/>
                  </w:pPr>
                  <w:r>
                    <w:rPr>
                      <w:rFonts w:hint="eastAsia"/>
                    </w:rPr>
                    <w:t>永州经济技术开发区仁湾街道东山里毛立山组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73" w:type="dxa"/>
                  <w:vAlign w:val="center"/>
                </w:tcPr>
                <w:p>
                  <w:pPr>
                    <w:pStyle w:val="50"/>
                  </w:pPr>
                  <w:r>
                    <w:t>地理坐标</w:t>
                  </w:r>
                </w:p>
              </w:tc>
              <w:tc>
                <w:tcPr>
                  <w:tcW w:w="1078" w:type="dxa"/>
                  <w:vAlign w:val="center"/>
                </w:tcPr>
                <w:p>
                  <w:pPr>
                    <w:pStyle w:val="50"/>
                  </w:pPr>
                  <w:r>
                    <w:t>经度</w:t>
                  </w:r>
                </w:p>
              </w:tc>
              <w:tc>
                <w:tcPr>
                  <w:tcW w:w="2067" w:type="dxa"/>
                  <w:vAlign w:val="center"/>
                </w:tcPr>
                <w:p>
                  <w:pPr>
                    <w:pStyle w:val="50"/>
                  </w:pPr>
                  <w:r>
                    <w:rPr>
                      <w:rFonts w:hint="eastAsia"/>
                    </w:rPr>
                    <w:t>111°35′47.238″</w:t>
                  </w:r>
                </w:p>
              </w:tc>
              <w:tc>
                <w:tcPr>
                  <w:tcW w:w="788" w:type="dxa"/>
                  <w:vAlign w:val="center"/>
                </w:tcPr>
                <w:p>
                  <w:pPr>
                    <w:pStyle w:val="50"/>
                  </w:pPr>
                  <w:r>
                    <w:t>纬度</w:t>
                  </w:r>
                </w:p>
              </w:tc>
              <w:tc>
                <w:tcPr>
                  <w:tcW w:w="2144" w:type="dxa"/>
                  <w:vAlign w:val="center"/>
                </w:tcPr>
                <w:p>
                  <w:pPr>
                    <w:pStyle w:val="50"/>
                  </w:pPr>
                  <w:r>
                    <w:rPr>
                      <w:rFonts w:hint="eastAsia"/>
                    </w:rPr>
                    <w:t>26°21′46.58″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73" w:type="dxa"/>
                  <w:vAlign w:val="center"/>
                </w:tcPr>
                <w:p>
                  <w:pPr>
                    <w:pStyle w:val="50"/>
                  </w:pPr>
                  <w:r>
                    <w:t>主要危险物质及分布</w:t>
                  </w:r>
                </w:p>
              </w:tc>
              <w:tc>
                <w:tcPr>
                  <w:tcW w:w="6077" w:type="dxa"/>
                  <w:gridSpan w:val="4"/>
                  <w:vAlign w:val="center"/>
                </w:tcPr>
                <w:p>
                  <w:pPr>
                    <w:pStyle w:val="50"/>
                  </w:pPr>
                  <w:r>
                    <w:rPr>
                      <w:rFonts w:hint="eastAsia"/>
                    </w:rPr>
                    <w:t>油类物质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73" w:type="dxa"/>
                  <w:vAlign w:val="center"/>
                </w:tcPr>
                <w:p>
                  <w:pPr>
                    <w:pStyle w:val="50"/>
                  </w:pPr>
                  <w:r>
                    <w:t>环境影响途径及危害后果（大气、地表水、地下水等）</w:t>
                  </w:r>
                </w:p>
              </w:tc>
              <w:tc>
                <w:tcPr>
                  <w:tcW w:w="6077" w:type="dxa"/>
                  <w:gridSpan w:val="4"/>
                  <w:vAlign w:val="center"/>
                </w:tcPr>
                <w:p>
                  <w:pPr>
                    <w:pStyle w:val="50"/>
                  </w:pPr>
                  <w:r>
                    <w:rPr>
                      <w:rFonts w:hint="eastAsia"/>
                    </w:rPr>
                    <w:t>油类物质</w:t>
                  </w:r>
                  <w:r>
                    <w:t>泄漏造成的水环境污染；</w:t>
                  </w:r>
                  <w:r>
                    <w:rPr>
                      <w:rFonts w:hint="eastAsia"/>
                    </w:rPr>
                    <w:t>废气</w:t>
                  </w:r>
                  <w:r>
                    <w:t>事故排放，对周边大气环境产生影响</w:t>
                  </w:r>
                  <w:r>
                    <w:rPr>
                      <w:rFonts w:hint="eastAsia"/>
                    </w:rPr>
                    <w:t>，</w:t>
                  </w:r>
                  <w:r>
                    <w:t>；</w:t>
                  </w:r>
                  <w:r>
                    <w:rPr>
                      <w:rFonts w:hint="eastAsia"/>
                    </w:rPr>
                    <w:t>油类物质</w:t>
                  </w:r>
                  <w:r>
                    <w:t>可能出现</w:t>
                  </w:r>
                  <w:r>
                    <w:rPr>
                      <w:rFonts w:hint="eastAsia"/>
                      <w:color w:val="000000"/>
                    </w:rPr>
                    <w:t>泄漏</w:t>
                  </w:r>
                  <w:r>
                    <w:t>造成地下水、土壤污染。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73" w:type="dxa"/>
                  <w:vAlign w:val="center"/>
                </w:tcPr>
                <w:p>
                  <w:pPr>
                    <w:pStyle w:val="50"/>
                  </w:pPr>
                  <w:r>
                    <w:t>风险防范措施要求</w:t>
                  </w:r>
                </w:p>
              </w:tc>
              <w:tc>
                <w:tcPr>
                  <w:tcW w:w="6077" w:type="dxa"/>
                  <w:gridSpan w:val="4"/>
                  <w:vAlign w:val="center"/>
                </w:tcPr>
                <w:p>
                  <w:pPr>
                    <w:pStyle w:val="50"/>
                  </w:pPr>
                  <w:r>
                    <w:t>建立、完善安全管理制度；严格执行安全规章制度和操作规程；建立完善的废水处理系统运行管理制度；加强对操作工人的培训，培养员工的安全和环境意识；设立事故救援指挥决策系统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050" w:type="dxa"/>
                  <w:gridSpan w:val="5"/>
                  <w:vAlign w:val="center"/>
                </w:tcPr>
                <w:p>
                  <w:pPr>
                    <w:pStyle w:val="50"/>
                  </w:pPr>
                  <w:r>
                    <w:t>填表说明（列出项目相关信息及评价说明）：</w:t>
                  </w:r>
                </w:p>
                <w:p>
                  <w:pPr>
                    <w:pStyle w:val="50"/>
                  </w:pPr>
                  <w:r>
                    <w:t>生产过程中涉及环境风险物质为</w:t>
                  </w:r>
                  <w:r>
                    <w:rPr>
                      <w:rFonts w:hint="eastAsia"/>
                    </w:rPr>
                    <w:t>油类物质</w:t>
                  </w:r>
                  <w:r>
                    <w:t>，Q&lt;1，环境风险潜势为Ⅰ，主要的环境风险事故为环保运行设施</w:t>
                  </w:r>
                  <w:r>
                    <w:rPr>
                      <w:rFonts w:hint="eastAsia"/>
                      <w:color w:val="000000"/>
                    </w:rPr>
                    <w:t>泄漏</w:t>
                  </w:r>
                  <w:r>
                    <w:t>引发的污染事件，要严格按照操作规范，加强对操作工人的培训，有效减少事故发生。</w:t>
                  </w:r>
                </w:p>
              </w:tc>
            </w:tr>
          </w:tbl>
          <w:p>
            <w:pPr>
              <w:pStyle w:val="93"/>
              <w:spacing w:line="360" w:lineRule="auto"/>
              <w:ind w:firstLine="482"/>
              <w:rPr>
                <w:b/>
                <w:bCs/>
                <w:color w:val="000000"/>
              </w:rPr>
            </w:pPr>
            <w:r>
              <w:rPr>
                <w:b/>
                <w:bCs/>
                <w:color w:val="000000"/>
              </w:rPr>
              <w:t>七、排污口规范化设置</w:t>
            </w:r>
          </w:p>
          <w:p>
            <w:pPr>
              <w:pStyle w:val="93"/>
              <w:spacing w:line="360" w:lineRule="auto"/>
              <w:ind w:firstLine="480"/>
              <w:rPr>
                <w:color w:val="000000"/>
              </w:rPr>
            </w:pPr>
            <w:r>
              <w:rPr>
                <w:color w:val="000000"/>
              </w:rPr>
              <w:t>本项目的污染物排放口（源）和固体废物贮存、处置场，必须实行规范化整治。按照国家标准《环境保护图形标志》（GB15562.1-1995）（GB15562.2-1995）及《环境保护图形标志实施细则（试行）》的规定，设置与排污口相应的图形标志牌。根据《环境保护图形标志实施细则》（试行）：第七条 一般性污染物排放口（源）或固体废物贮存（处置）场，设置提示性环境保护图形标志牌，根据现场具体情况，选用立式或平面固定式。排放剧毒、致癌物及对人体有严重危害物质的排放口（源）或危险废物贮存（处置）场，设置警告性环境保护图形标志牌，根据现场具体情况，选用立式或平面固定式。</w:t>
            </w:r>
          </w:p>
          <w:p>
            <w:pPr>
              <w:pStyle w:val="93"/>
              <w:spacing w:line="360" w:lineRule="auto"/>
              <w:ind w:firstLine="480"/>
              <w:rPr>
                <w:color w:val="000000"/>
              </w:rPr>
            </w:pPr>
            <w:r>
              <w:rPr>
                <w:color w:val="000000"/>
              </w:rPr>
              <w:t>1、排气筒及污水排放口设置</w:t>
            </w:r>
          </w:p>
          <w:p>
            <w:pPr>
              <w:pStyle w:val="93"/>
              <w:spacing w:line="360" w:lineRule="auto"/>
              <w:ind w:firstLine="480"/>
              <w:rPr>
                <w:color w:val="000000"/>
              </w:rPr>
            </w:pPr>
            <w:r>
              <w:rPr>
                <w:color w:val="000000"/>
              </w:rPr>
              <w:t>排气筒设置取样口，并具备采样监测条件，排放口附近树立图形标志牌。在项目设计时应预埋采样口或采样阀，采样口或采样阀设置要有利于废水的流量测量，并制定采样监测计划。</w:t>
            </w:r>
          </w:p>
          <w:p>
            <w:pPr>
              <w:pStyle w:val="93"/>
              <w:spacing w:line="360" w:lineRule="auto"/>
              <w:ind w:firstLine="480"/>
              <w:rPr>
                <w:color w:val="000000"/>
              </w:rPr>
            </w:pPr>
            <w:r>
              <w:rPr>
                <w:color w:val="000000"/>
              </w:rPr>
              <w:t>2、排污口管理</w:t>
            </w:r>
          </w:p>
          <w:p>
            <w:pPr>
              <w:pStyle w:val="93"/>
              <w:spacing w:line="360" w:lineRule="auto"/>
              <w:ind w:firstLine="480"/>
              <w:rPr>
                <w:color w:val="000000"/>
              </w:rPr>
            </w:pPr>
            <w:r>
              <w:rPr>
                <w:color w:val="000000"/>
              </w:rPr>
              <w:t>建设单位应在各个排污口处树立标志牌，并如实填写《中华人民共和国规范化排污口标记登记证》，由环保部门签发。环保主管部门和建设单位可分别按以下内容建立排污口管理的专门档案：排污口性质和编号；位置；排放主要污染物种类、数量、浓度；排放去向；达标情况；治理设施运行情况及整改意见。</w:t>
            </w:r>
          </w:p>
          <w:p>
            <w:pPr>
              <w:pStyle w:val="93"/>
              <w:spacing w:line="360" w:lineRule="auto"/>
              <w:ind w:firstLine="480"/>
              <w:rPr>
                <w:color w:val="000000"/>
              </w:rPr>
            </w:pPr>
            <w:r>
              <w:rPr>
                <w:color w:val="000000"/>
              </w:rPr>
              <w:t>本项目环境保护图形符号具体见表4-14。</w:t>
            </w:r>
          </w:p>
          <w:p>
            <w:pPr>
              <w:overflowPunct w:val="0"/>
              <w:spacing w:line="320" w:lineRule="exact"/>
              <w:ind w:firstLine="482"/>
              <w:jc w:val="center"/>
              <w:rPr>
                <w:b/>
                <w:color w:val="000000"/>
                <w:szCs w:val="21"/>
              </w:rPr>
            </w:pPr>
          </w:p>
          <w:p>
            <w:pPr>
              <w:overflowPunct w:val="0"/>
              <w:spacing w:line="320" w:lineRule="exact"/>
              <w:ind w:firstLine="482"/>
              <w:jc w:val="center"/>
              <w:rPr>
                <w:b/>
                <w:color w:val="000000"/>
                <w:szCs w:val="21"/>
              </w:rPr>
            </w:pPr>
            <w:r>
              <w:rPr>
                <w:b/>
                <w:color w:val="000000"/>
                <w:szCs w:val="21"/>
              </w:rPr>
              <w:t>表4-14  排放口图形标志</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9"/>
              <w:gridCol w:w="1705"/>
              <w:gridCol w:w="1690"/>
              <w:gridCol w:w="1690"/>
              <w:gridCol w:w="18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dxa"/>
                  <w:vAlign w:val="center"/>
                </w:tcPr>
                <w:p>
                  <w:pPr>
                    <w:pStyle w:val="50"/>
                  </w:pPr>
                  <w:r>
                    <w:t>排放口</w:t>
                  </w:r>
                </w:p>
              </w:tc>
              <w:tc>
                <w:tcPr>
                  <w:tcW w:w="1770" w:type="dxa"/>
                  <w:vAlign w:val="center"/>
                </w:tcPr>
                <w:p>
                  <w:pPr>
                    <w:pStyle w:val="50"/>
                  </w:pPr>
                  <w:r>
                    <w:t>废气排口</w:t>
                  </w:r>
                </w:p>
              </w:tc>
              <w:tc>
                <w:tcPr>
                  <w:tcW w:w="1754" w:type="dxa"/>
                  <w:vAlign w:val="center"/>
                </w:tcPr>
                <w:p>
                  <w:pPr>
                    <w:pStyle w:val="50"/>
                  </w:pPr>
                  <w:r>
                    <w:t>噪声源</w:t>
                  </w:r>
                </w:p>
              </w:tc>
              <w:tc>
                <w:tcPr>
                  <w:tcW w:w="1754" w:type="dxa"/>
                  <w:vAlign w:val="center"/>
                </w:tcPr>
                <w:p>
                  <w:pPr>
                    <w:pStyle w:val="50"/>
                  </w:pPr>
                  <w:r>
                    <w:t>固废堆场</w:t>
                  </w:r>
                </w:p>
              </w:tc>
              <w:tc>
                <w:tcPr>
                  <w:tcW w:w="1903" w:type="dxa"/>
                  <w:vAlign w:val="center"/>
                </w:tcPr>
                <w:p>
                  <w:pPr>
                    <w:pStyle w:val="50"/>
                  </w:pPr>
                  <w:r>
                    <w:t>危险废物堆场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dxa"/>
                  <w:vAlign w:val="center"/>
                </w:tcPr>
                <w:p>
                  <w:pPr>
                    <w:pStyle w:val="50"/>
                  </w:pPr>
                  <w:r>
                    <w:t>图形符号</w:t>
                  </w:r>
                </w:p>
              </w:tc>
              <w:tc>
                <w:tcPr>
                  <w:tcW w:w="1770" w:type="dxa"/>
                  <w:vAlign w:val="center"/>
                </w:tcPr>
                <w:p>
                  <w:pPr>
                    <w:pStyle w:val="50"/>
                  </w:pPr>
                  <w:r>
                    <w:drawing>
                      <wp:inline distT="0" distB="0" distL="0" distR="0">
                        <wp:extent cx="447040" cy="392430"/>
                        <wp:effectExtent l="0" t="0" r="0" b="762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447040" cy="392430"/>
                                </a:xfrm>
                                <a:prstGeom prst="rect">
                                  <a:avLst/>
                                </a:prstGeom>
                                <a:noFill/>
                                <a:ln>
                                  <a:noFill/>
                                </a:ln>
                                <a:effectLst/>
                              </pic:spPr>
                            </pic:pic>
                          </a:graphicData>
                        </a:graphic>
                      </wp:inline>
                    </w:drawing>
                  </w:r>
                </w:p>
              </w:tc>
              <w:tc>
                <w:tcPr>
                  <w:tcW w:w="1754" w:type="dxa"/>
                  <w:vAlign w:val="center"/>
                </w:tcPr>
                <w:p>
                  <w:pPr>
                    <w:pStyle w:val="50"/>
                  </w:pPr>
                  <w:r>
                    <w:drawing>
                      <wp:inline distT="0" distB="0" distL="0" distR="0">
                        <wp:extent cx="447040" cy="395605"/>
                        <wp:effectExtent l="0" t="0" r="0" b="444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447040" cy="395605"/>
                                </a:xfrm>
                                <a:prstGeom prst="rect">
                                  <a:avLst/>
                                </a:prstGeom>
                                <a:noFill/>
                                <a:ln>
                                  <a:noFill/>
                                </a:ln>
                                <a:effectLst/>
                              </pic:spPr>
                            </pic:pic>
                          </a:graphicData>
                        </a:graphic>
                      </wp:inline>
                    </w:drawing>
                  </w:r>
                </w:p>
              </w:tc>
              <w:tc>
                <w:tcPr>
                  <w:tcW w:w="1754" w:type="dxa"/>
                  <w:vAlign w:val="center"/>
                </w:tcPr>
                <w:p>
                  <w:pPr>
                    <w:pStyle w:val="50"/>
                  </w:pPr>
                  <w:r>
                    <w:drawing>
                      <wp:inline distT="0" distB="0" distL="0" distR="0">
                        <wp:extent cx="447040" cy="395605"/>
                        <wp:effectExtent l="0" t="0" r="0" b="444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447040" cy="395605"/>
                                </a:xfrm>
                                <a:prstGeom prst="rect">
                                  <a:avLst/>
                                </a:prstGeom>
                                <a:noFill/>
                                <a:ln>
                                  <a:noFill/>
                                </a:ln>
                                <a:effectLst/>
                              </pic:spPr>
                            </pic:pic>
                          </a:graphicData>
                        </a:graphic>
                      </wp:inline>
                    </w:drawing>
                  </w:r>
                </w:p>
              </w:tc>
              <w:tc>
                <w:tcPr>
                  <w:tcW w:w="1903" w:type="dxa"/>
                  <w:vAlign w:val="center"/>
                </w:tcPr>
                <w:p>
                  <w:pPr>
                    <w:pStyle w:val="50"/>
                  </w:pPr>
                  <w:r>
                    <w:drawing>
                      <wp:inline distT="0" distB="0" distL="0" distR="0">
                        <wp:extent cx="447040" cy="361315"/>
                        <wp:effectExtent l="0" t="0" r="0" b="63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447040" cy="361315"/>
                                </a:xfrm>
                                <a:prstGeom prst="rect">
                                  <a:avLst/>
                                </a:prstGeom>
                                <a:noFill/>
                                <a:ln>
                                  <a:noFill/>
                                </a:ln>
                                <a:effectLst/>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dxa"/>
                  <w:vAlign w:val="center"/>
                </w:tcPr>
                <w:p>
                  <w:pPr>
                    <w:pStyle w:val="50"/>
                  </w:pPr>
                  <w:r>
                    <w:t>背景颜色</w:t>
                  </w:r>
                </w:p>
              </w:tc>
              <w:tc>
                <w:tcPr>
                  <w:tcW w:w="5278" w:type="dxa"/>
                  <w:gridSpan w:val="3"/>
                  <w:vAlign w:val="center"/>
                </w:tcPr>
                <w:p>
                  <w:pPr>
                    <w:pStyle w:val="50"/>
                  </w:pPr>
                  <w:r>
                    <w:t>绿色</w:t>
                  </w:r>
                </w:p>
              </w:tc>
              <w:tc>
                <w:tcPr>
                  <w:tcW w:w="1903" w:type="dxa"/>
                  <w:vAlign w:val="center"/>
                </w:tcPr>
                <w:p>
                  <w:pPr>
                    <w:pStyle w:val="50"/>
                  </w:pPr>
                  <w:r>
                    <w:t>黄色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dxa"/>
                  <w:vAlign w:val="center"/>
                </w:tcPr>
                <w:p>
                  <w:pPr>
                    <w:pStyle w:val="50"/>
                  </w:pPr>
                  <w:r>
                    <w:t>图形颜色</w:t>
                  </w:r>
                </w:p>
              </w:tc>
              <w:tc>
                <w:tcPr>
                  <w:tcW w:w="5278" w:type="dxa"/>
                  <w:gridSpan w:val="3"/>
                  <w:vAlign w:val="center"/>
                </w:tcPr>
                <w:p>
                  <w:pPr>
                    <w:pStyle w:val="50"/>
                  </w:pPr>
                  <w:r>
                    <w:t>白色</w:t>
                  </w:r>
                </w:p>
              </w:tc>
              <w:tc>
                <w:tcPr>
                  <w:tcW w:w="1903" w:type="dxa"/>
                  <w:vAlign w:val="center"/>
                </w:tcPr>
                <w:p>
                  <w:pPr>
                    <w:pStyle w:val="50"/>
                  </w:pPr>
                  <w:r>
                    <w:t>黑色</w:t>
                  </w:r>
                </w:p>
              </w:tc>
            </w:tr>
          </w:tbl>
          <w:p>
            <w:pPr>
              <w:pStyle w:val="93"/>
              <w:spacing w:line="360" w:lineRule="auto"/>
              <w:ind w:firstLine="482"/>
              <w:rPr>
                <w:b/>
                <w:bCs/>
                <w:color w:val="000000"/>
              </w:rPr>
            </w:pPr>
            <w:r>
              <w:rPr>
                <w:rFonts w:hint="eastAsia"/>
                <w:b/>
                <w:bCs/>
                <w:color w:val="000000"/>
              </w:rPr>
              <w:t>八</w:t>
            </w:r>
            <w:r>
              <w:rPr>
                <w:b/>
                <w:bCs/>
                <w:color w:val="000000"/>
              </w:rPr>
              <w:t>、环保及环保投资</w:t>
            </w:r>
          </w:p>
          <w:p>
            <w:pPr>
              <w:pStyle w:val="93"/>
              <w:spacing w:line="360" w:lineRule="auto"/>
              <w:ind w:firstLine="480"/>
              <w:rPr>
                <w:color w:val="000000"/>
              </w:rPr>
            </w:pPr>
            <w:r>
              <w:rPr>
                <w:color w:val="000000"/>
              </w:rPr>
              <w:t>根据以上分析，汇总出项目在不同时段控制“三废”和噪声污染源的环保措施，处理效果及投资费用等，</w:t>
            </w:r>
            <w:r>
              <w:rPr>
                <w:color w:val="000000"/>
                <w:u w:val="single"/>
              </w:rPr>
              <w:t>本项目总投资500万元，其中环保投资35.2</w:t>
            </w:r>
            <w:r>
              <w:rPr>
                <w:rFonts w:hint="eastAsia"/>
                <w:color w:val="000000"/>
                <w:u w:val="single"/>
              </w:rPr>
              <w:t>万</w:t>
            </w:r>
            <w:r>
              <w:rPr>
                <w:color w:val="000000"/>
                <w:u w:val="single"/>
              </w:rPr>
              <w:t>元，占项目总投资7.04%。</w:t>
            </w:r>
            <w:r>
              <w:rPr>
                <w:color w:val="000000"/>
              </w:rPr>
              <w:t>本项目环保投资及其建设内容见下表：</w:t>
            </w:r>
          </w:p>
          <w:p>
            <w:pPr>
              <w:ind w:firstLine="482"/>
              <w:jc w:val="center"/>
              <w:rPr>
                <w:b/>
                <w:color w:val="000000"/>
                <w:szCs w:val="21"/>
              </w:rPr>
            </w:pPr>
            <w:r>
              <w:rPr>
                <w:b/>
                <w:color w:val="000000"/>
                <w:szCs w:val="21"/>
              </w:rPr>
              <w:t>表4-15   环保措施及投资一览表（单位：万元）</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4"/>
              <w:gridCol w:w="930"/>
              <w:gridCol w:w="1409"/>
              <w:gridCol w:w="4061"/>
              <w:gridCol w:w="7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dxa"/>
                  <w:vAlign w:val="center"/>
                </w:tcPr>
                <w:p>
                  <w:pPr>
                    <w:pStyle w:val="50"/>
                  </w:pPr>
                  <w:r>
                    <w:t>阶段</w:t>
                  </w:r>
                </w:p>
              </w:tc>
              <w:tc>
                <w:tcPr>
                  <w:tcW w:w="930" w:type="dxa"/>
                  <w:vAlign w:val="center"/>
                </w:tcPr>
                <w:p>
                  <w:pPr>
                    <w:pStyle w:val="50"/>
                  </w:pPr>
                  <w:r>
                    <w:t>类别</w:t>
                  </w:r>
                </w:p>
              </w:tc>
              <w:tc>
                <w:tcPr>
                  <w:tcW w:w="1409" w:type="dxa"/>
                  <w:vAlign w:val="center"/>
                </w:tcPr>
                <w:p>
                  <w:pPr>
                    <w:pStyle w:val="50"/>
                  </w:pPr>
                  <w:r>
                    <w:t>项目名称</w:t>
                  </w:r>
                </w:p>
              </w:tc>
              <w:tc>
                <w:tcPr>
                  <w:tcW w:w="4061" w:type="dxa"/>
                  <w:vAlign w:val="center"/>
                </w:tcPr>
                <w:p>
                  <w:pPr>
                    <w:pStyle w:val="50"/>
                  </w:pPr>
                  <w:r>
                    <w:t>内容</w:t>
                  </w:r>
                </w:p>
              </w:tc>
              <w:tc>
                <w:tcPr>
                  <w:tcW w:w="768" w:type="dxa"/>
                  <w:vAlign w:val="center"/>
                </w:tcPr>
                <w:p>
                  <w:pPr>
                    <w:pStyle w:val="50"/>
                  </w:pPr>
                  <w:r>
                    <w:t>投资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dxa"/>
                  <w:vMerge w:val="restart"/>
                  <w:vAlign w:val="center"/>
                </w:tcPr>
                <w:p>
                  <w:pPr>
                    <w:pStyle w:val="50"/>
                  </w:pPr>
                  <w:r>
                    <w:t>营运期</w:t>
                  </w:r>
                </w:p>
              </w:tc>
              <w:tc>
                <w:tcPr>
                  <w:tcW w:w="930" w:type="dxa"/>
                  <w:vMerge w:val="restart"/>
                  <w:vAlign w:val="center"/>
                </w:tcPr>
                <w:p>
                  <w:pPr>
                    <w:pStyle w:val="50"/>
                  </w:pPr>
                  <w:r>
                    <w:t>废气</w:t>
                  </w:r>
                </w:p>
              </w:tc>
              <w:tc>
                <w:tcPr>
                  <w:tcW w:w="1409" w:type="dxa"/>
                  <w:vAlign w:val="center"/>
                </w:tcPr>
                <w:p>
                  <w:pPr>
                    <w:pStyle w:val="50"/>
                  </w:pPr>
                  <w:r>
                    <w:rPr>
                      <w:rFonts w:hint="eastAsia"/>
                    </w:rPr>
                    <w:t>加热挤出废气</w:t>
                  </w:r>
                </w:p>
              </w:tc>
              <w:tc>
                <w:tcPr>
                  <w:tcW w:w="4061" w:type="dxa"/>
                  <w:vAlign w:val="center"/>
                </w:tcPr>
                <w:p>
                  <w:pPr>
                    <w:pStyle w:val="50"/>
                  </w:pPr>
                  <w:r>
                    <w:rPr>
                      <w:rFonts w:hint="eastAsia"/>
                    </w:rPr>
                    <w:t>集气罩收集后通过活性炭吸附处理后通过1</w:t>
                  </w:r>
                  <w:r>
                    <w:t>5</w:t>
                  </w:r>
                  <w:r>
                    <w:rPr>
                      <w:rFonts w:hint="eastAsia"/>
                    </w:rPr>
                    <w:t>m排气筒排放</w:t>
                  </w:r>
                </w:p>
              </w:tc>
              <w:tc>
                <w:tcPr>
                  <w:tcW w:w="768" w:type="dxa"/>
                  <w:vAlign w:val="center"/>
                </w:tcPr>
                <w:p>
                  <w:pPr>
                    <w:pStyle w:val="50"/>
                  </w:pPr>
                  <w: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dxa"/>
                  <w:vMerge w:val="continue"/>
                  <w:vAlign w:val="center"/>
                </w:tcPr>
                <w:p>
                  <w:pPr>
                    <w:pStyle w:val="50"/>
                  </w:pPr>
                </w:p>
              </w:tc>
              <w:tc>
                <w:tcPr>
                  <w:tcW w:w="930" w:type="dxa"/>
                  <w:vMerge w:val="continue"/>
                  <w:vAlign w:val="center"/>
                </w:tcPr>
                <w:p>
                  <w:pPr>
                    <w:pStyle w:val="50"/>
                  </w:pPr>
                </w:p>
              </w:tc>
              <w:tc>
                <w:tcPr>
                  <w:tcW w:w="1409" w:type="dxa"/>
                  <w:vAlign w:val="center"/>
                </w:tcPr>
                <w:p>
                  <w:pPr>
                    <w:pStyle w:val="50"/>
                    <w:rPr>
                      <w:u w:val="single"/>
                    </w:rPr>
                  </w:pPr>
                  <w:r>
                    <w:rPr>
                      <w:rFonts w:hint="eastAsia"/>
                      <w:u w:val="single"/>
                    </w:rPr>
                    <w:t>破碎粉磨废气</w:t>
                  </w:r>
                </w:p>
              </w:tc>
              <w:tc>
                <w:tcPr>
                  <w:tcW w:w="4061" w:type="dxa"/>
                  <w:vAlign w:val="center"/>
                </w:tcPr>
                <w:p>
                  <w:pPr>
                    <w:pStyle w:val="50"/>
                    <w:rPr>
                      <w:u w:val="single"/>
                    </w:rPr>
                  </w:pPr>
                  <w:r>
                    <w:rPr>
                      <w:rFonts w:hint="eastAsia"/>
                      <w:u w:val="single"/>
                    </w:rPr>
                    <w:t>集气罩收集后通过袋式除尘器处理后车间内无组织排放</w:t>
                  </w:r>
                </w:p>
              </w:tc>
              <w:tc>
                <w:tcPr>
                  <w:tcW w:w="768" w:type="dxa"/>
                  <w:vAlign w:val="center"/>
                </w:tcPr>
                <w:p>
                  <w:pPr>
                    <w:pStyle w:val="50"/>
                    <w:rPr>
                      <w:u w:val="single"/>
                    </w:rPr>
                  </w:pPr>
                  <w:r>
                    <w:rPr>
                      <w:rFonts w:hint="eastAsia"/>
                      <w:u w:val="single"/>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dxa"/>
                  <w:vMerge w:val="continue"/>
                  <w:vAlign w:val="center"/>
                </w:tcPr>
                <w:p>
                  <w:pPr>
                    <w:pStyle w:val="50"/>
                  </w:pPr>
                </w:p>
              </w:tc>
              <w:tc>
                <w:tcPr>
                  <w:tcW w:w="930" w:type="dxa"/>
                  <w:vAlign w:val="center"/>
                </w:tcPr>
                <w:p>
                  <w:pPr>
                    <w:pStyle w:val="50"/>
                  </w:pPr>
                  <w:r>
                    <w:t>废水</w:t>
                  </w:r>
                </w:p>
              </w:tc>
              <w:tc>
                <w:tcPr>
                  <w:tcW w:w="1409" w:type="dxa"/>
                  <w:vAlign w:val="center"/>
                </w:tcPr>
                <w:p>
                  <w:pPr>
                    <w:pStyle w:val="50"/>
                  </w:pPr>
                  <w:r>
                    <w:rPr>
                      <w:rFonts w:hint="eastAsia"/>
                    </w:rPr>
                    <w:t>初期雨水</w:t>
                  </w:r>
                </w:p>
              </w:tc>
              <w:tc>
                <w:tcPr>
                  <w:tcW w:w="4061" w:type="dxa"/>
                  <w:vAlign w:val="center"/>
                </w:tcPr>
                <w:p>
                  <w:pPr>
                    <w:pStyle w:val="50"/>
                  </w:pPr>
                  <w:r>
                    <w:rPr>
                      <w:rFonts w:hint="eastAsia"/>
                    </w:rPr>
                    <w:t>建立初期雨水池2</w:t>
                  </w:r>
                  <w:r>
                    <w:t>00</w:t>
                  </w:r>
                  <w:r>
                    <w:rPr>
                      <w:rFonts w:hint="eastAsia"/>
                    </w:rPr>
                    <w:t>m</w:t>
                  </w:r>
                  <w:r>
                    <w:rPr>
                      <w:vertAlign w:val="superscript"/>
                    </w:rPr>
                    <w:t>3</w:t>
                  </w:r>
                </w:p>
              </w:tc>
              <w:tc>
                <w:tcPr>
                  <w:tcW w:w="768" w:type="dxa"/>
                  <w:vAlign w:val="center"/>
                </w:tcPr>
                <w:p>
                  <w:pPr>
                    <w:pStyle w:val="50"/>
                  </w:pP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dxa"/>
                  <w:vMerge w:val="continue"/>
                  <w:vAlign w:val="center"/>
                </w:tcPr>
                <w:p>
                  <w:pPr>
                    <w:pStyle w:val="50"/>
                  </w:pPr>
                </w:p>
              </w:tc>
              <w:tc>
                <w:tcPr>
                  <w:tcW w:w="930" w:type="dxa"/>
                  <w:vAlign w:val="center"/>
                </w:tcPr>
                <w:p>
                  <w:pPr>
                    <w:pStyle w:val="50"/>
                  </w:pPr>
                  <w:r>
                    <w:t>噪声</w:t>
                  </w:r>
                </w:p>
              </w:tc>
              <w:tc>
                <w:tcPr>
                  <w:tcW w:w="1409" w:type="dxa"/>
                  <w:vAlign w:val="center"/>
                </w:tcPr>
                <w:p>
                  <w:pPr>
                    <w:pStyle w:val="50"/>
                  </w:pPr>
                  <w:r>
                    <w:rPr>
                      <w:rFonts w:hint="eastAsia"/>
                    </w:rPr>
                    <w:t>降噪措施</w:t>
                  </w:r>
                </w:p>
              </w:tc>
              <w:tc>
                <w:tcPr>
                  <w:tcW w:w="4061" w:type="dxa"/>
                  <w:vAlign w:val="center"/>
                </w:tcPr>
                <w:p>
                  <w:pPr>
                    <w:pStyle w:val="50"/>
                  </w:pPr>
                  <w:r>
                    <w:rPr>
                      <w:rFonts w:hint="eastAsia"/>
                    </w:rPr>
                    <w:t>选用低噪设备；风机采用软管连接；设备底座进行基础减振</w:t>
                  </w:r>
                </w:p>
              </w:tc>
              <w:tc>
                <w:tcPr>
                  <w:tcW w:w="768" w:type="dxa"/>
                  <w:vAlign w:val="center"/>
                </w:tcPr>
                <w:p>
                  <w:pPr>
                    <w:pStyle w:val="50"/>
                  </w:pPr>
                  <w:r>
                    <w:rPr>
                      <w:rFonts w:hint="eastAsi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dxa"/>
                  <w:vMerge w:val="continue"/>
                  <w:vAlign w:val="center"/>
                </w:tcPr>
                <w:p>
                  <w:pPr>
                    <w:pStyle w:val="50"/>
                  </w:pPr>
                </w:p>
              </w:tc>
              <w:tc>
                <w:tcPr>
                  <w:tcW w:w="930" w:type="dxa"/>
                  <w:vMerge w:val="restart"/>
                  <w:vAlign w:val="center"/>
                </w:tcPr>
                <w:p>
                  <w:pPr>
                    <w:pStyle w:val="50"/>
                  </w:pPr>
                  <w:r>
                    <w:rPr>
                      <w:rFonts w:hint="eastAsia"/>
                    </w:rPr>
                    <w:t>固体废物</w:t>
                  </w:r>
                </w:p>
              </w:tc>
              <w:tc>
                <w:tcPr>
                  <w:tcW w:w="1409" w:type="dxa"/>
                  <w:vAlign w:val="center"/>
                </w:tcPr>
                <w:p>
                  <w:pPr>
                    <w:pStyle w:val="50"/>
                  </w:pPr>
                  <w:r>
                    <w:t>生活垃圾</w:t>
                  </w:r>
                </w:p>
              </w:tc>
              <w:tc>
                <w:tcPr>
                  <w:tcW w:w="4061" w:type="dxa"/>
                  <w:vAlign w:val="center"/>
                </w:tcPr>
                <w:p>
                  <w:pPr>
                    <w:pStyle w:val="50"/>
                  </w:pPr>
                  <w:r>
                    <w:t>垃圾收集袋收集后由环卫部门统一清运</w:t>
                  </w:r>
                </w:p>
              </w:tc>
              <w:tc>
                <w:tcPr>
                  <w:tcW w:w="768" w:type="dxa"/>
                  <w:vAlign w:val="center"/>
                </w:tcPr>
                <w:p>
                  <w:pPr>
                    <w:pStyle w:val="50"/>
                  </w:pPr>
                  <w: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dxa"/>
                  <w:vMerge w:val="continue"/>
                  <w:vAlign w:val="center"/>
                </w:tcPr>
                <w:p>
                  <w:pPr>
                    <w:pStyle w:val="50"/>
                  </w:pPr>
                </w:p>
              </w:tc>
              <w:tc>
                <w:tcPr>
                  <w:tcW w:w="930" w:type="dxa"/>
                  <w:vMerge w:val="continue"/>
                  <w:vAlign w:val="center"/>
                </w:tcPr>
                <w:p>
                  <w:pPr>
                    <w:pStyle w:val="50"/>
                  </w:pPr>
                </w:p>
              </w:tc>
              <w:tc>
                <w:tcPr>
                  <w:tcW w:w="1409" w:type="dxa"/>
                  <w:vAlign w:val="center"/>
                </w:tcPr>
                <w:p>
                  <w:pPr>
                    <w:pStyle w:val="50"/>
                  </w:pPr>
                  <w:r>
                    <w:rPr>
                      <w:rFonts w:hint="eastAsia"/>
                    </w:rPr>
                    <w:t>一般工业固废</w:t>
                  </w:r>
                </w:p>
              </w:tc>
              <w:tc>
                <w:tcPr>
                  <w:tcW w:w="4061" w:type="dxa"/>
                  <w:vAlign w:val="center"/>
                </w:tcPr>
                <w:p>
                  <w:pPr>
                    <w:pStyle w:val="50"/>
                  </w:pPr>
                  <w:r>
                    <w:rPr>
                      <w:rFonts w:hint="eastAsia"/>
                    </w:rPr>
                    <w:t>设置一般工业固废暂存间2</w:t>
                  </w:r>
                  <w:r>
                    <w:t>0</w:t>
                  </w:r>
                  <w:r>
                    <w:rPr>
                      <w:rFonts w:hint="eastAsia"/>
                    </w:rPr>
                    <w:t>m</w:t>
                  </w:r>
                  <w:r>
                    <w:rPr>
                      <w:vertAlign w:val="superscript"/>
                    </w:rPr>
                    <w:t>2</w:t>
                  </w:r>
                </w:p>
              </w:tc>
              <w:tc>
                <w:tcPr>
                  <w:tcW w:w="768" w:type="dxa"/>
                  <w:vAlign w:val="center"/>
                </w:tcPr>
                <w:p>
                  <w:pPr>
                    <w:pStyle w:val="50"/>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4" w:type="dxa"/>
                  <w:vMerge w:val="continue"/>
                  <w:vAlign w:val="center"/>
                </w:tcPr>
                <w:p>
                  <w:pPr>
                    <w:pStyle w:val="50"/>
                  </w:pPr>
                </w:p>
              </w:tc>
              <w:tc>
                <w:tcPr>
                  <w:tcW w:w="930" w:type="dxa"/>
                  <w:vMerge w:val="continue"/>
                  <w:vAlign w:val="center"/>
                </w:tcPr>
                <w:p>
                  <w:pPr>
                    <w:pStyle w:val="50"/>
                  </w:pPr>
                </w:p>
              </w:tc>
              <w:tc>
                <w:tcPr>
                  <w:tcW w:w="1409" w:type="dxa"/>
                  <w:vAlign w:val="center"/>
                </w:tcPr>
                <w:p>
                  <w:pPr>
                    <w:pStyle w:val="50"/>
                  </w:pPr>
                  <w:r>
                    <w:t>危险废物</w:t>
                  </w:r>
                </w:p>
              </w:tc>
              <w:tc>
                <w:tcPr>
                  <w:tcW w:w="4061" w:type="dxa"/>
                  <w:vAlign w:val="center"/>
                </w:tcPr>
                <w:p>
                  <w:pPr>
                    <w:pStyle w:val="50"/>
                  </w:pPr>
                  <w:r>
                    <w:t>设置危废暂存间，面积5m</w:t>
                  </w:r>
                  <w:r>
                    <w:rPr>
                      <w:vertAlign w:val="superscript"/>
                    </w:rPr>
                    <w:t>2</w:t>
                  </w:r>
                  <w:r>
                    <w:t>；地面及墙裙采用重点防渗处理；危废分类收集、暂存；张贴危废暂存间标志牌、相关警示标语</w:t>
                  </w:r>
                </w:p>
              </w:tc>
              <w:tc>
                <w:tcPr>
                  <w:tcW w:w="768" w:type="dxa"/>
                  <w:vAlign w:val="center"/>
                </w:tcPr>
                <w:p>
                  <w:pPr>
                    <w:pStyle w:val="50"/>
                  </w:pP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33" w:type="dxa"/>
                  <w:gridSpan w:val="3"/>
                  <w:vAlign w:val="center"/>
                </w:tcPr>
                <w:p>
                  <w:pPr>
                    <w:pStyle w:val="50"/>
                    <w:rPr>
                      <w:u w:val="single"/>
                    </w:rPr>
                  </w:pPr>
                  <w:r>
                    <w:rPr>
                      <w:u w:val="single"/>
                    </w:rPr>
                    <w:t>合计</w:t>
                  </w:r>
                </w:p>
              </w:tc>
              <w:tc>
                <w:tcPr>
                  <w:tcW w:w="4061" w:type="dxa"/>
                  <w:vAlign w:val="center"/>
                </w:tcPr>
                <w:p>
                  <w:pPr>
                    <w:pStyle w:val="50"/>
                    <w:rPr>
                      <w:u w:val="single"/>
                    </w:rPr>
                  </w:pPr>
                  <w:r>
                    <w:rPr>
                      <w:u w:val="single"/>
                    </w:rPr>
                    <w:t>/</w:t>
                  </w:r>
                </w:p>
              </w:tc>
              <w:tc>
                <w:tcPr>
                  <w:tcW w:w="768" w:type="dxa"/>
                  <w:vAlign w:val="center"/>
                </w:tcPr>
                <w:p>
                  <w:pPr>
                    <w:pStyle w:val="50"/>
                    <w:rPr>
                      <w:u w:val="single"/>
                    </w:rPr>
                  </w:pPr>
                  <w:r>
                    <w:rPr>
                      <w:rFonts w:hint="eastAsia"/>
                      <w:u w:val="single"/>
                    </w:rPr>
                    <w:t>3</w:t>
                  </w:r>
                  <w:r>
                    <w:rPr>
                      <w:u w:val="single"/>
                    </w:rPr>
                    <w:t>5.2</w:t>
                  </w:r>
                </w:p>
              </w:tc>
            </w:tr>
          </w:tbl>
          <w:p>
            <w:pPr>
              <w:adjustRightInd w:val="0"/>
              <w:snapToGrid w:val="0"/>
              <w:ind w:firstLine="340"/>
              <w:rPr>
                <w:bCs/>
                <w:color w:val="FF0000"/>
                <w:spacing w:val="-10"/>
                <w:sz w:val="18"/>
                <w:szCs w:val="18"/>
              </w:rPr>
            </w:pPr>
          </w:p>
        </w:tc>
      </w:tr>
    </w:tbl>
    <w:p>
      <w:pPr>
        <w:ind w:firstLine="0" w:firstLineChars="0"/>
        <w:sectPr>
          <w:pgSz w:w="11906" w:h="16838"/>
          <w:pgMar w:top="1440" w:right="1800" w:bottom="1440" w:left="1800" w:header="851" w:footer="992" w:gutter="0"/>
          <w:cols w:space="425" w:num="1"/>
          <w:docGrid w:type="lines" w:linePitch="312" w:charSpace="0"/>
        </w:sectPr>
      </w:pPr>
    </w:p>
    <w:p>
      <w:pPr>
        <w:pStyle w:val="2"/>
        <w:rPr>
          <w:snapToGrid w:val="0"/>
        </w:rPr>
      </w:pPr>
      <w:bookmarkStart w:id="11" w:name="_Toc105443178"/>
      <w:bookmarkStart w:id="12" w:name="_Toc92049390"/>
      <w:bookmarkStart w:id="13" w:name="_Toc6031"/>
      <w:r>
        <w:rPr>
          <w:snapToGrid w:val="0"/>
        </w:rPr>
        <w:t>五、</w:t>
      </w:r>
      <w:bookmarkStart w:id="14" w:name="_Hlk54167917"/>
      <w:r>
        <w:rPr>
          <w:snapToGrid w:val="0"/>
        </w:rPr>
        <w:t>环境保护措施监督检查清单</w:t>
      </w:r>
      <w:bookmarkEnd w:id="11"/>
      <w:bookmarkEnd w:id="12"/>
      <w:bookmarkEnd w:id="13"/>
      <w:bookmarkEnd w:id="14"/>
    </w:p>
    <w:tbl>
      <w:tblPr>
        <w:tblStyle w:val="28"/>
        <w:tblW w:w="880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80"/>
        <w:gridCol w:w="470"/>
        <w:gridCol w:w="1099"/>
        <w:gridCol w:w="1373"/>
        <w:gridCol w:w="2077"/>
        <w:gridCol w:w="22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tcBorders>
              <w:tl2br w:val="single" w:color="auto" w:sz="12" w:space="0"/>
            </w:tcBorders>
          </w:tcPr>
          <w:p>
            <w:pPr>
              <w:pStyle w:val="50"/>
            </w:pPr>
            <w:r>
              <w:t>内容</w:t>
            </w:r>
          </w:p>
          <w:p>
            <w:pPr>
              <w:pStyle w:val="50"/>
            </w:pPr>
            <w:r>
              <w:t>要素</w:t>
            </w:r>
          </w:p>
        </w:tc>
        <w:tc>
          <w:tcPr>
            <w:tcW w:w="1569" w:type="dxa"/>
            <w:gridSpan w:val="2"/>
            <w:vAlign w:val="center"/>
          </w:tcPr>
          <w:p>
            <w:pPr>
              <w:pStyle w:val="50"/>
            </w:pPr>
            <w:r>
              <w:t>排放口(编号、名称)/污染源</w:t>
            </w:r>
          </w:p>
        </w:tc>
        <w:tc>
          <w:tcPr>
            <w:tcW w:w="1373" w:type="dxa"/>
            <w:vAlign w:val="center"/>
          </w:tcPr>
          <w:p>
            <w:pPr>
              <w:pStyle w:val="50"/>
            </w:pPr>
            <w:r>
              <w:t>污染物项目</w:t>
            </w:r>
          </w:p>
        </w:tc>
        <w:tc>
          <w:tcPr>
            <w:tcW w:w="2077" w:type="dxa"/>
            <w:vAlign w:val="center"/>
          </w:tcPr>
          <w:p>
            <w:pPr>
              <w:pStyle w:val="50"/>
            </w:pPr>
            <w:r>
              <w:t>环境保护措施</w:t>
            </w:r>
          </w:p>
        </w:tc>
        <w:tc>
          <w:tcPr>
            <w:tcW w:w="2201" w:type="dxa"/>
            <w:vAlign w:val="center"/>
          </w:tcPr>
          <w:p>
            <w:pPr>
              <w:pStyle w:val="50"/>
            </w:pPr>
            <w: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5" w:hRule="atLeast"/>
          <w:jc w:val="center"/>
        </w:trPr>
        <w:tc>
          <w:tcPr>
            <w:tcW w:w="1580" w:type="dxa"/>
            <w:vMerge w:val="restart"/>
            <w:vAlign w:val="center"/>
          </w:tcPr>
          <w:p>
            <w:pPr>
              <w:pStyle w:val="50"/>
            </w:pPr>
            <w:r>
              <w:t>大气环境</w:t>
            </w:r>
          </w:p>
        </w:tc>
        <w:tc>
          <w:tcPr>
            <w:tcW w:w="470" w:type="dxa"/>
            <w:vAlign w:val="center"/>
          </w:tcPr>
          <w:p>
            <w:pPr>
              <w:pStyle w:val="50"/>
            </w:pPr>
            <w:r>
              <w:t>有组织废气</w:t>
            </w:r>
          </w:p>
        </w:tc>
        <w:tc>
          <w:tcPr>
            <w:tcW w:w="1099" w:type="dxa"/>
            <w:vAlign w:val="center"/>
          </w:tcPr>
          <w:p>
            <w:pPr>
              <w:pStyle w:val="50"/>
            </w:pPr>
            <w:r>
              <w:t>DA001</w:t>
            </w:r>
          </w:p>
        </w:tc>
        <w:tc>
          <w:tcPr>
            <w:tcW w:w="1373" w:type="dxa"/>
            <w:vAlign w:val="center"/>
          </w:tcPr>
          <w:p>
            <w:pPr>
              <w:pStyle w:val="50"/>
            </w:pPr>
            <w:r>
              <w:rPr>
                <w:rFonts w:hint="eastAsia"/>
              </w:rPr>
              <w:t>NMHC</w:t>
            </w:r>
          </w:p>
        </w:tc>
        <w:tc>
          <w:tcPr>
            <w:tcW w:w="2077" w:type="dxa"/>
            <w:vAlign w:val="center"/>
          </w:tcPr>
          <w:p>
            <w:pPr>
              <w:pStyle w:val="50"/>
            </w:pPr>
            <w:r>
              <w:rPr>
                <w:rFonts w:hint="eastAsia"/>
              </w:rPr>
              <w:t>集气罩收集后通过活性炭吸附处理后通过1</w:t>
            </w:r>
            <w:r>
              <w:t>5</w:t>
            </w:r>
            <w:r>
              <w:rPr>
                <w:rFonts w:hint="eastAsia"/>
              </w:rPr>
              <w:t>m排气筒排放</w:t>
            </w:r>
          </w:p>
        </w:tc>
        <w:tc>
          <w:tcPr>
            <w:tcW w:w="2201" w:type="dxa"/>
            <w:vAlign w:val="center"/>
          </w:tcPr>
          <w:p>
            <w:pPr>
              <w:pStyle w:val="50"/>
            </w:pPr>
            <w:r>
              <w:rPr>
                <w:rFonts w:hint="eastAsia"/>
              </w:rPr>
              <w:t>《合成树脂工业污染物排放标准》（GB</w:t>
            </w:r>
            <w:r>
              <w:t>31572-2015</w:t>
            </w:r>
            <w:r>
              <w:rPr>
                <w:rFonts w:hint="eastAsia"/>
              </w:rPr>
              <w:t>）表4中标准限值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vMerge w:val="continue"/>
            <w:vAlign w:val="center"/>
          </w:tcPr>
          <w:p>
            <w:pPr>
              <w:pStyle w:val="50"/>
            </w:pPr>
          </w:p>
        </w:tc>
        <w:tc>
          <w:tcPr>
            <w:tcW w:w="470" w:type="dxa"/>
            <w:vMerge w:val="restart"/>
            <w:vAlign w:val="center"/>
          </w:tcPr>
          <w:p>
            <w:pPr>
              <w:pStyle w:val="50"/>
            </w:pPr>
            <w:r>
              <w:t>无组织废气</w:t>
            </w:r>
          </w:p>
        </w:tc>
        <w:tc>
          <w:tcPr>
            <w:tcW w:w="1099" w:type="dxa"/>
            <w:vAlign w:val="center"/>
          </w:tcPr>
          <w:p>
            <w:pPr>
              <w:pStyle w:val="50"/>
            </w:pPr>
            <w:r>
              <w:rPr>
                <w:rFonts w:hint="eastAsia"/>
              </w:rPr>
              <w:t>1#生产车间</w:t>
            </w:r>
          </w:p>
        </w:tc>
        <w:tc>
          <w:tcPr>
            <w:tcW w:w="1373" w:type="dxa"/>
            <w:vAlign w:val="center"/>
          </w:tcPr>
          <w:p>
            <w:pPr>
              <w:pStyle w:val="50"/>
            </w:pPr>
            <w:r>
              <w:t>颗粒物</w:t>
            </w:r>
            <w:r>
              <w:rPr>
                <w:rFonts w:hint="eastAsia"/>
              </w:rPr>
              <w:t>、NMHC</w:t>
            </w:r>
          </w:p>
        </w:tc>
        <w:tc>
          <w:tcPr>
            <w:tcW w:w="2077" w:type="dxa"/>
            <w:vAlign w:val="center"/>
          </w:tcPr>
          <w:p>
            <w:pPr>
              <w:pStyle w:val="50"/>
            </w:pPr>
            <w:r>
              <w:rPr>
                <w:rFonts w:hint="eastAsia"/>
              </w:rPr>
              <w:t>车间密闭</w:t>
            </w:r>
          </w:p>
        </w:tc>
        <w:tc>
          <w:tcPr>
            <w:tcW w:w="2201" w:type="dxa"/>
            <w:vMerge w:val="restart"/>
            <w:vAlign w:val="center"/>
          </w:tcPr>
          <w:p>
            <w:pPr>
              <w:pStyle w:val="50"/>
            </w:pPr>
            <w:r>
              <w:rPr>
                <w:rFonts w:hint="eastAsia"/>
              </w:rPr>
              <w:t>《合成树脂工业污染物排放标准》（GB</w:t>
            </w:r>
            <w:r>
              <w:t>31572-2015</w:t>
            </w:r>
            <w:r>
              <w:rPr>
                <w:rFonts w:hint="eastAsia"/>
              </w:rPr>
              <w:t>）表9中排放限值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vMerge w:val="continue"/>
            <w:vAlign w:val="center"/>
          </w:tcPr>
          <w:p>
            <w:pPr>
              <w:pStyle w:val="50"/>
            </w:pPr>
          </w:p>
        </w:tc>
        <w:tc>
          <w:tcPr>
            <w:tcW w:w="470" w:type="dxa"/>
            <w:vMerge w:val="continue"/>
            <w:vAlign w:val="center"/>
          </w:tcPr>
          <w:p>
            <w:pPr>
              <w:pStyle w:val="50"/>
            </w:pPr>
          </w:p>
        </w:tc>
        <w:tc>
          <w:tcPr>
            <w:tcW w:w="1099" w:type="dxa"/>
            <w:vAlign w:val="center"/>
          </w:tcPr>
          <w:p>
            <w:pPr>
              <w:pStyle w:val="50"/>
            </w:pPr>
            <w:r>
              <w:rPr>
                <w:rFonts w:hint="eastAsia"/>
              </w:rPr>
              <w:t>2</w:t>
            </w:r>
            <w:r>
              <w:t>#</w:t>
            </w:r>
            <w:r>
              <w:rPr>
                <w:rFonts w:hint="eastAsia"/>
              </w:rPr>
              <w:t>生产车间</w:t>
            </w:r>
          </w:p>
        </w:tc>
        <w:tc>
          <w:tcPr>
            <w:tcW w:w="1373" w:type="dxa"/>
            <w:vAlign w:val="center"/>
          </w:tcPr>
          <w:p>
            <w:pPr>
              <w:pStyle w:val="50"/>
            </w:pPr>
            <w:r>
              <w:rPr>
                <w:rFonts w:hint="eastAsia"/>
              </w:rPr>
              <w:t>颗粒物</w:t>
            </w:r>
          </w:p>
        </w:tc>
        <w:tc>
          <w:tcPr>
            <w:tcW w:w="2077" w:type="dxa"/>
            <w:vAlign w:val="center"/>
          </w:tcPr>
          <w:p>
            <w:pPr>
              <w:pStyle w:val="50"/>
            </w:pPr>
            <w:r>
              <w:rPr>
                <w:rFonts w:hint="eastAsia"/>
              </w:rPr>
              <w:t>集气罩收集后通过袋式除尘处理后车间内无组织排放</w:t>
            </w:r>
          </w:p>
        </w:tc>
        <w:tc>
          <w:tcPr>
            <w:tcW w:w="2201" w:type="dxa"/>
            <w:vMerge w:val="continue"/>
            <w:vAlign w:val="center"/>
          </w:tcPr>
          <w:p>
            <w:pPr>
              <w:pStyle w:val="50"/>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vMerge w:val="restart"/>
            <w:vAlign w:val="center"/>
          </w:tcPr>
          <w:p>
            <w:pPr>
              <w:pStyle w:val="50"/>
            </w:pPr>
            <w:r>
              <w:t>地表水环境</w:t>
            </w:r>
          </w:p>
        </w:tc>
        <w:tc>
          <w:tcPr>
            <w:tcW w:w="1569" w:type="dxa"/>
            <w:gridSpan w:val="2"/>
            <w:vAlign w:val="center"/>
          </w:tcPr>
          <w:p>
            <w:pPr>
              <w:pStyle w:val="50"/>
            </w:pPr>
            <w:r>
              <w:t>生活污水</w:t>
            </w:r>
          </w:p>
        </w:tc>
        <w:tc>
          <w:tcPr>
            <w:tcW w:w="1373" w:type="dxa"/>
            <w:vAlign w:val="center"/>
          </w:tcPr>
          <w:p>
            <w:pPr>
              <w:pStyle w:val="50"/>
            </w:pPr>
            <w:r>
              <w:t>COD、氨氮</w:t>
            </w:r>
          </w:p>
        </w:tc>
        <w:tc>
          <w:tcPr>
            <w:tcW w:w="2077" w:type="dxa"/>
            <w:vAlign w:val="center"/>
          </w:tcPr>
          <w:p>
            <w:pPr>
              <w:pStyle w:val="50"/>
            </w:pPr>
            <w:r>
              <w:t>化粪池</w:t>
            </w:r>
          </w:p>
        </w:tc>
        <w:tc>
          <w:tcPr>
            <w:tcW w:w="2201" w:type="dxa"/>
            <w:vAlign w:val="center"/>
          </w:tcPr>
          <w:p>
            <w:pPr>
              <w:pStyle w:val="50"/>
            </w:pPr>
            <w:r>
              <w:t>作为周边农田施肥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vMerge w:val="continue"/>
            <w:vAlign w:val="center"/>
          </w:tcPr>
          <w:p>
            <w:pPr>
              <w:pStyle w:val="50"/>
            </w:pPr>
          </w:p>
        </w:tc>
        <w:tc>
          <w:tcPr>
            <w:tcW w:w="1569" w:type="dxa"/>
            <w:gridSpan w:val="2"/>
            <w:vAlign w:val="center"/>
          </w:tcPr>
          <w:p>
            <w:pPr>
              <w:pStyle w:val="50"/>
            </w:pPr>
            <w:r>
              <w:rPr>
                <w:rFonts w:hint="eastAsia"/>
              </w:rPr>
              <w:t>初期雨水</w:t>
            </w:r>
          </w:p>
        </w:tc>
        <w:tc>
          <w:tcPr>
            <w:tcW w:w="1373" w:type="dxa"/>
            <w:vAlign w:val="center"/>
          </w:tcPr>
          <w:p>
            <w:pPr>
              <w:pStyle w:val="50"/>
            </w:pPr>
            <w:r>
              <w:rPr>
                <w:rFonts w:hint="eastAsia"/>
              </w:rPr>
              <w:t>SS</w:t>
            </w:r>
          </w:p>
        </w:tc>
        <w:tc>
          <w:tcPr>
            <w:tcW w:w="2077" w:type="dxa"/>
            <w:vAlign w:val="center"/>
          </w:tcPr>
          <w:p>
            <w:pPr>
              <w:pStyle w:val="50"/>
            </w:pPr>
            <w:r>
              <w:rPr>
                <w:rFonts w:hint="eastAsia"/>
              </w:rPr>
              <w:t>初期雨水池</w:t>
            </w:r>
          </w:p>
        </w:tc>
        <w:tc>
          <w:tcPr>
            <w:tcW w:w="2201" w:type="dxa"/>
            <w:vAlign w:val="center"/>
          </w:tcPr>
          <w:p>
            <w:pPr>
              <w:pStyle w:val="50"/>
            </w:pPr>
            <w:r>
              <w:rPr>
                <w:rFonts w:hint="eastAsia"/>
              </w:rPr>
              <w:t>初期雨水池沉淀后排放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vAlign w:val="center"/>
          </w:tcPr>
          <w:p>
            <w:pPr>
              <w:pStyle w:val="50"/>
            </w:pPr>
            <w:r>
              <w:t>声环境</w:t>
            </w:r>
          </w:p>
        </w:tc>
        <w:tc>
          <w:tcPr>
            <w:tcW w:w="1569" w:type="dxa"/>
            <w:gridSpan w:val="2"/>
            <w:vAlign w:val="center"/>
          </w:tcPr>
          <w:p>
            <w:pPr>
              <w:pStyle w:val="50"/>
            </w:pPr>
            <w:r>
              <w:t>设备噪声</w:t>
            </w:r>
          </w:p>
        </w:tc>
        <w:tc>
          <w:tcPr>
            <w:tcW w:w="1373" w:type="dxa"/>
            <w:vAlign w:val="center"/>
          </w:tcPr>
          <w:p>
            <w:pPr>
              <w:pStyle w:val="50"/>
            </w:pPr>
            <w:r>
              <w:t>Leq</w:t>
            </w:r>
          </w:p>
        </w:tc>
        <w:tc>
          <w:tcPr>
            <w:tcW w:w="2077" w:type="dxa"/>
            <w:vAlign w:val="center"/>
          </w:tcPr>
          <w:p>
            <w:pPr>
              <w:pStyle w:val="50"/>
            </w:pPr>
            <w:r>
              <w:t>基础减振、建筑隔声</w:t>
            </w:r>
          </w:p>
        </w:tc>
        <w:tc>
          <w:tcPr>
            <w:tcW w:w="2201" w:type="dxa"/>
            <w:vAlign w:val="center"/>
          </w:tcPr>
          <w:p>
            <w:pPr>
              <w:pStyle w:val="50"/>
            </w:pPr>
            <w:r>
              <w:t>《工业企业厂界环境噪声排放标准》(GB12348-2008)表1中2类标准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vAlign w:val="center"/>
          </w:tcPr>
          <w:p>
            <w:pPr>
              <w:pStyle w:val="50"/>
            </w:pPr>
            <w:r>
              <w:t>电磁辐射</w:t>
            </w:r>
          </w:p>
        </w:tc>
        <w:tc>
          <w:tcPr>
            <w:tcW w:w="7220" w:type="dxa"/>
            <w:gridSpan w:val="5"/>
            <w:vAlign w:val="center"/>
          </w:tcPr>
          <w:p>
            <w:pPr>
              <w:pStyle w:val="50"/>
            </w:pP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vAlign w:val="center"/>
          </w:tcPr>
          <w:p>
            <w:pPr>
              <w:pStyle w:val="50"/>
            </w:pPr>
            <w:r>
              <w:t>固体废物</w:t>
            </w:r>
          </w:p>
        </w:tc>
        <w:tc>
          <w:tcPr>
            <w:tcW w:w="7220" w:type="dxa"/>
            <w:gridSpan w:val="5"/>
            <w:vAlign w:val="center"/>
          </w:tcPr>
          <w:p>
            <w:pPr>
              <w:pStyle w:val="50"/>
            </w:pPr>
            <w:r>
              <w:t>按照“减量化、资源化、无害化”的处理原则，落实各类固体废物的收集、处置和综合利用措施，实现固体废物零排放。生活垃圾由环卫部门处置，一般工业固废</w:t>
            </w:r>
            <w:r>
              <w:rPr>
                <w:rFonts w:hint="eastAsia"/>
              </w:rPr>
              <w:t>全部返回生产线回用，禁止外排</w:t>
            </w:r>
            <w:r>
              <w:t>；废机油</w:t>
            </w:r>
            <w:r>
              <w:rPr>
                <w:rFonts w:hint="eastAsia"/>
              </w:rPr>
              <w:t>暂存于危险废物暂存间，委托有资质单位回收处置</w:t>
            </w:r>
            <w: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vAlign w:val="center"/>
          </w:tcPr>
          <w:p>
            <w:pPr>
              <w:pStyle w:val="50"/>
            </w:pPr>
            <w:r>
              <w:t>土壤及地下水污染防治措施</w:t>
            </w:r>
          </w:p>
        </w:tc>
        <w:tc>
          <w:tcPr>
            <w:tcW w:w="7220" w:type="dxa"/>
            <w:gridSpan w:val="5"/>
            <w:vAlign w:val="center"/>
          </w:tcPr>
          <w:p>
            <w:pPr>
              <w:pStyle w:val="50"/>
            </w:pPr>
            <w:r>
              <w:rPr>
                <w:rFonts w:hint="eastAsia"/>
              </w:rPr>
              <w:t>应从设计、采购、施工等方面全过程加强对工艺、管道、设备等的质量控制，以防止污染物的跑、冒、滴、漏。</w:t>
            </w:r>
          </w:p>
          <w:p>
            <w:pPr>
              <w:pStyle w:val="50"/>
            </w:pPr>
            <w:r>
              <w:rPr>
                <w:rFonts w:hint="eastAsia"/>
              </w:rPr>
              <w:t>根据本项目可能泄漏至地面区域污染物的性质和生产单元的构筑方式，将厂区划分为重点污染防治区、一般污染防治区和非污染防治区，针对不同的区域提出相应的防渗要求。并要求每年检修一次，发现问题及时解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vAlign w:val="center"/>
          </w:tcPr>
          <w:p>
            <w:pPr>
              <w:pStyle w:val="50"/>
            </w:pPr>
            <w:r>
              <w:t>生态保护措施</w:t>
            </w:r>
          </w:p>
        </w:tc>
        <w:tc>
          <w:tcPr>
            <w:tcW w:w="7220" w:type="dxa"/>
            <w:gridSpan w:val="5"/>
            <w:vAlign w:val="center"/>
          </w:tcPr>
          <w:p>
            <w:pPr>
              <w:pStyle w:val="50"/>
            </w:pPr>
            <w:r>
              <w:rPr>
                <w:rFonts w:hint="eastAsia"/>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vAlign w:val="center"/>
          </w:tcPr>
          <w:p>
            <w:pPr>
              <w:pStyle w:val="50"/>
            </w:pPr>
            <w:r>
              <w:t>环境风险</w:t>
            </w:r>
          </w:p>
          <w:p>
            <w:pPr>
              <w:pStyle w:val="50"/>
            </w:pPr>
            <w:r>
              <w:t>防范措施</w:t>
            </w:r>
          </w:p>
        </w:tc>
        <w:tc>
          <w:tcPr>
            <w:tcW w:w="7220" w:type="dxa"/>
            <w:gridSpan w:val="5"/>
            <w:vAlign w:val="center"/>
          </w:tcPr>
          <w:p>
            <w:pPr>
              <w:pStyle w:val="50"/>
            </w:pPr>
            <w:r>
              <w:t>1、消防安全措施</w:t>
            </w:r>
          </w:p>
          <w:p>
            <w:pPr>
              <w:pStyle w:val="50"/>
            </w:pPr>
            <w:r>
              <w:rPr>
                <w:rFonts w:hint="eastAsia" w:ascii="宋体" w:hAnsi="宋体" w:cs="宋体"/>
              </w:rPr>
              <w:t>①</w:t>
            </w:r>
            <w:r>
              <w:t>防火安全间距：项目在运营中应采取严格的防火防爆措施。</w:t>
            </w:r>
          </w:p>
          <w:p>
            <w:pPr>
              <w:pStyle w:val="50"/>
            </w:pPr>
            <w:r>
              <w:rPr>
                <w:rFonts w:hint="eastAsia" w:ascii="宋体" w:hAnsi="宋体" w:cs="宋体"/>
              </w:rPr>
              <w:t>②</w:t>
            </w:r>
            <w:r>
              <w:t>消防器材及报警系统：按照《建筑灭火器配置设计规范》（GBJ140-90）规定，厂区应配有各消防器材。</w:t>
            </w:r>
          </w:p>
          <w:p>
            <w:pPr>
              <w:pStyle w:val="50"/>
            </w:pPr>
            <w:r>
              <w:rPr>
                <w:rFonts w:hint="eastAsia" w:ascii="宋体" w:hAnsi="宋体" w:cs="宋体"/>
              </w:rPr>
              <w:t>③</w:t>
            </w:r>
            <w:r>
              <w:t>安全生产管理制度：制定严格的防火制度，设立必要的消防队伍，定期对生产人员进行环境安全教育。</w:t>
            </w:r>
          </w:p>
          <w:p>
            <w:pPr>
              <w:pStyle w:val="50"/>
            </w:pPr>
            <w:r>
              <w:rPr>
                <w:rFonts w:hint="eastAsia" w:ascii="宋体" w:hAnsi="宋体" w:cs="宋体"/>
              </w:rPr>
              <w:t>④</w:t>
            </w:r>
            <w:r>
              <w:t>操作运行：项目在运营中应确保正确操作和正常运行，在操作运行方面要求工作人员必须进行岗前专业培训，严格执行生产操作规程，进行专业维护和保养，对设备进行定期校验。</w:t>
            </w:r>
          </w:p>
          <w:p>
            <w:pPr>
              <w:pStyle w:val="50"/>
            </w:pPr>
            <w:r>
              <w:rPr>
                <w:rFonts w:hint="eastAsia" w:ascii="宋体" w:hAnsi="宋体" w:cs="宋体"/>
              </w:rPr>
              <w:t>⑤</w:t>
            </w:r>
            <w:r>
              <w:t>维修与抢险：项目应配备较好的设备和相应的抢险设施。当发生事故时，为不使事故扩大，防止二次灾害的发生，要求及时抢险抢修。</w:t>
            </w:r>
          </w:p>
          <w:p>
            <w:pPr>
              <w:pStyle w:val="50"/>
            </w:pPr>
            <w:r>
              <w:rPr>
                <w:rFonts w:hint="eastAsia" w:ascii="宋体" w:hAnsi="宋体" w:cs="宋体"/>
              </w:rPr>
              <w:t>⑥</w:t>
            </w:r>
            <w:r>
              <w:t>厂区设立严禁烟火、禁火区等警戒标语和标牌。禁止携带火种进入厂区内。</w:t>
            </w:r>
          </w:p>
          <w:p>
            <w:pPr>
              <w:pStyle w:val="50"/>
            </w:pPr>
            <w:r>
              <w:rPr>
                <w:rFonts w:hint="eastAsia" w:ascii="宋体" w:hAnsi="宋体" w:cs="宋体"/>
              </w:rPr>
              <w:t>⑦</w:t>
            </w:r>
            <w:r>
              <w:t>危险废物做好危险废物的申报登记，建立台账管理制度，记录上须注明危险废物的名称、来源、数量、特征和包装容器的类别、入库时间、存放库位、废物出库日期及接受单位，暂存不得超过一年等。</w:t>
            </w:r>
          </w:p>
          <w:p>
            <w:pPr>
              <w:pStyle w:val="50"/>
            </w:pPr>
            <w:r>
              <w:rPr>
                <w:rFonts w:hint="eastAsia" w:ascii="宋体" w:hAnsi="宋体" w:cs="宋体"/>
              </w:rPr>
              <w:t>⑧</w:t>
            </w:r>
            <w:r>
              <w:t>应配备应急物资沙袋等，利用沙袋设置临时围堰。</w:t>
            </w:r>
          </w:p>
          <w:p>
            <w:pPr>
              <w:pStyle w:val="50"/>
            </w:pPr>
            <w:r>
              <w:t>2、设置环境风险应急监测系统</w:t>
            </w:r>
          </w:p>
          <w:p>
            <w:pPr>
              <w:pStyle w:val="50"/>
            </w:pPr>
            <w:r>
              <w:t>为有效实施公司在建设、经营等活动中的突发性环境污染事故的监测工作，委托第三方监测公司作为事故应急监测的实施部门，接受应急指挥小组的领导和安排，第三方监测单位做好应急监测的队伍组建、监测方法选择、人员培训、设备和仪器的配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0" w:type="dxa"/>
            <w:vAlign w:val="center"/>
          </w:tcPr>
          <w:p>
            <w:pPr>
              <w:pStyle w:val="50"/>
            </w:pPr>
            <w:r>
              <w:t>其他环境</w:t>
            </w:r>
          </w:p>
          <w:p>
            <w:pPr>
              <w:pStyle w:val="50"/>
            </w:pPr>
            <w:r>
              <w:t>管理要求</w:t>
            </w:r>
          </w:p>
        </w:tc>
        <w:tc>
          <w:tcPr>
            <w:tcW w:w="7220" w:type="dxa"/>
            <w:gridSpan w:val="5"/>
            <w:vAlign w:val="center"/>
          </w:tcPr>
          <w:p>
            <w:pPr>
              <w:pStyle w:val="50"/>
            </w:pPr>
            <w:r>
              <w:rPr>
                <w:rFonts w:hint="eastAsia" w:ascii="宋体" w:hAnsi="宋体" w:cs="宋体"/>
              </w:rPr>
              <w:t>①</w:t>
            </w:r>
            <w:r>
              <w:t>本项目竣工后建设单位应依据《建设项目环境保护管理条例》（2017年10月1日起施行）和《建设项目竣工环境保护验收暂行办法》（国环规环评[2017]4号，2017年11月22日发布）、《建设项目竣工环境保护验收技术指南污染影响类》（公告2018年第9号，2018年5月16日印发），对配套建设的环境保护设施进行验收，编制验收报告。</w:t>
            </w:r>
          </w:p>
          <w:p>
            <w:pPr>
              <w:pStyle w:val="50"/>
            </w:pPr>
            <w:r>
              <w:rPr>
                <w:rFonts w:hint="eastAsia" w:ascii="宋体" w:hAnsi="宋体" w:cs="宋体"/>
              </w:rPr>
              <w:t>②</w:t>
            </w:r>
            <w:r>
              <w:t>根据《排污许可管理条例》（中华人民共和国国务院令第736号）、《排污许可管理办法（试行）》（部令第48号）、环境保护部办公厅《关于做好环境影响评价制度与排污许可制衔接相关工作的通知》（环办环评[2017]84号），建设项目发生实际排污行为之前，排污单位应当按照国家环境保护相关法律法规以及排污许可证申请与核发技术规范要求申请排污许可证，不得无证排污或不按证排污，环境保护部门通过对企事业单位发放排污许可证并依证监管实施排污许可制。</w:t>
            </w:r>
          </w:p>
          <w:p>
            <w:pPr>
              <w:pStyle w:val="50"/>
            </w:pPr>
            <w:r>
              <w:rPr>
                <w:rFonts w:hint="eastAsia" w:ascii="宋体" w:hAnsi="宋体" w:cs="宋体"/>
              </w:rPr>
              <w:t>③</w:t>
            </w:r>
            <w:r>
              <w:t>根据《固定污染源排污许可分类管理名录（2019年版）》，本项目竣工后在发生实际排污行为之前，建设单位应当按照国家环境保护相关法律法规以及排污许可证申请与核发技术规范要求登记内容。</w:t>
            </w:r>
          </w:p>
          <w:p>
            <w:pPr>
              <w:pStyle w:val="50"/>
            </w:pPr>
          </w:p>
        </w:tc>
      </w:tr>
    </w:tbl>
    <w:p>
      <w:pPr>
        <w:ind w:firstLine="0" w:firstLineChars="0"/>
        <w:sectPr>
          <w:pgSz w:w="11906" w:h="16838"/>
          <w:pgMar w:top="1440" w:right="1800" w:bottom="1440" w:left="1800" w:header="851" w:footer="992" w:gutter="0"/>
          <w:cols w:space="425" w:num="1"/>
          <w:docGrid w:type="lines" w:linePitch="312" w:charSpace="0"/>
        </w:sectPr>
      </w:pPr>
    </w:p>
    <w:p>
      <w:pPr>
        <w:pStyle w:val="2"/>
        <w:rPr>
          <w:snapToGrid w:val="0"/>
        </w:rPr>
      </w:pPr>
      <w:bookmarkStart w:id="15" w:name="_Toc29415"/>
      <w:bookmarkStart w:id="16" w:name="_Toc105443179"/>
      <w:r>
        <w:rPr>
          <w:snapToGrid w:val="0"/>
        </w:rPr>
        <w:t>六、结论</w:t>
      </w:r>
      <w:bookmarkEnd w:id="15"/>
      <w:bookmarkEnd w:id="16"/>
    </w:p>
    <w:tbl>
      <w:tblPr>
        <w:tblStyle w:val="2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pPr>
              <w:pStyle w:val="8"/>
              <w:spacing w:line="360" w:lineRule="auto"/>
              <w:ind w:firstLine="480" w:firstLineChars="200"/>
              <w:rPr>
                <w:bCs/>
                <w:sz w:val="24"/>
                <w:szCs w:val="32"/>
              </w:rPr>
            </w:pPr>
            <w:r>
              <w:rPr>
                <w:bCs/>
                <w:sz w:val="24"/>
                <w:szCs w:val="32"/>
              </w:rPr>
              <w:t>综上所述，项目总体污染程度较低，项目符合国家和地方的相关产业政策，选址符合“三线一单”和当地规划，所采用的污染防治措施合理可行，可确保污染物稳定达标排放；项目污染物的排放量符合控制要求，处理达标后的各项污染物对周围环境的影响较小，不会改变当地的环境功能区划，项目的环境风险较小且可以接受。在落实本报告表提出的各项污染防治措施、严格执行“三同时”制度的情况下，从环保角度分析，项目在拟建地的建设具备环境可行性。</w:t>
            </w:r>
          </w:p>
          <w:p>
            <w:pPr>
              <w:ind w:firstLine="480"/>
              <w:rPr>
                <w:bCs/>
                <w:kern w:val="0"/>
                <w:szCs w:val="20"/>
              </w:rPr>
            </w:pPr>
          </w:p>
          <w:p>
            <w:pPr>
              <w:pStyle w:val="4"/>
              <w:ind w:firstLine="482" w:firstLineChars="200"/>
              <w:rPr>
                <w:bCs w:val="0"/>
                <w:kern w:val="0"/>
                <w:szCs w:val="20"/>
              </w:rPr>
            </w:pPr>
          </w:p>
          <w:p>
            <w:pPr>
              <w:pStyle w:val="8"/>
              <w:ind w:firstLine="210"/>
            </w:pPr>
          </w:p>
        </w:tc>
      </w:tr>
    </w:tbl>
    <w:p>
      <w:pPr>
        <w:ind w:firstLine="0" w:firstLineChars="0"/>
        <w:sectPr>
          <w:pgSz w:w="11906" w:h="16838"/>
          <w:pgMar w:top="1440" w:right="1800" w:bottom="1440" w:left="1800" w:header="851" w:footer="992" w:gutter="0"/>
          <w:cols w:space="425" w:num="1"/>
          <w:docGrid w:type="lines" w:linePitch="312" w:charSpace="0"/>
        </w:sectPr>
      </w:pPr>
    </w:p>
    <w:p>
      <w:pPr>
        <w:pStyle w:val="2"/>
        <w:rPr>
          <w:snapToGrid w:val="0"/>
        </w:rPr>
      </w:pPr>
      <w:bookmarkStart w:id="17" w:name="_Toc3342"/>
      <w:bookmarkStart w:id="18" w:name="_Toc92049392"/>
      <w:bookmarkStart w:id="19" w:name="_Toc105443180"/>
      <w:r>
        <w:rPr>
          <w:snapToGrid w:val="0"/>
        </w:rPr>
        <w:t>附表</w:t>
      </w:r>
      <w:bookmarkEnd w:id="17"/>
      <w:bookmarkEnd w:id="18"/>
      <w:bookmarkEnd w:id="19"/>
    </w:p>
    <w:p>
      <w:pPr>
        <w:pStyle w:val="54"/>
        <w:spacing w:before="163"/>
      </w:pPr>
      <w:bookmarkStart w:id="20" w:name="_Toc19995"/>
      <w:bookmarkStart w:id="21" w:name="_Toc17087"/>
      <w:r>
        <w:t>建设项目污染物排放量汇总表</w:t>
      </w:r>
      <w:bookmarkEnd w:id="20"/>
      <w:bookmarkEnd w:id="21"/>
    </w:p>
    <w:tbl>
      <w:tblPr>
        <w:tblStyle w:val="28"/>
        <w:tblW w:w="1378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882"/>
        <w:gridCol w:w="9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tcBorders>
              <w:tl2br w:val="single" w:color="auto" w:sz="12" w:space="0"/>
            </w:tcBorders>
            <w:tcMar>
              <w:left w:w="28" w:type="dxa"/>
              <w:right w:w="28" w:type="dxa"/>
            </w:tcMar>
            <w:vAlign w:val="center"/>
          </w:tcPr>
          <w:p>
            <w:pPr>
              <w:pStyle w:val="50"/>
              <w:rPr>
                <w:snapToGrid w:val="0"/>
              </w:rPr>
            </w:pPr>
            <w:r>
              <w:rPr>
                <w:rFonts w:hint="eastAsia"/>
                <w:snapToGrid w:val="0"/>
              </w:rPr>
              <w:t xml:space="preserve"> </w:t>
            </w:r>
            <w:r>
              <w:rPr>
                <w:snapToGrid w:val="0"/>
              </w:rPr>
              <w:t xml:space="preserve">     项目</w:t>
            </w:r>
          </w:p>
          <w:p>
            <w:pPr>
              <w:pStyle w:val="50"/>
              <w:rPr>
                <w:snapToGrid w:val="0"/>
              </w:rPr>
            </w:pPr>
            <w:r>
              <w:rPr>
                <w:snapToGrid w:val="0"/>
              </w:rPr>
              <w:t>分类</w:t>
            </w:r>
          </w:p>
        </w:tc>
        <w:tc>
          <w:tcPr>
            <w:tcW w:w="1417" w:type="dxa"/>
            <w:tcMar>
              <w:left w:w="28" w:type="dxa"/>
              <w:right w:w="28" w:type="dxa"/>
            </w:tcMar>
            <w:vAlign w:val="center"/>
          </w:tcPr>
          <w:p>
            <w:pPr>
              <w:pStyle w:val="50"/>
              <w:rPr>
                <w:snapToGrid w:val="0"/>
              </w:rPr>
            </w:pPr>
            <w:r>
              <w:rPr>
                <w:snapToGrid w:val="0"/>
              </w:rPr>
              <w:t>污染物名称</w:t>
            </w:r>
          </w:p>
        </w:tc>
        <w:tc>
          <w:tcPr>
            <w:tcW w:w="1701" w:type="dxa"/>
            <w:tcMar>
              <w:left w:w="28" w:type="dxa"/>
              <w:right w:w="28" w:type="dxa"/>
            </w:tcMar>
            <w:vAlign w:val="center"/>
          </w:tcPr>
          <w:p>
            <w:pPr>
              <w:pStyle w:val="50"/>
              <w:rPr>
                <w:snapToGrid w:val="0"/>
              </w:rPr>
            </w:pPr>
            <w:r>
              <w:rPr>
                <w:snapToGrid w:val="0"/>
              </w:rPr>
              <w:t>现有工程</w:t>
            </w:r>
          </w:p>
          <w:p>
            <w:pPr>
              <w:pStyle w:val="50"/>
              <w:rPr>
                <w:snapToGrid w:val="0"/>
              </w:rPr>
            </w:pPr>
            <w:r>
              <w:rPr>
                <w:snapToGrid w:val="0"/>
              </w:rPr>
              <w:t>排放量（固体废物产生量）</w:t>
            </w:r>
            <w:r>
              <w:rPr>
                <w:snapToGrid w:val="0"/>
              </w:rPr>
              <w:fldChar w:fldCharType="begin"/>
            </w:r>
            <w:r>
              <w:rPr>
                <w:snapToGrid w:val="0"/>
              </w:rPr>
              <w:instrText xml:space="preserve"> = 1 \* GB3 \* MERGEFORMAT </w:instrText>
            </w:r>
            <w:r>
              <w:rPr>
                <w:snapToGrid w:val="0"/>
              </w:rPr>
              <w:fldChar w:fldCharType="separate"/>
            </w:r>
            <w:r>
              <w:rPr>
                <w:rFonts w:hint="eastAsia" w:hAnsi="宋体" w:cs="宋体"/>
              </w:rPr>
              <w:t>①</w:t>
            </w:r>
            <w:r>
              <w:rPr>
                <w:snapToGrid w:val="0"/>
              </w:rPr>
              <w:fldChar w:fldCharType="end"/>
            </w:r>
          </w:p>
        </w:tc>
        <w:tc>
          <w:tcPr>
            <w:tcW w:w="1276" w:type="dxa"/>
            <w:tcMar>
              <w:left w:w="28" w:type="dxa"/>
              <w:right w:w="28" w:type="dxa"/>
            </w:tcMar>
            <w:vAlign w:val="center"/>
          </w:tcPr>
          <w:p>
            <w:pPr>
              <w:pStyle w:val="50"/>
              <w:rPr>
                <w:snapToGrid w:val="0"/>
              </w:rPr>
            </w:pPr>
            <w:r>
              <w:rPr>
                <w:snapToGrid w:val="0"/>
              </w:rPr>
              <w:t>现有工程</w:t>
            </w:r>
          </w:p>
          <w:p>
            <w:pPr>
              <w:pStyle w:val="50"/>
              <w:rPr>
                <w:snapToGrid w:val="0"/>
              </w:rPr>
            </w:pPr>
            <w:r>
              <w:rPr>
                <w:snapToGrid w:val="0"/>
              </w:rPr>
              <w:t>许可排放量</w:t>
            </w:r>
          </w:p>
          <w:p>
            <w:pPr>
              <w:pStyle w:val="50"/>
              <w:rPr>
                <w:snapToGrid w:val="0"/>
              </w:rPr>
            </w:pPr>
            <w:r>
              <w:rPr>
                <w:snapToGrid w:val="0"/>
              </w:rPr>
              <w:fldChar w:fldCharType="begin"/>
            </w:r>
            <w:r>
              <w:rPr>
                <w:snapToGrid w:val="0"/>
              </w:rPr>
              <w:instrText xml:space="preserve"> = 2 \* GB3 \* MERGEFORMAT </w:instrText>
            </w:r>
            <w:r>
              <w:rPr>
                <w:snapToGrid w:val="0"/>
              </w:rPr>
              <w:fldChar w:fldCharType="separate"/>
            </w:r>
            <w:r>
              <w:rPr>
                <w:rFonts w:hint="eastAsia" w:hAnsi="宋体" w:cs="宋体"/>
                <w:snapToGrid w:val="0"/>
              </w:rPr>
              <w:t>②</w:t>
            </w:r>
            <w:r>
              <w:rPr>
                <w:snapToGrid w:val="0"/>
              </w:rPr>
              <w:fldChar w:fldCharType="end"/>
            </w:r>
          </w:p>
        </w:tc>
        <w:tc>
          <w:tcPr>
            <w:tcW w:w="1701" w:type="dxa"/>
            <w:tcMar>
              <w:left w:w="28" w:type="dxa"/>
              <w:right w:w="28" w:type="dxa"/>
            </w:tcMar>
            <w:vAlign w:val="center"/>
          </w:tcPr>
          <w:p>
            <w:pPr>
              <w:pStyle w:val="50"/>
              <w:rPr>
                <w:snapToGrid w:val="0"/>
              </w:rPr>
            </w:pPr>
            <w:r>
              <w:rPr>
                <w:snapToGrid w:val="0"/>
              </w:rPr>
              <w:t>在建工程</w:t>
            </w:r>
          </w:p>
          <w:p>
            <w:pPr>
              <w:pStyle w:val="50"/>
              <w:rPr>
                <w:snapToGrid w:val="0"/>
              </w:rPr>
            </w:pPr>
            <w:r>
              <w:rPr>
                <w:snapToGrid w:val="0"/>
              </w:rPr>
              <w:t>排放量（固体废物产生量）</w:t>
            </w:r>
            <w:r>
              <w:rPr>
                <w:snapToGrid w:val="0"/>
              </w:rPr>
              <w:fldChar w:fldCharType="begin"/>
            </w:r>
            <w:r>
              <w:rPr>
                <w:snapToGrid w:val="0"/>
              </w:rPr>
              <w:instrText xml:space="preserve"> = 3 \* GB3 \* MERGEFORMAT </w:instrText>
            </w:r>
            <w:r>
              <w:rPr>
                <w:snapToGrid w:val="0"/>
              </w:rPr>
              <w:fldChar w:fldCharType="separate"/>
            </w:r>
            <w:r>
              <w:rPr>
                <w:rFonts w:hint="eastAsia" w:hAnsi="宋体" w:cs="宋体"/>
              </w:rPr>
              <w:t>③</w:t>
            </w:r>
            <w:r>
              <w:rPr>
                <w:snapToGrid w:val="0"/>
              </w:rPr>
              <w:fldChar w:fldCharType="end"/>
            </w:r>
          </w:p>
        </w:tc>
        <w:tc>
          <w:tcPr>
            <w:tcW w:w="1559" w:type="dxa"/>
            <w:tcMar>
              <w:left w:w="28" w:type="dxa"/>
              <w:right w:w="28" w:type="dxa"/>
            </w:tcMar>
            <w:vAlign w:val="center"/>
          </w:tcPr>
          <w:p>
            <w:pPr>
              <w:pStyle w:val="50"/>
              <w:rPr>
                <w:snapToGrid w:val="0"/>
              </w:rPr>
            </w:pPr>
            <w:r>
              <w:rPr>
                <w:snapToGrid w:val="0"/>
              </w:rPr>
              <w:t>本项目</w:t>
            </w:r>
          </w:p>
          <w:p>
            <w:pPr>
              <w:pStyle w:val="50"/>
              <w:rPr>
                <w:snapToGrid w:val="0"/>
              </w:rPr>
            </w:pPr>
            <w:r>
              <w:rPr>
                <w:snapToGrid w:val="0"/>
              </w:rPr>
              <w:t>排放量（固体废物产生量）</w:t>
            </w:r>
            <w:r>
              <w:rPr>
                <w:snapToGrid w:val="0"/>
              </w:rPr>
              <w:fldChar w:fldCharType="begin"/>
            </w:r>
            <w:r>
              <w:rPr>
                <w:snapToGrid w:val="0"/>
              </w:rPr>
              <w:instrText xml:space="preserve"> = 4 \* GB3 \* MERGEFORMAT </w:instrText>
            </w:r>
            <w:r>
              <w:rPr>
                <w:snapToGrid w:val="0"/>
              </w:rPr>
              <w:fldChar w:fldCharType="separate"/>
            </w:r>
            <w:r>
              <w:rPr>
                <w:rFonts w:hint="eastAsia" w:hAnsi="宋体" w:cs="宋体"/>
              </w:rPr>
              <w:t>④</w:t>
            </w:r>
            <w:r>
              <w:rPr>
                <w:snapToGrid w:val="0"/>
              </w:rPr>
              <w:fldChar w:fldCharType="end"/>
            </w:r>
          </w:p>
        </w:tc>
        <w:tc>
          <w:tcPr>
            <w:tcW w:w="1761" w:type="dxa"/>
            <w:tcMar>
              <w:left w:w="28" w:type="dxa"/>
              <w:right w:w="28" w:type="dxa"/>
            </w:tcMar>
            <w:vAlign w:val="center"/>
          </w:tcPr>
          <w:p>
            <w:pPr>
              <w:pStyle w:val="50"/>
              <w:rPr>
                <w:snapToGrid w:val="0"/>
              </w:rPr>
            </w:pPr>
            <w:r>
              <w:rPr>
                <w:snapToGrid w:val="0"/>
              </w:rPr>
              <w:t>以新带老削减量</w:t>
            </w:r>
          </w:p>
          <w:p>
            <w:pPr>
              <w:pStyle w:val="50"/>
              <w:rPr>
                <w:snapToGrid w:val="0"/>
              </w:rPr>
            </w:pPr>
            <w:r>
              <w:rPr>
                <w:snapToGrid w:val="0"/>
              </w:rPr>
              <w:t>（新建项目不填）</w:t>
            </w:r>
            <w:r>
              <w:rPr>
                <w:snapToGrid w:val="0"/>
              </w:rPr>
              <w:fldChar w:fldCharType="begin"/>
            </w:r>
            <w:r>
              <w:rPr>
                <w:snapToGrid w:val="0"/>
              </w:rPr>
              <w:instrText xml:space="preserve"> = 5 \* GB3 \* MERGEFORMAT </w:instrText>
            </w:r>
            <w:r>
              <w:rPr>
                <w:snapToGrid w:val="0"/>
              </w:rPr>
              <w:fldChar w:fldCharType="separate"/>
            </w:r>
            <w:r>
              <w:rPr>
                <w:rFonts w:hint="eastAsia" w:hAnsi="宋体" w:cs="宋体"/>
              </w:rPr>
              <w:t>⑤</w:t>
            </w:r>
            <w:r>
              <w:rPr>
                <w:snapToGrid w:val="0"/>
              </w:rPr>
              <w:fldChar w:fldCharType="end"/>
            </w:r>
          </w:p>
        </w:tc>
        <w:tc>
          <w:tcPr>
            <w:tcW w:w="1882" w:type="dxa"/>
            <w:tcMar>
              <w:left w:w="28" w:type="dxa"/>
              <w:right w:w="28" w:type="dxa"/>
            </w:tcMar>
            <w:vAlign w:val="center"/>
          </w:tcPr>
          <w:p>
            <w:pPr>
              <w:pStyle w:val="50"/>
              <w:rPr>
                <w:snapToGrid w:val="0"/>
              </w:rPr>
            </w:pPr>
            <w:r>
              <w:rPr>
                <w:snapToGrid w:val="0"/>
              </w:rPr>
              <w:t>本项目建成后</w:t>
            </w:r>
          </w:p>
          <w:p>
            <w:pPr>
              <w:pStyle w:val="50"/>
              <w:rPr>
                <w:snapToGrid w:val="0"/>
              </w:rPr>
            </w:pPr>
            <w:r>
              <w:rPr>
                <w:snapToGrid w:val="0"/>
              </w:rPr>
              <w:t>全厂排放量（固体废物产生量）</w:t>
            </w:r>
            <w:r>
              <w:rPr>
                <w:snapToGrid w:val="0"/>
              </w:rPr>
              <w:fldChar w:fldCharType="begin"/>
            </w:r>
            <w:r>
              <w:rPr>
                <w:snapToGrid w:val="0"/>
              </w:rPr>
              <w:instrText xml:space="preserve"> = 6 \* GB3 \* MERGEFORMAT </w:instrText>
            </w:r>
            <w:r>
              <w:rPr>
                <w:snapToGrid w:val="0"/>
              </w:rPr>
              <w:fldChar w:fldCharType="separate"/>
            </w:r>
            <w:r>
              <w:rPr>
                <w:rFonts w:hint="eastAsia" w:hAnsi="宋体" w:cs="宋体"/>
              </w:rPr>
              <w:t>⑥</w:t>
            </w:r>
            <w:r>
              <w:rPr>
                <w:snapToGrid w:val="0"/>
              </w:rPr>
              <w:fldChar w:fldCharType="end"/>
            </w:r>
          </w:p>
        </w:tc>
        <w:tc>
          <w:tcPr>
            <w:tcW w:w="903" w:type="dxa"/>
            <w:tcMar>
              <w:left w:w="28" w:type="dxa"/>
              <w:right w:w="28" w:type="dxa"/>
            </w:tcMar>
            <w:vAlign w:val="center"/>
          </w:tcPr>
          <w:p>
            <w:pPr>
              <w:pStyle w:val="50"/>
              <w:rPr>
                <w:snapToGrid w:val="0"/>
              </w:rPr>
            </w:pPr>
            <w:r>
              <w:rPr>
                <w:snapToGrid w:val="0"/>
              </w:rPr>
              <w:t>变化量</w:t>
            </w:r>
          </w:p>
          <w:p>
            <w:pPr>
              <w:pStyle w:val="50"/>
              <w:rPr>
                <w:snapToGrid w:val="0"/>
              </w:rPr>
            </w:pPr>
            <w:r>
              <w:rPr>
                <w:snapToGrid w:val="0"/>
              </w:rPr>
              <w:fldChar w:fldCharType="begin"/>
            </w:r>
            <w:r>
              <w:rPr>
                <w:snapToGrid w:val="0"/>
              </w:rPr>
              <w:instrText xml:space="preserve"> = 7 \* GB3 \* MERGEFORMAT </w:instrText>
            </w:r>
            <w:r>
              <w:rPr>
                <w:snapToGrid w:val="0"/>
              </w:rPr>
              <w:fldChar w:fldCharType="separate"/>
            </w:r>
            <w:r>
              <w:rPr>
                <w:rFonts w:hint="eastAsia" w:hAnsi="宋体" w:cs="宋体"/>
              </w:rPr>
              <w:t>⑦</w:t>
            </w:r>
            <w:r>
              <w:rPr>
                <w:snapToGrid w:val="0"/>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restart"/>
            <w:vAlign w:val="center"/>
          </w:tcPr>
          <w:p>
            <w:pPr>
              <w:pStyle w:val="50"/>
              <w:rPr>
                <w:snapToGrid w:val="0"/>
              </w:rPr>
            </w:pPr>
            <w:r>
              <w:rPr>
                <w:snapToGrid w:val="0"/>
              </w:rPr>
              <w:t>废气</w:t>
            </w:r>
          </w:p>
        </w:tc>
        <w:tc>
          <w:tcPr>
            <w:tcW w:w="1417" w:type="dxa"/>
            <w:vAlign w:val="center"/>
          </w:tcPr>
          <w:p>
            <w:pPr>
              <w:pStyle w:val="50"/>
              <w:rPr>
                <w:snapToGrid w:val="0"/>
              </w:rPr>
            </w:pPr>
            <w:r>
              <w:rPr>
                <w:snapToGrid w:val="0"/>
              </w:rPr>
              <w:t>颗粒物</w:t>
            </w:r>
          </w:p>
        </w:tc>
        <w:tc>
          <w:tcPr>
            <w:tcW w:w="1701" w:type="dxa"/>
            <w:vAlign w:val="center"/>
          </w:tcPr>
          <w:p>
            <w:pPr>
              <w:pStyle w:val="50"/>
              <w:rPr>
                <w:snapToGrid w:val="0"/>
              </w:rPr>
            </w:pPr>
            <w:r>
              <w:rPr>
                <w:rFonts w:hint="eastAsia"/>
                <w:snapToGrid w:val="0"/>
              </w:rPr>
              <w:t>/</w:t>
            </w:r>
          </w:p>
        </w:tc>
        <w:tc>
          <w:tcPr>
            <w:tcW w:w="1276" w:type="dxa"/>
            <w:vAlign w:val="center"/>
          </w:tcPr>
          <w:p>
            <w:pPr>
              <w:pStyle w:val="50"/>
              <w:rPr>
                <w:snapToGrid w:val="0"/>
              </w:rPr>
            </w:pPr>
            <w:r>
              <w:rPr>
                <w:rFonts w:hint="eastAsia"/>
                <w:snapToGrid w:val="0"/>
              </w:rPr>
              <w:t>/</w:t>
            </w:r>
          </w:p>
        </w:tc>
        <w:tc>
          <w:tcPr>
            <w:tcW w:w="1701" w:type="dxa"/>
            <w:vAlign w:val="center"/>
          </w:tcPr>
          <w:p>
            <w:pPr>
              <w:pStyle w:val="50"/>
              <w:rPr>
                <w:snapToGrid w:val="0"/>
              </w:rPr>
            </w:pPr>
            <w:r>
              <w:rPr>
                <w:rFonts w:hint="eastAsia"/>
                <w:snapToGrid w:val="0"/>
              </w:rPr>
              <w:t>/</w:t>
            </w:r>
          </w:p>
        </w:tc>
        <w:tc>
          <w:tcPr>
            <w:tcW w:w="1559" w:type="dxa"/>
            <w:vAlign w:val="center"/>
          </w:tcPr>
          <w:p>
            <w:pPr>
              <w:pStyle w:val="50"/>
              <w:rPr>
                <w:snapToGrid w:val="0"/>
              </w:rPr>
            </w:pPr>
            <w:r>
              <w:rPr>
                <w:snapToGrid w:val="0"/>
              </w:rPr>
              <w:t>0.167</w:t>
            </w:r>
          </w:p>
        </w:tc>
        <w:tc>
          <w:tcPr>
            <w:tcW w:w="1761" w:type="dxa"/>
            <w:vAlign w:val="center"/>
          </w:tcPr>
          <w:p>
            <w:pPr>
              <w:pStyle w:val="50"/>
              <w:rPr>
                <w:snapToGrid w:val="0"/>
              </w:rPr>
            </w:pPr>
            <w:r>
              <w:rPr>
                <w:rFonts w:hint="eastAsia"/>
                <w:snapToGrid w:val="0"/>
              </w:rPr>
              <w:t>/</w:t>
            </w:r>
          </w:p>
        </w:tc>
        <w:tc>
          <w:tcPr>
            <w:tcW w:w="1882" w:type="dxa"/>
            <w:vAlign w:val="center"/>
          </w:tcPr>
          <w:p>
            <w:pPr>
              <w:pStyle w:val="50"/>
              <w:rPr>
                <w:snapToGrid w:val="0"/>
              </w:rPr>
            </w:pPr>
            <w:r>
              <w:rPr>
                <w:snapToGrid w:val="0"/>
              </w:rPr>
              <w:t>0.167</w:t>
            </w:r>
          </w:p>
        </w:tc>
        <w:tc>
          <w:tcPr>
            <w:tcW w:w="903" w:type="dxa"/>
            <w:vAlign w:val="center"/>
          </w:tcPr>
          <w:p>
            <w:pPr>
              <w:pStyle w:val="50"/>
              <w:rPr>
                <w:snapToGrid w:val="0"/>
              </w:rPr>
            </w:pPr>
            <w:r>
              <w:rPr>
                <w:rFonts w:hint="eastAsia"/>
                <w:snapToGrid w:val="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50"/>
              <w:rPr>
                <w:snapToGrid w:val="0"/>
              </w:rPr>
            </w:pPr>
          </w:p>
        </w:tc>
        <w:tc>
          <w:tcPr>
            <w:tcW w:w="1417" w:type="dxa"/>
            <w:vAlign w:val="center"/>
          </w:tcPr>
          <w:p>
            <w:pPr>
              <w:pStyle w:val="50"/>
              <w:rPr>
                <w:snapToGrid w:val="0"/>
              </w:rPr>
            </w:pPr>
            <w:r>
              <w:rPr>
                <w:rFonts w:hint="eastAsia"/>
                <w:snapToGrid w:val="0"/>
              </w:rPr>
              <w:t>NMHC</w:t>
            </w:r>
          </w:p>
        </w:tc>
        <w:tc>
          <w:tcPr>
            <w:tcW w:w="1701" w:type="dxa"/>
            <w:vAlign w:val="center"/>
          </w:tcPr>
          <w:p>
            <w:pPr>
              <w:pStyle w:val="50"/>
              <w:rPr>
                <w:snapToGrid w:val="0"/>
              </w:rPr>
            </w:pPr>
            <w:r>
              <w:rPr>
                <w:rFonts w:hint="eastAsia"/>
                <w:snapToGrid w:val="0"/>
              </w:rPr>
              <w:t>/</w:t>
            </w:r>
          </w:p>
        </w:tc>
        <w:tc>
          <w:tcPr>
            <w:tcW w:w="1276" w:type="dxa"/>
            <w:vAlign w:val="center"/>
          </w:tcPr>
          <w:p>
            <w:pPr>
              <w:pStyle w:val="50"/>
              <w:rPr>
                <w:snapToGrid w:val="0"/>
              </w:rPr>
            </w:pPr>
            <w:r>
              <w:rPr>
                <w:rFonts w:hint="eastAsia"/>
                <w:snapToGrid w:val="0"/>
              </w:rPr>
              <w:t>/</w:t>
            </w:r>
          </w:p>
        </w:tc>
        <w:tc>
          <w:tcPr>
            <w:tcW w:w="1701" w:type="dxa"/>
            <w:vAlign w:val="center"/>
          </w:tcPr>
          <w:p>
            <w:pPr>
              <w:pStyle w:val="50"/>
              <w:rPr>
                <w:snapToGrid w:val="0"/>
              </w:rPr>
            </w:pPr>
            <w:r>
              <w:rPr>
                <w:rFonts w:hint="eastAsia"/>
                <w:snapToGrid w:val="0"/>
              </w:rPr>
              <w:t>/</w:t>
            </w:r>
          </w:p>
        </w:tc>
        <w:tc>
          <w:tcPr>
            <w:tcW w:w="1559" w:type="dxa"/>
            <w:vAlign w:val="center"/>
          </w:tcPr>
          <w:p>
            <w:pPr>
              <w:pStyle w:val="50"/>
              <w:rPr>
                <w:snapToGrid w:val="0"/>
              </w:rPr>
            </w:pPr>
            <w:r>
              <w:rPr>
                <w:snapToGrid w:val="0"/>
              </w:rPr>
              <w:t>0.04</w:t>
            </w:r>
          </w:p>
        </w:tc>
        <w:tc>
          <w:tcPr>
            <w:tcW w:w="1761" w:type="dxa"/>
            <w:vAlign w:val="center"/>
          </w:tcPr>
          <w:p>
            <w:pPr>
              <w:pStyle w:val="50"/>
              <w:rPr>
                <w:snapToGrid w:val="0"/>
              </w:rPr>
            </w:pPr>
            <w:r>
              <w:rPr>
                <w:rFonts w:hint="eastAsia"/>
                <w:snapToGrid w:val="0"/>
              </w:rPr>
              <w:t>/</w:t>
            </w:r>
          </w:p>
        </w:tc>
        <w:tc>
          <w:tcPr>
            <w:tcW w:w="1882" w:type="dxa"/>
            <w:vAlign w:val="center"/>
          </w:tcPr>
          <w:p>
            <w:pPr>
              <w:pStyle w:val="50"/>
              <w:rPr>
                <w:snapToGrid w:val="0"/>
              </w:rPr>
            </w:pPr>
            <w:r>
              <w:rPr>
                <w:snapToGrid w:val="0"/>
              </w:rPr>
              <w:t>0.04</w:t>
            </w:r>
          </w:p>
        </w:tc>
        <w:tc>
          <w:tcPr>
            <w:tcW w:w="903" w:type="dxa"/>
            <w:vAlign w:val="center"/>
          </w:tcPr>
          <w:p>
            <w:pPr>
              <w:pStyle w:val="50"/>
              <w:rPr>
                <w:snapToGrid w:val="0"/>
              </w:rPr>
            </w:pPr>
            <w:r>
              <w:rPr>
                <w:rFonts w:hint="eastAsia"/>
                <w:snapToGrid w:val="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Align w:val="center"/>
          </w:tcPr>
          <w:p>
            <w:pPr>
              <w:pStyle w:val="50"/>
              <w:rPr>
                <w:snapToGrid w:val="0"/>
              </w:rPr>
            </w:pPr>
            <w:r>
              <w:rPr>
                <w:snapToGrid w:val="0"/>
              </w:rPr>
              <w:t>废水</w:t>
            </w:r>
          </w:p>
        </w:tc>
        <w:tc>
          <w:tcPr>
            <w:tcW w:w="1417" w:type="dxa"/>
            <w:vAlign w:val="center"/>
          </w:tcPr>
          <w:p>
            <w:pPr>
              <w:pStyle w:val="50"/>
              <w:rPr>
                <w:snapToGrid w:val="0"/>
              </w:rPr>
            </w:pPr>
            <w:r>
              <w:rPr>
                <w:snapToGrid w:val="0"/>
              </w:rPr>
              <w:t>/</w:t>
            </w:r>
          </w:p>
        </w:tc>
        <w:tc>
          <w:tcPr>
            <w:tcW w:w="1701" w:type="dxa"/>
            <w:vAlign w:val="center"/>
          </w:tcPr>
          <w:p>
            <w:pPr>
              <w:pStyle w:val="50"/>
              <w:rPr>
                <w:snapToGrid w:val="0"/>
              </w:rPr>
            </w:pPr>
            <w:r>
              <w:rPr>
                <w:rFonts w:hint="eastAsia"/>
                <w:snapToGrid w:val="0"/>
              </w:rPr>
              <w:t>/</w:t>
            </w:r>
          </w:p>
        </w:tc>
        <w:tc>
          <w:tcPr>
            <w:tcW w:w="1276" w:type="dxa"/>
            <w:vAlign w:val="center"/>
          </w:tcPr>
          <w:p>
            <w:pPr>
              <w:pStyle w:val="50"/>
              <w:rPr>
                <w:snapToGrid w:val="0"/>
              </w:rPr>
            </w:pPr>
            <w:r>
              <w:rPr>
                <w:rFonts w:hint="eastAsia"/>
                <w:snapToGrid w:val="0"/>
              </w:rPr>
              <w:t>/</w:t>
            </w:r>
          </w:p>
        </w:tc>
        <w:tc>
          <w:tcPr>
            <w:tcW w:w="1701" w:type="dxa"/>
            <w:vAlign w:val="center"/>
          </w:tcPr>
          <w:p>
            <w:pPr>
              <w:pStyle w:val="50"/>
              <w:rPr>
                <w:snapToGrid w:val="0"/>
              </w:rPr>
            </w:pPr>
            <w:r>
              <w:rPr>
                <w:rFonts w:hint="eastAsia"/>
                <w:snapToGrid w:val="0"/>
              </w:rPr>
              <w:t>/</w:t>
            </w:r>
          </w:p>
        </w:tc>
        <w:tc>
          <w:tcPr>
            <w:tcW w:w="1559" w:type="dxa"/>
            <w:vAlign w:val="center"/>
          </w:tcPr>
          <w:p>
            <w:pPr>
              <w:pStyle w:val="50"/>
              <w:rPr>
                <w:snapToGrid w:val="0"/>
              </w:rPr>
            </w:pPr>
            <w:r>
              <w:rPr>
                <w:rFonts w:hint="eastAsia"/>
                <w:snapToGrid w:val="0"/>
              </w:rPr>
              <w:t>/</w:t>
            </w:r>
          </w:p>
        </w:tc>
        <w:tc>
          <w:tcPr>
            <w:tcW w:w="1761" w:type="dxa"/>
            <w:vAlign w:val="center"/>
          </w:tcPr>
          <w:p>
            <w:pPr>
              <w:pStyle w:val="50"/>
              <w:rPr>
                <w:snapToGrid w:val="0"/>
              </w:rPr>
            </w:pPr>
            <w:r>
              <w:rPr>
                <w:rFonts w:hint="eastAsia"/>
                <w:snapToGrid w:val="0"/>
              </w:rPr>
              <w:t>/</w:t>
            </w:r>
          </w:p>
        </w:tc>
        <w:tc>
          <w:tcPr>
            <w:tcW w:w="1882" w:type="dxa"/>
            <w:vAlign w:val="center"/>
          </w:tcPr>
          <w:p>
            <w:pPr>
              <w:pStyle w:val="50"/>
              <w:rPr>
                <w:snapToGrid w:val="0"/>
              </w:rPr>
            </w:pPr>
            <w:r>
              <w:rPr>
                <w:rFonts w:hint="eastAsia"/>
                <w:snapToGrid w:val="0"/>
              </w:rPr>
              <w:t>/</w:t>
            </w:r>
          </w:p>
        </w:tc>
        <w:tc>
          <w:tcPr>
            <w:tcW w:w="903" w:type="dxa"/>
            <w:vAlign w:val="center"/>
          </w:tcPr>
          <w:p>
            <w:pPr>
              <w:pStyle w:val="50"/>
              <w:rPr>
                <w:snapToGrid w:val="0"/>
              </w:rPr>
            </w:pPr>
            <w:r>
              <w:rPr>
                <w:rFonts w:hint="eastAsia"/>
                <w:snapToGrid w:val="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restart"/>
            <w:vAlign w:val="center"/>
          </w:tcPr>
          <w:p>
            <w:pPr>
              <w:pStyle w:val="50"/>
              <w:rPr>
                <w:snapToGrid w:val="0"/>
              </w:rPr>
            </w:pPr>
            <w:r>
              <w:rPr>
                <w:snapToGrid w:val="0"/>
              </w:rPr>
              <w:t>一般工业固体废物</w:t>
            </w:r>
          </w:p>
        </w:tc>
        <w:tc>
          <w:tcPr>
            <w:tcW w:w="1417" w:type="dxa"/>
            <w:vAlign w:val="center"/>
          </w:tcPr>
          <w:p>
            <w:pPr>
              <w:pStyle w:val="50"/>
              <w:rPr>
                <w:snapToGrid w:val="0"/>
              </w:rPr>
            </w:pPr>
            <w:r>
              <w:rPr>
                <w:rFonts w:hint="eastAsia"/>
              </w:rPr>
              <w:t>边角料/不合格产品</w:t>
            </w:r>
          </w:p>
        </w:tc>
        <w:tc>
          <w:tcPr>
            <w:tcW w:w="1701" w:type="dxa"/>
            <w:vAlign w:val="center"/>
          </w:tcPr>
          <w:p>
            <w:pPr>
              <w:pStyle w:val="50"/>
              <w:rPr>
                <w:snapToGrid w:val="0"/>
              </w:rPr>
            </w:pPr>
            <w:r>
              <w:rPr>
                <w:rFonts w:hint="eastAsia"/>
                <w:snapToGrid w:val="0"/>
              </w:rPr>
              <w:t>/</w:t>
            </w:r>
          </w:p>
        </w:tc>
        <w:tc>
          <w:tcPr>
            <w:tcW w:w="1276" w:type="dxa"/>
            <w:vAlign w:val="center"/>
          </w:tcPr>
          <w:p>
            <w:pPr>
              <w:pStyle w:val="50"/>
              <w:rPr>
                <w:snapToGrid w:val="0"/>
              </w:rPr>
            </w:pPr>
            <w:r>
              <w:rPr>
                <w:rFonts w:hint="eastAsia"/>
                <w:snapToGrid w:val="0"/>
              </w:rPr>
              <w:t>/</w:t>
            </w:r>
          </w:p>
        </w:tc>
        <w:tc>
          <w:tcPr>
            <w:tcW w:w="1701" w:type="dxa"/>
            <w:vAlign w:val="center"/>
          </w:tcPr>
          <w:p>
            <w:pPr>
              <w:pStyle w:val="50"/>
              <w:rPr>
                <w:snapToGrid w:val="0"/>
              </w:rPr>
            </w:pPr>
            <w:r>
              <w:rPr>
                <w:rFonts w:hint="eastAsia"/>
                <w:snapToGrid w:val="0"/>
              </w:rPr>
              <w:t>/</w:t>
            </w:r>
          </w:p>
        </w:tc>
        <w:tc>
          <w:tcPr>
            <w:tcW w:w="1559" w:type="dxa"/>
            <w:vAlign w:val="center"/>
          </w:tcPr>
          <w:p>
            <w:pPr>
              <w:pStyle w:val="50"/>
              <w:rPr>
                <w:snapToGrid w:val="0"/>
              </w:rPr>
            </w:pPr>
            <w:r>
              <w:rPr>
                <w:rFonts w:hint="eastAsia"/>
              </w:rPr>
              <w:t>6</w:t>
            </w:r>
            <w:r>
              <w:t>.83</w:t>
            </w:r>
          </w:p>
        </w:tc>
        <w:tc>
          <w:tcPr>
            <w:tcW w:w="1761" w:type="dxa"/>
            <w:vAlign w:val="center"/>
          </w:tcPr>
          <w:p>
            <w:pPr>
              <w:pStyle w:val="50"/>
              <w:rPr>
                <w:snapToGrid w:val="0"/>
              </w:rPr>
            </w:pPr>
            <w:r>
              <w:rPr>
                <w:rFonts w:hint="eastAsia"/>
                <w:snapToGrid w:val="0"/>
              </w:rPr>
              <w:t>/</w:t>
            </w:r>
          </w:p>
        </w:tc>
        <w:tc>
          <w:tcPr>
            <w:tcW w:w="1882" w:type="dxa"/>
            <w:vAlign w:val="center"/>
          </w:tcPr>
          <w:p>
            <w:pPr>
              <w:pStyle w:val="50"/>
              <w:rPr>
                <w:snapToGrid w:val="0"/>
              </w:rPr>
            </w:pPr>
            <w:r>
              <w:rPr>
                <w:rFonts w:hint="eastAsia"/>
              </w:rPr>
              <w:t>6</w:t>
            </w:r>
            <w:r>
              <w:t>.83</w:t>
            </w:r>
          </w:p>
        </w:tc>
        <w:tc>
          <w:tcPr>
            <w:tcW w:w="903" w:type="dxa"/>
            <w:vAlign w:val="center"/>
          </w:tcPr>
          <w:p>
            <w:pPr>
              <w:pStyle w:val="50"/>
              <w:rPr>
                <w:snapToGrid w:val="0"/>
              </w:rPr>
            </w:pPr>
            <w:r>
              <w:rPr>
                <w:rFonts w:hint="eastAsia"/>
                <w:snapToGrid w:val="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50"/>
              <w:rPr>
                <w:snapToGrid w:val="0"/>
              </w:rPr>
            </w:pPr>
          </w:p>
        </w:tc>
        <w:tc>
          <w:tcPr>
            <w:tcW w:w="1417" w:type="dxa"/>
            <w:vAlign w:val="center"/>
          </w:tcPr>
          <w:p>
            <w:pPr>
              <w:pStyle w:val="50"/>
              <w:rPr>
                <w:snapToGrid w:val="0"/>
              </w:rPr>
            </w:pPr>
            <w:r>
              <w:rPr>
                <w:rFonts w:hint="eastAsia"/>
              </w:rPr>
              <w:t>废原料包装袋</w:t>
            </w:r>
          </w:p>
        </w:tc>
        <w:tc>
          <w:tcPr>
            <w:tcW w:w="1701" w:type="dxa"/>
            <w:vAlign w:val="center"/>
          </w:tcPr>
          <w:p>
            <w:pPr>
              <w:pStyle w:val="50"/>
              <w:rPr>
                <w:snapToGrid w:val="0"/>
              </w:rPr>
            </w:pPr>
            <w:r>
              <w:rPr>
                <w:rFonts w:hint="eastAsia"/>
                <w:snapToGrid w:val="0"/>
              </w:rPr>
              <w:t>/</w:t>
            </w:r>
          </w:p>
        </w:tc>
        <w:tc>
          <w:tcPr>
            <w:tcW w:w="1276" w:type="dxa"/>
            <w:vAlign w:val="center"/>
          </w:tcPr>
          <w:p>
            <w:pPr>
              <w:pStyle w:val="50"/>
              <w:rPr>
                <w:snapToGrid w:val="0"/>
              </w:rPr>
            </w:pPr>
            <w:r>
              <w:rPr>
                <w:rFonts w:hint="eastAsia"/>
                <w:snapToGrid w:val="0"/>
              </w:rPr>
              <w:t>/</w:t>
            </w:r>
          </w:p>
        </w:tc>
        <w:tc>
          <w:tcPr>
            <w:tcW w:w="1701" w:type="dxa"/>
            <w:vAlign w:val="center"/>
          </w:tcPr>
          <w:p>
            <w:pPr>
              <w:pStyle w:val="50"/>
              <w:rPr>
                <w:snapToGrid w:val="0"/>
              </w:rPr>
            </w:pPr>
            <w:r>
              <w:rPr>
                <w:rFonts w:hint="eastAsia"/>
                <w:snapToGrid w:val="0"/>
              </w:rPr>
              <w:t>/</w:t>
            </w:r>
          </w:p>
        </w:tc>
        <w:tc>
          <w:tcPr>
            <w:tcW w:w="1559" w:type="dxa"/>
            <w:vAlign w:val="center"/>
          </w:tcPr>
          <w:p>
            <w:pPr>
              <w:pStyle w:val="50"/>
              <w:rPr>
                <w:snapToGrid w:val="0"/>
              </w:rPr>
            </w:pPr>
            <w:r>
              <w:rPr>
                <w:rFonts w:hint="eastAsia"/>
              </w:rPr>
              <w:t>1</w:t>
            </w:r>
            <w:r>
              <w:t>.44</w:t>
            </w:r>
          </w:p>
        </w:tc>
        <w:tc>
          <w:tcPr>
            <w:tcW w:w="1761" w:type="dxa"/>
            <w:vAlign w:val="center"/>
          </w:tcPr>
          <w:p>
            <w:pPr>
              <w:pStyle w:val="50"/>
              <w:rPr>
                <w:snapToGrid w:val="0"/>
              </w:rPr>
            </w:pPr>
            <w:r>
              <w:rPr>
                <w:rFonts w:hint="eastAsia"/>
                <w:snapToGrid w:val="0"/>
              </w:rPr>
              <w:t>/</w:t>
            </w:r>
          </w:p>
        </w:tc>
        <w:tc>
          <w:tcPr>
            <w:tcW w:w="1882" w:type="dxa"/>
            <w:vAlign w:val="center"/>
          </w:tcPr>
          <w:p>
            <w:pPr>
              <w:pStyle w:val="50"/>
              <w:rPr>
                <w:snapToGrid w:val="0"/>
              </w:rPr>
            </w:pPr>
            <w:r>
              <w:rPr>
                <w:rFonts w:hint="eastAsia"/>
              </w:rPr>
              <w:t>1</w:t>
            </w:r>
            <w:r>
              <w:t>.44</w:t>
            </w:r>
          </w:p>
        </w:tc>
        <w:tc>
          <w:tcPr>
            <w:tcW w:w="903" w:type="dxa"/>
            <w:vAlign w:val="center"/>
          </w:tcPr>
          <w:p>
            <w:pPr>
              <w:pStyle w:val="50"/>
              <w:rPr>
                <w:snapToGrid w:val="0"/>
              </w:rPr>
            </w:pPr>
            <w:r>
              <w:rPr>
                <w:rFonts w:hint="eastAsia"/>
                <w:snapToGrid w:val="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restart"/>
            <w:vAlign w:val="center"/>
          </w:tcPr>
          <w:p>
            <w:pPr>
              <w:pStyle w:val="50"/>
              <w:rPr>
                <w:snapToGrid w:val="0"/>
              </w:rPr>
            </w:pPr>
            <w:r>
              <w:rPr>
                <w:snapToGrid w:val="0"/>
              </w:rPr>
              <w:t>危险废物</w:t>
            </w:r>
          </w:p>
        </w:tc>
        <w:tc>
          <w:tcPr>
            <w:tcW w:w="1417" w:type="dxa"/>
            <w:vAlign w:val="center"/>
          </w:tcPr>
          <w:p>
            <w:pPr>
              <w:pStyle w:val="50"/>
              <w:rPr>
                <w:snapToGrid w:val="0"/>
              </w:rPr>
            </w:pPr>
            <w:r>
              <w:rPr>
                <w:rFonts w:hint="eastAsia"/>
              </w:rPr>
              <w:t>废活性炭</w:t>
            </w:r>
          </w:p>
        </w:tc>
        <w:tc>
          <w:tcPr>
            <w:tcW w:w="1701" w:type="dxa"/>
            <w:vAlign w:val="center"/>
          </w:tcPr>
          <w:p>
            <w:pPr>
              <w:pStyle w:val="50"/>
              <w:rPr>
                <w:snapToGrid w:val="0"/>
              </w:rPr>
            </w:pPr>
            <w:r>
              <w:rPr>
                <w:rFonts w:hint="eastAsia"/>
                <w:snapToGrid w:val="0"/>
              </w:rPr>
              <w:t>/</w:t>
            </w:r>
          </w:p>
        </w:tc>
        <w:tc>
          <w:tcPr>
            <w:tcW w:w="1276" w:type="dxa"/>
            <w:vAlign w:val="center"/>
          </w:tcPr>
          <w:p>
            <w:pPr>
              <w:pStyle w:val="50"/>
              <w:rPr>
                <w:snapToGrid w:val="0"/>
              </w:rPr>
            </w:pPr>
            <w:r>
              <w:rPr>
                <w:rFonts w:hint="eastAsia"/>
                <w:snapToGrid w:val="0"/>
              </w:rPr>
              <w:t>/</w:t>
            </w:r>
          </w:p>
        </w:tc>
        <w:tc>
          <w:tcPr>
            <w:tcW w:w="1701" w:type="dxa"/>
            <w:vAlign w:val="center"/>
          </w:tcPr>
          <w:p>
            <w:pPr>
              <w:pStyle w:val="50"/>
              <w:rPr>
                <w:snapToGrid w:val="0"/>
              </w:rPr>
            </w:pPr>
            <w:r>
              <w:rPr>
                <w:rFonts w:hint="eastAsia"/>
                <w:snapToGrid w:val="0"/>
              </w:rPr>
              <w:t>/</w:t>
            </w:r>
          </w:p>
        </w:tc>
        <w:tc>
          <w:tcPr>
            <w:tcW w:w="1559" w:type="dxa"/>
            <w:vAlign w:val="center"/>
          </w:tcPr>
          <w:p>
            <w:pPr>
              <w:pStyle w:val="50"/>
              <w:rPr>
                <w:snapToGrid w:val="0"/>
              </w:rPr>
            </w:pPr>
            <w:r>
              <w:t>0.4</w:t>
            </w:r>
          </w:p>
        </w:tc>
        <w:tc>
          <w:tcPr>
            <w:tcW w:w="1761" w:type="dxa"/>
            <w:vAlign w:val="center"/>
          </w:tcPr>
          <w:p>
            <w:pPr>
              <w:pStyle w:val="50"/>
              <w:rPr>
                <w:snapToGrid w:val="0"/>
              </w:rPr>
            </w:pPr>
            <w:r>
              <w:rPr>
                <w:rFonts w:hint="eastAsia"/>
                <w:snapToGrid w:val="0"/>
              </w:rPr>
              <w:t>/</w:t>
            </w:r>
          </w:p>
        </w:tc>
        <w:tc>
          <w:tcPr>
            <w:tcW w:w="1882" w:type="dxa"/>
            <w:vAlign w:val="center"/>
          </w:tcPr>
          <w:p>
            <w:pPr>
              <w:pStyle w:val="50"/>
              <w:rPr>
                <w:snapToGrid w:val="0"/>
              </w:rPr>
            </w:pPr>
            <w:r>
              <w:t>0.4</w:t>
            </w:r>
          </w:p>
        </w:tc>
        <w:tc>
          <w:tcPr>
            <w:tcW w:w="903" w:type="dxa"/>
            <w:vAlign w:val="center"/>
          </w:tcPr>
          <w:p>
            <w:pPr>
              <w:pStyle w:val="50"/>
              <w:rPr>
                <w:snapToGrid w:val="0"/>
              </w:rPr>
            </w:pPr>
            <w:r>
              <w:rPr>
                <w:rFonts w:hint="eastAsia"/>
                <w:snapToGrid w:val="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88" w:type="dxa"/>
            <w:vMerge w:val="continue"/>
            <w:vAlign w:val="center"/>
          </w:tcPr>
          <w:p>
            <w:pPr>
              <w:pStyle w:val="50"/>
              <w:rPr>
                <w:snapToGrid w:val="0"/>
              </w:rPr>
            </w:pPr>
          </w:p>
        </w:tc>
        <w:tc>
          <w:tcPr>
            <w:tcW w:w="1417" w:type="dxa"/>
            <w:vAlign w:val="center"/>
          </w:tcPr>
          <w:p>
            <w:pPr>
              <w:pStyle w:val="50"/>
              <w:rPr>
                <w:snapToGrid w:val="0"/>
              </w:rPr>
            </w:pPr>
            <w:r>
              <w:rPr>
                <w:rFonts w:hint="eastAsia"/>
              </w:rPr>
              <w:t>废机油</w:t>
            </w:r>
          </w:p>
        </w:tc>
        <w:tc>
          <w:tcPr>
            <w:tcW w:w="1701" w:type="dxa"/>
          </w:tcPr>
          <w:p>
            <w:pPr>
              <w:pStyle w:val="50"/>
              <w:rPr>
                <w:snapToGrid w:val="0"/>
              </w:rPr>
            </w:pPr>
            <w:r>
              <w:rPr>
                <w:rFonts w:hint="eastAsia"/>
                <w:snapToGrid w:val="0"/>
              </w:rPr>
              <w:t>/</w:t>
            </w:r>
          </w:p>
        </w:tc>
        <w:tc>
          <w:tcPr>
            <w:tcW w:w="1276" w:type="dxa"/>
          </w:tcPr>
          <w:p>
            <w:pPr>
              <w:pStyle w:val="50"/>
              <w:rPr>
                <w:snapToGrid w:val="0"/>
              </w:rPr>
            </w:pPr>
            <w:r>
              <w:rPr>
                <w:rFonts w:hint="eastAsia"/>
                <w:snapToGrid w:val="0"/>
              </w:rPr>
              <w:t>/</w:t>
            </w:r>
          </w:p>
        </w:tc>
        <w:tc>
          <w:tcPr>
            <w:tcW w:w="1701" w:type="dxa"/>
          </w:tcPr>
          <w:p>
            <w:pPr>
              <w:pStyle w:val="50"/>
              <w:rPr>
                <w:snapToGrid w:val="0"/>
              </w:rPr>
            </w:pPr>
            <w:r>
              <w:rPr>
                <w:rFonts w:hint="eastAsia"/>
                <w:snapToGrid w:val="0"/>
              </w:rPr>
              <w:t>/</w:t>
            </w:r>
          </w:p>
        </w:tc>
        <w:tc>
          <w:tcPr>
            <w:tcW w:w="1559" w:type="dxa"/>
            <w:vAlign w:val="center"/>
          </w:tcPr>
          <w:p>
            <w:pPr>
              <w:pStyle w:val="50"/>
              <w:rPr>
                <w:snapToGrid w:val="0"/>
              </w:rPr>
            </w:pPr>
            <w:r>
              <w:rPr>
                <w:rFonts w:hint="eastAsia"/>
              </w:rPr>
              <w:t>0</w:t>
            </w:r>
            <w:r>
              <w:t>.3</w:t>
            </w:r>
          </w:p>
        </w:tc>
        <w:tc>
          <w:tcPr>
            <w:tcW w:w="1761" w:type="dxa"/>
            <w:vAlign w:val="center"/>
          </w:tcPr>
          <w:p>
            <w:pPr>
              <w:pStyle w:val="50"/>
              <w:rPr>
                <w:snapToGrid w:val="0"/>
              </w:rPr>
            </w:pPr>
            <w:r>
              <w:rPr>
                <w:rFonts w:hint="eastAsia"/>
                <w:snapToGrid w:val="0"/>
              </w:rPr>
              <w:t>/</w:t>
            </w:r>
          </w:p>
        </w:tc>
        <w:tc>
          <w:tcPr>
            <w:tcW w:w="1882" w:type="dxa"/>
            <w:vAlign w:val="center"/>
          </w:tcPr>
          <w:p>
            <w:pPr>
              <w:pStyle w:val="50"/>
              <w:rPr>
                <w:snapToGrid w:val="0"/>
              </w:rPr>
            </w:pPr>
            <w:r>
              <w:rPr>
                <w:rFonts w:hint="eastAsia"/>
              </w:rPr>
              <w:t>0</w:t>
            </w:r>
            <w:r>
              <w:t>.3</w:t>
            </w:r>
          </w:p>
        </w:tc>
        <w:tc>
          <w:tcPr>
            <w:tcW w:w="903" w:type="dxa"/>
            <w:vAlign w:val="center"/>
          </w:tcPr>
          <w:p>
            <w:pPr>
              <w:pStyle w:val="50"/>
              <w:rPr>
                <w:snapToGrid w:val="0"/>
              </w:rPr>
            </w:pPr>
            <w:r>
              <w:rPr>
                <w:rFonts w:hint="eastAsia"/>
                <w:snapToGrid w:val="0"/>
              </w:rPr>
              <w:t>/</w:t>
            </w:r>
          </w:p>
        </w:tc>
      </w:tr>
    </w:tbl>
    <w:p>
      <w:pPr>
        <w:ind w:firstLine="0" w:firstLineChars="0"/>
      </w:pPr>
      <w:r>
        <w:rPr>
          <w:rFonts w:hint="eastAsia"/>
        </w:rPr>
        <w:t>注：⑥=①+③+④-⑤；⑦=⑥-①</w:t>
      </w:r>
    </w:p>
    <w:p>
      <w:pPr>
        <w:ind w:firstLine="0" w:firstLineChars="0"/>
        <w:sectPr>
          <w:pgSz w:w="16838" w:h="11906" w:orient="landscape"/>
          <w:pgMar w:top="1800" w:right="1440" w:bottom="1800" w:left="1440" w:header="851" w:footer="992" w:gutter="0"/>
          <w:cols w:space="425" w:num="1"/>
          <w:docGrid w:type="lines" w:linePitch="326" w:charSpace="0"/>
        </w:sectPr>
      </w:pPr>
    </w:p>
    <w:p>
      <w:pPr>
        <w:ind w:firstLine="0" w:firstLineChars="0"/>
      </w:pPr>
      <w:bookmarkStart w:id="22" w:name="_GoBack"/>
      <w:bookmarkEnd w:id="22"/>
    </w:p>
    <w:sectPr>
      <w:pgSz w:w="11906" w:h="16838"/>
      <w:pgMar w:top="1440" w:right="1800" w:bottom="1440" w:left="1800" w:header="851" w:footer="992" w:gutter="0"/>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Courier New">
    <w:panose1 w:val="02070309020205020404"/>
    <w:charset w:val="00"/>
    <w:family w:val="modern"/>
    <w:pitch w:val="default"/>
    <w:sig w:usb0="E0002EFF" w:usb1="C0007843" w:usb2="00000009" w:usb3="00000000" w:csb0="400001FF" w:csb1="FFFF0000"/>
  </w:font>
  <w:font w:name="Impact">
    <w:panose1 w:val="020B0806030902050204"/>
    <w:charset w:val="00"/>
    <w:family w:val="swiss"/>
    <w:pitch w:val="default"/>
    <w:sig w:usb0="00000287" w:usb1="00000000" w:usb2="00000000" w:usb3="00000000" w:csb0="2000009F" w:csb1="DFD70000"/>
  </w:font>
  <w:font w:name="等线 Light">
    <w:panose1 w:val="02010600030101010101"/>
    <w:charset w:val="86"/>
    <w:family w:val="auto"/>
    <w:pitch w:val="default"/>
    <w:sig w:usb0="A00002BF" w:usb1="38CF7CFA" w:usb2="00000016" w:usb3="00000000" w:csb0="0004000F" w:csb1="00000000"/>
  </w:font>
  <w:font w:name="仿宋_GB2312">
    <w:altName w:val="仿宋"/>
    <w:panose1 w:val="00000000000000000000"/>
    <w:charset w:val="86"/>
    <w:family w:val="modern"/>
    <w:pitch w:val="default"/>
    <w:sig w:usb0="00000000" w:usb1="00000000" w:usb2="00000000" w:usb3="00000000" w:csb0="00040000" w:csb1="00000000"/>
  </w:font>
  <w:font w:name="serif">
    <w:altName w:val="微软雅黑"/>
    <w:panose1 w:val="00000000000000000000"/>
    <w:charset w:val="00"/>
    <w:family w:val="auto"/>
    <w:pitch w:val="default"/>
    <w:sig w:usb0="00000000" w:usb1="00000000" w:usb2="00000000" w:usb3="00000000" w:csb0="00040001"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 w:name="Microsoft YaHei UI">
    <w:panose1 w:val="020B0503020204020204"/>
    <w:charset w:val="86"/>
    <w:family w:val="swiss"/>
    <w:pitch w:val="default"/>
    <w:sig w:usb0="80000287" w:usb1="2ACF3C50" w:usb2="00000016" w:usb3="00000000" w:csb0="0004001F" w:csb1="00000000"/>
  </w:font>
  <w:font w:name="楷体_GB2312">
    <w:altName w:val="楷体"/>
    <w:panose1 w:val="00000000000000000000"/>
    <w:charset w:val="00"/>
    <w:family w:val="auto"/>
    <w:pitch w:val="default"/>
    <w:sig w:usb0="00000000" w:usb1="00000000" w:usb2="00000000" w:usb3="00000000" w:csb0="00000000" w:csb1="00000000"/>
  </w:font>
  <w:font w:name="方正小标宋_GBK">
    <w:altName w:val="微软雅黑"/>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Segoe UI Symbol">
    <w:panose1 w:val="020B0502040204020203"/>
    <w:charset w:val="00"/>
    <w:family w:val="swiss"/>
    <w:pitch w:val="default"/>
    <w:sig w:usb0="800001E3" w:usb1="1200FFEF" w:usb2="00040000" w:usb3="04000000" w:csb0="00000001" w:csb1="4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Wingdings">
    <w:panose1 w:val="05000000000000000000"/>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spacing w:before="120"/>
      <w:ind w:left="240" w:firstLine="360"/>
      <w:jc w:val="center"/>
    </w:pPr>
  </w:p>
  <w:p>
    <w:pPr>
      <w:pStyle w:val="18"/>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15099103"/>
      <w:docPartObj>
        <w:docPartGallery w:val="AutoText"/>
      </w:docPartObj>
    </w:sdtPr>
    <w:sdtContent>
      <w:p>
        <w:pPr>
          <w:pStyle w:val="18"/>
          <w:spacing w:before="120"/>
          <w:ind w:left="240" w:firstLine="360"/>
          <w:jc w:val="center"/>
        </w:pPr>
        <w:r>
          <w:fldChar w:fldCharType="begin"/>
        </w:r>
        <w:r>
          <w:instrText xml:space="preserve">PAGE   \* MERGEFORMAT</w:instrText>
        </w:r>
        <w:r>
          <w:fldChar w:fldCharType="separate"/>
        </w:r>
        <w:r>
          <w:rPr>
            <w:lang w:val="zh-CN"/>
          </w:rPr>
          <w:t>2</w:t>
        </w:r>
        <w:r>
          <w:fldChar w:fldCharType="end"/>
        </w:r>
      </w:p>
    </w:sdtContent>
  </w:sdt>
  <w:p>
    <w:pPr>
      <w:pStyle w:val="18"/>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1"/>
  <w:bordersDoNotSurroundFooter w:val="1"/>
  <w:documentProtection w:enforcement="0"/>
  <w:defaultTabStop w:val="420"/>
  <w:drawingGridHorizontalSpacing w:val="120"/>
  <w:drawingGridVerticalSpacing w:val="163"/>
  <w:displayHorizontalDrawingGridEvery w:val="2"/>
  <w:displayVerticalDrawingGridEvery w:val="2"/>
  <w:characterSpacingControl w:val="doNotCompress"/>
  <w:footnotePr>
    <w:footnote w:id="0"/>
    <w:footnote w:id="1"/>
  </w:footnotePr>
  <w:endnotePr>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hkYjM5NTNhMDFmZDQ3MjFiMjllZDkxZDczM2IzYzcifQ=="/>
  </w:docVars>
  <w:rsids>
    <w:rsidRoot w:val="00AC4093"/>
    <w:rsid w:val="000236EF"/>
    <w:rsid w:val="0003729D"/>
    <w:rsid w:val="0004294A"/>
    <w:rsid w:val="00053B3E"/>
    <w:rsid w:val="00062F22"/>
    <w:rsid w:val="0006409F"/>
    <w:rsid w:val="00077BE3"/>
    <w:rsid w:val="00087BB0"/>
    <w:rsid w:val="000911A4"/>
    <w:rsid w:val="000E3C7A"/>
    <w:rsid w:val="000E6177"/>
    <w:rsid w:val="00101853"/>
    <w:rsid w:val="001142DE"/>
    <w:rsid w:val="00117FBC"/>
    <w:rsid w:val="00140AD6"/>
    <w:rsid w:val="00143D5D"/>
    <w:rsid w:val="00152E9A"/>
    <w:rsid w:val="00156014"/>
    <w:rsid w:val="001576BD"/>
    <w:rsid w:val="00165CF8"/>
    <w:rsid w:val="001A2428"/>
    <w:rsid w:val="001B4BE4"/>
    <w:rsid w:val="001C3CAE"/>
    <w:rsid w:val="001C3FBD"/>
    <w:rsid w:val="00211840"/>
    <w:rsid w:val="00223D52"/>
    <w:rsid w:val="00233053"/>
    <w:rsid w:val="0024100E"/>
    <w:rsid w:val="00241DE1"/>
    <w:rsid w:val="002661F0"/>
    <w:rsid w:val="0028750C"/>
    <w:rsid w:val="0029357B"/>
    <w:rsid w:val="002967F1"/>
    <w:rsid w:val="002A4611"/>
    <w:rsid w:val="002D5742"/>
    <w:rsid w:val="002D66DC"/>
    <w:rsid w:val="002D6C42"/>
    <w:rsid w:val="002E0645"/>
    <w:rsid w:val="002E1176"/>
    <w:rsid w:val="002E5A8C"/>
    <w:rsid w:val="003108D8"/>
    <w:rsid w:val="00313FB3"/>
    <w:rsid w:val="00317FC9"/>
    <w:rsid w:val="00320FAB"/>
    <w:rsid w:val="00330C57"/>
    <w:rsid w:val="00344592"/>
    <w:rsid w:val="00350138"/>
    <w:rsid w:val="0036238D"/>
    <w:rsid w:val="0037670C"/>
    <w:rsid w:val="0038497B"/>
    <w:rsid w:val="003A35F3"/>
    <w:rsid w:val="003B6124"/>
    <w:rsid w:val="003B6F58"/>
    <w:rsid w:val="003C20E2"/>
    <w:rsid w:val="003C3951"/>
    <w:rsid w:val="003C3AD7"/>
    <w:rsid w:val="003C424C"/>
    <w:rsid w:val="003D32EB"/>
    <w:rsid w:val="003D7CEA"/>
    <w:rsid w:val="003E5D28"/>
    <w:rsid w:val="00410B89"/>
    <w:rsid w:val="004116FE"/>
    <w:rsid w:val="00416AC7"/>
    <w:rsid w:val="00454A61"/>
    <w:rsid w:val="00481F0B"/>
    <w:rsid w:val="00485F1B"/>
    <w:rsid w:val="00487C56"/>
    <w:rsid w:val="004D492C"/>
    <w:rsid w:val="004E3E9D"/>
    <w:rsid w:val="004E6414"/>
    <w:rsid w:val="004F5E3A"/>
    <w:rsid w:val="00511E9C"/>
    <w:rsid w:val="005143F3"/>
    <w:rsid w:val="005149D2"/>
    <w:rsid w:val="00521763"/>
    <w:rsid w:val="005402AB"/>
    <w:rsid w:val="005621EF"/>
    <w:rsid w:val="005677E8"/>
    <w:rsid w:val="005748A8"/>
    <w:rsid w:val="00581EEA"/>
    <w:rsid w:val="00584055"/>
    <w:rsid w:val="00587034"/>
    <w:rsid w:val="00587A66"/>
    <w:rsid w:val="0059079F"/>
    <w:rsid w:val="005925B4"/>
    <w:rsid w:val="005956C4"/>
    <w:rsid w:val="005B3DB1"/>
    <w:rsid w:val="005B70AD"/>
    <w:rsid w:val="005C343A"/>
    <w:rsid w:val="005C5FBA"/>
    <w:rsid w:val="005F6F52"/>
    <w:rsid w:val="00612BB7"/>
    <w:rsid w:val="006400ED"/>
    <w:rsid w:val="00661A30"/>
    <w:rsid w:val="00691637"/>
    <w:rsid w:val="006947E0"/>
    <w:rsid w:val="006E6B39"/>
    <w:rsid w:val="006E6F9B"/>
    <w:rsid w:val="0070774F"/>
    <w:rsid w:val="00713125"/>
    <w:rsid w:val="007265E8"/>
    <w:rsid w:val="00731C95"/>
    <w:rsid w:val="0073669D"/>
    <w:rsid w:val="00736B1C"/>
    <w:rsid w:val="00747F28"/>
    <w:rsid w:val="00781802"/>
    <w:rsid w:val="00785DAB"/>
    <w:rsid w:val="007C03A6"/>
    <w:rsid w:val="007D318B"/>
    <w:rsid w:val="007D4889"/>
    <w:rsid w:val="007D4F35"/>
    <w:rsid w:val="007E478C"/>
    <w:rsid w:val="007E5725"/>
    <w:rsid w:val="00824B02"/>
    <w:rsid w:val="0082551C"/>
    <w:rsid w:val="00825D61"/>
    <w:rsid w:val="0083547A"/>
    <w:rsid w:val="008364CC"/>
    <w:rsid w:val="00847D5E"/>
    <w:rsid w:val="00851DE2"/>
    <w:rsid w:val="008523E4"/>
    <w:rsid w:val="00861950"/>
    <w:rsid w:val="00873189"/>
    <w:rsid w:val="00883BEA"/>
    <w:rsid w:val="008B4531"/>
    <w:rsid w:val="008C2E2C"/>
    <w:rsid w:val="008C332B"/>
    <w:rsid w:val="008C6FE7"/>
    <w:rsid w:val="008D2806"/>
    <w:rsid w:val="008D2FD4"/>
    <w:rsid w:val="008E3119"/>
    <w:rsid w:val="008E56B5"/>
    <w:rsid w:val="0090056E"/>
    <w:rsid w:val="00911D4C"/>
    <w:rsid w:val="0091365B"/>
    <w:rsid w:val="0092541C"/>
    <w:rsid w:val="00933B2C"/>
    <w:rsid w:val="00956DC2"/>
    <w:rsid w:val="00972EDB"/>
    <w:rsid w:val="00973155"/>
    <w:rsid w:val="009A5206"/>
    <w:rsid w:val="009C1E45"/>
    <w:rsid w:val="009D1CD7"/>
    <w:rsid w:val="009D7B58"/>
    <w:rsid w:val="00A0073C"/>
    <w:rsid w:val="00A01FEB"/>
    <w:rsid w:val="00A104E2"/>
    <w:rsid w:val="00A17175"/>
    <w:rsid w:val="00A2799C"/>
    <w:rsid w:val="00A62B93"/>
    <w:rsid w:val="00A632F6"/>
    <w:rsid w:val="00AA52C0"/>
    <w:rsid w:val="00AB1CEA"/>
    <w:rsid w:val="00AB2D99"/>
    <w:rsid w:val="00AB3C98"/>
    <w:rsid w:val="00AB43A2"/>
    <w:rsid w:val="00AC4093"/>
    <w:rsid w:val="00AC57FB"/>
    <w:rsid w:val="00AD07CF"/>
    <w:rsid w:val="00B01298"/>
    <w:rsid w:val="00B04A17"/>
    <w:rsid w:val="00B072E6"/>
    <w:rsid w:val="00B17507"/>
    <w:rsid w:val="00B307F7"/>
    <w:rsid w:val="00B53325"/>
    <w:rsid w:val="00B61B4D"/>
    <w:rsid w:val="00B679FC"/>
    <w:rsid w:val="00B761C7"/>
    <w:rsid w:val="00B811E6"/>
    <w:rsid w:val="00B85931"/>
    <w:rsid w:val="00BA54B5"/>
    <w:rsid w:val="00BA5F69"/>
    <w:rsid w:val="00BA76B2"/>
    <w:rsid w:val="00BD51F0"/>
    <w:rsid w:val="00BF20B9"/>
    <w:rsid w:val="00C05322"/>
    <w:rsid w:val="00C20BC1"/>
    <w:rsid w:val="00C3592F"/>
    <w:rsid w:val="00C65819"/>
    <w:rsid w:val="00C67A86"/>
    <w:rsid w:val="00C67DE6"/>
    <w:rsid w:val="00C743F6"/>
    <w:rsid w:val="00CB5939"/>
    <w:rsid w:val="00CC2499"/>
    <w:rsid w:val="00CC262E"/>
    <w:rsid w:val="00CC4841"/>
    <w:rsid w:val="00CD1053"/>
    <w:rsid w:val="00CF0794"/>
    <w:rsid w:val="00D00FA9"/>
    <w:rsid w:val="00D031C7"/>
    <w:rsid w:val="00D05610"/>
    <w:rsid w:val="00D235F8"/>
    <w:rsid w:val="00D306CE"/>
    <w:rsid w:val="00D6502F"/>
    <w:rsid w:val="00D65224"/>
    <w:rsid w:val="00D6532D"/>
    <w:rsid w:val="00D95698"/>
    <w:rsid w:val="00DA5FCA"/>
    <w:rsid w:val="00DC5DD9"/>
    <w:rsid w:val="00DC712B"/>
    <w:rsid w:val="00DD2CD6"/>
    <w:rsid w:val="00DF3E9D"/>
    <w:rsid w:val="00E13761"/>
    <w:rsid w:val="00E1549C"/>
    <w:rsid w:val="00E16BCF"/>
    <w:rsid w:val="00E555BF"/>
    <w:rsid w:val="00E5691E"/>
    <w:rsid w:val="00E63C56"/>
    <w:rsid w:val="00E63F5B"/>
    <w:rsid w:val="00E767D3"/>
    <w:rsid w:val="00E879BD"/>
    <w:rsid w:val="00E91496"/>
    <w:rsid w:val="00EB64D5"/>
    <w:rsid w:val="00EE791F"/>
    <w:rsid w:val="00F0652D"/>
    <w:rsid w:val="00F32C04"/>
    <w:rsid w:val="00F47204"/>
    <w:rsid w:val="00F54E89"/>
    <w:rsid w:val="00F72E9F"/>
    <w:rsid w:val="00FC6F09"/>
    <w:rsid w:val="00FD2ED3"/>
    <w:rsid w:val="00FF0A97"/>
    <w:rsid w:val="01776A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semiHidden="0" w:name="heading 2"/>
    <w:lsdException w:qFormat="1" w:uiPriority="0" w:semiHidden="0" w:name="heading 3"/>
    <w:lsdException w:qFormat="1" w:uiPriority="0" w:semiHidden="0" w:name="heading 4"/>
    <w:lsdException w:uiPriority="9" w:name="heading 5"/>
    <w:lsdException w:qFormat="1" w:uiPriority="9" w:name="heading 6"/>
    <w:lsdException w:qFormat="1" w:uiPriority="9" w:name="heading 7"/>
    <w:lsdException w:qFormat="1" w:uiPriority="9" w:name="heading 8"/>
    <w:lsdException w:qFormat="1" w:uiPriority="9" w:name="heading 9"/>
    <w:lsdException w:qFormat="1"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iPriority="0" w:semiHidden="0" w:name="header"/>
    <w:lsdException w:qFormat="1" w:uiPriority="99" w:semiHidden="0" w:name="footer"/>
    <w:lsdException w:qFormat="1" w:uiPriority="99" w:semiHidden="0"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uiPriority="0" w:semiHidden="0" w:name="Body Text"/>
    <w:lsdException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uiPriority="0"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iPriority="99" w:name="HTML Preformatted"/>
    <w:lsdException w:qFormat="1" w:unhideWhenUsed="0" w:uiPriority="0" w:semiHidden="0" w:name="HTML Sample"/>
    <w:lsdException w:uiPriority="99" w:name="HTML Typewriter"/>
    <w:lsdException w:qFormat="1" w:unhideWhenUsed="0" w:uiPriority="0" w:semiHidden="0" w:name="HTML Variable"/>
    <w:lsdException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43"/>
    <w:qFormat/>
    <w:uiPriority w:val="99"/>
    <w:pPr>
      <w:keepNext/>
      <w:keepLines/>
      <w:ind w:firstLine="0" w:firstLineChars="0"/>
      <w:outlineLvl w:val="0"/>
    </w:pPr>
    <w:rPr>
      <w:b/>
      <w:bCs/>
      <w:kern w:val="44"/>
      <w:sz w:val="28"/>
      <w:szCs w:val="44"/>
    </w:rPr>
  </w:style>
  <w:style w:type="paragraph" w:styleId="3">
    <w:name w:val="heading 2"/>
    <w:basedOn w:val="1"/>
    <w:next w:val="1"/>
    <w:link w:val="44"/>
    <w:unhideWhenUsed/>
    <w:qFormat/>
    <w:uiPriority w:val="0"/>
    <w:pPr>
      <w:keepNext/>
      <w:keepLines/>
      <w:ind w:firstLine="0" w:firstLineChars="0"/>
      <w:outlineLvl w:val="1"/>
    </w:pPr>
    <w:rPr>
      <w:rFonts w:cstheme="majorBidi"/>
      <w:b/>
      <w:bCs/>
      <w:szCs w:val="32"/>
    </w:rPr>
  </w:style>
  <w:style w:type="paragraph" w:styleId="4">
    <w:name w:val="heading 3"/>
    <w:basedOn w:val="1"/>
    <w:next w:val="1"/>
    <w:link w:val="45"/>
    <w:unhideWhenUsed/>
    <w:qFormat/>
    <w:uiPriority w:val="0"/>
    <w:pPr>
      <w:keepNext/>
      <w:keepLines/>
      <w:ind w:firstLine="0" w:firstLineChars="0"/>
      <w:outlineLvl w:val="2"/>
    </w:pPr>
    <w:rPr>
      <w:b/>
      <w:bCs/>
      <w:szCs w:val="32"/>
    </w:rPr>
  </w:style>
  <w:style w:type="paragraph" w:styleId="5">
    <w:name w:val="heading 4"/>
    <w:basedOn w:val="1"/>
    <w:next w:val="1"/>
    <w:link w:val="46"/>
    <w:unhideWhenUsed/>
    <w:qFormat/>
    <w:uiPriority w:val="0"/>
    <w:pPr>
      <w:keepNext/>
      <w:keepLines/>
      <w:ind w:firstLine="0" w:firstLineChars="0"/>
      <w:outlineLvl w:val="3"/>
    </w:pPr>
    <w:rPr>
      <w:rFonts w:cstheme="majorBidi"/>
      <w:b/>
      <w:bCs/>
      <w:szCs w:val="28"/>
    </w:rPr>
  </w:style>
  <w:style w:type="character" w:default="1" w:styleId="30">
    <w:name w:val="Default Paragraph Font"/>
    <w:semiHidden/>
    <w:unhideWhenUsed/>
    <w:qFormat/>
    <w:uiPriority w:val="1"/>
  </w:style>
  <w:style w:type="table" w:default="1" w:styleId="28">
    <w:name w:val="Normal Table"/>
    <w:semiHidden/>
    <w:unhideWhenUsed/>
    <w:uiPriority w:val="99"/>
    <w:tblPr>
      <w:tblCellMar>
        <w:top w:w="0" w:type="dxa"/>
        <w:left w:w="108" w:type="dxa"/>
        <w:bottom w:w="0" w:type="dxa"/>
        <w:right w:w="108" w:type="dxa"/>
      </w:tblCellMar>
    </w:tblPr>
  </w:style>
  <w:style w:type="paragraph" w:styleId="6">
    <w:name w:val="Normal Indent"/>
    <w:basedOn w:val="1"/>
    <w:qFormat/>
    <w:uiPriority w:val="0"/>
    <w:pPr>
      <w:spacing w:line="240" w:lineRule="auto"/>
      <w:ind w:firstLine="420"/>
    </w:pPr>
    <w:rPr>
      <w:sz w:val="21"/>
    </w:rPr>
  </w:style>
  <w:style w:type="paragraph" w:styleId="7">
    <w:name w:val="caption"/>
    <w:basedOn w:val="1"/>
    <w:next w:val="8"/>
    <w:qFormat/>
    <w:uiPriority w:val="0"/>
    <w:pPr>
      <w:spacing w:line="240" w:lineRule="auto"/>
      <w:ind w:firstLine="0" w:firstLineChars="0"/>
    </w:pPr>
    <w:rPr>
      <w:rFonts w:ascii="Arial" w:hAnsi="Arial" w:eastAsia="黑体"/>
      <w:sz w:val="20"/>
      <w:szCs w:val="20"/>
    </w:rPr>
  </w:style>
  <w:style w:type="paragraph" w:styleId="8">
    <w:name w:val="Body Text First Indent"/>
    <w:basedOn w:val="9"/>
    <w:link w:val="59"/>
    <w:qFormat/>
    <w:uiPriority w:val="0"/>
    <w:pPr>
      <w:widowControl/>
      <w:snapToGrid w:val="0"/>
      <w:spacing w:before="60" w:line="259" w:lineRule="auto"/>
      <w:ind w:right="113" w:firstLine="420" w:firstLineChars="100"/>
    </w:pPr>
    <w:rPr>
      <w:kern w:val="0"/>
      <w:sz w:val="21"/>
    </w:rPr>
  </w:style>
  <w:style w:type="paragraph" w:styleId="9">
    <w:name w:val="Body Text"/>
    <w:basedOn w:val="1"/>
    <w:link w:val="49"/>
    <w:unhideWhenUsed/>
    <w:uiPriority w:val="0"/>
    <w:pPr>
      <w:spacing w:after="120"/>
    </w:pPr>
  </w:style>
  <w:style w:type="paragraph" w:styleId="10">
    <w:name w:val="Document Map"/>
    <w:basedOn w:val="1"/>
    <w:link w:val="82"/>
    <w:qFormat/>
    <w:uiPriority w:val="0"/>
    <w:pPr>
      <w:spacing w:line="240" w:lineRule="auto"/>
      <w:ind w:firstLine="0" w:firstLineChars="0"/>
    </w:pPr>
    <w:rPr>
      <w:rFonts w:ascii="宋体" w:hAnsiTheme="minorHAnsi" w:eastAsiaTheme="minorEastAsia" w:cstheme="minorBidi"/>
      <w:sz w:val="18"/>
      <w:szCs w:val="18"/>
    </w:rPr>
  </w:style>
  <w:style w:type="paragraph" w:styleId="11">
    <w:name w:val="annotation text"/>
    <w:basedOn w:val="1"/>
    <w:link w:val="73"/>
    <w:semiHidden/>
    <w:qFormat/>
    <w:uiPriority w:val="0"/>
    <w:pPr>
      <w:spacing w:line="240" w:lineRule="auto"/>
      <w:ind w:firstLine="0" w:firstLineChars="0"/>
      <w:jc w:val="left"/>
    </w:pPr>
    <w:rPr>
      <w:rFonts w:cstheme="minorBidi"/>
      <w:szCs w:val="22"/>
    </w:rPr>
  </w:style>
  <w:style w:type="paragraph" w:styleId="12">
    <w:name w:val="Body Text Indent"/>
    <w:basedOn w:val="1"/>
    <w:link w:val="47"/>
    <w:unhideWhenUsed/>
    <w:uiPriority w:val="0"/>
    <w:pPr>
      <w:spacing w:after="120"/>
      <w:ind w:left="420" w:leftChars="200"/>
    </w:pPr>
  </w:style>
  <w:style w:type="paragraph" w:styleId="13">
    <w:name w:val="Plain Text"/>
    <w:basedOn w:val="1"/>
    <w:next w:val="14"/>
    <w:link w:val="60"/>
    <w:qFormat/>
    <w:uiPriority w:val="0"/>
    <w:rPr>
      <w:rFonts w:ascii="宋体" w:hAnsi="Courier New"/>
      <w:sz w:val="20"/>
      <w:szCs w:val="20"/>
    </w:rPr>
  </w:style>
  <w:style w:type="paragraph" w:styleId="14">
    <w:name w:val="toc 1"/>
    <w:basedOn w:val="1"/>
    <w:next w:val="1"/>
    <w:unhideWhenUsed/>
    <w:qFormat/>
    <w:uiPriority w:val="39"/>
  </w:style>
  <w:style w:type="paragraph" w:styleId="15">
    <w:name w:val="Date"/>
    <w:basedOn w:val="1"/>
    <w:next w:val="1"/>
    <w:link w:val="76"/>
    <w:qFormat/>
    <w:uiPriority w:val="0"/>
    <w:pPr>
      <w:spacing w:line="240" w:lineRule="auto"/>
      <w:ind w:left="100" w:leftChars="2500" w:firstLine="0" w:firstLineChars="0"/>
    </w:pPr>
    <w:rPr>
      <w:rFonts w:cstheme="minorBidi"/>
      <w:szCs w:val="22"/>
    </w:rPr>
  </w:style>
  <w:style w:type="paragraph" w:styleId="16">
    <w:name w:val="Body Text Indent 2"/>
    <w:basedOn w:val="1"/>
    <w:link w:val="84"/>
    <w:qFormat/>
    <w:uiPriority w:val="0"/>
    <w:pPr>
      <w:spacing w:after="120" w:line="480" w:lineRule="auto"/>
      <w:ind w:left="420" w:leftChars="200" w:firstLine="0" w:firstLineChars="0"/>
    </w:pPr>
    <w:rPr>
      <w:sz w:val="21"/>
    </w:rPr>
  </w:style>
  <w:style w:type="paragraph" w:styleId="17">
    <w:name w:val="Balloon Text"/>
    <w:basedOn w:val="1"/>
    <w:link w:val="80"/>
    <w:semiHidden/>
    <w:qFormat/>
    <w:uiPriority w:val="0"/>
    <w:pPr>
      <w:spacing w:line="240" w:lineRule="auto"/>
      <w:ind w:firstLine="0" w:firstLineChars="0"/>
    </w:pPr>
    <w:rPr>
      <w:rFonts w:cstheme="minorBidi"/>
      <w:sz w:val="18"/>
      <w:szCs w:val="22"/>
    </w:rPr>
  </w:style>
  <w:style w:type="paragraph" w:styleId="18">
    <w:name w:val="footer"/>
    <w:basedOn w:val="1"/>
    <w:link w:val="57"/>
    <w:unhideWhenUsed/>
    <w:qFormat/>
    <w:uiPriority w:val="99"/>
    <w:pPr>
      <w:tabs>
        <w:tab w:val="center" w:pos="4153"/>
        <w:tab w:val="right" w:pos="8306"/>
      </w:tabs>
      <w:snapToGrid w:val="0"/>
      <w:spacing w:line="240" w:lineRule="auto"/>
      <w:jc w:val="left"/>
    </w:pPr>
    <w:rPr>
      <w:sz w:val="18"/>
      <w:szCs w:val="18"/>
    </w:rPr>
  </w:style>
  <w:style w:type="paragraph" w:styleId="19">
    <w:name w:val="header"/>
    <w:basedOn w:val="1"/>
    <w:link w:val="56"/>
    <w:unhideWhenUsed/>
    <w:qFormat/>
    <w:uiPriority w:val="0"/>
    <w:pPr>
      <w:pBdr>
        <w:bottom w:val="single" w:color="auto" w:sz="6" w:space="1"/>
      </w:pBdr>
      <w:tabs>
        <w:tab w:val="center" w:pos="4153"/>
        <w:tab w:val="right" w:pos="8306"/>
      </w:tabs>
      <w:snapToGrid w:val="0"/>
      <w:spacing w:line="240" w:lineRule="auto"/>
      <w:jc w:val="center"/>
    </w:pPr>
    <w:rPr>
      <w:sz w:val="18"/>
      <w:szCs w:val="18"/>
    </w:rPr>
  </w:style>
  <w:style w:type="paragraph" w:styleId="20">
    <w:name w:val="index heading"/>
    <w:basedOn w:val="1"/>
    <w:next w:val="21"/>
    <w:unhideWhenUsed/>
    <w:qFormat/>
    <w:uiPriority w:val="99"/>
    <w:rPr>
      <w:rFonts w:asciiTheme="majorHAnsi" w:hAnsiTheme="majorHAnsi" w:eastAsiaTheme="majorEastAsia" w:cstheme="majorBidi"/>
      <w:b/>
      <w:bCs/>
    </w:rPr>
  </w:style>
  <w:style w:type="paragraph" w:styleId="21">
    <w:name w:val="index 1"/>
    <w:basedOn w:val="1"/>
    <w:next w:val="1"/>
    <w:unhideWhenUsed/>
    <w:qFormat/>
    <w:uiPriority w:val="0"/>
  </w:style>
  <w:style w:type="paragraph" w:styleId="22">
    <w:name w:val="Body Text Indent 3"/>
    <w:basedOn w:val="1"/>
    <w:link w:val="65"/>
    <w:qFormat/>
    <w:uiPriority w:val="0"/>
    <w:pPr>
      <w:spacing w:after="120" w:line="240" w:lineRule="auto"/>
      <w:ind w:left="420" w:leftChars="200" w:firstLine="0" w:firstLineChars="0"/>
    </w:pPr>
    <w:rPr>
      <w:sz w:val="16"/>
      <w:szCs w:val="16"/>
    </w:rPr>
  </w:style>
  <w:style w:type="paragraph" w:styleId="23">
    <w:name w:val="toc 2"/>
    <w:basedOn w:val="1"/>
    <w:next w:val="1"/>
    <w:unhideWhenUsed/>
    <w:qFormat/>
    <w:uiPriority w:val="39"/>
    <w:pPr>
      <w:ind w:left="420" w:leftChars="200"/>
    </w:pPr>
  </w:style>
  <w:style w:type="paragraph" w:styleId="24">
    <w:name w:val="Normal (Web)"/>
    <w:basedOn w:val="1"/>
    <w:link w:val="58"/>
    <w:qFormat/>
    <w:uiPriority w:val="99"/>
    <w:pPr>
      <w:widowControl/>
      <w:spacing w:before="100" w:beforeAutospacing="1" w:after="100" w:afterAutospacing="1"/>
      <w:jc w:val="left"/>
    </w:pPr>
    <w:rPr>
      <w:rFonts w:ascii="宋体" w:hAnsi="宋体" w:cstheme="minorBidi"/>
      <w:szCs w:val="22"/>
    </w:rPr>
  </w:style>
  <w:style w:type="paragraph" w:styleId="25">
    <w:name w:val="Title"/>
    <w:basedOn w:val="1"/>
    <w:next w:val="1"/>
    <w:link w:val="88"/>
    <w:qFormat/>
    <w:uiPriority w:val="0"/>
    <w:pPr>
      <w:spacing w:before="240" w:after="60" w:line="240" w:lineRule="auto"/>
      <w:ind w:firstLine="0" w:firstLineChars="0"/>
      <w:jc w:val="center"/>
      <w:outlineLvl w:val="0"/>
    </w:pPr>
    <w:rPr>
      <w:rFonts w:ascii="Cambria" w:hAnsi="Cambria"/>
      <w:b/>
      <w:bCs/>
      <w:sz w:val="32"/>
      <w:szCs w:val="32"/>
    </w:rPr>
  </w:style>
  <w:style w:type="paragraph" w:styleId="26">
    <w:name w:val="annotation subject"/>
    <w:basedOn w:val="11"/>
    <w:next w:val="11"/>
    <w:link w:val="81"/>
    <w:semiHidden/>
    <w:qFormat/>
    <w:uiPriority w:val="0"/>
    <w:rPr>
      <w:b/>
    </w:rPr>
  </w:style>
  <w:style w:type="paragraph" w:styleId="27">
    <w:name w:val="Body Text First Indent 2"/>
    <w:basedOn w:val="12"/>
    <w:link w:val="48"/>
    <w:unhideWhenUsed/>
    <w:uiPriority w:val="0"/>
    <w:pPr>
      <w:ind w:firstLine="420"/>
    </w:pPr>
  </w:style>
  <w:style w:type="table" w:styleId="29">
    <w:name w:val="Table Grid"/>
    <w:basedOn w:val="2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qFormat/>
    <w:uiPriority w:val="0"/>
    <w:rPr>
      <w:b/>
      <w:bCs/>
    </w:rPr>
  </w:style>
  <w:style w:type="character" w:styleId="32">
    <w:name w:val="page number"/>
    <w:qFormat/>
    <w:uiPriority w:val="0"/>
  </w:style>
  <w:style w:type="character" w:styleId="33">
    <w:name w:val="FollowedHyperlink"/>
    <w:qFormat/>
    <w:uiPriority w:val="0"/>
    <w:rPr>
      <w:color w:val="338DE6"/>
      <w:u w:val="none"/>
    </w:rPr>
  </w:style>
  <w:style w:type="character" w:styleId="34">
    <w:name w:val="Emphasis"/>
    <w:qFormat/>
    <w:uiPriority w:val="0"/>
  </w:style>
  <w:style w:type="character" w:styleId="35">
    <w:name w:val="HTML Definition"/>
    <w:qFormat/>
    <w:uiPriority w:val="0"/>
  </w:style>
  <w:style w:type="character" w:styleId="36">
    <w:name w:val="HTML Variable"/>
    <w:qFormat/>
    <w:uiPriority w:val="0"/>
  </w:style>
  <w:style w:type="character" w:styleId="37">
    <w:name w:val="Hyperlink"/>
    <w:qFormat/>
    <w:uiPriority w:val="99"/>
    <w:rPr>
      <w:color w:val="338DE6"/>
      <w:u w:val="none"/>
    </w:rPr>
  </w:style>
  <w:style w:type="character" w:styleId="38">
    <w:name w:val="HTML Code"/>
    <w:qFormat/>
    <w:uiPriority w:val="0"/>
    <w:rPr>
      <w:rFonts w:hint="default" w:ascii="serif" w:hAnsi="serif" w:eastAsia="serif" w:cs="serif"/>
      <w:sz w:val="21"/>
      <w:szCs w:val="21"/>
    </w:rPr>
  </w:style>
  <w:style w:type="character" w:styleId="39">
    <w:name w:val="annotation reference"/>
    <w:semiHidden/>
    <w:qFormat/>
    <w:uiPriority w:val="0"/>
    <w:rPr>
      <w:sz w:val="21"/>
    </w:rPr>
  </w:style>
  <w:style w:type="character" w:styleId="40">
    <w:name w:val="HTML Cite"/>
    <w:qFormat/>
    <w:uiPriority w:val="0"/>
  </w:style>
  <w:style w:type="character" w:styleId="41">
    <w:name w:val="HTML Keyboard"/>
    <w:qFormat/>
    <w:uiPriority w:val="0"/>
    <w:rPr>
      <w:rFonts w:hint="default" w:ascii="serif" w:hAnsi="serif" w:eastAsia="serif" w:cs="serif"/>
      <w:sz w:val="21"/>
      <w:szCs w:val="21"/>
    </w:rPr>
  </w:style>
  <w:style w:type="character" w:styleId="42">
    <w:name w:val="HTML Sample"/>
    <w:qFormat/>
    <w:uiPriority w:val="0"/>
    <w:rPr>
      <w:rFonts w:ascii="serif" w:hAnsi="serif" w:eastAsia="serif" w:cs="serif"/>
      <w:sz w:val="21"/>
      <w:szCs w:val="21"/>
    </w:rPr>
  </w:style>
  <w:style w:type="character" w:customStyle="1" w:styleId="43">
    <w:name w:val="标题 1 字符"/>
    <w:basedOn w:val="30"/>
    <w:link w:val="2"/>
    <w:qFormat/>
    <w:uiPriority w:val="0"/>
    <w:rPr>
      <w:rFonts w:ascii="Times New Roman" w:hAnsi="Times New Roman" w:eastAsia="宋体"/>
      <w:b/>
      <w:bCs/>
      <w:kern w:val="44"/>
      <w:sz w:val="28"/>
      <w:szCs w:val="44"/>
    </w:rPr>
  </w:style>
  <w:style w:type="character" w:customStyle="1" w:styleId="44">
    <w:name w:val="标题 2 字符"/>
    <w:basedOn w:val="30"/>
    <w:link w:val="3"/>
    <w:uiPriority w:val="9"/>
    <w:rPr>
      <w:rFonts w:ascii="Times New Roman" w:hAnsi="Times New Roman" w:eastAsia="宋体" w:cstheme="majorBidi"/>
      <w:b/>
      <w:bCs/>
      <w:sz w:val="24"/>
      <w:szCs w:val="32"/>
    </w:rPr>
  </w:style>
  <w:style w:type="character" w:customStyle="1" w:styleId="45">
    <w:name w:val="标题 3 字符"/>
    <w:basedOn w:val="30"/>
    <w:link w:val="4"/>
    <w:uiPriority w:val="9"/>
    <w:rPr>
      <w:rFonts w:ascii="Times New Roman" w:hAnsi="Times New Roman" w:eastAsia="宋体"/>
      <w:b/>
      <w:bCs/>
      <w:sz w:val="24"/>
      <w:szCs w:val="32"/>
    </w:rPr>
  </w:style>
  <w:style w:type="character" w:customStyle="1" w:styleId="46">
    <w:name w:val="标题 4 字符"/>
    <w:basedOn w:val="30"/>
    <w:link w:val="5"/>
    <w:semiHidden/>
    <w:qFormat/>
    <w:uiPriority w:val="9"/>
    <w:rPr>
      <w:rFonts w:ascii="Times New Roman" w:hAnsi="Times New Roman" w:eastAsia="宋体" w:cstheme="majorBidi"/>
      <w:b/>
      <w:bCs/>
      <w:sz w:val="24"/>
      <w:szCs w:val="28"/>
    </w:rPr>
  </w:style>
  <w:style w:type="character" w:customStyle="1" w:styleId="47">
    <w:name w:val="正文文本缩进 字符"/>
    <w:basedOn w:val="30"/>
    <w:link w:val="12"/>
    <w:semiHidden/>
    <w:qFormat/>
    <w:uiPriority w:val="0"/>
    <w:rPr>
      <w:rFonts w:ascii="Times New Roman" w:hAnsi="Times New Roman" w:eastAsia="宋体"/>
      <w:kern w:val="0"/>
      <w:sz w:val="24"/>
      <w:lang w:eastAsia="en-US"/>
    </w:rPr>
  </w:style>
  <w:style w:type="character" w:customStyle="1" w:styleId="48">
    <w:name w:val="正文文本首行缩进 2 字符"/>
    <w:basedOn w:val="47"/>
    <w:link w:val="27"/>
    <w:semiHidden/>
    <w:uiPriority w:val="99"/>
    <w:rPr>
      <w:rFonts w:ascii="Times New Roman" w:hAnsi="Times New Roman" w:eastAsia="宋体"/>
      <w:kern w:val="0"/>
      <w:sz w:val="24"/>
      <w:lang w:eastAsia="en-US"/>
    </w:rPr>
  </w:style>
  <w:style w:type="character" w:customStyle="1" w:styleId="49">
    <w:name w:val="正文文本 字符"/>
    <w:basedOn w:val="30"/>
    <w:link w:val="9"/>
    <w:qFormat/>
    <w:uiPriority w:val="0"/>
    <w:rPr>
      <w:rFonts w:ascii="Times New Roman" w:hAnsi="Times New Roman" w:eastAsia="宋体"/>
      <w:sz w:val="24"/>
      <w:szCs w:val="24"/>
    </w:rPr>
  </w:style>
  <w:style w:type="paragraph" w:customStyle="1" w:styleId="50">
    <w:name w:val="表格-易恒"/>
    <w:basedOn w:val="9"/>
    <w:link w:val="51"/>
    <w:qFormat/>
    <w:uiPriority w:val="1"/>
    <w:pPr>
      <w:spacing w:after="0" w:line="240" w:lineRule="auto"/>
      <w:ind w:firstLine="0" w:firstLineChars="0"/>
      <w:jc w:val="center"/>
    </w:pPr>
    <w:rPr>
      <w:sz w:val="21"/>
      <w:szCs w:val="21"/>
    </w:rPr>
  </w:style>
  <w:style w:type="character" w:customStyle="1" w:styleId="51">
    <w:name w:val="表格-易恒 字符"/>
    <w:basedOn w:val="49"/>
    <w:link w:val="50"/>
    <w:qFormat/>
    <w:uiPriority w:val="1"/>
    <w:rPr>
      <w:rFonts w:ascii="Times New Roman" w:hAnsi="Times New Roman" w:eastAsia="宋体" w:cs="Times New Roman"/>
      <w:sz w:val="24"/>
      <w:szCs w:val="21"/>
    </w:rPr>
  </w:style>
  <w:style w:type="paragraph" w:customStyle="1" w:styleId="52">
    <w:name w:val="表头"/>
    <w:basedOn w:val="1"/>
    <w:next w:val="1"/>
    <w:link w:val="53"/>
    <w:qFormat/>
    <w:uiPriority w:val="0"/>
    <w:pPr>
      <w:spacing w:before="50" w:beforeLines="50" w:line="240" w:lineRule="auto"/>
      <w:ind w:firstLine="0" w:firstLineChars="0"/>
      <w:jc w:val="center"/>
    </w:pPr>
    <w:rPr>
      <w:b/>
      <w:bCs/>
    </w:rPr>
  </w:style>
  <w:style w:type="character" w:customStyle="1" w:styleId="53">
    <w:name w:val="表头 字符"/>
    <w:basedOn w:val="30"/>
    <w:link w:val="52"/>
    <w:qFormat/>
    <w:uiPriority w:val="0"/>
    <w:rPr>
      <w:rFonts w:ascii="Times New Roman" w:hAnsi="Times New Roman" w:eastAsia="宋体" w:cs="Times New Roman"/>
      <w:b/>
      <w:bCs/>
      <w:sz w:val="24"/>
      <w:szCs w:val="24"/>
    </w:rPr>
  </w:style>
  <w:style w:type="paragraph" w:customStyle="1" w:styleId="54">
    <w:name w:val="表头-易恒"/>
    <w:basedOn w:val="1"/>
    <w:next w:val="1"/>
    <w:link w:val="55"/>
    <w:qFormat/>
    <w:uiPriority w:val="0"/>
    <w:pPr>
      <w:spacing w:before="50" w:beforeLines="50" w:line="240" w:lineRule="auto"/>
      <w:ind w:firstLine="0" w:firstLineChars="0"/>
      <w:jc w:val="center"/>
    </w:pPr>
    <w:rPr>
      <w:b/>
      <w:bCs/>
    </w:rPr>
  </w:style>
  <w:style w:type="character" w:customStyle="1" w:styleId="55">
    <w:name w:val="表头-易恒 字符"/>
    <w:basedOn w:val="30"/>
    <w:link w:val="54"/>
    <w:qFormat/>
    <w:uiPriority w:val="0"/>
    <w:rPr>
      <w:rFonts w:ascii="Times New Roman" w:hAnsi="Times New Roman" w:eastAsia="宋体" w:cs="Times New Roman"/>
      <w:b/>
      <w:bCs/>
      <w:sz w:val="24"/>
      <w:szCs w:val="24"/>
    </w:rPr>
  </w:style>
  <w:style w:type="character" w:customStyle="1" w:styleId="56">
    <w:name w:val="页眉 字符"/>
    <w:basedOn w:val="30"/>
    <w:link w:val="19"/>
    <w:qFormat/>
    <w:uiPriority w:val="0"/>
    <w:rPr>
      <w:rFonts w:ascii="Times New Roman" w:hAnsi="Times New Roman" w:eastAsia="宋体" w:cs="Times New Roman"/>
      <w:sz w:val="18"/>
      <w:szCs w:val="18"/>
    </w:rPr>
  </w:style>
  <w:style w:type="character" w:customStyle="1" w:styleId="57">
    <w:name w:val="页脚 字符"/>
    <w:basedOn w:val="30"/>
    <w:link w:val="18"/>
    <w:qFormat/>
    <w:uiPriority w:val="99"/>
    <w:rPr>
      <w:rFonts w:ascii="Times New Roman" w:hAnsi="Times New Roman" w:eastAsia="宋体" w:cs="Times New Roman"/>
      <w:sz w:val="18"/>
      <w:szCs w:val="18"/>
    </w:rPr>
  </w:style>
  <w:style w:type="character" w:customStyle="1" w:styleId="58">
    <w:name w:val="普通(网站) 字符"/>
    <w:link w:val="24"/>
    <w:qFormat/>
    <w:locked/>
    <w:uiPriority w:val="0"/>
    <w:rPr>
      <w:rFonts w:ascii="宋体" w:hAnsi="宋体" w:eastAsia="宋体"/>
      <w:sz w:val="24"/>
    </w:rPr>
  </w:style>
  <w:style w:type="character" w:customStyle="1" w:styleId="59">
    <w:name w:val="正文文本首行缩进 字符"/>
    <w:basedOn w:val="49"/>
    <w:link w:val="8"/>
    <w:qFormat/>
    <w:uiPriority w:val="0"/>
    <w:rPr>
      <w:rFonts w:ascii="Times New Roman" w:hAnsi="Times New Roman" w:eastAsia="宋体" w:cs="Times New Roman"/>
      <w:kern w:val="0"/>
      <w:sz w:val="24"/>
      <w:szCs w:val="24"/>
    </w:rPr>
  </w:style>
  <w:style w:type="character" w:customStyle="1" w:styleId="60">
    <w:name w:val="纯文本 字符"/>
    <w:basedOn w:val="30"/>
    <w:link w:val="13"/>
    <w:qFormat/>
    <w:uiPriority w:val="0"/>
    <w:rPr>
      <w:rFonts w:ascii="宋体" w:hAnsi="Courier New" w:eastAsia="宋体" w:cs="Times New Roman"/>
      <w:sz w:val="20"/>
      <w:szCs w:val="20"/>
    </w:rPr>
  </w:style>
  <w:style w:type="paragraph" w:customStyle="1" w:styleId="61">
    <w:name w:val="Body text|1"/>
    <w:basedOn w:val="1"/>
    <w:qFormat/>
    <w:uiPriority w:val="0"/>
    <w:pPr>
      <w:spacing w:line="403" w:lineRule="auto"/>
      <w:ind w:firstLine="400"/>
    </w:pPr>
    <w:rPr>
      <w:rFonts w:ascii="宋体" w:hAnsi="宋体" w:cs="宋体"/>
      <w:sz w:val="30"/>
      <w:szCs w:val="30"/>
      <w:lang w:val="zh-TW" w:eastAsia="zh-TW" w:bidi="zh-TW"/>
    </w:rPr>
  </w:style>
  <w:style w:type="paragraph" w:customStyle="1" w:styleId="62">
    <w:name w:val="表格 32"/>
    <w:basedOn w:val="1"/>
    <w:qFormat/>
    <w:uiPriority w:val="0"/>
    <w:pPr>
      <w:autoSpaceDE w:val="0"/>
      <w:autoSpaceDN w:val="0"/>
      <w:adjustRightInd w:val="0"/>
      <w:jc w:val="center"/>
      <w:textAlignment w:val="baseline"/>
    </w:pPr>
    <w:rPr>
      <w:rFonts w:ascii="宋体" w:hAnsi="Impact"/>
      <w:kern w:val="24"/>
      <w:szCs w:val="20"/>
    </w:rPr>
  </w:style>
  <w:style w:type="paragraph" w:customStyle="1" w:styleId="63">
    <w:name w:val="样式1"/>
    <w:basedOn w:val="20"/>
    <w:next w:val="1"/>
    <w:qFormat/>
    <w:uiPriority w:val="0"/>
    <w:pPr>
      <w:spacing w:beforeLines="50" w:line="440" w:lineRule="exact"/>
      <w:ind w:left="100" w:leftChars="100"/>
    </w:pPr>
    <w:rPr>
      <w:rFonts w:ascii="宋体" w:hAnsi="宋体" w:eastAsia="宋体" w:cs="Times New Roman"/>
      <w:b w:val="0"/>
      <w:bCs w:val="0"/>
      <w:szCs w:val="20"/>
    </w:rPr>
  </w:style>
  <w:style w:type="paragraph" w:customStyle="1" w:styleId="64">
    <w:name w:val="Default"/>
    <w:basedOn w:val="1"/>
    <w:next w:val="63"/>
    <w:qFormat/>
    <w:uiPriority w:val="0"/>
    <w:pPr>
      <w:autoSpaceDE w:val="0"/>
      <w:autoSpaceDN w:val="0"/>
      <w:adjustRightInd w:val="0"/>
    </w:pPr>
    <w:rPr>
      <w:rFonts w:hint="eastAsia" w:ascii="宋体" w:hAnsi="宋体"/>
      <w:color w:val="000000"/>
    </w:rPr>
  </w:style>
  <w:style w:type="character" w:customStyle="1" w:styleId="65">
    <w:name w:val="正文文本缩进 3 字符"/>
    <w:basedOn w:val="30"/>
    <w:link w:val="22"/>
    <w:qFormat/>
    <w:uiPriority w:val="0"/>
    <w:rPr>
      <w:rFonts w:ascii="Times New Roman" w:hAnsi="Times New Roman" w:eastAsia="宋体" w:cs="Times New Roman"/>
      <w:sz w:val="16"/>
      <w:szCs w:val="16"/>
    </w:rPr>
  </w:style>
  <w:style w:type="paragraph" w:customStyle="1" w:styleId="66">
    <w:name w:val="表 图 单位"/>
    <w:basedOn w:val="1"/>
    <w:qFormat/>
    <w:uiPriority w:val="0"/>
    <w:pPr>
      <w:spacing w:line="240" w:lineRule="auto"/>
      <w:ind w:firstLine="0" w:firstLineChars="0"/>
      <w:jc w:val="right"/>
    </w:pPr>
    <w:rPr>
      <w:sz w:val="18"/>
      <w:szCs w:val="21"/>
    </w:rPr>
  </w:style>
  <w:style w:type="paragraph" w:customStyle="1" w:styleId="67">
    <w:name w:val="表格文字"/>
    <w:basedOn w:val="23"/>
    <w:next w:val="1"/>
    <w:qFormat/>
    <w:uiPriority w:val="0"/>
    <w:pPr>
      <w:widowControl/>
      <w:spacing w:before="78" w:beforeLines="25" w:after="78" w:afterLines="25" w:line="240" w:lineRule="auto"/>
      <w:ind w:left="0" w:leftChars="0" w:firstLine="0" w:firstLineChars="0"/>
      <w:jc w:val="center"/>
    </w:pPr>
    <w:rPr>
      <w:rFonts w:ascii="宋体" w:hAnsi="宋体" w:eastAsia="仿宋_GB2312"/>
      <w:kern w:val="0"/>
      <w:szCs w:val="52"/>
    </w:rPr>
  </w:style>
  <w:style w:type="paragraph" w:customStyle="1" w:styleId="68">
    <w:name w:val="!正文"/>
    <w:basedOn w:val="1"/>
    <w:qFormat/>
    <w:uiPriority w:val="0"/>
    <w:pPr>
      <w:spacing w:line="480" w:lineRule="exact"/>
      <w:ind w:firstLine="480"/>
    </w:pPr>
    <w:rPr>
      <w:rFonts w:hAnsi="宋体" w:cs="宋体"/>
      <w:sz w:val="21"/>
    </w:rPr>
  </w:style>
  <w:style w:type="character" w:customStyle="1" w:styleId="69">
    <w:name w:val="页脚 字符1"/>
    <w:qFormat/>
    <w:locked/>
    <w:uiPriority w:val="99"/>
    <w:rPr>
      <w:sz w:val="18"/>
    </w:rPr>
  </w:style>
  <w:style w:type="character" w:customStyle="1" w:styleId="70">
    <w:name w:val="日期 字符"/>
    <w:semiHidden/>
    <w:qFormat/>
    <w:uiPriority w:val="0"/>
    <w:rPr>
      <w:rFonts w:ascii="Times New Roman" w:hAnsi="Times New Roman" w:eastAsia="宋体"/>
      <w:sz w:val="24"/>
    </w:rPr>
  </w:style>
  <w:style w:type="character" w:customStyle="1" w:styleId="71">
    <w:name w:val="批注文字 字符1"/>
    <w:semiHidden/>
    <w:qFormat/>
    <w:uiPriority w:val="0"/>
    <w:rPr>
      <w:rFonts w:ascii="Times New Roman" w:hAnsi="Times New Roman" w:eastAsia="宋体"/>
      <w:sz w:val="24"/>
    </w:rPr>
  </w:style>
  <w:style w:type="character" w:customStyle="1" w:styleId="72">
    <w:name w:val="fontstrikethrough"/>
    <w:qFormat/>
    <w:uiPriority w:val="0"/>
    <w:rPr>
      <w:strike/>
    </w:rPr>
  </w:style>
  <w:style w:type="character" w:customStyle="1" w:styleId="73">
    <w:name w:val="批注文字 字符"/>
    <w:link w:val="11"/>
    <w:semiHidden/>
    <w:qFormat/>
    <w:locked/>
    <w:uiPriority w:val="0"/>
    <w:rPr>
      <w:rFonts w:ascii="Times New Roman" w:hAnsi="Times New Roman" w:eastAsia="宋体"/>
      <w:sz w:val="24"/>
    </w:rPr>
  </w:style>
  <w:style w:type="character" w:customStyle="1" w:styleId="74">
    <w:name w:val="表格 Char"/>
    <w:link w:val="75"/>
    <w:qFormat/>
    <w:locked/>
    <w:uiPriority w:val="0"/>
    <w:rPr>
      <w:rFonts w:ascii="宋体"/>
    </w:rPr>
  </w:style>
  <w:style w:type="paragraph" w:customStyle="1" w:styleId="75">
    <w:name w:val="表格"/>
    <w:basedOn w:val="1"/>
    <w:next w:val="1"/>
    <w:link w:val="74"/>
    <w:qFormat/>
    <w:uiPriority w:val="0"/>
    <w:pPr>
      <w:adjustRightInd w:val="0"/>
      <w:snapToGrid w:val="0"/>
      <w:spacing w:beforeLines="10" w:afterLines="10" w:line="259" w:lineRule="auto"/>
      <w:ind w:firstLine="0" w:firstLineChars="0"/>
      <w:jc w:val="center"/>
    </w:pPr>
    <w:rPr>
      <w:rFonts w:ascii="宋体" w:hAnsiTheme="minorHAnsi" w:eastAsiaTheme="minorEastAsia" w:cstheme="minorBidi"/>
      <w:sz w:val="21"/>
      <w:szCs w:val="22"/>
    </w:rPr>
  </w:style>
  <w:style w:type="character" w:customStyle="1" w:styleId="76">
    <w:name w:val="日期 字符1"/>
    <w:link w:val="15"/>
    <w:qFormat/>
    <w:locked/>
    <w:uiPriority w:val="0"/>
    <w:rPr>
      <w:rFonts w:ascii="Times New Roman" w:hAnsi="Times New Roman" w:eastAsia="宋体"/>
      <w:sz w:val="24"/>
    </w:rPr>
  </w:style>
  <w:style w:type="character" w:customStyle="1" w:styleId="77">
    <w:name w:val="fontborder"/>
    <w:qFormat/>
    <w:uiPriority w:val="0"/>
    <w:rPr>
      <w:bdr w:val="single" w:color="000000" w:sz="6" w:space="0"/>
    </w:rPr>
  </w:style>
  <w:style w:type="character" w:customStyle="1" w:styleId="78">
    <w:name w:val="fontstyle01"/>
    <w:qFormat/>
    <w:uiPriority w:val="0"/>
    <w:rPr>
      <w:rFonts w:ascii="宋体" w:hAnsi="宋体" w:eastAsia="宋体" w:cs="宋体"/>
      <w:color w:val="000000"/>
      <w:sz w:val="24"/>
      <w:szCs w:val="24"/>
    </w:rPr>
  </w:style>
  <w:style w:type="character" w:customStyle="1" w:styleId="79">
    <w:name w:val="正文文本 字符1"/>
    <w:semiHidden/>
    <w:qFormat/>
    <w:uiPriority w:val="0"/>
    <w:rPr>
      <w:rFonts w:ascii="Times New Roman" w:hAnsi="Times New Roman" w:eastAsia="宋体"/>
      <w:sz w:val="24"/>
    </w:rPr>
  </w:style>
  <w:style w:type="character" w:customStyle="1" w:styleId="80">
    <w:name w:val="批注框文本 字符"/>
    <w:link w:val="17"/>
    <w:semiHidden/>
    <w:qFormat/>
    <w:locked/>
    <w:uiPriority w:val="0"/>
    <w:rPr>
      <w:rFonts w:ascii="Times New Roman" w:hAnsi="Times New Roman" w:eastAsia="宋体"/>
      <w:sz w:val="18"/>
    </w:rPr>
  </w:style>
  <w:style w:type="character" w:customStyle="1" w:styleId="81">
    <w:name w:val="批注主题 字符"/>
    <w:link w:val="26"/>
    <w:semiHidden/>
    <w:qFormat/>
    <w:locked/>
    <w:uiPriority w:val="0"/>
    <w:rPr>
      <w:rFonts w:ascii="Times New Roman" w:hAnsi="Times New Roman" w:eastAsia="宋体"/>
      <w:b/>
      <w:sz w:val="24"/>
    </w:rPr>
  </w:style>
  <w:style w:type="character" w:customStyle="1" w:styleId="82">
    <w:name w:val="文档结构图 字符"/>
    <w:link w:val="10"/>
    <w:qFormat/>
    <w:uiPriority w:val="0"/>
    <w:rPr>
      <w:rFonts w:ascii="宋体"/>
      <w:sz w:val="18"/>
      <w:szCs w:val="18"/>
    </w:rPr>
  </w:style>
  <w:style w:type="character" w:customStyle="1" w:styleId="83">
    <w:name w:val="批注文字 字符2"/>
    <w:basedOn w:val="30"/>
    <w:semiHidden/>
    <w:qFormat/>
    <w:uiPriority w:val="99"/>
    <w:rPr>
      <w:rFonts w:ascii="Times New Roman" w:hAnsi="Times New Roman" w:eastAsia="宋体" w:cs="Times New Roman"/>
      <w:sz w:val="24"/>
      <w:szCs w:val="24"/>
    </w:rPr>
  </w:style>
  <w:style w:type="character" w:customStyle="1" w:styleId="84">
    <w:name w:val="正文文本缩进 2 字符"/>
    <w:basedOn w:val="30"/>
    <w:link w:val="16"/>
    <w:qFormat/>
    <w:uiPriority w:val="0"/>
    <w:rPr>
      <w:rFonts w:ascii="Times New Roman" w:hAnsi="Times New Roman" w:eastAsia="宋体" w:cs="Times New Roman"/>
      <w:szCs w:val="24"/>
    </w:rPr>
  </w:style>
  <w:style w:type="character" w:customStyle="1" w:styleId="85">
    <w:name w:val="日期 字符2"/>
    <w:basedOn w:val="30"/>
    <w:semiHidden/>
    <w:qFormat/>
    <w:uiPriority w:val="99"/>
    <w:rPr>
      <w:rFonts w:ascii="Times New Roman" w:hAnsi="Times New Roman" w:eastAsia="宋体" w:cs="Times New Roman"/>
      <w:sz w:val="24"/>
      <w:szCs w:val="24"/>
    </w:rPr>
  </w:style>
  <w:style w:type="character" w:customStyle="1" w:styleId="86">
    <w:name w:val="批注主题 字符1"/>
    <w:basedOn w:val="83"/>
    <w:semiHidden/>
    <w:qFormat/>
    <w:uiPriority w:val="99"/>
    <w:rPr>
      <w:rFonts w:ascii="Times New Roman" w:hAnsi="Times New Roman" w:eastAsia="宋体" w:cs="Times New Roman"/>
      <w:b/>
      <w:bCs/>
      <w:sz w:val="24"/>
      <w:szCs w:val="24"/>
    </w:rPr>
  </w:style>
  <w:style w:type="character" w:customStyle="1" w:styleId="87">
    <w:name w:val="批注框文本 字符1"/>
    <w:basedOn w:val="30"/>
    <w:semiHidden/>
    <w:qFormat/>
    <w:uiPriority w:val="99"/>
    <w:rPr>
      <w:rFonts w:ascii="Times New Roman" w:hAnsi="Times New Roman" w:eastAsia="宋体" w:cs="Times New Roman"/>
      <w:sz w:val="18"/>
      <w:szCs w:val="18"/>
    </w:rPr>
  </w:style>
  <w:style w:type="character" w:customStyle="1" w:styleId="88">
    <w:name w:val="标题 字符"/>
    <w:basedOn w:val="30"/>
    <w:link w:val="25"/>
    <w:qFormat/>
    <w:uiPriority w:val="0"/>
    <w:rPr>
      <w:rFonts w:ascii="Cambria" w:hAnsi="Cambria" w:eastAsia="宋体" w:cs="Times New Roman"/>
      <w:b/>
      <w:bCs/>
      <w:sz w:val="32"/>
      <w:szCs w:val="32"/>
    </w:rPr>
  </w:style>
  <w:style w:type="character" w:customStyle="1" w:styleId="89">
    <w:name w:val="文档结构图 字符1"/>
    <w:basedOn w:val="30"/>
    <w:semiHidden/>
    <w:qFormat/>
    <w:uiPriority w:val="99"/>
    <w:rPr>
      <w:rFonts w:ascii="Microsoft YaHei UI" w:hAnsi="Times New Roman" w:eastAsia="Microsoft YaHei UI" w:cs="Times New Roman"/>
      <w:sz w:val="18"/>
      <w:szCs w:val="18"/>
    </w:rPr>
  </w:style>
  <w:style w:type="paragraph" w:customStyle="1" w:styleId="90">
    <w:name w:val="表标题"/>
    <w:basedOn w:val="1"/>
    <w:qFormat/>
    <w:uiPriority w:val="0"/>
    <w:pPr>
      <w:spacing w:line="240" w:lineRule="auto"/>
      <w:ind w:firstLine="0" w:firstLineChars="0"/>
      <w:jc w:val="center"/>
    </w:pPr>
    <w:rPr>
      <w:b/>
      <w:kern w:val="0"/>
      <w:sz w:val="21"/>
      <w:szCs w:val="20"/>
    </w:rPr>
  </w:style>
  <w:style w:type="paragraph" w:customStyle="1" w:styleId="91">
    <w:name w:val="纯文本1"/>
    <w:basedOn w:val="1"/>
    <w:qFormat/>
    <w:uiPriority w:val="0"/>
    <w:pPr>
      <w:spacing w:line="240" w:lineRule="auto"/>
      <w:ind w:firstLine="0" w:firstLineChars="0"/>
    </w:pPr>
    <w:rPr>
      <w:rFonts w:hint="eastAsia" w:ascii="宋体" w:hAnsi="Courier New"/>
      <w:sz w:val="21"/>
    </w:rPr>
  </w:style>
  <w:style w:type="paragraph" w:customStyle="1" w:styleId="92">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93">
    <w:name w:val="样式 样式 样式 小四 首行缩进:  2.25 字符 + 首行缩进:  2.25 字符 + 首行缩进:  2 字符"/>
    <w:basedOn w:val="1"/>
    <w:qFormat/>
    <w:uiPriority w:val="0"/>
    <w:pPr>
      <w:spacing w:line="440" w:lineRule="exact"/>
    </w:pPr>
  </w:style>
  <w:style w:type="paragraph" w:customStyle="1" w:styleId="94">
    <w:name w:val="lxc表格内容"/>
    <w:basedOn w:val="1"/>
    <w:qFormat/>
    <w:uiPriority w:val="0"/>
    <w:pPr>
      <w:spacing w:line="240" w:lineRule="auto"/>
      <w:ind w:firstLine="0" w:firstLineChars="0"/>
      <w:jc w:val="center"/>
    </w:pPr>
    <w:rPr>
      <w:sz w:val="21"/>
    </w:rPr>
  </w:style>
  <w:style w:type="paragraph" w:customStyle="1" w:styleId="95">
    <w:name w:val="表字体"/>
    <w:basedOn w:val="1"/>
    <w:next w:val="1"/>
    <w:qFormat/>
    <w:uiPriority w:val="0"/>
    <w:pPr>
      <w:spacing w:line="240" w:lineRule="auto"/>
      <w:ind w:firstLine="0" w:firstLineChars="0"/>
      <w:jc w:val="center"/>
    </w:pPr>
    <w:rPr>
      <w:sz w:val="21"/>
    </w:rPr>
  </w:style>
  <w:style w:type="paragraph" w:customStyle="1" w:styleId="96">
    <w:name w:val="1正文"/>
    <w:basedOn w:val="1"/>
    <w:qFormat/>
    <w:uiPriority w:val="0"/>
    <w:pPr>
      <w:spacing w:line="500" w:lineRule="exact"/>
      <w:ind w:firstLine="588" w:firstLineChars="196"/>
    </w:pPr>
    <w:rPr>
      <w:rFonts w:eastAsia="楷体_GB2312"/>
      <w:sz w:val="30"/>
      <w:szCs w:val="30"/>
    </w:rPr>
  </w:style>
  <w:style w:type="paragraph" w:customStyle="1" w:styleId="97">
    <w:name w:val="表格题注"/>
    <w:qFormat/>
    <w:uiPriority w:val="0"/>
    <w:pPr>
      <w:suppressAutoHyphens/>
      <w:jc w:val="center"/>
    </w:pPr>
    <w:rPr>
      <w:rFonts w:ascii="Times New Roman" w:hAnsi="Times New Roman" w:eastAsia="宋体" w:cs="Times New Roman"/>
      <w:b/>
      <w:kern w:val="0"/>
      <w:sz w:val="21"/>
      <w:szCs w:val="22"/>
      <w:lang w:val="en-US" w:eastAsia="zh-CN" w:bidi="ar-SA"/>
    </w:rPr>
  </w:style>
  <w:style w:type="paragraph" w:customStyle="1" w:styleId="98">
    <w:name w:val="B-文字"/>
    <w:basedOn w:val="1"/>
    <w:qFormat/>
    <w:uiPriority w:val="0"/>
    <w:pPr>
      <w:spacing w:line="240" w:lineRule="auto"/>
      <w:ind w:firstLine="0" w:firstLineChars="0"/>
      <w:jc w:val="center"/>
    </w:pPr>
    <w:rPr>
      <w:sz w:val="21"/>
      <w:szCs w:val="21"/>
    </w:rPr>
  </w:style>
  <w:style w:type="paragraph" w:customStyle="1" w:styleId="99">
    <w:name w:val="xl27"/>
    <w:basedOn w:val="1"/>
    <w:qFormat/>
    <w:uiPriority w:val="0"/>
    <w:pPr>
      <w:widowControl/>
      <w:pBdr>
        <w:bottom w:val="single" w:color="auto" w:sz="12" w:space="0"/>
      </w:pBdr>
      <w:spacing w:before="100" w:after="100" w:line="240" w:lineRule="auto"/>
      <w:ind w:firstLine="0" w:firstLineChars="0"/>
      <w:jc w:val="center"/>
    </w:pPr>
    <w:rPr>
      <w:rFonts w:ascii="宋体" w:hAnsi="宋体"/>
      <w:kern w:val="0"/>
      <w:sz w:val="21"/>
      <w:szCs w:val="20"/>
    </w:rPr>
  </w:style>
  <w:style w:type="paragraph" w:customStyle="1" w:styleId="100">
    <w:name w:val="标准正文"/>
    <w:basedOn w:val="1"/>
    <w:qFormat/>
    <w:uiPriority w:val="0"/>
    <w:pPr>
      <w:spacing w:line="240" w:lineRule="auto"/>
      <w:ind w:firstLine="560"/>
    </w:pPr>
    <w:rPr>
      <w:rFonts w:hAnsi="宋体"/>
      <w:sz w:val="28"/>
      <w:szCs w:val="28"/>
    </w:rPr>
  </w:style>
  <w:style w:type="paragraph" w:customStyle="1" w:styleId="101">
    <w:name w:val="普通(网站)2"/>
    <w:basedOn w:val="1"/>
    <w:qFormat/>
    <w:uiPriority w:val="0"/>
    <w:pPr>
      <w:widowControl/>
      <w:spacing w:before="100" w:beforeAutospacing="1" w:after="100" w:afterAutospacing="1" w:line="240" w:lineRule="auto"/>
      <w:ind w:firstLine="0" w:firstLineChars="0"/>
      <w:jc w:val="left"/>
    </w:pPr>
    <w:rPr>
      <w:rFonts w:ascii="宋体" w:hAnsi="宋体"/>
      <w:szCs w:val="20"/>
    </w:rPr>
  </w:style>
  <w:style w:type="paragraph" w:customStyle="1" w:styleId="102">
    <w:name w:val="正文1"/>
    <w:basedOn w:val="1"/>
    <w:next w:val="1"/>
    <w:qFormat/>
    <w:uiPriority w:val="0"/>
    <w:pPr>
      <w:ind w:firstLine="723"/>
    </w:pPr>
    <w:rPr>
      <w:kern w:val="0"/>
      <w:sz w:val="21"/>
      <w:szCs w:val="20"/>
    </w:rPr>
  </w:style>
  <w:style w:type="paragraph" w:customStyle="1" w:styleId="103">
    <w:name w:val="样式 标题 1 + 四号 段前: 0 磅 段后: 0 磅 行距: 1.5 倍行距"/>
    <w:basedOn w:val="96"/>
    <w:next w:val="104"/>
    <w:qFormat/>
    <w:uiPriority w:val="0"/>
    <w:pPr>
      <w:spacing w:line="360" w:lineRule="auto"/>
      <w:jc w:val="center"/>
    </w:pPr>
    <w:rPr>
      <w:rFonts w:hAnsi="黑体" w:eastAsia="宋体"/>
      <w:sz w:val="21"/>
    </w:rPr>
  </w:style>
  <w:style w:type="paragraph" w:customStyle="1" w:styleId="104">
    <w:name w:val="文本正文"/>
    <w:basedOn w:val="1"/>
    <w:qFormat/>
    <w:uiPriority w:val="0"/>
    <w:pPr>
      <w:snapToGrid w:val="0"/>
      <w:ind w:firstLine="510" w:firstLineChars="0"/>
      <w:jc w:val="left"/>
    </w:pPr>
    <w:rPr>
      <w:spacing w:val="4"/>
      <w:kern w:val="24"/>
      <w:sz w:val="21"/>
      <w:lang w:val="zh-CN"/>
    </w:rPr>
  </w:style>
  <w:style w:type="paragraph" w:styleId="105">
    <w:name w:val="List Paragraph"/>
    <w:basedOn w:val="1"/>
    <w:qFormat/>
    <w:uiPriority w:val="1"/>
    <w:pPr>
      <w:widowControl/>
      <w:spacing w:line="240" w:lineRule="auto"/>
      <w:ind w:firstLine="420"/>
      <w:jc w:val="left"/>
    </w:pPr>
    <w:rPr>
      <w:rFonts w:ascii="宋体" w:hAnsi="宋体" w:cs="宋体"/>
      <w:kern w:val="0"/>
      <w:sz w:val="21"/>
    </w:rPr>
  </w:style>
  <w:style w:type="paragraph" w:customStyle="1" w:styleId="106">
    <w:name w:val="acee正文"/>
    <w:basedOn w:val="1"/>
    <w:qFormat/>
    <w:uiPriority w:val="0"/>
    <w:pPr>
      <w:spacing w:line="480" w:lineRule="exact"/>
      <w:ind w:firstLine="640"/>
    </w:pPr>
    <w:rPr>
      <w:rFonts w:ascii="仿宋_GB2312" w:hAnsi="宋体" w:eastAsia="仿宋_GB2312"/>
      <w:sz w:val="32"/>
    </w:rPr>
  </w:style>
  <w:style w:type="paragraph" w:customStyle="1" w:styleId="107">
    <w:name w:val="表"/>
    <w:basedOn w:val="1"/>
    <w:qFormat/>
    <w:uiPriority w:val="0"/>
    <w:pPr>
      <w:spacing w:line="240" w:lineRule="auto"/>
      <w:ind w:firstLine="0" w:firstLineChars="0"/>
      <w:jc w:val="center"/>
      <w:outlineLvl w:val="3"/>
    </w:pPr>
    <w:rPr>
      <w:rFonts w:eastAsia="仿宋_GB2312"/>
      <w:kern w:val="0"/>
      <w:sz w:val="21"/>
      <w:szCs w:val="21"/>
    </w:rPr>
  </w:style>
  <w:style w:type="paragraph" w:customStyle="1" w:styleId="108">
    <w:name w:val="A正文1"/>
    <w:basedOn w:val="1"/>
    <w:qFormat/>
    <w:uiPriority w:val="0"/>
    <w:rPr>
      <w:szCs w:val="28"/>
    </w:rPr>
  </w:style>
  <w:style w:type="character" w:customStyle="1" w:styleId="109">
    <w:name w:val="报告正文 Char Char"/>
    <w:link w:val="110"/>
    <w:qFormat/>
    <w:uiPriority w:val="0"/>
    <w:rPr>
      <w:rFonts w:eastAsia="仿宋_GB2312"/>
      <w:sz w:val="28"/>
      <w:szCs w:val="24"/>
    </w:rPr>
  </w:style>
  <w:style w:type="paragraph" w:customStyle="1" w:styleId="110">
    <w:name w:val="报告正文"/>
    <w:basedOn w:val="1"/>
    <w:link w:val="109"/>
    <w:qFormat/>
    <w:uiPriority w:val="0"/>
    <w:rPr>
      <w:rFonts w:eastAsia="仿宋_GB2312" w:asciiTheme="minorHAnsi" w:hAnsiTheme="minorHAnsi" w:cstheme="minorBidi"/>
      <w:sz w:val="28"/>
    </w:rPr>
  </w:style>
  <w:style w:type="paragraph" w:customStyle="1" w:styleId="111">
    <w:name w:val="TOC Heading"/>
    <w:basedOn w:val="2"/>
    <w:next w:val="1"/>
    <w:unhideWhenUsed/>
    <w:qFormat/>
    <w:uiPriority w:val="39"/>
    <w:pPr>
      <w:widowControl/>
      <w:spacing w:before="240" w:line="259" w:lineRule="auto"/>
      <w:jc w:val="left"/>
      <w:outlineLvl w:val="9"/>
    </w:pPr>
    <w:rPr>
      <w:rFonts w:asciiTheme="majorHAnsi" w:hAnsiTheme="majorHAnsi" w:eastAsiaTheme="majorEastAsia" w:cstheme="majorBidi"/>
      <w:b w:val="0"/>
      <w:bCs w:val="0"/>
      <w:color w:val="2F5496" w:themeColor="accent1" w:themeShade="BF"/>
      <w:kern w:val="0"/>
      <w:sz w:val="32"/>
      <w:szCs w:val="32"/>
    </w:rPr>
  </w:style>
  <w:style w:type="paragraph" w:customStyle="1" w:styleId="112">
    <w:name w:val="表格-易恒1"/>
    <w:basedOn w:val="1"/>
    <w:link w:val="113"/>
    <w:qFormat/>
    <w:uiPriority w:val="0"/>
    <w:pPr>
      <w:spacing w:line="240" w:lineRule="auto"/>
      <w:ind w:firstLine="0" w:firstLineChars="0"/>
      <w:jc w:val="center"/>
    </w:pPr>
    <w:rPr>
      <w:rFonts w:cstheme="minorBidi"/>
      <w:sz w:val="21"/>
      <w:szCs w:val="32"/>
    </w:rPr>
  </w:style>
  <w:style w:type="character" w:customStyle="1" w:styleId="113">
    <w:name w:val="表格-易恒1 字符"/>
    <w:basedOn w:val="30"/>
    <w:link w:val="112"/>
    <w:qFormat/>
    <w:uiPriority w:val="0"/>
    <w:rPr>
      <w:rFonts w:ascii="Times New Roman" w:hAnsi="Times New Roman" w:eastAsia="宋体"/>
      <w:szCs w:val="32"/>
    </w:rPr>
  </w:style>
  <w:style w:type="paragraph" w:customStyle="1" w:styleId="114">
    <w:name w:val="表头-易恒1"/>
    <w:basedOn w:val="112"/>
    <w:next w:val="1"/>
    <w:link w:val="115"/>
    <w:qFormat/>
    <w:uiPriority w:val="0"/>
    <w:pPr>
      <w:spacing w:before="50" w:beforeLines="50"/>
    </w:pPr>
    <w:rPr>
      <w:b/>
    </w:rPr>
  </w:style>
  <w:style w:type="character" w:customStyle="1" w:styleId="115">
    <w:name w:val="表头-易恒1 字符"/>
    <w:basedOn w:val="113"/>
    <w:link w:val="114"/>
    <w:qFormat/>
    <w:uiPriority w:val="0"/>
    <w:rPr>
      <w:rFonts w:ascii="Times New Roman" w:hAnsi="Times New Roman" w:eastAsia="宋体"/>
      <w:b/>
      <w:szCs w:val="32"/>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5" Type="http://schemas.openxmlformats.org/officeDocument/2006/relationships/fontTable" Target="fontTable.xml"/><Relationship Id="rId34" Type="http://schemas.openxmlformats.org/officeDocument/2006/relationships/customXml" Target="../customXml/item1.xml"/><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footnotes" Target="footnotes.xml"/><Relationship Id="rId29" Type="http://schemas.openxmlformats.org/officeDocument/2006/relationships/image" Target="media/image12.wmf"/><Relationship Id="rId28" Type="http://schemas.openxmlformats.org/officeDocument/2006/relationships/oleObject" Target="embeddings/oleObject4.bin"/><Relationship Id="rId27" Type="http://schemas.openxmlformats.org/officeDocument/2006/relationships/image" Target="media/image11.wmf"/><Relationship Id="rId26" Type="http://schemas.openxmlformats.org/officeDocument/2006/relationships/oleObject" Target="embeddings/oleObject3.bin"/><Relationship Id="rId25" Type="http://schemas.openxmlformats.org/officeDocument/2006/relationships/image" Target="media/image10.wmf"/><Relationship Id="rId24" Type="http://schemas.openxmlformats.org/officeDocument/2006/relationships/oleObject" Target="embeddings/oleObject2.bin"/><Relationship Id="rId23" Type="http://schemas.openxmlformats.org/officeDocument/2006/relationships/image" Target="media/image9.wmf"/><Relationship Id="rId22" Type="http://schemas.openxmlformats.org/officeDocument/2006/relationships/oleObject" Target="embeddings/oleObject1.bin"/><Relationship Id="rId21" Type="http://schemas.openxmlformats.org/officeDocument/2006/relationships/image" Target="media/image8.emf"/><Relationship Id="rId20" Type="http://schemas.openxmlformats.org/officeDocument/2006/relationships/package" Target="embeddings/Microsoft_Visio___1.vsdx"/><Relationship Id="rId2" Type="http://schemas.openxmlformats.org/officeDocument/2006/relationships/settings" Target="settings.xml"/><Relationship Id="rId19" Type="http://schemas.openxmlformats.org/officeDocument/2006/relationships/image" Target="media/image7.emf"/><Relationship Id="rId18" Type="http://schemas.openxmlformats.org/officeDocument/2006/relationships/image" Target="media/image6.emf"/><Relationship Id="rId17" Type="http://schemas.openxmlformats.org/officeDocument/2006/relationships/image" Target="media/image5.emf"/><Relationship Id="rId16" Type="http://schemas.openxmlformats.org/officeDocument/2006/relationships/image" Target="media/image4.emf"/><Relationship Id="rId15" Type="http://schemas.openxmlformats.org/officeDocument/2006/relationships/image" Target="media/image3.emf"/><Relationship Id="rId14" Type="http://schemas.openxmlformats.org/officeDocument/2006/relationships/image" Target="media/image2.emf"/><Relationship Id="rId13" Type="http://schemas.openxmlformats.org/officeDocument/2006/relationships/image" Target="media/image1.emf"/><Relationship Id="rId12" Type="http://schemas.openxmlformats.org/officeDocument/2006/relationships/theme" Target="theme/theme1.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35D07C-7C40-4419-AEB6-877C69EA2181}">
  <ds:schemaRefs/>
</ds:datastoreItem>
</file>

<file path=docProps/app.xml><?xml version="1.0" encoding="utf-8"?>
<Properties xmlns="http://schemas.openxmlformats.org/officeDocument/2006/extended-properties" xmlns:vt="http://schemas.openxmlformats.org/officeDocument/2006/docPropsVTypes">
  <Template>Normal.dotm</Template>
  <Pages>77</Pages>
  <Words>28215</Words>
  <Characters>31085</Characters>
  <Lines>249</Lines>
  <Paragraphs>70</Paragraphs>
  <TotalTime>4170</TotalTime>
  <ScaleCrop>false</ScaleCrop>
  <LinksUpToDate>false</LinksUpToDate>
  <CharactersWithSpaces>31410</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2022-05-04T02:00:00Z</dcterms:created>
  <dc:creator>wenzhiliang</dc:creator>
  <cp:lastModifiedBy>Khalil Chao</cp:lastModifiedBy>
  <cp:lastPrinted>2023-03-14T00:15:00Z</cp:lastPrinted>
  <dcterms:modified xsi:type="dcterms:W3CDTF">2023-03-14T07:35:38Z</dcterms:modified>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14B1F867ECA14F41BCC725A6AFDA0BD7</vt:lpwstr>
  </property>
</Properties>
</file>