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line="320" w:lineRule="exact"/>
        <w:jc w:val="left"/>
        <w:textAlignment w:val="auto"/>
        <w:rPr>
          <w:rFonts w:hint="eastAsia" w:ascii="仿宋" w:hAnsi="仿宋" w:eastAsia="仿宋" w:cs="仿宋"/>
          <w:b/>
          <w:bCs w:val="0"/>
          <w:sz w:val="30"/>
          <w:szCs w:val="30"/>
        </w:rPr>
      </w:pPr>
      <w:r>
        <w:rPr>
          <w:rFonts w:hint="eastAsia" w:ascii="仿宋" w:hAnsi="仿宋" w:eastAsia="仿宋" w:cs="仿宋"/>
          <w:b/>
          <w:bCs w:val="0"/>
          <w:sz w:val="30"/>
          <w:szCs w:val="30"/>
        </w:rPr>
        <w:t>附件</w:t>
      </w:r>
      <w:r>
        <w:rPr>
          <w:rFonts w:hint="eastAsia" w:ascii="仿宋" w:hAnsi="仿宋" w:eastAsia="仿宋" w:cs="仿宋"/>
          <w:b/>
          <w:bCs w:val="0"/>
          <w:sz w:val="30"/>
          <w:szCs w:val="30"/>
          <w:lang w:val="en-US" w:eastAsia="zh-CN"/>
        </w:rPr>
        <w:t>2</w:t>
      </w:r>
      <w:r>
        <w:rPr>
          <w:rFonts w:hint="eastAsia" w:ascii="仿宋" w:hAnsi="仿宋" w:eastAsia="仿宋" w:cs="仿宋"/>
          <w:b/>
          <w:bCs w:val="0"/>
          <w:sz w:val="30"/>
          <w:szCs w:val="30"/>
          <w:lang w:eastAsia="zh-CN"/>
        </w:rPr>
        <w:t>：</w:t>
      </w:r>
      <w:r>
        <w:rPr>
          <w:rFonts w:hint="eastAsia" w:ascii="仿宋" w:hAnsi="仿宋" w:eastAsia="仿宋" w:cs="仿宋"/>
          <w:b/>
          <w:bCs w:val="0"/>
          <w:sz w:val="30"/>
          <w:szCs w:val="30"/>
        </w:rPr>
        <w:t>部门整体支出绩效评价指标表</w:t>
      </w:r>
    </w:p>
    <w:p>
      <w:pPr>
        <w:keepNext w:val="0"/>
        <w:keepLines w:val="0"/>
        <w:pageBreakBefore w:val="0"/>
        <w:kinsoku/>
        <w:wordWrap/>
        <w:overflowPunct/>
        <w:topLinePunct w:val="0"/>
        <w:autoSpaceDE/>
        <w:autoSpaceDN/>
        <w:bidi w:val="0"/>
        <w:adjustRightInd w:val="0"/>
        <w:snapToGrid w:val="0"/>
        <w:spacing w:beforeAutospacing="0" w:line="320" w:lineRule="exact"/>
        <w:jc w:val="left"/>
        <w:textAlignment w:val="auto"/>
        <w:rPr>
          <w:rFonts w:hint="eastAsia" w:ascii="仿宋" w:hAnsi="仿宋" w:eastAsia="仿宋" w:cs="仿宋"/>
          <w:b/>
          <w:bCs w:val="0"/>
          <w:sz w:val="30"/>
          <w:szCs w:val="30"/>
        </w:rPr>
      </w:pPr>
      <w:bookmarkStart w:id="0" w:name="_GoBack"/>
      <w:bookmarkEnd w:id="0"/>
      <w:r>
        <w:rPr>
          <w:rFonts w:hint="eastAsia" w:ascii="宋体" w:hAnsi="宋体" w:eastAsia="宋体" w:cs="宋体"/>
          <w:bCs/>
          <w:sz w:val="21"/>
          <w:szCs w:val="21"/>
        </w:rPr>
        <w:t xml:space="preserve">    </w:t>
      </w:r>
    </w:p>
    <w:tbl>
      <w:tblPr>
        <w:tblStyle w:val="2"/>
        <w:tblW w:w="10600" w:type="dxa"/>
        <w:jc w:val="center"/>
        <w:tblLayout w:type="fixed"/>
        <w:tblCellMar>
          <w:top w:w="0" w:type="dxa"/>
          <w:left w:w="108" w:type="dxa"/>
          <w:bottom w:w="0" w:type="dxa"/>
          <w:right w:w="108" w:type="dxa"/>
        </w:tblCellMar>
      </w:tblPr>
      <w:tblGrid>
        <w:gridCol w:w="439"/>
        <w:gridCol w:w="495"/>
        <w:gridCol w:w="584"/>
        <w:gridCol w:w="509"/>
        <w:gridCol w:w="1014"/>
        <w:gridCol w:w="416"/>
        <w:gridCol w:w="3016"/>
        <w:gridCol w:w="3490"/>
        <w:gridCol w:w="637"/>
      </w:tblGrid>
      <w:tr>
        <w:tblPrEx>
          <w:tblCellMar>
            <w:top w:w="0" w:type="dxa"/>
            <w:left w:w="108" w:type="dxa"/>
            <w:bottom w:w="0" w:type="dxa"/>
            <w:right w:w="108" w:type="dxa"/>
          </w:tblCellMar>
        </w:tblPrEx>
        <w:trPr>
          <w:tblHeader/>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一级指标</w:t>
            </w:r>
          </w:p>
        </w:tc>
        <w:tc>
          <w:tcPr>
            <w:tcW w:w="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5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二级指标</w:t>
            </w:r>
          </w:p>
        </w:tc>
        <w:tc>
          <w:tcPr>
            <w:tcW w:w="5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10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lang w:eastAsia="zh-CN"/>
              </w:rPr>
            </w:pPr>
            <w:r>
              <w:rPr>
                <w:rFonts w:hint="eastAsia" w:ascii="宋体" w:hAnsi="宋体" w:eastAsia="宋体" w:cs="宋体"/>
                <w:bCs/>
                <w:sz w:val="18"/>
                <w:szCs w:val="18"/>
              </w:rPr>
              <w:t>三</w:t>
            </w:r>
            <w:r>
              <w:rPr>
                <w:rFonts w:hint="eastAsia" w:ascii="宋体" w:hAnsi="宋体" w:eastAsia="宋体" w:cs="宋体"/>
                <w:bCs/>
                <w:sz w:val="18"/>
                <w:szCs w:val="18"/>
                <w:lang w:eastAsia="zh-CN"/>
              </w:rPr>
              <w:t>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得分</w:t>
            </w:r>
          </w:p>
        </w:tc>
      </w:tr>
      <w:tr>
        <w:tblPrEx>
          <w:tblCellMar>
            <w:top w:w="0" w:type="dxa"/>
            <w:left w:w="108" w:type="dxa"/>
            <w:bottom w:w="0" w:type="dxa"/>
            <w:right w:w="108" w:type="dxa"/>
          </w:tblCellMar>
        </w:tblPrEx>
        <w:trPr>
          <w:trHeight w:val="1814" w:hRule="atLeast"/>
          <w:jc w:val="center"/>
        </w:trPr>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投入</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58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预算配置</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在职人员控制率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以100%为标准。在职人员控制率≦100%，计5分；每超过一个百分点扣0.5分，扣完为止。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在职人员控制率=（在职人员数/编制数）×100%，在职人员数：部门（单位）实际在职人数，以市财政局确定的部门决算编制口径为准。</w:t>
            </w:r>
            <w:r>
              <w:rPr>
                <w:rFonts w:hint="eastAsia" w:ascii="宋体" w:hAnsi="宋体" w:eastAsia="宋体" w:cs="宋体"/>
                <w:bCs/>
                <w:sz w:val="18"/>
                <w:szCs w:val="18"/>
              </w:rPr>
              <w:br w:type="textWrapping"/>
            </w:r>
            <w:r>
              <w:rPr>
                <w:rFonts w:hint="eastAsia" w:ascii="宋体" w:hAnsi="宋体" w:eastAsia="宋体" w:cs="宋体"/>
                <w:bCs/>
                <w:sz w:val="18"/>
                <w:szCs w:val="18"/>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　</w:t>
            </w:r>
          </w:p>
        </w:tc>
      </w:tr>
      <w:tr>
        <w:tblPrEx>
          <w:tblCellMar>
            <w:top w:w="0" w:type="dxa"/>
            <w:left w:w="108" w:type="dxa"/>
            <w:bottom w:w="0" w:type="dxa"/>
            <w:right w:w="108" w:type="dxa"/>
          </w:tblCellMar>
        </w:tblPrEx>
        <w:trPr>
          <w:jc w:val="center"/>
        </w:trPr>
        <w:tc>
          <w:tcPr>
            <w:tcW w:w="43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过                                                                                                                                       程</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60</w:t>
            </w: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预算执行</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20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预算完成率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273"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2</w:t>
            </w:r>
          </w:p>
        </w:tc>
      </w:tr>
      <w:tr>
        <w:tblPrEx>
          <w:tblCellMar>
            <w:top w:w="0" w:type="dxa"/>
            <w:left w:w="108" w:type="dxa"/>
            <w:bottom w:w="0" w:type="dxa"/>
            <w:right w:w="108" w:type="dxa"/>
          </w:tblCellMar>
        </w:tblPrEx>
        <w:trPr>
          <w:trHeight w:val="1325"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楼堂馆所面积控制率=实际建设面积/批准建设面积×100% 。</w:t>
            </w:r>
            <w:r>
              <w:rPr>
                <w:rFonts w:hint="eastAsia" w:ascii="宋体" w:hAnsi="宋体" w:eastAsia="宋体" w:cs="宋体"/>
                <w:bCs/>
                <w:sz w:val="18"/>
                <w:szCs w:val="18"/>
              </w:rPr>
              <w:br w:type="textWrapping"/>
            </w:r>
            <w:r>
              <w:rPr>
                <w:rFonts w:hint="eastAsia" w:ascii="宋体" w:hAnsi="宋体" w:eastAsia="宋体" w:cs="宋体"/>
                <w:bCs/>
                <w:sz w:val="18"/>
                <w:szCs w:val="18"/>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402"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楼堂馆所投资预算控制率=实际投资金额/批准投资金额×100% 。</w:t>
            </w:r>
            <w:r>
              <w:rPr>
                <w:rFonts w:hint="eastAsia" w:ascii="宋体" w:hAnsi="宋体" w:eastAsia="宋体" w:cs="宋体"/>
                <w:bCs/>
                <w:sz w:val="18"/>
                <w:szCs w:val="18"/>
              </w:rPr>
              <w:br w:type="textWrapping"/>
            </w:r>
            <w:r>
              <w:rPr>
                <w:rFonts w:hint="eastAsia" w:ascii="宋体" w:hAnsi="宋体" w:eastAsia="宋体" w:cs="宋体"/>
                <w:bCs/>
                <w:sz w:val="18"/>
                <w:szCs w:val="18"/>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324"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预算管理</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40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公用经费控制率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公用经费控制率=（实际支出公用经费总额/预算安排公用经费总额）×100%。</w:t>
            </w:r>
            <w:r>
              <w:rPr>
                <w:rFonts w:hint="eastAsia" w:ascii="宋体" w:hAnsi="宋体" w:eastAsia="宋体" w:cs="宋体"/>
                <w:bCs/>
                <w:sz w:val="18"/>
                <w:szCs w:val="18"/>
              </w:rPr>
              <w:br w:type="textWrapping"/>
            </w:r>
            <w:r>
              <w:rPr>
                <w:rFonts w:hint="eastAsia" w:ascii="宋体" w:hAnsi="宋体" w:eastAsia="宋体" w:cs="宋体"/>
                <w:bCs/>
                <w:sz w:val="18"/>
                <w:szCs w:val="18"/>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trHeight w:val="911"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“三公经费”控制率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7</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7</w:t>
            </w:r>
          </w:p>
        </w:tc>
      </w:tr>
      <w:tr>
        <w:tblPrEx>
          <w:tblCellMar>
            <w:top w:w="0" w:type="dxa"/>
            <w:left w:w="108" w:type="dxa"/>
            <w:bottom w:w="0" w:type="dxa"/>
            <w:right w:w="108" w:type="dxa"/>
          </w:tblCellMar>
        </w:tblPrEx>
        <w:trPr>
          <w:trHeight w:val="777" w:hRule="atLeast"/>
          <w:jc w:val="center"/>
        </w:trPr>
        <w:tc>
          <w:tcPr>
            <w:tcW w:w="4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政府采购执行率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过                                                                                                                                       程</w:t>
            </w:r>
          </w:p>
        </w:tc>
        <w:tc>
          <w:tcPr>
            <w:tcW w:w="4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预算管理</w:t>
            </w: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管理制度健全性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①有内部财务管理制度、会计核算制度等管理制度，2分；</w:t>
            </w:r>
            <w:r>
              <w:rPr>
                <w:rFonts w:hint="eastAsia" w:ascii="宋体" w:hAnsi="宋体" w:eastAsia="宋体" w:cs="宋体"/>
                <w:bCs/>
                <w:sz w:val="18"/>
                <w:szCs w:val="18"/>
              </w:rPr>
              <w:br w:type="textWrapping"/>
            </w:r>
            <w:r>
              <w:rPr>
                <w:rFonts w:hint="eastAsia" w:ascii="宋体" w:hAnsi="宋体" w:eastAsia="宋体" w:cs="宋体"/>
                <w:bCs/>
                <w:sz w:val="18"/>
                <w:szCs w:val="18"/>
              </w:rPr>
              <w:t>②有本部门厉行节约制度,2分；</w:t>
            </w:r>
            <w:r>
              <w:rPr>
                <w:rFonts w:hint="eastAsia" w:ascii="宋体" w:hAnsi="宋体" w:eastAsia="宋体" w:cs="宋体"/>
                <w:bCs/>
                <w:sz w:val="18"/>
                <w:szCs w:val="18"/>
              </w:rPr>
              <w:br w:type="textWrapping"/>
            </w:r>
            <w:r>
              <w:rPr>
                <w:rFonts w:hint="eastAsia" w:ascii="宋体" w:hAnsi="宋体" w:eastAsia="宋体" w:cs="宋体"/>
                <w:bCs/>
                <w:sz w:val="18"/>
                <w:szCs w:val="18"/>
              </w:rPr>
              <w:t>③相关管理制度合法、合规、完整，2分；④相关管理制度得到有效执行，2分。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资金使用合规性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hAnsi="宋体" w:eastAsia="宋体" w:cs="宋体"/>
                <w:bCs/>
                <w:sz w:val="18"/>
                <w:szCs w:val="18"/>
              </w:rPr>
              <w:br w:type="textWrapping"/>
            </w:r>
            <w:r>
              <w:rPr>
                <w:rFonts w:hint="eastAsia" w:ascii="宋体" w:hAnsi="宋体" w:eastAsia="宋体" w:cs="宋体"/>
                <w:bCs/>
                <w:sz w:val="18"/>
                <w:szCs w:val="18"/>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预决算信息公开性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　</w:t>
            </w:r>
          </w:p>
        </w:tc>
      </w:tr>
      <w:tr>
        <w:tblPrEx>
          <w:tblCellMar>
            <w:top w:w="0" w:type="dxa"/>
            <w:left w:w="108" w:type="dxa"/>
            <w:bottom w:w="0" w:type="dxa"/>
            <w:right w:w="108" w:type="dxa"/>
          </w:tblCellMar>
        </w:tblPrEx>
        <w:trPr>
          <w:jc w:val="center"/>
        </w:trPr>
        <w:tc>
          <w:tcPr>
            <w:tcW w:w="43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产出及效率</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30</w:t>
            </w:r>
          </w:p>
        </w:tc>
        <w:tc>
          <w:tcPr>
            <w:tcW w:w="58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职责履行</w:t>
            </w:r>
          </w:p>
        </w:tc>
        <w:tc>
          <w:tcPr>
            <w:tcW w:w="50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1014"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根据绩效办2016年对各部门为民办实事和部门重点工程与重点工作考核分数折算。</w:t>
            </w:r>
            <w:r>
              <w:rPr>
                <w:rFonts w:hint="eastAsia" w:ascii="宋体" w:hAnsi="宋体" w:eastAsia="宋体" w:cs="宋体"/>
                <w:bCs/>
                <w:sz w:val="18"/>
                <w:szCs w:val="18"/>
              </w:rPr>
              <w:br w:type="textWrapping"/>
            </w:r>
            <w:r>
              <w:rPr>
                <w:rFonts w:hint="eastAsia" w:ascii="宋体" w:hAnsi="宋体" w:eastAsia="宋体" w:cs="宋体"/>
                <w:bCs/>
                <w:sz w:val="18"/>
                <w:szCs w:val="18"/>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履职 效益</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10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0</w:t>
            </w:r>
          </w:p>
        </w:tc>
        <w:tc>
          <w:tcPr>
            <w:tcW w:w="6506" w:type="dxa"/>
            <w:gridSpan w:val="2"/>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社会效益</w:t>
            </w:r>
          </w:p>
        </w:tc>
        <w:tc>
          <w:tcPr>
            <w:tcW w:w="416" w:type="dxa"/>
            <w:vMerge w:val="continue"/>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6506" w:type="dxa"/>
            <w:gridSpan w:val="2"/>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637"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12</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90%（含）以上计6分；</w:t>
            </w:r>
            <w:r>
              <w:rPr>
                <w:rFonts w:hint="eastAsia" w:ascii="宋体" w:hAnsi="宋体" w:eastAsia="宋体" w:cs="宋体"/>
                <w:bCs/>
                <w:sz w:val="18"/>
                <w:szCs w:val="18"/>
              </w:rPr>
              <w:br w:type="textWrapping"/>
            </w:r>
            <w:r>
              <w:rPr>
                <w:rFonts w:hint="eastAsia" w:ascii="宋体" w:hAnsi="宋体" w:eastAsia="宋体" w:cs="宋体"/>
                <w:bCs/>
                <w:sz w:val="18"/>
                <w:szCs w:val="18"/>
              </w:rPr>
              <w:t>80%（含）-90%，计4分；</w:t>
            </w:r>
            <w:r>
              <w:rPr>
                <w:rFonts w:hint="eastAsia" w:ascii="宋体" w:hAnsi="宋体" w:eastAsia="宋体" w:cs="宋体"/>
                <w:bCs/>
                <w:sz w:val="18"/>
                <w:szCs w:val="18"/>
              </w:rPr>
              <w:br w:type="textWrapping"/>
            </w:r>
            <w:r>
              <w:rPr>
                <w:rFonts w:hint="eastAsia" w:ascii="宋体" w:hAnsi="宋体" w:eastAsia="宋体" w:cs="宋体"/>
                <w:bCs/>
                <w:sz w:val="18"/>
                <w:szCs w:val="18"/>
              </w:rPr>
              <w:t>70%（含）-80%，计2分；</w:t>
            </w:r>
            <w:r>
              <w:rPr>
                <w:rFonts w:hint="eastAsia" w:ascii="宋体" w:hAnsi="宋体" w:eastAsia="宋体" w:cs="宋体"/>
                <w:bCs/>
                <w:sz w:val="18"/>
                <w:szCs w:val="18"/>
              </w:rPr>
              <w:br w:type="textWrapping"/>
            </w:r>
            <w:r>
              <w:rPr>
                <w:rFonts w:hint="eastAsia" w:ascii="宋体" w:hAnsi="宋体" w:eastAsia="宋体" w:cs="宋体"/>
                <w:bCs/>
                <w:sz w:val="18"/>
                <w:szCs w:val="18"/>
              </w:rPr>
              <w:t>低于70%计0分。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90B1B"/>
    <w:rsid w:val="385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蔡某某。</cp:lastModifiedBy>
  <dcterms:modified xsi:type="dcterms:W3CDTF">2021-05-09T10:30:42Z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4E18AE087DB6400CA6BE768741640688</vt:lpwstr>
  </property>
</Properties>
</file>