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color w:val="auto"/>
          <w:sz w:val="56"/>
          <w:szCs w:val="56"/>
        </w:rPr>
      </w:pPr>
    </w:p>
    <w:p>
      <w:pPr>
        <w:pStyle w:val="10"/>
        <w:jc w:val="center"/>
        <w:rPr>
          <w:color w:val="auto"/>
          <w:sz w:val="56"/>
          <w:szCs w:val="56"/>
        </w:rPr>
      </w:pPr>
    </w:p>
    <w:p>
      <w:pPr>
        <w:pStyle w:val="10"/>
        <w:ind w:left="218" w:leftChars="104" w:firstLine="0" w:firstLineChars="0"/>
        <w:jc w:val="center"/>
        <w:rPr>
          <w:color w:val="auto"/>
          <w:sz w:val="84"/>
          <w:szCs w:val="84"/>
        </w:rPr>
      </w:pPr>
    </w:p>
    <w:p>
      <w:pPr>
        <w:pStyle w:val="10"/>
        <w:jc w:val="center"/>
        <w:rPr>
          <w:color w:val="auto"/>
          <w:sz w:val="84"/>
          <w:szCs w:val="84"/>
        </w:rPr>
      </w:pPr>
    </w:p>
    <w:p>
      <w:pPr>
        <w:pStyle w:val="10"/>
        <w:ind w:firstLine="3360" w:firstLineChars="400"/>
        <w:jc w:val="both"/>
        <w:rPr>
          <w:rFonts w:hint="eastAsia"/>
          <w:color w:val="auto"/>
          <w:sz w:val="84"/>
          <w:szCs w:val="84"/>
        </w:rPr>
      </w:pPr>
      <w:r>
        <w:rPr>
          <w:rFonts w:hint="eastAsia"/>
          <w:color w:val="auto"/>
          <w:sz w:val="84"/>
          <w:szCs w:val="84"/>
        </w:rPr>
        <w:t>2020年度</w:t>
      </w:r>
    </w:p>
    <w:p>
      <w:pPr>
        <w:pStyle w:val="10"/>
        <w:jc w:val="center"/>
        <w:rPr>
          <w:rFonts w:hint="eastAsia"/>
          <w:color w:val="auto"/>
          <w:w w:val="100"/>
          <w:sz w:val="84"/>
          <w:szCs w:val="84"/>
          <w:lang w:eastAsia="zh-CN"/>
        </w:rPr>
      </w:pPr>
      <w:r>
        <w:rPr>
          <w:rFonts w:hint="eastAsia"/>
          <w:color w:val="auto"/>
          <w:w w:val="100"/>
          <w:sz w:val="84"/>
          <w:szCs w:val="84"/>
          <w:lang w:eastAsia="zh-CN"/>
        </w:rPr>
        <w:t>永州市供销合作联社</w:t>
      </w:r>
    </w:p>
    <w:p>
      <w:pPr>
        <w:pStyle w:val="10"/>
        <w:ind w:firstLine="3360" w:firstLineChars="400"/>
        <w:jc w:val="both"/>
        <w:rPr>
          <w:color w:val="auto"/>
          <w:w w:val="100"/>
          <w:sz w:val="84"/>
          <w:szCs w:val="84"/>
        </w:rPr>
      </w:pPr>
      <w:r>
        <w:rPr>
          <w:rFonts w:hint="eastAsia"/>
          <w:color w:val="auto"/>
          <w:w w:val="100"/>
          <w:sz w:val="84"/>
          <w:szCs w:val="84"/>
        </w:rPr>
        <w:t>部门决算</w:t>
      </w:r>
    </w:p>
    <w:p>
      <w:pPr>
        <w:pStyle w:val="10"/>
        <w:jc w:val="center"/>
        <w:rPr>
          <w:color w:val="auto"/>
          <w:sz w:val="84"/>
          <w:szCs w:val="84"/>
        </w:rPr>
      </w:pPr>
    </w:p>
    <w:p>
      <w:pPr>
        <w:pStyle w:val="10"/>
        <w:jc w:val="center"/>
        <w:rPr>
          <w:color w:val="auto"/>
          <w:sz w:val="56"/>
          <w:szCs w:val="56"/>
        </w:rPr>
      </w:pPr>
    </w:p>
    <w:p>
      <w:pPr>
        <w:pStyle w:val="10"/>
        <w:jc w:val="center"/>
        <w:rPr>
          <w:color w:val="auto"/>
          <w:sz w:val="56"/>
          <w:szCs w:val="56"/>
        </w:rPr>
      </w:pPr>
    </w:p>
    <w:p>
      <w:pPr>
        <w:pStyle w:val="10"/>
        <w:jc w:val="center"/>
        <w:rPr>
          <w:color w:val="auto"/>
          <w:sz w:val="56"/>
          <w:szCs w:val="56"/>
        </w:rPr>
      </w:pPr>
    </w:p>
    <w:p>
      <w:pPr>
        <w:pStyle w:val="10"/>
        <w:jc w:val="center"/>
        <w:rPr>
          <w:color w:val="auto"/>
          <w:sz w:val="32"/>
          <w:szCs w:val="32"/>
        </w:rPr>
      </w:pPr>
    </w:p>
    <w:p>
      <w:pPr>
        <w:pStyle w:val="10"/>
        <w:jc w:val="center"/>
        <w:rPr>
          <w:color w:val="auto"/>
          <w:sz w:val="32"/>
          <w:szCs w:val="32"/>
        </w:rPr>
      </w:pPr>
    </w:p>
    <w:p>
      <w:pPr>
        <w:pStyle w:val="10"/>
        <w:jc w:val="center"/>
        <w:rPr>
          <w:color w:val="auto"/>
          <w:sz w:val="32"/>
          <w:szCs w:val="32"/>
        </w:rPr>
      </w:pPr>
    </w:p>
    <w:p>
      <w:pPr>
        <w:pStyle w:val="10"/>
        <w:spacing w:line="540" w:lineRule="exact"/>
        <w:jc w:val="center"/>
        <w:rPr>
          <w:color w:val="auto"/>
          <w:sz w:val="56"/>
          <w:szCs w:val="56"/>
        </w:rPr>
      </w:pPr>
    </w:p>
    <w:p>
      <w:pPr>
        <w:pStyle w:val="10"/>
        <w:spacing w:line="500" w:lineRule="exact"/>
        <w:jc w:val="both"/>
        <w:rPr>
          <w:rFonts w:hint="eastAsia" w:ascii="宋体" w:hAnsi="宋体" w:eastAsia="宋体" w:cs="宋体"/>
          <w:b/>
          <w:color w:val="auto"/>
          <w:sz w:val="32"/>
          <w:szCs w:val="32"/>
        </w:rPr>
      </w:pPr>
    </w:p>
    <w:p>
      <w:pPr>
        <w:pStyle w:val="10"/>
        <w:spacing w:line="500" w:lineRule="exact"/>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目</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录</w:t>
      </w:r>
    </w:p>
    <w:p>
      <w:pPr>
        <w:pStyle w:val="10"/>
        <w:spacing w:line="500" w:lineRule="exact"/>
        <w:rPr>
          <w:rFonts w:hint="eastAsia" w:ascii="宋体" w:hAnsi="宋体" w:eastAsia="宋体" w:cs="宋体"/>
          <w:b/>
          <w:color w:val="auto"/>
          <w:sz w:val="30"/>
          <w:szCs w:val="30"/>
        </w:rPr>
      </w:pPr>
      <w:r>
        <w:rPr>
          <w:rFonts w:hint="eastAsia" w:ascii="宋体" w:hAnsi="宋体" w:eastAsia="宋体" w:cs="宋体"/>
          <w:b/>
          <w:color w:val="auto"/>
          <w:sz w:val="30"/>
          <w:szCs w:val="30"/>
        </w:rPr>
        <w:t>第一部分</w:t>
      </w:r>
      <w:r>
        <w:rPr>
          <w:rFonts w:hint="eastAsia" w:ascii="宋体" w:hAnsi="宋体" w:eastAsia="宋体" w:cs="宋体"/>
          <w:b/>
          <w:color w:val="auto"/>
          <w:sz w:val="30"/>
          <w:szCs w:val="30"/>
          <w:lang w:val="en-US" w:eastAsia="zh-CN"/>
        </w:rPr>
        <w:t xml:space="preserve">  永州市供销合作联社</w:t>
      </w:r>
      <w:r>
        <w:rPr>
          <w:rFonts w:hint="eastAsia" w:ascii="宋体" w:hAnsi="宋体" w:eastAsia="宋体" w:cs="宋体"/>
          <w:b/>
          <w:color w:val="auto"/>
          <w:sz w:val="30"/>
          <w:szCs w:val="30"/>
        </w:rPr>
        <w:t>概况</w:t>
      </w:r>
    </w:p>
    <w:p>
      <w:pPr>
        <w:pStyle w:val="1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一、部门职责</w:t>
      </w:r>
    </w:p>
    <w:p>
      <w:pPr>
        <w:pStyle w:val="1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二、机构设置</w:t>
      </w:r>
    </w:p>
    <w:p>
      <w:pPr>
        <w:pStyle w:val="10"/>
        <w:spacing w:line="500" w:lineRule="exact"/>
        <w:rPr>
          <w:rFonts w:hint="eastAsia" w:ascii="宋体" w:hAnsi="宋体" w:eastAsia="宋体" w:cs="宋体"/>
          <w:b/>
          <w:color w:val="auto"/>
          <w:sz w:val="30"/>
          <w:szCs w:val="30"/>
        </w:rPr>
      </w:pPr>
      <w:r>
        <w:rPr>
          <w:rFonts w:hint="eastAsia" w:ascii="宋体" w:hAnsi="宋体" w:eastAsia="宋体" w:cs="宋体"/>
          <w:b/>
          <w:color w:val="auto"/>
          <w:sz w:val="30"/>
          <w:szCs w:val="30"/>
        </w:rPr>
        <w:t>第二部分</w:t>
      </w:r>
      <w:r>
        <w:rPr>
          <w:rFonts w:hint="eastAsia" w:ascii="宋体" w:hAnsi="宋体" w:eastAsia="宋体" w:cs="宋体"/>
          <w:b/>
          <w:color w:val="auto"/>
          <w:sz w:val="30"/>
          <w:szCs w:val="30"/>
          <w:lang w:val="en-US" w:eastAsia="zh-CN"/>
        </w:rPr>
        <w:t xml:space="preserve">  永州市供销合作联社</w:t>
      </w:r>
      <w:r>
        <w:rPr>
          <w:rFonts w:hint="eastAsia" w:ascii="宋体" w:hAnsi="宋体" w:eastAsia="宋体" w:cs="宋体"/>
          <w:b/>
          <w:color w:val="auto"/>
          <w:sz w:val="30"/>
          <w:szCs w:val="30"/>
        </w:rPr>
        <w:t>2020年度部门决算表</w:t>
      </w:r>
    </w:p>
    <w:p>
      <w:pPr>
        <w:pStyle w:val="1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一、收入支出决算总表</w:t>
      </w:r>
    </w:p>
    <w:p>
      <w:pPr>
        <w:pStyle w:val="1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二、收入决算表</w:t>
      </w:r>
    </w:p>
    <w:p>
      <w:pPr>
        <w:pStyle w:val="1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三、支出决算表</w:t>
      </w:r>
    </w:p>
    <w:p>
      <w:pPr>
        <w:pStyle w:val="1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四、财政拨款收入支出决算总表</w:t>
      </w:r>
    </w:p>
    <w:p>
      <w:pPr>
        <w:pStyle w:val="1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五、一般公共预算财政拨款支出决算表</w:t>
      </w:r>
    </w:p>
    <w:p>
      <w:pPr>
        <w:pStyle w:val="1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六、一般公共预算财政拨款基本支出决算表</w:t>
      </w:r>
    </w:p>
    <w:p>
      <w:pPr>
        <w:pStyle w:val="1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七、一般公共预算财政拨款“三公”经费支出决算表</w:t>
      </w:r>
    </w:p>
    <w:p>
      <w:pPr>
        <w:pStyle w:val="1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八、政府性基金预算财政拨款收入支出决算表</w:t>
      </w:r>
    </w:p>
    <w:p>
      <w:pPr>
        <w:pStyle w:val="1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九、国有资本经营预算财政拨款支出决算表</w:t>
      </w:r>
    </w:p>
    <w:p>
      <w:pPr>
        <w:pStyle w:val="10"/>
        <w:spacing w:line="500" w:lineRule="exact"/>
        <w:rPr>
          <w:rFonts w:hint="eastAsia" w:ascii="宋体" w:hAnsi="宋体" w:eastAsia="宋体" w:cs="宋体"/>
          <w:b/>
          <w:color w:val="auto"/>
          <w:sz w:val="30"/>
          <w:szCs w:val="30"/>
        </w:rPr>
      </w:pPr>
      <w:r>
        <w:rPr>
          <w:rFonts w:hint="eastAsia" w:ascii="宋体" w:hAnsi="宋体" w:eastAsia="宋体" w:cs="宋体"/>
          <w:b/>
          <w:color w:val="auto"/>
          <w:sz w:val="30"/>
          <w:szCs w:val="30"/>
        </w:rPr>
        <w:t>第三部分</w:t>
      </w:r>
      <w:r>
        <w:rPr>
          <w:rFonts w:hint="eastAsia" w:ascii="宋体" w:hAnsi="宋体" w:eastAsia="宋体" w:cs="宋体"/>
          <w:b/>
          <w:color w:val="auto"/>
          <w:sz w:val="30"/>
          <w:szCs w:val="30"/>
          <w:lang w:val="en-US" w:eastAsia="zh-CN"/>
        </w:rPr>
        <w:t xml:space="preserve">  永州市供销合作联社</w:t>
      </w:r>
      <w:r>
        <w:rPr>
          <w:rFonts w:hint="eastAsia" w:ascii="宋体" w:hAnsi="宋体" w:eastAsia="宋体" w:cs="宋体"/>
          <w:b/>
          <w:color w:val="auto"/>
          <w:sz w:val="30"/>
          <w:szCs w:val="30"/>
        </w:rPr>
        <w:t>2020年度部门决算情况说明</w:t>
      </w:r>
    </w:p>
    <w:p>
      <w:pPr>
        <w:pStyle w:val="10"/>
        <w:spacing w:line="500" w:lineRule="exact"/>
        <w:ind w:firstLine="750" w:firstLineChars="250"/>
        <w:rPr>
          <w:rFonts w:hint="eastAsia" w:ascii="仿宋" w:hAnsi="仿宋" w:eastAsia="仿宋" w:cs="仿宋"/>
          <w:color w:val="auto"/>
          <w:sz w:val="30"/>
          <w:szCs w:val="30"/>
        </w:rPr>
      </w:pPr>
      <w:r>
        <w:rPr>
          <w:rFonts w:hint="eastAsia" w:ascii="仿宋" w:hAnsi="仿宋" w:eastAsia="仿宋" w:cs="仿宋"/>
          <w:color w:val="auto"/>
          <w:sz w:val="30"/>
          <w:szCs w:val="30"/>
        </w:rPr>
        <w:t>一、收入支出决算总体情况说明</w:t>
      </w:r>
    </w:p>
    <w:p>
      <w:pPr>
        <w:spacing w:line="500" w:lineRule="exact"/>
        <w:ind w:firstLine="750" w:firstLineChars="250"/>
        <w:jc w:val="left"/>
        <w:rPr>
          <w:rFonts w:hint="eastAsia" w:ascii="仿宋" w:hAnsi="仿宋" w:eastAsia="仿宋" w:cs="仿宋"/>
          <w:color w:val="auto"/>
          <w:sz w:val="30"/>
          <w:szCs w:val="30"/>
        </w:rPr>
      </w:pPr>
      <w:r>
        <w:rPr>
          <w:rFonts w:hint="eastAsia" w:ascii="仿宋" w:hAnsi="仿宋" w:eastAsia="仿宋" w:cs="仿宋"/>
          <w:color w:val="auto"/>
          <w:sz w:val="30"/>
          <w:szCs w:val="30"/>
        </w:rPr>
        <w:t>二、收入决算情况说明</w:t>
      </w:r>
    </w:p>
    <w:p>
      <w:pPr>
        <w:autoSpaceDE w:val="0"/>
        <w:autoSpaceDN w:val="0"/>
        <w:adjustRightInd w:val="0"/>
        <w:spacing w:line="500" w:lineRule="exact"/>
        <w:ind w:firstLine="750" w:firstLineChars="25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三、支出决算情况说明</w:t>
      </w:r>
    </w:p>
    <w:p>
      <w:pPr>
        <w:autoSpaceDE w:val="0"/>
        <w:autoSpaceDN w:val="0"/>
        <w:adjustRightInd w:val="0"/>
        <w:spacing w:line="500" w:lineRule="exact"/>
        <w:ind w:firstLine="750" w:firstLineChars="25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四、财政拨款收入支出决算总体情况说明</w:t>
      </w:r>
    </w:p>
    <w:p>
      <w:pPr>
        <w:autoSpaceDE w:val="0"/>
        <w:autoSpaceDN w:val="0"/>
        <w:adjustRightInd w:val="0"/>
        <w:spacing w:line="500" w:lineRule="exact"/>
        <w:ind w:firstLine="750" w:firstLineChars="25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五、一般公共预算财政拨款支出决算情况说明</w:t>
      </w:r>
    </w:p>
    <w:p>
      <w:pPr>
        <w:autoSpaceDE w:val="0"/>
        <w:autoSpaceDN w:val="0"/>
        <w:adjustRightInd w:val="0"/>
        <w:spacing w:line="500" w:lineRule="exact"/>
        <w:ind w:firstLine="750" w:firstLineChars="25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六、一般公共预算财政拨款基本支出决算情况说明</w:t>
      </w:r>
    </w:p>
    <w:p>
      <w:pPr>
        <w:autoSpaceDE w:val="0"/>
        <w:autoSpaceDN w:val="0"/>
        <w:adjustRightInd w:val="0"/>
        <w:spacing w:line="500" w:lineRule="exact"/>
        <w:ind w:firstLine="750" w:firstLineChars="25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七、一般公共预算财政拨款三公经费支出决算情况说明</w:t>
      </w:r>
    </w:p>
    <w:p>
      <w:pPr>
        <w:autoSpaceDE w:val="0"/>
        <w:autoSpaceDN w:val="0"/>
        <w:adjustRightInd w:val="0"/>
        <w:spacing w:line="500" w:lineRule="exact"/>
        <w:ind w:firstLine="750" w:firstLineChars="25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八、政府性基金预算收入支出决算情况</w:t>
      </w:r>
    </w:p>
    <w:p>
      <w:pPr>
        <w:autoSpaceDE w:val="0"/>
        <w:autoSpaceDN w:val="0"/>
        <w:adjustRightInd w:val="0"/>
        <w:spacing w:line="500" w:lineRule="exact"/>
        <w:ind w:firstLine="750" w:firstLineChars="25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九、关于机关运行经费支出说明</w:t>
      </w:r>
    </w:p>
    <w:p>
      <w:pPr>
        <w:autoSpaceDE w:val="0"/>
        <w:autoSpaceDN w:val="0"/>
        <w:adjustRightInd w:val="0"/>
        <w:spacing w:line="500" w:lineRule="exact"/>
        <w:ind w:firstLine="750" w:firstLineChars="25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十、一般性支出情况</w:t>
      </w:r>
    </w:p>
    <w:p>
      <w:pPr>
        <w:autoSpaceDE w:val="0"/>
        <w:autoSpaceDN w:val="0"/>
        <w:adjustRightInd w:val="0"/>
        <w:spacing w:line="500" w:lineRule="exact"/>
        <w:ind w:firstLine="750" w:firstLineChars="25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十一、关于政府采购支出说明</w:t>
      </w:r>
    </w:p>
    <w:p>
      <w:pPr>
        <w:pStyle w:val="10"/>
        <w:spacing w:line="500" w:lineRule="exact"/>
        <w:ind w:firstLine="750" w:firstLineChars="250"/>
        <w:rPr>
          <w:rFonts w:hint="eastAsia" w:ascii="仿宋" w:hAnsi="仿宋" w:eastAsia="仿宋" w:cs="仿宋"/>
          <w:color w:val="auto"/>
          <w:sz w:val="30"/>
          <w:szCs w:val="30"/>
        </w:rPr>
      </w:pPr>
      <w:r>
        <w:rPr>
          <w:rFonts w:hint="eastAsia" w:ascii="仿宋" w:hAnsi="仿宋" w:eastAsia="仿宋" w:cs="仿宋"/>
          <w:color w:val="auto"/>
          <w:sz w:val="30"/>
          <w:szCs w:val="30"/>
        </w:rPr>
        <w:t>十二、关于国有资产占用情况说明</w:t>
      </w:r>
    </w:p>
    <w:p>
      <w:pPr>
        <w:pStyle w:val="10"/>
        <w:numPr>
          <w:ilvl w:val="0"/>
          <w:numId w:val="0"/>
        </w:numPr>
        <w:ind w:firstLine="900" w:firstLineChars="300"/>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sz w:val="30"/>
          <w:szCs w:val="30"/>
        </w:rPr>
        <w:t>十三、关于2020</w:t>
      </w:r>
      <w:r>
        <w:rPr>
          <w:rFonts w:hint="eastAsia" w:ascii="仿宋" w:hAnsi="仿宋" w:eastAsia="仿宋" w:cs="仿宋"/>
          <w:color w:val="auto"/>
          <w:kern w:val="0"/>
          <w:sz w:val="30"/>
          <w:szCs w:val="30"/>
          <w:lang w:val="en-US" w:eastAsia="zh-CN" w:bidi="ar-SA"/>
        </w:rPr>
        <w:t>年度重点项目评价结果等预算绩效情况的说明</w:t>
      </w:r>
    </w:p>
    <w:p>
      <w:pPr>
        <w:autoSpaceDE w:val="0"/>
        <w:autoSpaceDN w:val="0"/>
        <w:adjustRightInd w:val="0"/>
        <w:spacing w:line="500" w:lineRule="exact"/>
        <w:jc w:val="left"/>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t>第四部分</w:t>
      </w:r>
      <w:r>
        <w:rPr>
          <w:rFonts w:hint="eastAsia" w:ascii="宋体" w:hAnsi="宋体" w:eastAsia="宋体" w:cs="宋体"/>
          <w:b/>
          <w:color w:val="auto"/>
          <w:kern w:val="0"/>
          <w:sz w:val="30"/>
          <w:szCs w:val="30"/>
          <w:lang w:val="en-US" w:eastAsia="zh-CN"/>
        </w:rPr>
        <w:t xml:space="preserve">  </w:t>
      </w:r>
      <w:r>
        <w:rPr>
          <w:rFonts w:hint="eastAsia" w:ascii="宋体" w:hAnsi="宋体" w:eastAsia="宋体" w:cs="宋体"/>
          <w:b/>
          <w:color w:val="auto"/>
          <w:kern w:val="0"/>
          <w:sz w:val="30"/>
          <w:szCs w:val="30"/>
        </w:rPr>
        <w:t>名词解释</w:t>
      </w:r>
    </w:p>
    <w:p>
      <w:pPr>
        <w:autoSpaceDE w:val="0"/>
        <w:autoSpaceDN w:val="0"/>
        <w:adjustRightInd w:val="0"/>
        <w:spacing w:line="500" w:lineRule="exact"/>
        <w:jc w:val="left"/>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t>第五部分</w:t>
      </w:r>
      <w:r>
        <w:rPr>
          <w:rFonts w:hint="eastAsia" w:ascii="宋体" w:hAnsi="宋体" w:eastAsia="宋体" w:cs="宋体"/>
          <w:b/>
          <w:color w:val="auto"/>
          <w:kern w:val="0"/>
          <w:sz w:val="30"/>
          <w:szCs w:val="30"/>
          <w:lang w:val="en-US" w:eastAsia="zh-CN"/>
        </w:rPr>
        <w:t xml:space="preserve">  </w:t>
      </w:r>
      <w:r>
        <w:rPr>
          <w:rFonts w:hint="eastAsia" w:ascii="宋体" w:hAnsi="宋体" w:eastAsia="宋体" w:cs="宋体"/>
          <w:b/>
          <w:color w:val="auto"/>
          <w:kern w:val="0"/>
          <w:sz w:val="30"/>
          <w:szCs w:val="30"/>
        </w:rPr>
        <w:t>附件</w:t>
      </w:r>
    </w:p>
    <w:p>
      <w:pPr>
        <w:jc w:val="center"/>
        <w:rPr>
          <w:color w:val="auto"/>
          <w:sz w:val="72"/>
          <w:szCs w:val="72"/>
        </w:rPr>
      </w:pPr>
    </w:p>
    <w:p>
      <w:pPr>
        <w:jc w:val="center"/>
        <w:rPr>
          <w:color w:val="auto"/>
          <w:sz w:val="72"/>
          <w:szCs w:val="72"/>
        </w:rPr>
      </w:pPr>
    </w:p>
    <w:p>
      <w:pPr>
        <w:jc w:val="center"/>
        <w:rPr>
          <w:color w:val="auto"/>
          <w:sz w:val="72"/>
          <w:szCs w:val="72"/>
        </w:rPr>
      </w:pPr>
    </w:p>
    <w:p>
      <w:pPr>
        <w:rPr>
          <w:color w:val="auto"/>
          <w:sz w:val="72"/>
          <w:szCs w:val="72"/>
        </w:rPr>
      </w:pPr>
    </w:p>
    <w:p>
      <w:pPr>
        <w:pStyle w:val="10"/>
        <w:jc w:val="center"/>
        <w:rPr>
          <w:color w:val="auto"/>
          <w:sz w:val="84"/>
          <w:szCs w:val="84"/>
        </w:rPr>
      </w:pPr>
      <w:r>
        <w:rPr>
          <w:rFonts w:hint="eastAsia"/>
          <w:color w:val="auto"/>
          <w:sz w:val="84"/>
          <w:szCs w:val="84"/>
        </w:rPr>
        <w:t>第一部分</w:t>
      </w:r>
      <w:r>
        <w:rPr>
          <w:color w:val="auto"/>
          <w:sz w:val="84"/>
          <w:szCs w:val="84"/>
        </w:rPr>
        <w:t xml:space="preserve"> </w:t>
      </w:r>
    </w:p>
    <w:p>
      <w:pPr>
        <w:pStyle w:val="10"/>
        <w:jc w:val="center"/>
        <w:rPr>
          <w:color w:val="auto"/>
          <w:sz w:val="84"/>
          <w:szCs w:val="84"/>
        </w:rPr>
      </w:pPr>
    </w:p>
    <w:p>
      <w:pPr>
        <w:pStyle w:val="10"/>
        <w:jc w:val="center"/>
        <w:rPr>
          <w:color w:val="auto"/>
          <w:w w:val="90"/>
          <w:sz w:val="84"/>
          <w:szCs w:val="84"/>
        </w:rPr>
      </w:pPr>
      <w:r>
        <w:rPr>
          <w:rFonts w:hint="eastAsia"/>
          <w:color w:val="auto"/>
          <w:w w:val="90"/>
          <w:sz w:val="84"/>
          <w:szCs w:val="84"/>
          <w:lang w:eastAsia="zh-CN"/>
        </w:rPr>
        <w:t>永州市供销合作联社</w:t>
      </w:r>
      <w:r>
        <w:rPr>
          <w:rFonts w:hint="eastAsia"/>
          <w:color w:val="auto"/>
          <w:w w:val="90"/>
          <w:sz w:val="84"/>
          <w:szCs w:val="84"/>
        </w:rPr>
        <w:t>概况</w:t>
      </w:r>
    </w:p>
    <w:p>
      <w:pPr>
        <w:jc w:val="center"/>
        <w:rPr>
          <w:color w:val="auto"/>
          <w:sz w:val="72"/>
          <w:szCs w:val="72"/>
        </w:rPr>
      </w:pPr>
    </w:p>
    <w:p>
      <w:pPr>
        <w:jc w:val="center"/>
        <w:rPr>
          <w:color w:val="auto"/>
          <w:sz w:val="72"/>
          <w:szCs w:val="72"/>
        </w:rPr>
      </w:pPr>
    </w:p>
    <w:p>
      <w:pPr>
        <w:pStyle w:val="11"/>
        <w:keepNext w:val="0"/>
        <w:keepLines w:val="0"/>
        <w:pageBreakBefore w:val="0"/>
        <w:numPr>
          <w:ilvl w:val="0"/>
          <w:numId w:val="0"/>
        </w:numPr>
        <w:kinsoku/>
        <w:overflowPunct/>
        <w:topLinePunct w:val="0"/>
        <w:autoSpaceDE/>
        <w:autoSpaceDN/>
        <w:bidi w:val="0"/>
        <w:adjustRightInd/>
        <w:snapToGrid/>
        <w:spacing w:line="600" w:lineRule="exact"/>
        <w:ind w:leftChars="0" w:firstLine="602" w:firstLineChars="200"/>
        <w:jc w:val="left"/>
        <w:textAlignment w:val="auto"/>
        <w:rPr>
          <w:rFonts w:hint="eastAsia" w:ascii="宋体" w:hAnsi="宋体" w:eastAsia="宋体" w:cs="宋体"/>
          <w:b/>
          <w:bCs/>
          <w:color w:val="auto"/>
          <w:sz w:val="30"/>
          <w:szCs w:val="30"/>
          <w:lang w:eastAsia="zh-CN"/>
        </w:rPr>
      </w:pPr>
    </w:p>
    <w:p>
      <w:pPr>
        <w:pStyle w:val="11"/>
        <w:keepNext w:val="0"/>
        <w:keepLines w:val="0"/>
        <w:pageBreakBefore w:val="0"/>
        <w:numPr>
          <w:ilvl w:val="0"/>
          <w:numId w:val="0"/>
        </w:numPr>
        <w:kinsoku/>
        <w:overflowPunct/>
        <w:topLinePunct w:val="0"/>
        <w:autoSpaceDE/>
        <w:autoSpaceDN/>
        <w:bidi w:val="0"/>
        <w:adjustRightInd/>
        <w:snapToGrid/>
        <w:spacing w:line="600" w:lineRule="exact"/>
        <w:ind w:firstLine="602" w:firstLineChars="200"/>
        <w:jc w:val="left"/>
        <w:textAlignment w:val="auto"/>
        <w:rPr>
          <w:rFonts w:hint="eastAsia" w:ascii="宋体" w:hAnsi="宋体" w:eastAsia="宋体" w:cs="宋体"/>
          <w:b/>
          <w:bCs/>
          <w:color w:val="auto"/>
          <w:sz w:val="30"/>
          <w:szCs w:val="30"/>
          <w:lang w:eastAsia="zh-CN"/>
        </w:rPr>
      </w:pPr>
    </w:p>
    <w:p>
      <w:pPr>
        <w:pStyle w:val="11"/>
        <w:keepNext w:val="0"/>
        <w:keepLines w:val="0"/>
        <w:pageBreakBefore w:val="0"/>
        <w:numPr>
          <w:ilvl w:val="0"/>
          <w:numId w:val="0"/>
        </w:numPr>
        <w:kinsoku/>
        <w:overflowPunct/>
        <w:topLinePunct w:val="0"/>
        <w:autoSpaceDE/>
        <w:autoSpaceDN/>
        <w:bidi w:val="0"/>
        <w:adjustRightInd/>
        <w:snapToGrid/>
        <w:spacing w:line="600" w:lineRule="exact"/>
        <w:ind w:firstLine="602" w:firstLineChars="200"/>
        <w:jc w:val="left"/>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lang w:eastAsia="zh-CN"/>
        </w:rPr>
        <w:t>一、</w:t>
      </w:r>
      <w:r>
        <w:rPr>
          <w:rFonts w:hint="eastAsia" w:ascii="宋体" w:hAnsi="宋体" w:eastAsia="宋体" w:cs="宋体"/>
          <w:b/>
          <w:bCs/>
          <w:color w:val="auto"/>
          <w:sz w:val="30"/>
          <w:szCs w:val="30"/>
        </w:rPr>
        <w:t>部门职责</w:t>
      </w:r>
    </w:p>
    <w:p>
      <w:pPr>
        <w:keepNext w:val="0"/>
        <w:keepLines w:val="0"/>
        <w:pageBreakBefore w:val="0"/>
        <w:kinsoku/>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永州市供销社全称为“永州市供销合作联社”，是永州市人民政府直属的正处级参照公务员管理的事业单位，是全市供销合作社的市级联合组织。其主要职责是：</w:t>
      </w:r>
    </w:p>
    <w:p>
      <w:pPr>
        <w:keepNext w:val="0"/>
        <w:keepLines w:val="0"/>
        <w:pageBreakBefore w:val="0"/>
        <w:kinsoku/>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（一）贯彻执行党和国家及省委、省政府有关农村经济工作的方针、政策、法规。</w:t>
      </w:r>
    </w:p>
    <w:p>
      <w:pPr>
        <w:keepNext w:val="0"/>
        <w:keepLines w:val="0"/>
        <w:pageBreakBefore w:val="0"/>
        <w:kinsoku/>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（二）研究拟定全市供销社的发展规划、体制改革方案；指导全市供销社的改革和发展，组织市供销社直属单位具体实施。</w:t>
      </w:r>
    </w:p>
    <w:p>
      <w:pPr>
        <w:keepNext w:val="0"/>
        <w:keepLines w:val="0"/>
        <w:pageBreakBefore w:val="0"/>
        <w:kinsoku/>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（三）根据市人民政府授权，指导全市有关农业生产资料和农副产品政策性业务经营工作</w:t>
      </w:r>
      <w:r>
        <w:rPr>
          <w:rFonts w:hint="eastAsia" w:ascii="仿宋" w:hAnsi="仿宋" w:eastAsia="仿宋" w:cs="仿宋"/>
          <w:color w:val="auto"/>
          <w:sz w:val="30"/>
          <w:szCs w:val="30"/>
        </w:rPr>
        <w:t>。</w:t>
      </w:r>
    </w:p>
    <w:p>
      <w:pPr>
        <w:keepNext w:val="0"/>
        <w:keepLines w:val="0"/>
        <w:pageBreakBefore w:val="0"/>
        <w:kinsoku/>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四）指导各级供销社开拓农村市场，推动全市供销社组织农民进入市场，参与大流通、大市场，发展农业产业化经营，为农业、农村和农民提供综合服务，建立和完善本系统为农业生产和农村经济发展服务的体系；预测预报相关的市场信息。</w:t>
      </w:r>
    </w:p>
    <w:p>
      <w:pPr>
        <w:keepNext w:val="0"/>
        <w:keepLines w:val="0"/>
        <w:pageBreakBefore w:val="0"/>
        <w:kinsoku/>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（五）指导和监督全市供销社系统的资产管理；具体抓好市供销社直属单位的资产经营，盘活资产，确保社有资产保值增值；依法维护供销社的合法权益。</w:t>
      </w:r>
    </w:p>
    <w:p>
      <w:pPr>
        <w:keepNext w:val="0"/>
        <w:keepLines w:val="0"/>
        <w:pageBreakBefore w:val="0"/>
        <w:kinsoku/>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（六）指导全市供销社系统的科技开发和推广应用工作，引进、推广农业产销所需的新品种、新设施、新技术，推进科教兴社。</w:t>
      </w:r>
    </w:p>
    <w:p>
      <w:pPr>
        <w:keepNext w:val="0"/>
        <w:keepLines w:val="0"/>
        <w:pageBreakBefore w:val="0"/>
        <w:kinsoku/>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（七）研究制订市供销社直属单位人事、财务、资产管理制度，并组织实施。</w:t>
      </w:r>
    </w:p>
    <w:p>
      <w:pPr>
        <w:keepNext w:val="0"/>
        <w:keepLines w:val="0"/>
        <w:pageBreakBefore w:val="0"/>
        <w:kinsoku/>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（八）负责市直供销社系统队伍建设和干部职工教育培训工作。</w:t>
      </w:r>
    </w:p>
    <w:p>
      <w:pPr>
        <w:keepNext w:val="0"/>
        <w:keepLines w:val="0"/>
        <w:pageBreakBefore w:val="0"/>
        <w:widowControl/>
        <w:kinsoku/>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（九）承办市委、市人民政府交办的其他事项。</w:t>
      </w:r>
    </w:p>
    <w:p>
      <w:pPr>
        <w:keepNext w:val="0"/>
        <w:keepLines w:val="0"/>
        <w:pageBreakBefore w:val="0"/>
        <w:widowControl/>
        <w:kinsoku/>
        <w:overflowPunct/>
        <w:topLinePunct w:val="0"/>
        <w:autoSpaceDE/>
        <w:autoSpaceDN/>
        <w:bidi w:val="0"/>
        <w:adjustRightInd/>
        <w:snapToGrid/>
        <w:spacing w:line="600" w:lineRule="exact"/>
        <w:ind w:firstLine="602" w:firstLineChars="200"/>
        <w:textAlignment w:val="auto"/>
        <w:rPr>
          <w:rFonts w:hint="eastAsia" w:ascii="宋体" w:hAnsi="宋体" w:eastAsia="宋体" w:cs="宋体"/>
          <w:b/>
          <w:bCs w:val="0"/>
          <w:color w:val="auto"/>
          <w:kern w:val="0"/>
          <w:sz w:val="30"/>
          <w:szCs w:val="30"/>
        </w:rPr>
      </w:pPr>
      <w:r>
        <w:rPr>
          <w:rFonts w:hint="eastAsia" w:ascii="宋体" w:hAnsi="宋体" w:eastAsia="宋体" w:cs="宋体"/>
          <w:b/>
          <w:bCs w:val="0"/>
          <w:color w:val="auto"/>
          <w:kern w:val="0"/>
          <w:sz w:val="30"/>
          <w:szCs w:val="30"/>
        </w:rPr>
        <w:t>二、机构设置及决算单位构成</w:t>
      </w:r>
    </w:p>
    <w:p>
      <w:pPr>
        <w:keepNext w:val="0"/>
        <w:keepLines w:val="0"/>
        <w:pageBreakBefore w:val="0"/>
        <w:widowControl/>
        <w:kinsoku/>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color w:val="auto"/>
          <w:kern w:val="0"/>
          <w:sz w:val="30"/>
          <w:szCs w:val="30"/>
        </w:rPr>
      </w:pPr>
      <w:r>
        <w:rPr>
          <w:rFonts w:hint="eastAsia" w:ascii="仿宋" w:hAnsi="仿宋" w:eastAsia="仿宋" w:cs="仿宋"/>
          <w:bCs/>
          <w:color w:val="auto"/>
          <w:kern w:val="0"/>
          <w:sz w:val="30"/>
          <w:szCs w:val="30"/>
        </w:rPr>
        <w:t>（一）内设机构设置。</w:t>
      </w:r>
      <w:r>
        <w:rPr>
          <w:rFonts w:hint="eastAsia" w:ascii="仿宋" w:hAnsi="仿宋" w:eastAsia="仿宋" w:cs="仿宋"/>
          <w:color w:val="auto"/>
          <w:sz w:val="30"/>
          <w:szCs w:val="30"/>
        </w:rPr>
        <w:t>永州市供销合作联社属市财政全额预算拨款参照公务员管理的正处级事业单位，内设7个职能科室，即办公室、财会统计科、合作指导科、经贸科、监督审计科（加挂“监事会办公室”牌子）、政工科、机关党委办公室。</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firstLine="640"/>
        <w:textAlignment w:val="auto"/>
        <w:rPr>
          <w:rFonts w:hint="eastAsia" w:ascii="仿宋" w:hAnsi="仿宋" w:eastAsia="仿宋" w:cs="仿宋"/>
          <w:color w:val="auto"/>
          <w:kern w:val="0"/>
          <w:sz w:val="30"/>
          <w:szCs w:val="30"/>
        </w:rPr>
      </w:pPr>
      <w:r>
        <w:rPr>
          <w:rFonts w:hint="eastAsia" w:ascii="仿宋" w:hAnsi="仿宋" w:eastAsia="仿宋" w:cs="仿宋"/>
          <w:bCs/>
          <w:color w:val="auto"/>
          <w:kern w:val="0"/>
          <w:sz w:val="30"/>
          <w:szCs w:val="30"/>
        </w:rPr>
        <w:t>（二）决算单位构成。</w:t>
      </w:r>
      <w:r>
        <w:rPr>
          <w:rFonts w:hint="eastAsia" w:ascii="仿宋" w:hAnsi="仿宋" w:eastAsia="仿宋" w:cs="仿宋"/>
          <w:color w:val="auto"/>
          <w:kern w:val="0"/>
          <w:sz w:val="30"/>
          <w:szCs w:val="30"/>
          <w:shd w:val="clear" w:color="auto" w:fill="FFFFFF"/>
        </w:rPr>
        <w:t>我单位</w:t>
      </w:r>
      <w:r>
        <w:rPr>
          <w:rFonts w:hint="eastAsia" w:ascii="仿宋" w:hAnsi="仿宋" w:eastAsia="仿宋" w:cs="仿宋"/>
          <w:bCs/>
          <w:color w:val="auto"/>
          <w:kern w:val="0"/>
          <w:sz w:val="30"/>
          <w:szCs w:val="30"/>
        </w:rPr>
        <w:t>20</w:t>
      </w:r>
      <w:r>
        <w:rPr>
          <w:rFonts w:hint="eastAsia" w:ascii="仿宋" w:hAnsi="仿宋" w:eastAsia="仿宋" w:cs="仿宋"/>
          <w:bCs/>
          <w:color w:val="auto"/>
          <w:kern w:val="0"/>
          <w:sz w:val="30"/>
          <w:szCs w:val="30"/>
          <w:lang w:val="en-US" w:eastAsia="zh-CN"/>
        </w:rPr>
        <w:t>20</w:t>
      </w:r>
      <w:r>
        <w:rPr>
          <w:rFonts w:hint="eastAsia" w:ascii="仿宋" w:hAnsi="仿宋" w:eastAsia="仿宋" w:cs="仿宋"/>
          <w:bCs/>
          <w:color w:val="auto"/>
          <w:kern w:val="0"/>
          <w:sz w:val="30"/>
          <w:szCs w:val="30"/>
        </w:rPr>
        <w:t>年部门决算公开单位</w:t>
      </w:r>
      <w:r>
        <w:rPr>
          <w:rFonts w:hint="eastAsia" w:ascii="仿宋" w:hAnsi="仿宋" w:eastAsia="仿宋" w:cs="仿宋"/>
          <w:color w:val="auto"/>
          <w:kern w:val="0"/>
          <w:sz w:val="30"/>
          <w:szCs w:val="30"/>
          <w:shd w:val="clear" w:color="auto" w:fill="FFFFFF"/>
        </w:rPr>
        <w:t>为</w:t>
      </w:r>
      <w:r>
        <w:rPr>
          <w:rFonts w:hint="eastAsia" w:ascii="仿宋" w:hAnsi="仿宋" w:eastAsia="仿宋" w:cs="仿宋"/>
          <w:color w:val="auto"/>
          <w:kern w:val="0"/>
          <w:sz w:val="30"/>
          <w:szCs w:val="30"/>
          <w:shd w:val="clear" w:color="auto" w:fill="FFFFFF"/>
          <w:lang w:eastAsia="zh-CN"/>
        </w:rPr>
        <w:t>永州市供销合作联社</w:t>
      </w:r>
      <w:r>
        <w:rPr>
          <w:rFonts w:hint="eastAsia" w:ascii="仿宋" w:hAnsi="仿宋" w:eastAsia="仿宋" w:cs="仿宋"/>
          <w:color w:val="auto"/>
          <w:kern w:val="0"/>
          <w:sz w:val="30"/>
          <w:szCs w:val="30"/>
          <w:shd w:val="clear" w:color="auto" w:fill="FFFFFF"/>
        </w:rPr>
        <w:t>，没有纳入20</w:t>
      </w:r>
      <w:r>
        <w:rPr>
          <w:rFonts w:hint="eastAsia" w:ascii="仿宋" w:hAnsi="仿宋" w:eastAsia="仿宋" w:cs="仿宋"/>
          <w:color w:val="auto"/>
          <w:kern w:val="0"/>
          <w:sz w:val="30"/>
          <w:szCs w:val="30"/>
          <w:shd w:val="clear" w:color="auto" w:fill="FFFFFF"/>
          <w:lang w:val="en-US" w:eastAsia="zh-CN"/>
        </w:rPr>
        <w:t>20</w:t>
      </w:r>
      <w:r>
        <w:rPr>
          <w:rFonts w:hint="eastAsia" w:ascii="仿宋" w:hAnsi="仿宋" w:eastAsia="仿宋" w:cs="仿宋"/>
          <w:color w:val="auto"/>
          <w:kern w:val="0"/>
          <w:sz w:val="30"/>
          <w:szCs w:val="30"/>
          <w:shd w:val="clear" w:color="auto" w:fill="FFFFFF"/>
        </w:rPr>
        <w:t>年部门</w:t>
      </w:r>
      <w:r>
        <w:rPr>
          <w:rFonts w:hint="eastAsia" w:ascii="仿宋" w:hAnsi="仿宋" w:eastAsia="仿宋" w:cs="仿宋"/>
          <w:bCs/>
          <w:color w:val="auto"/>
          <w:kern w:val="0"/>
          <w:sz w:val="30"/>
          <w:szCs w:val="30"/>
        </w:rPr>
        <w:t>决算公开</w:t>
      </w:r>
      <w:r>
        <w:rPr>
          <w:rFonts w:hint="eastAsia" w:ascii="仿宋" w:hAnsi="仿宋" w:eastAsia="仿宋" w:cs="仿宋"/>
          <w:color w:val="auto"/>
          <w:kern w:val="0"/>
          <w:sz w:val="30"/>
          <w:szCs w:val="30"/>
          <w:shd w:val="clear" w:color="auto" w:fill="FFFFFF"/>
        </w:rPr>
        <w:t>编制范围的二级单位。</w:t>
      </w:r>
    </w:p>
    <w:p>
      <w:pPr>
        <w:jc w:val="left"/>
        <w:rPr>
          <w:rFonts w:ascii="仿宋_GB2312" w:eastAsia="仿宋_GB2312" w:hAnsiTheme="minorEastAsia"/>
          <w:color w:val="auto"/>
          <w:sz w:val="28"/>
          <w:szCs w:val="32"/>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hint="eastAsia" w:ascii="黑体" w:hAnsi="黑体" w:eastAsia="黑体" w:cs="黑体"/>
          <w:b w:val="0"/>
          <w:bCs w:val="0"/>
          <w:color w:val="auto"/>
          <w:sz w:val="84"/>
          <w:szCs w:val="84"/>
        </w:rPr>
      </w:pPr>
      <w:r>
        <w:rPr>
          <w:rFonts w:hint="eastAsia" w:ascii="黑体" w:hAnsi="黑体" w:eastAsia="黑体" w:cs="黑体"/>
          <w:b w:val="0"/>
          <w:bCs w:val="0"/>
          <w:color w:val="auto"/>
          <w:sz w:val="84"/>
          <w:szCs w:val="84"/>
        </w:rPr>
        <w:t>第二部分</w:t>
      </w:r>
    </w:p>
    <w:p>
      <w:pPr>
        <w:jc w:val="center"/>
        <w:rPr>
          <w:rFonts w:hint="eastAsia" w:ascii="黑体" w:hAnsi="黑体" w:eastAsia="黑体" w:cs="黑体"/>
          <w:b w:val="0"/>
          <w:bCs w:val="0"/>
          <w:color w:val="auto"/>
          <w:sz w:val="84"/>
          <w:szCs w:val="84"/>
        </w:rPr>
      </w:pPr>
    </w:p>
    <w:p>
      <w:pPr>
        <w:jc w:val="center"/>
        <w:rPr>
          <w:rFonts w:hint="eastAsia" w:ascii="黑体" w:hAnsi="黑体" w:eastAsia="黑体" w:cs="黑体"/>
          <w:b w:val="0"/>
          <w:bCs w:val="0"/>
          <w:color w:val="auto"/>
          <w:sz w:val="72"/>
          <w:szCs w:val="72"/>
        </w:rPr>
      </w:pPr>
      <w:r>
        <w:rPr>
          <w:rFonts w:hint="eastAsia" w:ascii="黑体" w:hAnsi="黑体" w:eastAsia="黑体" w:cs="黑体"/>
          <w:b w:val="0"/>
          <w:bCs w:val="0"/>
          <w:color w:val="auto"/>
          <w:sz w:val="84"/>
          <w:szCs w:val="84"/>
        </w:rPr>
        <w:t>部门决算表</w:t>
      </w:r>
    </w:p>
    <w:p>
      <w:pPr>
        <w:jc w:val="center"/>
        <w:rPr>
          <w:color w:val="auto"/>
          <w:sz w:val="72"/>
          <w:szCs w:val="72"/>
        </w:rPr>
      </w:pPr>
    </w:p>
    <w:p>
      <w:pPr>
        <w:jc w:val="center"/>
        <w:rPr>
          <w:rFonts w:hint="eastAsia" w:eastAsiaTheme="minorEastAsia"/>
          <w:color w:val="auto"/>
          <w:sz w:val="32"/>
          <w:szCs w:val="32"/>
          <w:lang w:eastAsia="zh-CN"/>
        </w:rPr>
      </w:pPr>
      <w:r>
        <w:rPr>
          <w:rFonts w:hint="eastAsia"/>
          <w:color w:val="auto"/>
          <w:sz w:val="32"/>
          <w:szCs w:val="32"/>
          <w:lang w:eastAsia="zh-CN"/>
        </w:rPr>
        <w:t>（详见公开报表）</w:t>
      </w:r>
    </w:p>
    <w:p>
      <w:pPr>
        <w:jc w:val="center"/>
        <w:rPr>
          <w:color w:val="auto"/>
          <w:sz w:val="72"/>
          <w:szCs w:val="72"/>
        </w:rPr>
      </w:pPr>
    </w:p>
    <w:p>
      <w:pPr>
        <w:jc w:val="center"/>
        <w:rPr>
          <w:color w:val="auto"/>
          <w:sz w:val="72"/>
          <w:szCs w:val="72"/>
        </w:rPr>
      </w:pPr>
    </w:p>
    <w:p>
      <w:pPr>
        <w:jc w:val="center"/>
        <w:rPr>
          <w:color w:val="auto"/>
          <w:sz w:val="72"/>
          <w:szCs w:val="72"/>
        </w:rPr>
      </w:pPr>
    </w:p>
    <w:p>
      <w:pPr>
        <w:pStyle w:val="10"/>
        <w:rPr>
          <w:color w:val="auto"/>
          <w:sz w:val="72"/>
          <w:szCs w:val="72"/>
        </w:rPr>
        <w:sectPr>
          <w:pgSz w:w="11906" w:h="16838"/>
          <w:pgMar w:top="720" w:right="720" w:bottom="720" w:left="720" w:header="851" w:footer="992" w:gutter="0"/>
          <w:cols w:space="425" w:num="1"/>
          <w:docGrid w:type="lines" w:linePitch="312" w:charSpace="0"/>
        </w:sectPr>
      </w:pPr>
    </w:p>
    <w:p>
      <w:pPr>
        <w:pStyle w:val="10"/>
        <w:rPr>
          <w:color w:val="auto"/>
          <w:sz w:val="72"/>
          <w:szCs w:val="72"/>
        </w:rPr>
      </w:pPr>
    </w:p>
    <w:p>
      <w:pPr>
        <w:pStyle w:val="10"/>
        <w:rPr>
          <w:color w:val="auto"/>
          <w:sz w:val="72"/>
          <w:szCs w:val="72"/>
        </w:rPr>
      </w:pPr>
    </w:p>
    <w:p>
      <w:pPr>
        <w:pStyle w:val="10"/>
        <w:rPr>
          <w:color w:val="auto"/>
          <w:sz w:val="72"/>
          <w:szCs w:val="72"/>
        </w:rPr>
      </w:pPr>
    </w:p>
    <w:p>
      <w:pPr>
        <w:pStyle w:val="10"/>
        <w:rPr>
          <w:color w:val="auto"/>
          <w:sz w:val="72"/>
          <w:szCs w:val="72"/>
        </w:rPr>
      </w:pPr>
    </w:p>
    <w:p>
      <w:pPr>
        <w:pStyle w:val="10"/>
        <w:jc w:val="center"/>
        <w:rPr>
          <w:color w:val="auto"/>
          <w:sz w:val="72"/>
          <w:szCs w:val="72"/>
        </w:rPr>
      </w:pPr>
    </w:p>
    <w:p>
      <w:pPr>
        <w:pStyle w:val="10"/>
        <w:ind w:firstLine="2520" w:firstLineChars="300"/>
        <w:jc w:val="both"/>
        <w:rPr>
          <w:color w:val="auto"/>
          <w:sz w:val="84"/>
          <w:szCs w:val="84"/>
        </w:rPr>
      </w:pPr>
      <w:r>
        <w:rPr>
          <w:rFonts w:hint="eastAsia"/>
          <w:color w:val="auto"/>
          <w:sz w:val="84"/>
          <w:szCs w:val="84"/>
        </w:rPr>
        <w:t>第三部分</w:t>
      </w:r>
    </w:p>
    <w:p>
      <w:pPr>
        <w:pStyle w:val="10"/>
        <w:jc w:val="both"/>
        <w:rPr>
          <w:color w:val="auto"/>
          <w:sz w:val="84"/>
          <w:szCs w:val="84"/>
        </w:rPr>
      </w:pPr>
    </w:p>
    <w:p>
      <w:pPr>
        <w:pStyle w:val="10"/>
        <w:jc w:val="both"/>
        <w:rPr>
          <w:color w:val="auto"/>
          <w:w w:val="90"/>
          <w:sz w:val="84"/>
          <w:szCs w:val="84"/>
        </w:rPr>
      </w:pPr>
      <w:r>
        <w:rPr>
          <w:color w:val="auto"/>
          <w:spacing w:val="1"/>
          <w:w w:val="82"/>
          <w:kern w:val="0"/>
          <w:sz w:val="84"/>
          <w:szCs w:val="84"/>
          <w:fitText w:val="8280" w:id="257317872"/>
        </w:rPr>
        <w:t>20</w:t>
      </w:r>
      <w:r>
        <w:rPr>
          <w:rFonts w:hint="eastAsia"/>
          <w:color w:val="auto"/>
          <w:spacing w:val="1"/>
          <w:w w:val="82"/>
          <w:kern w:val="0"/>
          <w:sz w:val="84"/>
          <w:szCs w:val="84"/>
          <w:fitText w:val="8280" w:id="257317872"/>
        </w:rPr>
        <w:t>20年度部门决算情况说</w:t>
      </w:r>
      <w:r>
        <w:rPr>
          <w:rFonts w:hint="eastAsia"/>
          <w:color w:val="auto"/>
          <w:spacing w:val="11"/>
          <w:w w:val="82"/>
          <w:kern w:val="0"/>
          <w:sz w:val="84"/>
          <w:szCs w:val="84"/>
          <w:fitText w:val="8280" w:id="257317872"/>
        </w:rPr>
        <w:t>明</w:t>
      </w:r>
    </w:p>
    <w:p>
      <w:pPr>
        <w:widowControl/>
        <w:jc w:val="left"/>
        <w:rPr>
          <w:rFonts w:ascii="黑体" w:eastAsia="黑体" w:cs="黑体"/>
          <w:color w:val="auto"/>
          <w:kern w:val="0"/>
          <w:sz w:val="70"/>
          <w:szCs w:val="70"/>
        </w:rPr>
      </w:pPr>
      <w:r>
        <w:rPr>
          <w:color w:val="auto"/>
          <w:sz w:val="70"/>
          <w:szCs w:val="70"/>
        </w:rPr>
        <w:br w:type="page"/>
      </w:r>
    </w:p>
    <w:p>
      <w:pPr>
        <w:pStyle w:val="10"/>
        <w:keepNext w:val="0"/>
        <w:keepLines w:val="0"/>
        <w:pageBreakBefore w:val="0"/>
        <w:kinsoku/>
        <w:wordWrap/>
        <w:overflowPunct/>
        <w:topLinePunct w:val="0"/>
        <w:bidi w:val="0"/>
        <w:snapToGrid/>
        <w:spacing w:line="600" w:lineRule="exact"/>
        <w:ind w:firstLine="602" w:firstLineChars="200"/>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一、收入支出决算总体情况说明</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2020年度</w:t>
      </w:r>
      <w:r>
        <w:rPr>
          <w:rFonts w:hint="eastAsia" w:ascii="仿宋" w:hAnsi="仿宋" w:eastAsia="仿宋" w:cs="仿宋"/>
          <w:color w:val="auto"/>
          <w:sz w:val="30"/>
          <w:szCs w:val="30"/>
          <w:lang w:eastAsia="zh-CN"/>
        </w:rPr>
        <w:t>收入总计</w:t>
      </w:r>
      <w:r>
        <w:rPr>
          <w:rFonts w:hint="eastAsia" w:ascii="仿宋" w:hAnsi="仿宋" w:eastAsia="仿宋" w:cs="仿宋"/>
          <w:color w:val="auto"/>
          <w:sz w:val="30"/>
          <w:szCs w:val="30"/>
          <w:lang w:val="en-US" w:eastAsia="zh-CN"/>
        </w:rPr>
        <w:t>503.48万元，</w:t>
      </w:r>
      <w:r>
        <w:rPr>
          <w:rFonts w:hint="eastAsia" w:ascii="仿宋" w:hAnsi="仿宋" w:eastAsia="仿宋" w:cs="仿宋"/>
          <w:color w:val="auto"/>
          <w:sz w:val="30"/>
          <w:szCs w:val="30"/>
        </w:rPr>
        <w:t>与上年相比，减少</w:t>
      </w:r>
      <w:r>
        <w:rPr>
          <w:rFonts w:hint="eastAsia" w:ascii="仿宋" w:hAnsi="仿宋" w:eastAsia="仿宋" w:cs="仿宋"/>
          <w:color w:val="auto"/>
          <w:sz w:val="30"/>
          <w:szCs w:val="30"/>
          <w:lang w:val="en-US" w:eastAsia="zh-CN"/>
        </w:rPr>
        <w:t>248.18</w:t>
      </w:r>
      <w:r>
        <w:rPr>
          <w:rFonts w:hint="eastAsia" w:ascii="仿宋" w:hAnsi="仿宋" w:eastAsia="仿宋" w:cs="仿宋"/>
          <w:color w:val="auto"/>
          <w:sz w:val="30"/>
          <w:szCs w:val="30"/>
        </w:rPr>
        <w:t>万元，减少</w:t>
      </w:r>
      <w:r>
        <w:rPr>
          <w:rFonts w:hint="eastAsia" w:ascii="仿宋" w:hAnsi="仿宋" w:eastAsia="仿宋" w:cs="仿宋"/>
          <w:color w:val="auto"/>
          <w:sz w:val="30"/>
          <w:szCs w:val="30"/>
          <w:lang w:val="en-US" w:eastAsia="zh-CN"/>
        </w:rPr>
        <w:t>49.29</w:t>
      </w:r>
      <w:r>
        <w:rPr>
          <w:rFonts w:hint="eastAsia" w:ascii="仿宋" w:hAnsi="仿宋" w:eastAsia="仿宋" w:cs="仿宋"/>
          <w:color w:val="auto"/>
          <w:sz w:val="30"/>
          <w:szCs w:val="30"/>
        </w:rPr>
        <w:t>%，主要是因为</w:t>
      </w:r>
      <w:r>
        <w:rPr>
          <w:rFonts w:hint="eastAsia" w:ascii="仿宋" w:hAnsi="仿宋" w:eastAsia="仿宋" w:cs="仿宋"/>
          <w:color w:val="auto"/>
          <w:sz w:val="30"/>
          <w:szCs w:val="30"/>
          <w:lang w:eastAsia="zh-CN"/>
        </w:rPr>
        <w:t>减少</w:t>
      </w:r>
      <w:r>
        <w:rPr>
          <w:rFonts w:hint="eastAsia" w:ascii="仿宋" w:hAnsi="仿宋" w:eastAsia="仿宋" w:cs="仿宋"/>
          <w:color w:val="auto"/>
          <w:sz w:val="30"/>
          <w:szCs w:val="30"/>
        </w:rPr>
        <w:t>了</w:t>
      </w:r>
      <w:r>
        <w:rPr>
          <w:rFonts w:hint="eastAsia" w:ascii="仿宋" w:hAnsi="仿宋" w:eastAsia="仿宋" w:cs="仿宋"/>
          <w:color w:val="auto"/>
          <w:sz w:val="30"/>
          <w:szCs w:val="30"/>
          <w:lang w:eastAsia="zh-CN"/>
        </w:rPr>
        <w:t>人员经费和专项经费等收入；支出总计</w:t>
      </w:r>
      <w:r>
        <w:rPr>
          <w:rFonts w:hint="eastAsia" w:ascii="仿宋" w:hAnsi="仿宋" w:eastAsia="仿宋" w:cs="仿宋"/>
          <w:color w:val="auto"/>
          <w:sz w:val="30"/>
          <w:szCs w:val="30"/>
          <w:lang w:val="en-US" w:eastAsia="zh-CN"/>
        </w:rPr>
        <w:t>503.48万元，</w:t>
      </w:r>
      <w:r>
        <w:rPr>
          <w:rFonts w:hint="eastAsia" w:ascii="仿宋" w:hAnsi="仿宋" w:eastAsia="仿宋" w:cs="仿宋"/>
          <w:color w:val="auto"/>
          <w:sz w:val="30"/>
          <w:szCs w:val="30"/>
        </w:rPr>
        <w:t>与上年相比，减少</w:t>
      </w:r>
      <w:r>
        <w:rPr>
          <w:rFonts w:hint="eastAsia" w:ascii="仿宋" w:hAnsi="仿宋" w:eastAsia="仿宋" w:cs="仿宋"/>
          <w:color w:val="auto"/>
          <w:sz w:val="30"/>
          <w:szCs w:val="30"/>
          <w:lang w:val="en-US" w:eastAsia="zh-CN"/>
        </w:rPr>
        <w:t>248.18</w:t>
      </w:r>
      <w:r>
        <w:rPr>
          <w:rFonts w:hint="eastAsia" w:ascii="仿宋" w:hAnsi="仿宋" w:eastAsia="仿宋" w:cs="仿宋"/>
          <w:color w:val="auto"/>
          <w:sz w:val="30"/>
          <w:szCs w:val="30"/>
        </w:rPr>
        <w:t>万元，减少</w:t>
      </w:r>
      <w:r>
        <w:rPr>
          <w:rFonts w:hint="eastAsia" w:ascii="仿宋" w:hAnsi="仿宋" w:eastAsia="仿宋" w:cs="仿宋"/>
          <w:color w:val="auto"/>
          <w:sz w:val="30"/>
          <w:szCs w:val="30"/>
          <w:lang w:val="en-US" w:eastAsia="zh-CN"/>
        </w:rPr>
        <w:t>49.29</w:t>
      </w:r>
      <w:r>
        <w:rPr>
          <w:rFonts w:hint="eastAsia" w:ascii="仿宋" w:hAnsi="仿宋" w:eastAsia="仿宋" w:cs="仿宋"/>
          <w:color w:val="auto"/>
          <w:sz w:val="30"/>
          <w:szCs w:val="30"/>
        </w:rPr>
        <w:t>%，主要是因为</w:t>
      </w:r>
      <w:r>
        <w:rPr>
          <w:rFonts w:hint="eastAsia" w:ascii="仿宋" w:hAnsi="仿宋" w:eastAsia="仿宋" w:cs="仿宋"/>
          <w:color w:val="auto"/>
          <w:sz w:val="30"/>
          <w:szCs w:val="30"/>
          <w:lang w:eastAsia="zh-CN"/>
        </w:rPr>
        <w:t>减少了工资福利支出</w:t>
      </w:r>
      <w:r>
        <w:rPr>
          <w:rFonts w:hint="eastAsia" w:ascii="仿宋" w:hAnsi="仿宋" w:eastAsia="仿宋" w:cs="仿宋"/>
          <w:color w:val="auto"/>
          <w:sz w:val="30"/>
          <w:szCs w:val="30"/>
        </w:rPr>
        <w:t>、社会保障缴费</w:t>
      </w:r>
      <w:r>
        <w:rPr>
          <w:rFonts w:hint="eastAsia" w:ascii="仿宋" w:hAnsi="仿宋" w:eastAsia="仿宋" w:cs="仿宋"/>
          <w:color w:val="auto"/>
          <w:sz w:val="30"/>
          <w:szCs w:val="30"/>
          <w:lang w:eastAsia="zh-CN"/>
        </w:rPr>
        <w:t>、对个人和家庭的补助（退休人员）及专项支出</w:t>
      </w:r>
      <w:r>
        <w:rPr>
          <w:rFonts w:hint="eastAsia" w:ascii="仿宋" w:hAnsi="仿宋" w:eastAsia="仿宋" w:cs="仿宋"/>
          <w:color w:val="auto"/>
          <w:sz w:val="30"/>
          <w:szCs w:val="30"/>
        </w:rPr>
        <w:t>等</w:t>
      </w:r>
      <w:r>
        <w:rPr>
          <w:rFonts w:hint="eastAsia" w:ascii="仿宋" w:hAnsi="仿宋" w:eastAsia="仿宋" w:cs="仿宋"/>
          <w:color w:val="auto"/>
          <w:sz w:val="30"/>
          <w:szCs w:val="30"/>
          <w:lang w:eastAsia="zh-CN"/>
        </w:rPr>
        <w:t>经费。</w:t>
      </w:r>
    </w:p>
    <w:p>
      <w:pPr>
        <w:pStyle w:val="10"/>
        <w:keepNext w:val="0"/>
        <w:keepLines w:val="0"/>
        <w:pageBreakBefore w:val="0"/>
        <w:kinsoku/>
        <w:wordWrap/>
        <w:overflowPunct/>
        <w:topLinePunct w:val="0"/>
        <w:bidi w:val="0"/>
        <w:snapToGrid/>
        <w:spacing w:line="600" w:lineRule="exact"/>
        <w:ind w:firstLine="602" w:firstLineChars="200"/>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二、收入决算情况说明</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本年收入合计</w:t>
      </w:r>
      <w:r>
        <w:rPr>
          <w:rFonts w:hint="eastAsia" w:ascii="仿宋" w:hAnsi="仿宋" w:eastAsia="仿宋" w:cs="仿宋"/>
          <w:color w:val="auto"/>
          <w:sz w:val="30"/>
          <w:szCs w:val="30"/>
          <w:lang w:val="en-US" w:eastAsia="zh-CN"/>
        </w:rPr>
        <w:t>503.48</w:t>
      </w:r>
      <w:r>
        <w:rPr>
          <w:rFonts w:hint="eastAsia" w:ascii="仿宋" w:hAnsi="仿宋" w:eastAsia="仿宋" w:cs="仿宋"/>
          <w:color w:val="auto"/>
          <w:sz w:val="30"/>
          <w:szCs w:val="30"/>
        </w:rPr>
        <w:t>万元，其中：财政拨款收入</w:t>
      </w:r>
      <w:r>
        <w:rPr>
          <w:rFonts w:hint="eastAsia" w:ascii="仿宋" w:hAnsi="仿宋" w:eastAsia="仿宋" w:cs="仿宋"/>
          <w:color w:val="auto"/>
          <w:sz w:val="30"/>
          <w:szCs w:val="30"/>
          <w:lang w:val="en-US" w:eastAsia="zh-CN"/>
        </w:rPr>
        <w:t>503.48</w:t>
      </w:r>
      <w:r>
        <w:rPr>
          <w:rFonts w:hint="eastAsia" w:ascii="仿宋" w:hAnsi="仿宋" w:eastAsia="仿宋" w:cs="仿宋"/>
          <w:color w:val="auto"/>
          <w:sz w:val="30"/>
          <w:szCs w:val="30"/>
        </w:rPr>
        <w:t>万元，占</w:t>
      </w:r>
      <w:r>
        <w:rPr>
          <w:rFonts w:hint="eastAsia" w:ascii="仿宋" w:hAnsi="仿宋" w:eastAsia="仿宋" w:cs="仿宋"/>
          <w:color w:val="auto"/>
          <w:sz w:val="30"/>
          <w:szCs w:val="30"/>
          <w:lang w:val="en-US" w:eastAsia="zh-CN"/>
        </w:rPr>
        <w:t>100</w:t>
      </w:r>
      <w:r>
        <w:rPr>
          <w:rFonts w:hint="eastAsia" w:ascii="仿宋" w:hAnsi="仿宋" w:eastAsia="仿宋" w:cs="仿宋"/>
          <w:color w:val="auto"/>
          <w:sz w:val="30"/>
          <w:szCs w:val="30"/>
        </w:rPr>
        <w:t>%；上级补助收入</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万元，占</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%；事业收入</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万元，占</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%；经营收入</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万元，占</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%；附属单位上缴收入</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万元，占</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%；其他收入</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万元，占</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w:t>
      </w:r>
    </w:p>
    <w:p>
      <w:pPr>
        <w:pStyle w:val="10"/>
        <w:keepNext w:val="0"/>
        <w:keepLines w:val="0"/>
        <w:pageBreakBefore w:val="0"/>
        <w:kinsoku/>
        <w:wordWrap/>
        <w:overflowPunct/>
        <w:topLinePunct w:val="0"/>
        <w:bidi w:val="0"/>
        <w:snapToGrid/>
        <w:spacing w:line="600" w:lineRule="exact"/>
        <w:ind w:firstLine="602" w:firstLineChars="200"/>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三、支出决算情况说明</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本年支出合计</w:t>
      </w:r>
      <w:r>
        <w:rPr>
          <w:rFonts w:hint="eastAsia" w:ascii="仿宋" w:hAnsi="仿宋" w:eastAsia="仿宋" w:cs="仿宋"/>
          <w:color w:val="auto"/>
          <w:sz w:val="30"/>
          <w:szCs w:val="30"/>
          <w:lang w:val="en-US" w:eastAsia="zh-CN"/>
        </w:rPr>
        <w:t>503.48</w:t>
      </w:r>
      <w:r>
        <w:rPr>
          <w:rFonts w:hint="eastAsia" w:ascii="仿宋" w:hAnsi="仿宋" w:eastAsia="仿宋" w:cs="仿宋"/>
          <w:color w:val="auto"/>
          <w:sz w:val="30"/>
          <w:szCs w:val="30"/>
        </w:rPr>
        <w:t>万元，其中：基本支出</w:t>
      </w:r>
      <w:r>
        <w:rPr>
          <w:rFonts w:hint="eastAsia" w:ascii="仿宋" w:hAnsi="仿宋" w:eastAsia="仿宋" w:cs="仿宋"/>
          <w:color w:val="auto"/>
          <w:sz w:val="30"/>
          <w:szCs w:val="30"/>
          <w:lang w:val="en-US" w:eastAsia="zh-CN"/>
        </w:rPr>
        <w:t>503.48</w:t>
      </w:r>
      <w:r>
        <w:rPr>
          <w:rFonts w:hint="eastAsia" w:ascii="仿宋" w:hAnsi="仿宋" w:eastAsia="仿宋" w:cs="仿宋"/>
          <w:color w:val="auto"/>
          <w:sz w:val="30"/>
          <w:szCs w:val="30"/>
        </w:rPr>
        <w:t>万元，占</w:t>
      </w:r>
      <w:r>
        <w:rPr>
          <w:rFonts w:hint="eastAsia" w:ascii="仿宋" w:hAnsi="仿宋" w:eastAsia="仿宋" w:cs="仿宋"/>
          <w:color w:val="auto"/>
          <w:sz w:val="30"/>
          <w:szCs w:val="30"/>
          <w:lang w:val="en-US" w:eastAsia="zh-CN"/>
        </w:rPr>
        <w:t>100</w:t>
      </w:r>
      <w:r>
        <w:rPr>
          <w:rFonts w:hint="eastAsia" w:ascii="仿宋" w:hAnsi="仿宋" w:eastAsia="仿宋" w:cs="仿宋"/>
          <w:color w:val="auto"/>
          <w:sz w:val="30"/>
          <w:szCs w:val="30"/>
        </w:rPr>
        <w:t>%；项目支出</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万元，占</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%；上缴上级支出</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万元，占</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%；经营支出</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万元，占</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%；对附属单位补助支出</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万元，占</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w:t>
      </w:r>
    </w:p>
    <w:p>
      <w:pPr>
        <w:pStyle w:val="10"/>
        <w:keepNext w:val="0"/>
        <w:keepLines w:val="0"/>
        <w:pageBreakBefore w:val="0"/>
        <w:kinsoku/>
        <w:wordWrap/>
        <w:overflowPunct/>
        <w:topLinePunct w:val="0"/>
        <w:bidi w:val="0"/>
        <w:snapToGrid/>
        <w:spacing w:line="600" w:lineRule="exact"/>
        <w:ind w:firstLine="602" w:firstLineChars="200"/>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四、财政拨款收入支出决算总体情况说明</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shd w:val="clear" w:color="auto" w:fill="auto"/>
        </w:rPr>
        <w:t xml:space="preserve"> </w:t>
      </w:r>
      <w:r>
        <w:rPr>
          <w:rFonts w:hint="eastAsia" w:ascii="仿宋" w:hAnsi="仿宋" w:eastAsia="仿宋" w:cs="仿宋"/>
          <w:color w:val="auto"/>
          <w:sz w:val="30"/>
          <w:szCs w:val="30"/>
        </w:rPr>
        <w:t>2020年度财政拨款收</w:t>
      </w:r>
      <w:r>
        <w:rPr>
          <w:rFonts w:hint="eastAsia" w:ascii="仿宋" w:hAnsi="仿宋" w:eastAsia="仿宋" w:cs="仿宋"/>
          <w:color w:val="auto"/>
          <w:sz w:val="30"/>
          <w:szCs w:val="30"/>
          <w:lang w:val="en-US" w:eastAsia="zh-CN"/>
        </w:rPr>
        <w:t>入</w:t>
      </w:r>
      <w:r>
        <w:rPr>
          <w:rFonts w:hint="eastAsia" w:ascii="仿宋" w:hAnsi="仿宋" w:eastAsia="仿宋" w:cs="仿宋"/>
          <w:color w:val="auto"/>
          <w:sz w:val="30"/>
          <w:szCs w:val="30"/>
        </w:rPr>
        <w:t>总计</w:t>
      </w:r>
      <w:r>
        <w:rPr>
          <w:rFonts w:hint="eastAsia" w:ascii="仿宋" w:hAnsi="仿宋" w:eastAsia="仿宋" w:cs="仿宋"/>
          <w:color w:val="auto"/>
          <w:sz w:val="30"/>
          <w:szCs w:val="30"/>
          <w:lang w:val="en-US" w:eastAsia="zh-CN"/>
        </w:rPr>
        <w:t>503.48</w:t>
      </w:r>
      <w:r>
        <w:rPr>
          <w:rFonts w:hint="eastAsia" w:ascii="仿宋" w:hAnsi="仿宋" w:eastAsia="仿宋" w:cs="仿宋"/>
          <w:color w:val="auto"/>
          <w:sz w:val="30"/>
          <w:szCs w:val="30"/>
        </w:rPr>
        <w:t>万元，与上年相比，减少</w:t>
      </w:r>
      <w:r>
        <w:rPr>
          <w:rFonts w:hint="eastAsia" w:ascii="仿宋" w:hAnsi="仿宋" w:eastAsia="仿宋" w:cs="仿宋"/>
          <w:color w:val="auto"/>
          <w:sz w:val="30"/>
          <w:szCs w:val="30"/>
          <w:lang w:val="en-US" w:eastAsia="zh-CN"/>
        </w:rPr>
        <w:t>248.18</w:t>
      </w:r>
      <w:r>
        <w:rPr>
          <w:rFonts w:hint="eastAsia" w:ascii="仿宋" w:hAnsi="仿宋" w:eastAsia="仿宋" w:cs="仿宋"/>
          <w:color w:val="auto"/>
          <w:sz w:val="30"/>
          <w:szCs w:val="30"/>
        </w:rPr>
        <w:t>万元,减少</w:t>
      </w:r>
      <w:r>
        <w:rPr>
          <w:rFonts w:hint="eastAsia" w:ascii="仿宋" w:hAnsi="仿宋" w:eastAsia="仿宋" w:cs="仿宋"/>
          <w:color w:val="auto"/>
          <w:sz w:val="30"/>
          <w:szCs w:val="30"/>
          <w:lang w:val="en-US" w:eastAsia="zh-CN"/>
        </w:rPr>
        <w:t>49.29</w:t>
      </w:r>
      <w:r>
        <w:rPr>
          <w:rFonts w:hint="eastAsia" w:ascii="仿宋" w:hAnsi="仿宋" w:eastAsia="仿宋" w:cs="仿宋"/>
          <w:color w:val="auto"/>
          <w:sz w:val="30"/>
          <w:szCs w:val="30"/>
        </w:rPr>
        <w:t>%，主要是因为</w:t>
      </w:r>
      <w:r>
        <w:rPr>
          <w:rFonts w:hint="eastAsia" w:ascii="仿宋" w:hAnsi="仿宋" w:eastAsia="仿宋" w:cs="仿宋"/>
          <w:color w:val="auto"/>
          <w:sz w:val="30"/>
          <w:szCs w:val="30"/>
          <w:lang w:eastAsia="zh-CN"/>
        </w:rPr>
        <w:t>减少</w:t>
      </w:r>
      <w:r>
        <w:rPr>
          <w:rFonts w:hint="eastAsia" w:ascii="仿宋" w:hAnsi="仿宋" w:eastAsia="仿宋" w:cs="仿宋"/>
          <w:color w:val="auto"/>
          <w:sz w:val="30"/>
          <w:szCs w:val="30"/>
        </w:rPr>
        <w:t>了</w:t>
      </w:r>
      <w:r>
        <w:rPr>
          <w:rFonts w:hint="eastAsia" w:ascii="仿宋" w:hAnsi="仿宋" w:eastAsia="仿宋" w:cs="仿宋"/>
          <w:color w:val="auto"/>
          <w:sz w:val="30"/>
          <w:szCs w:val="30"/>
          <w:lang w:eastAsia="zh-CN"/>
        </w:rPr>
        <w:t>人员经费和专项经费等收入；支出总计</w:t>
      </w:r>
      <w:r>
        <w:rPr>
          <w:rFonts w:hint="eastAsia" w:ascii="仿宋" w:hAnsi="仿宋" w:eastAsia="仿宋" w:cs="仿宋"/>
          <w:color w:val="auto"/>
          <w:sz w:val="30"/>
          <w:szCs w:val="30"/>
          <w:lang w:val="en-US" w:eastAsia="zh-CN"/>
        </w:rPr>
        <w:t>503.48万元，</w:t>
      </w:r>
      <w:r>
        <w:rPr>
          <w:rFonts w:hint="eastAsia" w:ascii="仿宋" w:hAnsi="仿宋" w:eastAsia="仿宋" w:cs="仿宋"/>
          <w:color w:val="auto"/>
          <w:sz w:val="30"/>
          <w:szCs w:val="30"/>
        </w:rPr>
        <w:t>与上年相比，减少</w:t>
      </w:r>
      <w:r>
        <w:rPr>
          <w:rFonts w:hint="eastAsia" w:ascii="仿宋" w:hAnsi="仿宋" w:eastAsia="仿宋" w:cs="仿宋"/>
          <w:color w:val="auto"/>
          <w:sz w:val="30"/>
          <w:szCs w:val="30"/>
          <w:lang w:val="en-US" w:eastAsia="zh-CN"/>
        </w:rPr>
        <w:t>248.18</w:t>
      </w:r>
      <w:r>
        <w:rPr>
          <w:rFonts w:hint="eastAsia" w:ascii="仿宋" w:hAnsi="仿宋" w:eastAsia="仿宋" w:cs="仿宋"/>
          <w:color w:val="auto"/>
          <w:sz w:val="30"/>
          <w:szCs w:val="30"/>
        </w:rPr>
        <w:t>万元，减少</w:t>
      </w:r>
      <w:r>
        <w:rPr>
          <w:rFonts w:hint="eastAsia" w:ascii="仿宋" w:hAnsi="仿宋" w:eastAsia="仿宋" w:cs="仿宋"/>
          <w:color w:val="auto"/>
          <w:sz w:val="30"/>
          <w:szCs w:val="30"/>
          <w:lang w:val="en-US" w:eastAsia="zh-CN"/>
        </w:rPr>
        <w:t>49.29</w:t>
      </w:r>
      <w:r>
        <w:rPr>
          <w:rFonts w:hint="eastAsia" w:ascii="仿宋" w:hAnsi="仿宋" w:eastAsia="仿宋" w:cs="仿宋"/>
          <w:color w:val="auto"/>
          <w:sz w:val="30"/>
          <w:szCs w:val="30"/>
        </w:rPr>
        <w:t>%，主要是因为</w:t>
      </w:r>
      <w:r>
        <w:rPr>
          <w:rFonts w:hint="eastAsia" w:ascii="仿宋" w:hAnsi="仿宋" w:eastAsia="仿宋" w:cs="仿宋"/>
          <w:color w:val="auto"/>
          <w:sz w:val="30"/>
          <w:szCs w:val="30"/>
          <w:lang w:eastAsia="zh-CN"/>
        </w:rPr>
        <w:t>减少了工资福利支出</w:t>
      </w:r>
      <w:r>
        <w:rPr>
          <w:rFonts w:hint="eastAsia" w:ascii="仿宋" w:hAnsi="仿宋" w:eastAsia="仿宋" w:cs="仿宋"/>
          <w:color w:val="auto"/>
          <w:sz w:val="30"/>
          <w:szCs w:val="30"/>
        </w:rPr>
        <w:t>、社会保障缴费</w:t>
      </w:r>
      <w:r>
        <w:rPr>
          <w:rFonts w:hint="eastAsia" w:ascii="仿宋" w:hAnsi="仿宋" w:eastAsia="仿宋" w:cs="仿宋"/>
          <w:color w:val="auto"/>
          <w:sz w:val="30"/>
          <w:szCs w:val="30"/>
          <w:lang w:eastAsia="zh-CN"/>
        </w:rPr>
        <w:t>、对个人和家庭的补助（退休人员）及专项支出</w:t>
      </w:r>
      <w:r>
        <w:rPr>
          <w:rFonts w:hint="eastAsia" w:ascii="仿宋" w:hAnsi="仿宋" w:eastAsia="仿宋" w:cs="仿宋"/>
          <w:color w:val="auto"/>
          <w:sz w:val="30"/>
          <w:szCs w:val="30"/>
        </w:rPr>
        <w:t>等经费</w:t>
      </w:r>
      <w:r>
        <w:rPr>
          <w:rFonts w:hint="eastAsia" w:ascii="仿宋" w:hAnsi="仿宋" w:eastAsia="仿宋" w:cs="仿宋"/>
          <w:color w:val="auto"/>
          <w:sz w:val="30"/>
          <w:szCs w:val="30"/>
          <w:lang w:eastAsia="zh-CN"/>
        </w:rPr>
        <w:t>。</w:t>
      </w:r>
    </w:p>
    <w:p>
      <w:pPr>
        <w:pStyle w:val="10"/>
        <w:keepNext w:val="0"/>
        <w:keepLines w:val="0"/>
        <w:pageBreakBefore w:val="0"/>
        <w:kinsoku/>
        <w:wordWrap/>
        <w:overflowPunct/>
        <w:topLinePunct w:val="0"/>
        <w:bidi w:val="0"/>
        <w:snapToGrid/>
        <w:spacing w:line="600" w:lineRule="exact"/>
        <w:ind w:firstLine="602" w:firstLineChars="200"/>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五、一般公共预算财政拨款支出决算情况说明</w:t>
      </w:r>
    </w:p>
    <w:p>
      <w:pPr>
        <w:pStyle w:val="10"/>
        <w:keepNext w:val="0"/>
        <w:keepLines w:val="0"/>
        <w:pageBreakBefore w:val="0"/>
        <w:kinsoku/>
        <w:wordWrap/>
        <w:overflowPunct/>
        <w:topLinePunct w:val="0"/>
        <w:bidi w:val="0"/>
        <w:snapToGrid/>
        <w:spacing w:line="600" w:lineRule="exact"/>
        <w:ind w:firstLine="602" w:firstLineChars="200"/>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（一）财政拨款支出决算总体情况</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2020年度财政拨款支出</w:t>
      </w:r>
      <w:r>
        <w:rPr>
          <w:rFonts w:hint="eastAsia" w:ascii="仿宋" w:hAnsi="仿宋" w:eastAsia="仿宋" w:cs="仿宋"/>
          <w:color w:val="auto"/>
          <w:sz w:val="30"/>
          <w:szCs w:val="30"/>
          <w:lang w:val="en-US" w:eastAsia="zh-CN"/>
        </w:rPr>
        <w:t>503.48</w:t>
      </w:r>
      <w:r>
        <w:rPr>
          <w:rFonts w:hint="eastAsia" w:ascii="仿宋" w:hAnsi="仿宋" w:eastAsia="仿宋" w:cs="仿宋"/>
          <w:color w:val="auto"/>
          <w:sz w:val="30"/>
          <w:szCs w:val="30"/>
        </w:rPr>
        <w:t>万元，占本年支出合计的</w:t>
      </w:r>
      <w:r>
        <w:rPr>
          <w:rFonts w:hint="eastAsia" w:ascii="仿宋" w:hAnsi="仿宋" w:eastAsia="仿宋" w:cs="仿宋"/>
          <w:color w:val="auto"/>
          <w:sz w:val="30"/>
          <w:szCs w:val="30"/>
          <w:lang w:val="en-US" w:eastAsia="zh-CN"/>
        </w:rPr>
        <w:t>100</w:t>
      </w:r>
      <w:r>
        <w:rPr>
          <w:rFonts w:hint="eastAsia" w:ascii="仿宋" w:hAnsi="仿宋" w:eastAsia="仿宋" w:cs="仿宋"/>
          <w:color w:val="auto"/>
          <w:sz w:val="30"/>
          <w:szCs w:val="30"/>
        </w:rPr>
        <w:t>%，与上年相比，财政拨款支出减少</w:t>
      </w:r>
      <w:r>
        <w:rPr>
          <w:rFonts w:hint="eastAsia" w:ascii="仿宋" w:hAnsi="仿宋" w:eastAsia="仿宋" w:cs="仿宋"/>
          <w:color w:val="auto"/>
          <w:sz w:val="30"/>
          <w:szCs w:val="30"/>
          <w:lang w:val="en-US" w:eastAsia="zh-CN"/>
        </w:rPr>
        <w:t>248.18</w:t>
      </w:r>
      <w:r>
        <w:rPr>
          <w:rFonts w:hint="eastAsia" w:ascii="仿宋" w:hAnsi="仿宋" w:eastAsia="仿宋" w:cs="仿宋"/>
          <w:color w:val="auto"/>
          <w:sz w:val="30"/>
          <w:szCs w:val="30"/>
        </w:rPr>
        <w:t>万元，减少</w:t>
      </w:r>
      <w:r>
        <w:rPr>
          <w:rFonts w:hint="eastAsia" w:ascii="仿宋" w:hAnsi="仿宋" w:eastAsia="仿宋" w:cs="仿宋"/>
          <w:color w:val="auto"/>
          <w:sz w:val="30"/>
          <w:szCs w:val="30"/>
          <w:lang w:val="en-US" w:eastAsia="zh-CN"/>
        </w:rPr>
        <w:t>49.29</w:t>
      </w:r>
      <w:r>
        <w:rPr>
          <w:rFonts w:hint="eastAsia" w:ascii="仿宋" w:hAnsi="仿宋" w:eastAsia="仿宋" w:cs="仿宋"/>
          <w:color w:val="auto"/>
          <w:sz w:val="30"/>
          <w:szCs w:val="30"/>
        </w:rPr>
        <w:t>%，主要是因为</w:t>
      </w:r>
      <w:r>
        <w:rPr>
          <w:rFonts w:hint="eastAsia" w:ascii="仿宋" w:hAnsi="仿宋" w:eastAsia="仿宋" w:cs="仿宋"/>
          <w:color w:val="auto"/>
          <w:sz w:val="30"/>
          <w:szCs w:val="30"/>
          <w:lang w:eastAsia="zh-CN"/>
        </w:rPr>
        <w:t>减少了工资福利支出</w:t>
      </w:r>
      <w:r>
        <w:rPr>
          <w:rFonts w:hint="eastAsia" w:ascii="仿宋" w:hAnsi="仿宋" w:eastAsia="仿宋" w:cs="仿宋"/>
          <w:color w:val="auto"/>
          <w:sz w:val="30"/>
          <w:szCs w:val="30"/>
        </w:rPr>
        <w:t>、社会保障缴费</w:t>
      </w:r>
      <w:r>
        <w:rPr>
          <w:rFonts w:hint="eastAsia" w:ascii="仿宋" w:hAnsi="仿宋" w:eastAsia="仿宋" w:cs="仿宋"/>
          <w:color w:val="auto"/>
          <w:sz w:val="30"/>
          <w:szCs w:val="30"/>
          <w:lang w:eastAsia="zh-CN"/>
        </w:rPr>
        <w:t>、对个人和家庭的补助（退休人员）及专项支出</w:t>
      </w:r>
      <w:r>
        <w:rPr>
          <w:rFonts w:hint="eastAsia" w:ascii="仿宋" w:hAnsi="仿宋" w:eastAsia="仿宋" w:cs="仿宋"/>
          <w:color w:val="auto"/>
          <w:sz w:val="30"/>
          <w:szCs w:val="30"/>
        </w:rPr>
        <w:t>等经费</w:t>
      </w:r>
      <w:r>
        <w:rPr>
          <w:rFonts w:hint="eastAsia" w:ascii="仿宋" w:hAnsi="仿宋" w:eastAsia="仿宋" w:cs="仿宋"/>
          <w:color w:val="auto"/>
          <w:sz w:val="30"/>
          <w:szCs w:val="30"/>
          <w:lang w:eastAsia="zh-CN"/>
        </w:rPr>
        <w:t>。</w:t>
      </w:r>
    </w:p>
    <w:p>
      <w:pPr>
        <w:pStyle w:val="10"/>
        <w:keepNext w:val="0"/>
        <w:keepLines w:val="0"/>
        <w:pageBreakBefore w:val="0"/>
        <w:kinsoku/>
        <w:wordWrap/>
        <w:overflowPunct/>
        <w:topLinePunct w:val="0"/>
        <w:bidi w:val="0"/>
        <w:snapToGrid/>
        <w:spacing w:line="600" w:lineRule="exact"/>
        <w:ind w:firstLine="602" w:firstLineChars="200"/>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（二）财政拨款支出决算结构情况</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2020年度财政拨款支出</w:t>
      </w:r>
      <w:r>
        <w:rPr>
          <w:rFonts w:hint="eastAsia" w:ascii="仿宋" w:hAnsi="仿宋" w:eastAsia="仿宋" w:cs="仿宋"/>
          <w:color w:val="auto"/>
          <w:sz w:val="30"/>
          <w:szCs w:val="30"/>
          <w:lang w:val="en-US" w:eastAsia="zh-CN"/>
        </w:rPr>
        <w:t>503.48</w:t>
      </w:r>
      <w:r>
        <w:rPr>
          <w:rFonts w:hint="eastAsia" w:ascii="仿宋" w:hAnsi="仿宋" w:eastAsia="仿宋" w:cs="仿宋"/>
          <w:color w:val="auto"/>
          <w:sz w:val="30"/>
          <w:szCs w:val="30"/>
        </w:rPr>
        <w:t>万元，主要用于以下方面：</w:t>
      </w:r>
      <w:r>
        <w:rPr>
          <w:rFonts w:hint="eastAsia" w:ascii="仿宋" w:hAnsi="仿宋" w:eastAsia="仿宋" w:cs="仿宋"/>
          <w:color w:val="auto"/>
          <w:sz w:val="30"/>
          <w:szCs w:val="30"/>
          <w:lang w:eastAsia="zh-CN"/>
        </w:rPr>
        <w:t>社会保障和就业</w:t>
      </w:r>
      <w:r>
        <w:rPr>
          <w:rFonts w:hint="eastAsia" w:ascii="仿宋" w:hAnsi="仿宋" w:eastAsia="仿宋" w:cs="仿宋"/>
          <w:color w:val="auto"/>
          <w:sz w:val="30"/>
          <w:szCs w:val="30"/>
        </w:rPr>
        <w:t>支出</w:t>
      </w:r>
      <w:r>
        <w:rPr>
          <w:rFonts w:hint="eastAsia" w:ascii="仿宋" w:hAnsi="仿宋" w:eastAsia="仿宋" w:cs="仿宋"/>
          <w:color w:val="auto"/>
          <w:sz w:val="30"/>
          <w:szCs w:val="30"/>
          <w:lang w:eastAsia="zh-CN"/>
        </w:rPr>
        <w:t>（类）</w:t>
      </w:r>
      <w:r>
        <w:rPr>
          <w:rFonts w:hint="eastAsia" w:ascii="仿宋" w:hAnsi="仿宋" w:eastAsia="仿宋" w:cs="仿宋"/>
          <w:color w:val="auto"/>
          <w:sz w:val="30"/>
          <w:szCs w:val="30"/>
          <w:lang w:val="en-US" w:eastAsia="zh-CN"/>
        </w:rPr>
        <w:t>67.28</w:t>
      </w:r>
      <w:r>
        <w:rPr>
          <w:rFonts w:hint="eastAsia" w:ascii="仿宋" w:hAnsi="仿宋" w:eastAsia="仿宋" w:cs="仿宋"/>
          <w:color w:val="auto"/>
          <w:sz w:val="30"/>
          <w:szCs w:val="30"/>
        </w:rPr>
        <w:t>万元，占</w:t>
      </w:r>
      <w:r>
        <w:rPr>
          <w:rFonts w:hint="eastAsia" w:ascii="仿宋" w:hAnsi="仿宋" w:eastAsia="仿宋" w:cs="仿宋"/>
          <w:color w:val="auto"/>
          <w:sz w:val="30"/>
          <w:szCs w:val="30"/>
          <w:lang w:val="en-US" w:eastAsia="zh-CN"/>
        </w:rPr>
        <w:t>13.36</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卫生健康</w:t>
      </w:r>
      <w:r>
        <w:rPr>
          <w:rFonts w:hint="eastAsia" w:ascii="仿宋" w:hAnsi="仿宋" w:eastAsia="仿宋" w:cs="仿宋"/>
          <w:color w:val="auto"/>
          <w:sz w:val="30"/>
          <w:szCs w:val="30"/>
        </w:rPr>
        <w:t>支出</w:t>
      </w:r>
      <w:r>
        <w:rPr>
          <w:rFonts w:hint="eastAsia" w:ascii="仿宋" w:hAnsi="仿宋" w:eastAsia="仿宋" w:cs="仿宋"/>
          <w:color w:val="auto"/>
          <w:sz w:val="30"/>
          <w:szCs w:val="30"/>
          <w:lang w:eastAsia="zh-CN"/>
        </w:rPr>
        <w:t>（类）</w:t>
      </w:r>
      <w:r>
        <w:rPr>
          <w:rFonts w:hint="eastAsia" w:ascii="仿宋" w:hAnsi="仿宋" w:eastAsia="仿宋" w:cs="仿宋"/>
          <w:color w:val="auto"/>
          <w:sz w:val="30"/>
          <w:szCs w:val="30"/>
          <w:lang w:val="en-US" w:eastAsia="zh-CN"/>
        </w:rPr>
        <w:t>26.64</w:t>
      </w:r>
      <w:r>
        <w:rPr>
          <w:rFonts w:hint="eastAsia" w:ascii="仿宋" w:hAnsi="仿宋" w:eastAsia="仿宋" w:cs="仿宋"/>
          <w:color w:val="auto"/>
          <w:sz w:val="30"/>
          <w:szCs w:val="30"/>
        </w:rPr>
        <w:t>万元，占</w:t>
      </w:r>
      <w:r>
        <w:rPr>
          <w:rFonts w:hint="eastAsia" w:ascii="仿宋" w:hAnsi="仿宋" w:eastAsia="仿宋" w:cs="仿宋"/>
          <w:color w:val="auto"/>
          <w:sz w:val="30"/>
          <w:szCs w:val="30"/>
          <w:lang w:val="en-US" w:eastAsia="zh-CN"/>
        </w:rPr>
        <w:t>5.29</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；商业服务业等支出</w:t>
      </w:r>
      <w:r>
        <w:rPr>
          <w:rFonts w:hint="eastAsia" w:ascii="仿宋" w:hAnsi="仿宋" w:eastAsia="仿宋" w:cs="仿宋"/>
          <w:color w:val="auto"/>
          <w:sz w:val="30"/>
          <w:szCs w:val="30"/>
          <w:lang w:eastAsia="zh-CN"/>
        </w:rPr>
        <w:t>（类）</w:t>
      </w:r>
      <w:r>
        <w:rPr>
          <w:rFonts w:hint="eastAsia" w:ascii="仿宋" w:hAnsi="仿宋" w:eastAsia="仿宋" w:cs="仿宋"/>
          <w:color w:val="auto"/>
          <w:sz w:val="30"/>
          <w:szCs w:val="30"/>
          <w:lang w:val="en-US" w:eastAsia="zh-CN"/>
        </w:rPr>
        <w:t>409.56万元，占81.35%。</w:t>
      </w:r>
    </w:p>
    <w:p>
      <w:pPr>
        <w:pStyle w:val="10"/>
        <w:keepNext w:val="0"/>
        <w:keepLines w:val="0"/>
        <w:pageBreakBefore w:val="0"/>
        <w:kinsoku/>
        <w:wordWrap/>
        <w:overflowPunct/>
        <w:topLinePunct w:val="0"/>
        <w:bidi w:val="0"/>
        <w:snapToGrid/>
        <w:spacing w:line="600" w:lineRule="exact"/>
        <w:ind w:firstLine="602" w:firstLineChars="200"/>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（三）财政拨款支出决算具体情况</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2020年度财政拨款支出年初预算数为</w:t>
      </w:r>
      <w:r>
        <w:rPr>
          <w:rFonts w:hint="eastAsia" w:ascii="仿宋" w:hAnsi="仿宋" w:eastAsia="仿宋" w:cs="仿宋"/>
          <w:color w:val="auto"/>
          <w:sz w:val="30"/>
          <w:szCs w:val="30"/>
          <w:lang w:val="en-US" w:eastAsia="zh-CN"/>
        </w:rPr>
        <w:t>423.25</w:t>
      </w:r>
      <w:r>
        <w:rPr>
          <w:rFonts w:hint="eastAsia" w:ascii="仿宋" w:hAnsi="仿宋" w:eastAsia="仿宋" w:cs="仿宋"/>
          <w:color w:val="auto"/>
          <w:sz w:val="30"/>
          <w:szCs w:val="30"/>
        </w:rPr>
        <w:t>万元，支出决算数为</w:t>
      </w:r>
      <w:r>
        <w:rPr>
          <w:rFonts w:hint="eastAsia" w:ascii="仿宋" w:hAnsi="仿宋" w:eastAsia="仿宋" w:cs="仿宋"/>
          <w:color w:val="auto"/>
          <w:sz w:val="30"/>
          <w:szCs w:val="30"/>
          <w:lang w:val="en-US" w:eastAsia="zh-CN"/>
        </w:rPr>
        <w:t>503.48</w:t>
      </w:r>
      <w:r>
        <w:rPr>
          <w:rFonts w:hint="eastAsia" w:ascii="仿宋" w:hAnsi="仿宋" w:eastAsia="仿宋" w:cs="仿宋"/>
          <w:color w:val="auto"/>
          <w:sz w:val="30"/>
          <w:szCs w:val="30"/>
        </w:rPr>
        <w:t>万元，完成年初预算的</w:t>
      </w:r>
      <w:r>
        <w:rPr>
          <w:rFonts w:hint="eastAsia" w:ascii="仿宋" w:hAnsi="仿宋" w:eastAsia="仿宋" w:cs="仿宋"/>
          <w:color w:val="auto"/>
          <w:sz w:val="30"/>
          <w:szCs w:val="30"/>
          <w:lang w:val="en-US" w:eastAsia="zh-CN"/>
        </w:rPr>
        <w:t>118.95</w:t>
      </w:r>
      <w:r>
        <w:rPr>
          <w:rFonts w:hint="eastAsia" w:ascii="仿宋" w:hAnsi="仿宋" w:eastAsia="仿宋" w:cs="仿宋"/>
          <w:color w:val="auto"/>
          <w:sz w:val="30"/>
          <w:szCs w:val="30"/>
        </w:rPr>
        <w:t>%，其中：</w:t>
      </w:r>
    </w:p>
    <w:p>
      <w:pPr>
        <w:pStyle w:val="10"/>
        <w:keepNext w:val="0"/>
        <w:keepLines w:val="0"/>
        <w:pageBreakBefore w:val="0"/>
        <w:kinsoku/>
        <w:wordWrap/>
        <w:overflowPunct/>
        <w:topLinePunct w:val="0"/>
        <w:bidi w:val="0"/>
        <w:snapToGrid/>
        <w:spacing w:line="600" w:lineRule="exact"/>
        <w:ind w:firstLine="750" w:firstLineChars="25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社会保障和就业支出（类）行政事业单位养老支出（款）机关事业单位基本养老保险缴费支出（项）</w:t>
      </w:r>
      <w:r>
        <w:rPr>
          <w:rFonts w:hint="eastAsia" w:ascii="仿宋" w:hAnsi="仿宋" w:eastAsia="仿宋" w:cs="仿宋"/>
          <w:color w:val="auto"/>
          <w:sz w:val="30"/>
          <w:szCs w:val="30"/>
        </w:rPr>
        <w:t>。</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年初预算为</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万元，支出决算为</w:t>
      </w:r>
      <w:r>
        <w:rPr>
          <w:rFonts w:hint="eastAsia" w:ascii="仿宋" w:hAnsi="仿宋" w:eastAsia="仿宋" w:cs="仿宋"/>
          <w:color w:val="auto"/>
          <w:sz w:val="30"/>
          <w:szCs w:val="30"/>
          <w:lang w:val="en-US" w:eastAsia="zh-CN"/>
        </w:rPr>
        <w:t>35.42</w:t>
      </w:r>
      <w:r>
        <w:rPr>
          <w:rFonts w:hint="eastAsia" w:ascii="仿宋" w:hAnsi="仿宋" w:eastAsia="仿宋" w:cs="仿宋"/>
          <w:color w:val="auto"/>
          <w:sz w:val="30"/>
          <w:szCs w:val="30"/>
        </w:rPr>
        <w:t>万元，决算数大于年初预算数的主要原因是：</w:t>
      </w:r>
      <w:r>
        <w:rPr>
          <w:rFonts w:hint="eastAsia" w:ascii="仿宋" w:hAnsi="仿宋" w:eastAsia="仿宋" w:cs="仿宋"/>
          <w:color w:val="auto"/>
          <w:sz w:val="30"/>
          <w:szCs w:val="30"/>
          <w:lang w:eastAsia="zh-CN"/>
        </w:rPr>
        <w:t>因为机关事业单位基本养老保险单位缴费支出部分年初没有预算，由财政统筹、年中调整。</w:t>
      </w:r>
    </w:p>
    <w:p>
      <w:pPr>
        <w:pStyle w:val="10"/>
        <w:keepNext w:val="0"/>
        <w:keepLines w:val="0"/>
        <w:pageBreakBefore w:val="0"/>
        <w:kinsoku/>
        <w:wordWrap/>
        <w:overflowPunct/>
        <w:topLinePunct w:val="0"/>
        <w:bidi w:val="0"/>
        <w:snapToGrid/>
        <w:spacing w:line="600" w:lineRule="exact"/>
        <w:ind w:firstLine="750" w:firstLineChars="25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社会保障和就业支出（类）行政事业单位养老支出（款）其他行政事业单位养老支出（项）</w:t>
      </w:r>
      <w:r>
        <w:rPr>
          <w:rFonts w:hint="eastAsia" w:ascii="仿宋" w:hAnsi="仿宋" w:eastAsia="仿宋" w:cs="仿宋"/>
          <w:color w:val="auto"/>
          <w:sz w:val="30"/>
          <w:szCs w:val="30"/>
        </w:rPr>
        <w:t>。</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年初预算为</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万元，支出决算为</w:t>
      </w:r>
      <w:r>
        <w:rPr>
          <w:rFonts w:hint="eastAsia" w:ascii="仿宋" w:hAnsi="仿宋" w:eastAsia="仿宋" w:cs="仿宋"/>
          <w:color w:val="auto"/>
          <w:sz w:val="30"/>
          <w:szCs w:val="30"/>
          <w:lang w:val="en-US" w:eastAsia="zh-CN"/>
        </w:rPr>
        <w:t>1.63</w:t>
      </w:r>
      <w:r>
        <w:rPr>
          <w:rFonts w:hint="eastAsia" w:ascii="仿宋" w:hAnsi="仿宋" w:eastAsia="仿宋" w:cs="仿宋"/>
          <w:color w:val="auto"/>
          <w:sz w:val="30"/>
          <w:szCs w:val="30"/>
        </w:rPr>
        <w:t>万元，决算数大于年初预算数的主要原因是：</w:t>
      </w:r>
      <w:r>
        <w:rPr>
          <w:rFonts w:hint="eastAsia" w:ascii="仿宋" w:hAnsi="仿宋" w:eastAsia="仿宋" w:cs="仿宋"/>
          <w:color w:val="auto"/>
          <w:sz w:val="30"/>
          <w:szCs w:val="30"/>
          <w:lang w:eastAsia="zh-CN"/>
        </w:rPr>
        <w:t>因为其他行政事业单位离退休支出年初没有预算，由财政统筹、年中调整。</w:t>
      </w:r>
    </w:p>
    <w:p>
      <w:pPr>
        <w:pStyle w:val="10"/>
        <w:keepNext w:val="0"/>
        <w:keepLines w:val="0"/>
        <w:pageBreakBefore w:val="0"/>
        <w:kinsoku/>
        <w:wordWrap/>
        <w:overflowPunct/>
        <w:topLinePunct w:val="0"/>
        <w:bidi w:val="0"/>
        <w:snapToGrid/>
        <w:spacing w:line="600" w:lineRule="exact"/>
        <w:ind w:firstLine="750" w:firstLineChars="25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社会保障和就业支出（类）怃恤（款）死亡抚恤（项）</w:t>
      </w:r>
      <w:r>
        <w:rPr>
          <w:rFonts w:hint="eastAsia" w:ascii="仿宋" w:hAnsi="仿宋" w:eastAsia="仿宋" w:cs="仿宋"/>
          <w:color w:val="auto"/>
          <w:sz w:val="30"/>
          <w:szCs w:val="30"/>
        </w:rPr>
        <w:t>。</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年初预算为</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万元，支出决算为</w:t>
      </w:r>
      <w:r>
        <w:rPr>
          <w:rFonts w:hint="eastAsia" w:ascii="仿宋" w:hAnsi="仿宋" w:eastAsia="仿宋" w:cs="仿宋"/>
          <w:color w:val="auto"/>
          <w:sz w:val="30"/>
          <w:szCs w:val="30"/>
          <w:lang w:val="en-US" w:eastAsia="zh-CN"/>
        </w:rPr>
        <w:t>30.23</w:t>
      </w:r>
      <w:r>
        <w:rPr>
          <w:rFonts w:hint="eastAsia" w:ascii="仿宋" w:hAnsi="仿宋" w:eastAsia="仿宋" w:cs="仿宋"/>
          <w:color w:val="auto"/>
          <w:sz w:val="30"/>
          <w:szCs w:val="30"/>
        </w:rPr>
        <w:t>万元，决算数大于年初预算数的主要原因是：</w:t>
      </w:r>
      <w:r>
        <w:rPr>
          <w:rFonts w:hint="eastAsia" w:ascii="仿宋" w:hAnsi="仿宋" w:eastAsia="仿宋" w:cs="仿宋"/>
          <w:color w:val="auto"/>
          <w:sz w:val="30"/>
          <w:szCs w:val="30"/>
          <w:lang w:eastAsia="zh-CN"/>
        </w:rPr>
        <w:t>因为死亡怃恤年初没有预算，由财政统筹、年中调整。</w:t>
      </w:r>
    </w:p>
    <w:p>
      <w:pPr>
        <w:pStyle w:val="10"/>
        <w:keepNext w:val="0"/>
        <w:keepLines w:val="0"/>
        <w:pageBreakBefore w:val="0"/>
        <w:kinsoku/>
        <w:wordWrap/>
        <w:overflowPunct/>
        <w:topLinePunct w:val="0"/>
        <w:bidi w:val="0"/>
        <w:snapToGrid/>
        <w:spacing w:line="600" w:lineRule="exact"/>
        <w:ind w:firstLine="750" w:firstLineChars="25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4、卫生健康支出（类）行政事业单位医疗（款）行政单位医疗（项）。</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年初预算为</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万元，支出决算为</w:t>
      </w:r>
      <w:r>
        <w:rPr>
          <w:rFonts w:hint="eastAsia" w:ascii="仿宋" w:hAnsi="仿宋" w:eastAsia="仿宋" w:cs="仿宋"/>
          <w:color w:val="auto"/>
          <w:sz w:val="30"/>
          <w:szCs w:val="30"/>
          <w:lang w:val="en-US" w:eastAsia="zh-CN"/>
        </w:rPr>
        <w:t>14.06</w:t>
      </w:r>
      <w:r>
        <w:rPr>
          <w:rFonts w:hint="eastAsia" w:ascii="仿宋" w:hAnsi="仿宋" w:eastAsia="仿宋" w:cs="仿宋"/>
          <w:color w:val="auto"/>
          <w:sz w:val="30"/>
          <w:szCs w:val="30"/>
        </w:rPr>
        <w:t>万元，决算数大于年初预算数的主要原因是：</w:t>
      </w:r>
      <w:r>
        <w:rPr>
          <w:rFonts w:hint="eastAsia" w:ascii="仿宋" w:hAnsi="仿宋" w:eastAsia="仿宋" w:cs="仿宋"/>
          <w:color w:val="auto"/>
          <w:sz w:val="30"/>
          <w:szCs w:val="30"/>
          <w:lang w:eastAsia="zh-CN"/>
        </w:rPr>
        <w:t>因为</w:t>
      </w:r>
      <w:r>
        <w:rPr>
          <w:rFonts w:hint="eastAsia" w:ascii="仿宋" w:hAnsi="仿宋" w:eastAsia="仿宋" w:cs="仿宋"/>
          <w:color w:val="auto"/>
          <w:sz w:val="30"/>
          <w:szCs w:val="30"/>
          <w:lang w:val="en-US" w:eastAsia="zh-CN"/>
        </w:rPr>
        <w:t>行政事业单位医疗</w:t>
      </w:r>
      <w:r>
        <w:rPr>
          <w:rFonts w:hint="eastAsia" w:ascii="仿宋" w:hAnsi="仿宋" w:eastAsia="仿宋" w:cs="仿宋"/>
          <w:color w:val="auto"/>
          <w:sz w:val="30"/>
          <w:szCs w:val="30"/>
          <w:lang w:eastAsia="zh-CN"/>
        </w:rPr>
        <w:t>年初没有预算，由财政统筹、年中调整。</w:t>
      </w:r>
    </w:p>
    <w:p>
      <w:pPr>
        <w:pStyle w:val="10"/>
        <w:keepNext w:val="0"/>
        <w:keepLines w:val="0"/>
        <w:pageBreakBefore w:val="0"/>
        <w:numPr>
          <w:ilvl w:val="0"/>
          <w:numId w:val="1"/>
        </w:numPr>
        <w:kinsoku/>
        <w:wordWrap/>
        <w:overflowPunct/>
        <w:topLinePunct w:val="0"/>
        <w:bidi w:val="0"/>
        <w:snapToGrid/>
        <w:spacing w:line="600" w:lineRule="exact"/>
        <w:ind w:firstLine="750" w:firstLineChars="25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卫生健康支出（类）行政事业单位医疗（款）公务员医疗补助（项）。</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年初预算为</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万元，支出决算为</w:t>
      </w:r>
      <w:r>
        <w:rPr>
          <w:rFonts w:hint="eastAsia" w:ascii="仿宋" w:hAnsi="仿宋" w:eastAsia="仿宋" w:cs="仿宋"/>
          <w:color w:val="auto"/>
          <w:sz w:val="30"/>
          <w:szCs w:val="30"/>
          <w:lang w:val="en-US" w:eastAsia="zh-CN"/>
        </w:rPr>
        <w:t>12.57</w:t>
      </w:r>
      <w:r>
        <w:rPr>
          <w:rFonts w:hint="eastAsia" w:ascii="仿宋" w:hAnsi="仿宋" w:eastAsia="仿宋" w:cs="仿宋"/>
          <w:color w:val="auto"/>
          <w:sz w:val="30"/>
          <w:szCs w:val="30"/>
        </w:rPr>
        <w:t>万元，决算数大于年初预算数的主要原因是：</w:t>
      </w:r>
      <w:r>
        <w:rPr>
          <w:rFonts w:hint="eastAsia" w:ascii="仿宋" w:hAnsi="仿宋" w:eastAsia="仿宋" w:cs="仿宋"/>
          <w:color w:val="auto"/>
          <w:sz w:val="30"/>
          <w:szCs w:val="30"/>
          <w:lang w:eastAsia="zh-CN"/>
        </w:rPr>
        <w:t>因为</w:t>
      </w:r>
      <w:r>
        <w:rPr>
          <w:rFonts w:hint="eastAsia" w:ascii="仿宋" w:hAnsi="仿宋" w:eastAsia="仿宋" w:cs="仿宋"/>
          <w:color w:val="auto"/>
          <w:sz w:val="30"/>
          <w:szCs w:val="30"/>
          <w:lang w:val="en-US" w:eastAsia="zh-CN"/>
        </w:rPr>
        <w:t>行政事业单位医疗</w:t>
      </w:r>
      <w:r>
        <w:rPr>
          <w:rFonts w:hint="eastAsia" w:ascii="仿宋" w:hAnsi="仿宋" w:eastAsia="仿宋" w:cs="仿宋"/>
          <w:color w:val="auto"/>
          <w:sz w:val="30"/>
          <w:szCs w:val="30"/>
          <w:lang w:eastAsia="zh-CN"/>
        </w:rPr>
        <w:t>年初没有预算，由财政统筹、年中调整。</w:t>
      </w:r>
    </w:p>
    <w:p>
      <w:pPr>
        <w:pStyle w:val="10"/>
        <w:keepNext w:val="0"/>
        <w:keepLines w:val="0"/>
        <w:pageBreakBefore w:val="0"/>
        <w:numPr>
          <w:ilvl w:val="0"/>
          <w:numId w:val="1"/>
        </w:numPr>
        <w:kinsoku/>
        <w:wordWrap/>
        <w:overflowPunct/>
        <w:topLinePunct w:val="0"/>
        <w:bidi w:val="0"/>
        <w:snapToGrid/>
        <w:spacing w:line="600" w:lineRule="exact"/>
        <w:ind w:left="0" w:leftChars="0" w:firstLine="750" w:firstLineChars="25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商业服务业等支出（类）商业流通事务（款）行政运行（项）。</w:t>
      </w:r>
    </w:p>
    <w:p>
      <w:pPr>
        <w:pStyle w:val="10"/>
        <w:keepNext w:val="0"/>
        <w:keepLines w:val="0"/>
        <w:pageBreakBefore w:val="0"/>
        <w:numPr>
          <w:ilvl w:val="0"/>
          <w:numId w:val="0"/>
        </w:numPr>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年</w:t>
      </w:r>
      <w:r>
        <w:rPr>
          <w:rFonts w:hint="eastAsia" w:ascii="仿宋" w:hAnsi="仿宋" w:eastAsia="仿宋" w:cs="仿宋"/>
          <w:color w:val="auto"/>
          <w:sz w:val="30"/>
          <w:szCs w:val="30"/>
        </w:rPr>
        <w:t>初预算为</w:t>
      </w:r>
      <w:r>
        <w:rPr>
          <w:rFonts w:hint="eastAsia" w:ascii="仿宋" w:hAnsi="仿宋" w:eastAsia="仿宋" w:cs="仿宋"/>
          <w:color w:val="auto"/>
          <w:sz w:val="30"/>
          <w:szCs w:val="30"/>
          <w:lang w:val="en-US" w:eastAsia="zh-CN"/>
        </w:rPr>
        <w:t>398.10</w:t>
      </w:r>
      <w:r>
        <w:rPr>
          <w:rFonts w:hint="eastAsia" w:ascii="仿宋" w:hAnsi="仿宋" w:eastAsia="仿宋" w:cs="仿宋"/>
          <w:color w:val="auto"/>
          <w:sz w:val="30"/>
          <w:szCs w:val="30"/>
        </w:rPr>
        <w:t>万元，支出决算为</w:t>
      </w:r>
      <w:r>
        <w:rPr>
          <w:rFonts w:hint="eastAsia" w:ascii="仿宋" w:hAnsi="仿宋" w:eastAsia="仿宋" w:cs="仿宋"/>
          <w:color w:val="auto"/>
          <w:sz w:val="30"/>
          <w:szCs w:val="30"/>
          <w:lang w:val="en-US" w:eastAsia="zh-CN"/>
        </w:rPr>
        <w:t>409.56</w:t>
      </w:r>
      <w:r>
        <w:rPr>
          <w:rFonts w:hint="eastAsia" w:ascii="仿宋" w:hAnsi="仿宋" w:eastAsia="仿宋" w:cs="仿宋"/>
          <w:color w:val="auto"/>
          <w:sz w:val="30"/>
          <w:szCs w:val="30"/>
        </w:rPr>
        <w:t>万元，完成年初预算的</w:t>
      </w:r>
      <w:r>
        <w:rPr>
          <w:rFonts w:hint="eastAsia" w:ascii="仿宋" w:hAnsi="仿宋" w:eastAsia="仿宋" w:cs="仿宋"/>
          <w:color w:val="auto"/>
          <w:sz w:val="30"/>
          <w:szCs w:val="30"/>
          <w:lang w:val="en-US" w:eastAsia="zh-CN"/>
        </w:rPr>
        <w:t>102.88</w:t>
      </w:r>
      <w:r>
        <w:rPr>
          <w:rFonts w:hint="eastAsia" w:ascii="仿宋" w:hAnsi="仿宋" w:eastAsia="仿宋" w:cs="仿宋"/>
          <w:color w:val="auto"/>
          <w:sz w:val="30"/>
          <w:szCs w:val="30"/>
        </w:rPr>
        <w:t>%，决算数大于年初预算数的主要原因是：增加了工资晋级、晋档</w:t>
      </w:r>
      <w:r>
        <w:rPr>
          <w:rFonts w:hint="eastAsia" w:ascii="仿宋" w:hAnsi="仿宋" w:eastAsia="仿宋" w:cs="仿宋"/>
          <w:color w:val="auto"/>
          <w:sz w:val="30"/>
          <w:szCs w:val="30"/>
          <w:lang w:eastAsia="zh-CN"/>
        </w:rPr>
        <w:t>。</w:t>
      </w:r>
    </w:p>
    <w:p>
      <w:pPr>
        <w:pStyle w:val="10"/>
        <w:keepNext w:val="0"/>
        <w:keepLines w:val="0"/>
        <w:pageBreakBefore w:val="0"/>
        <w:kinsoku/>
        <w:wordWrap/>
        <w:overflowPunct/>
        <w:topLinePunct w:val="0"/>
        <w:bidi w:val="0"/>
        <w:snapToGrid/>
        <w:spacing w:line="600" w:lineRule="exact"/>
        <w:ind w:right="166" w:rightChars="79"/>
        <w:textAlignment w:val="auto"/>
        <w:rPr>
          <w:rFonts w:hint="eastAsia" w:ascii="宋体" w:hAnsi="宋体" w:eastAsia="宋体" w:cs="宋体"/>
          <w:b/>
          <w:color w:val="auto"/>
          <w:sz w:val="30"/>
          <w:szCs w:val="30"/>
        </w:rPr>
      </w:pPr>
      <w:r>
        <w:rPr>
          <w:rFonts w:hint="eastAsia" w:ascii="仿宋" w:hAnsi="仿宋" w:eastAsia="仿宋" w:cs="仿宋"/>
          <w:color w:val="auto"/>
          <w:sz w:val="30"/>
          <w:szCs w:val="30"/>
          <w:lang w:val="en-US" w:eastAsia="zh-CN"/>
        </w:rPr>
        <w:t xml:space="preserve">    </w:t>
      </w:r>
      <w:r>
        <w:rPr>
          <w:rFonts w:hint="eastAsia" w:ascii="宋体" w:hAnsi="宋体" w:eastAsia="宋体" w:cs="宋体"/>
          <w:b/>
          <w:color w:val="auto"/>
          <w:sz w:val="30"/>
          <w:szCs w:val="30"/>
        </w:rPr>
        <w:t>六、一般公共预算财政拨款基本支出决算情况说明</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2020年度财政拨款基本支出</w:t>
      </w:r>
      <w:r>
        <w:rPr>
          <w:rFonts w:hint="eastAsia" w:ascii="仿宋" w:hAnsi="仿宋" w:eastAsia="仿宋" w:cs="仿宋"/>
          <w:color w:val="auto"/>
          <w:sz w:val="30"/>
          <w:szCs w:val="30"/>
          <w:lang w:val="en-US" w:eastAsia="zh-CN"/>
        </w:rPr>
        <w:t>503.48</w:t>
      </w:r>
      <w:r>
        <w:rPr>
          <w:rFonts w:hint="eastAsia" w:ascii="仿宋" w:hAnsi="仿宋" w:eastAsia="仿宋" w:cs="仿宋"/>
          <w:color w:val="auto"/>
          <w:sz w:val="30"/>
          <w:szCs w:val="30"/>
        </w:rPr>
        <w:t>万元，其中：人员经费</w:t>
      </w:r>
      <w:r>
        <w:rPr>
          <w:rFonts w:hint="eastAsia" w:ascii="仿宋" w:hAnsi="仿宋" w:eastAsia="仿宋" w:cs="仿宋"/>
          <w:color w:val="auto"/>
          <w:sz w:val="30"/>
          <w:szCs w:val="30"/>
          <w:lang w:val="en-US" w:eastAsia="zh-CN"/>
        </w:rPr>
        <w:t>427.43</w:t>
      </w:r>
      <w:r>
        <w:rPr>
          <w:rFonts w:hint="eastAsia" w:ascii="仿宋" w:hAnsi="仿宋" w:eastAsia="仿宋" w:cs="仿宋"/>
          <w:color w:val="auto"/>
          <w:sz w:val="30"/>
          <w:szCs w:val="30"/>
        </w:rPr>
        <w:t>万元，占基本支出的</w:t>
      </w:r>
      <w:r>
        <w:rPr>
          <w:rFonts w:hint="eastAsia" w:ascii="仿宋" w:hAnsi="仿宋" w:eastAsia="仿宋" w:cs="仿宋"/>
          <w:color w:val="auto"/>
          <w:sz w:val="30"/>
          <w:szCs w:val="30"/>
          <w:lang w:val="en-US" w:eastAsia="zh-CN"/>
        </w:rPr>
        <w:t>84.9</w:t>
      </w:r>
      <w:r>
        <w:rPr>
          <w:rFonts w:hint="eastAsia" w:ascii="仿宋" w:hAnsi="仿宋" w:eastAsia="仿宋" w:cs="仿宋"/>
          <w:color w:val="auto"/>
          <w:sz w:val="30"/>
          <w:szCs w:val="30"/>
        </w:rPr>
        <w:t>%,主要包括基本工资、津贴补贴、奖金、伙食补助费</w:t>
      </w:r>
      <w:r>
        <w:rPr>
          <w:rFonts w:hint="eastAsia" w:ascii="仿宋" w:hAnsi="仿宋" w:eastAsia="仿宋" w:cs="仿宋"/>
          <w:color w:val="auto"/>
          <w:sz w:val="30"/>
          <w:szCs w:val="30"/>
          <w:lang w:eastAsia="zh-CN"/>
        </w:rPr>
        <w:t>、机关事业单位基本养老保险缴费、医疗保险缴费、职业年金缴费、对个人和家庭的补助</w:t>
      </w:r>
      <w:r>
        <w:rPr>
          <w:rFonts w:hint="eastAsia" w:ascii="仿宋" w:hAnsi="仿宋" w:eastAsia="仿宋" w:cs="仿宋"/>
          <w:color w:val="auto"/>
          <w:sz w:val="30"/>
          <w:szCs w:val="30"/>
        </w:rPr>
        <w:t>；公用经费</w:t>
      </w:r>
      <w:r>
        <w:rPr>
          <w:rFonts w:hint="eastAsia" w:ascii="仿宋" w:hAnsi="仿宋" w:eastAsia="仿宋" w:cs="仿宋"/>
          <w:color w:val="auto"/>
          <w:sz w:val="30"/>
          <w:szCs w:val="30"/>
          <w:lang w:val="en-US" w:eastAsia="zh-CN"/>
        </w:rPr>
        <w:t>76.05</w:t>
      </w:r>
      <w:r>
        <w:rPr>
          <w:rFonts w:hint="eastAsia" w:ascii="仿宋" w:hAnsi="仿宋" w:eastAsia="仿宋" w:cs="仿宋"/>
          <w:color w:val="auto"/>
          <w:sz w:val="30"/>
          <w:szCs w:val="30"/>
        </w:rPr>
        <w:t>万元，占基本支出的</w:t>
      </w:r>
      <w:r>
        <w:rPr>
          <w:rFonts w:hint="eastAsia" w:ascii="仿宋" w:hAnsi="仿宋" w:eastAsia="仿宋" w:cs="仿宋"/>
          <w:color w:val="auto"/>
          <w:sz w:val="30"/>
          <w:szCs w:val="30"/>
          <w:lang w:val="en-US" w:eastAsia="zh-CN"/>
        </w:rPr>
        <w:t>15.1</w:t>
      </w:r>
      <w:r>
        <w:rPr>
          <w:rFonts w:hint="eastAsia" w:ascii="仿宋" w:hAnsi="仿宋" w:eastAsia="仿宋" w:cs="仿宋"/>
          <w:color w:val="auto"/>
          <w:sz w:val="30"/>
          <w:szCs w:val="30"/>
        </w:rPr>
        <w:t>%，主要包括办公费、印刷费、</w:t>
      </w:r>
      <w:r>
        <w:rPr>
          <w:rFonts w:hint="eastAsia" w:ascii="仿宋" w:hAnsi="仿宋" w:eastAsia="仿宋" w:cs="仿宋"/>
          <w:color w:val="auto"/>
          <w:sz w:val="30"/>
          <w:szCs w:val="30"/>
          <w:lang w:eastAsia="zh-CN"/>
        </w:rPr>
        <w:t>电费、邮电费、差旅费、维修（护）费、租赁费、公务接待费、劳务费、工会经费、福利费、其他交通费、其他商品和服务支出</w:t>
      </w:r>
      <w:r>
        <w:rPr>
          <w:rFonts w:hint="eastAsia" w:ascii="仿宋" w:hAnsi="仿宋" w:eastAsia="仿宋" w:cs="仿宋"/>
          <w:color w:val="auto"/>
          <w:sz w:val="30"/>
          <w:szCs w:val="30"/>
        </w:rPr>
        <w:t>。</w:t>
      </w:r>
    </w:p>
    <w:p>
      <w:pPr>
        <w:pStyle w:val="10"/>
        <w:keepNext w:val="0"/>
        <w:keepLines w:val="0"/>
        <w:pageBreakBefore w:val="0"/>
        <w:kinsoku/>
        <w:wordWrap/>
        <w:overflowPunct/>
        <w:topLinePunct w:val="0"/>
        <w:bidi w:val="0"/>
        <w:snapToGrid/>
        <w:spacing w:line="600" w:lineRule="exact"/>
        <w:ind w:firstLine="602" w:firstLineChars="200"/>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七、一般公共预算财政拨款三公经费支出决算情况说明</w:t>
      </w:r>
    </w:p>
    <w:p>
      <w:pPr>
        <w:pStyle w:val="10"/>
        <w:keepNext w:val="0"/>
        <w:keepLines w:val="0"/>
        <w:pageBreakBefore w:val="0"/>
        <w:kinsoku/>
        <w:wordWrap/>
        <w:overflowPunct/>
        <w:topLinePunct w:val="0"/>
        <w:bidi w:val="0"/>
        <w:snapToGrid/>
        <w:spacing w:line="600" w:lineRule="exact"/>
        <w:ind w:firstLine="602" w:firstLineChars="200"/>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（一）“三公”经费财政拨款支出决算总体情况说明</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“三公”经费财政拨款支出预算为</w:t>
      </w:r>
      <w:r>
        <w:rPr>
          <w:rFonts w:hint="eastAsia" w:ascii="仿宋" w:hAnsi="仿宋" w:eastAsia="仿宋" w:cs="仿宋"/>
          <w:color w:val="auto"/>
          <w:sz w:val="30"/>
          <w:szCs w:val="30"/>
          <w:lang w:val="en-US" w:eastAsia="zh-CN"/>
        </w:rPr>
        <w:t>7.5</w:t>
      </w:r>
      <w:r>
        <w:rPr>
          <w:rFonts w:hint="eastAsia" w:ascii="仿宋" w:hAnsi="仿宋" w:eastAsia="仿宋" w:cs="仿宋"/>
          <w:color w:val="auto"/>
          <w:sz w:val="30"/>
          <w:szCs w:val="30"/>
        </w:rPr>
        <w:t>万元，支出决算为</w:t>
      </w:r>
      <w:r>
        <w:rPr>
          <w:rFonts w:hint="eastAsia" w:ascii="仿宋" w:hAnsi="仿宋" w:eastAsia="仿宋" w:cs="仿宋"/>
          <w:color w:val="auto"/>
          <w:sz w:val="30"/>
          <w:szCs w:val="30"/>
          <w:lang w:val="en-US" w:eastAsia="zh-CN"/>
        </w:rPr>
        <w:t>5.85</w:t>
      </w:r>
      <w:r>
        <w:rPr>
          <w:rFonts w:hint="eastAsia" w:ascii="仿宋" w:hAnsi="仿宋" w:eastAsia="仿宋" w:cs="仿宋"/>
          <w:color w:val="auto"/>
          <w:sz w:val="30"/>
          <w:szCs w:val="30"/>
        </w:rPr>
        <w:t>万元，完成预算的</w:t>
      </w:r>
      <w:r>
        <w:rPr>
          <w:rFonts w:hint="eastAsia" w:ascii="仿宋" w:hAnsi="仿宋" w:eastAsia="仿宋" w:cs="仿宋"/>
          <w:color w:val="auto"/>
          <w:sz w:val="30"/>
          <w:szCs w:val="30"/>
          <w:lang w:val="en-US" w:eastAsia="zh-CN"/>
        </w:rPr>
        <w:t>78</w:t>
      </w:r>
      <w:r>
        <w:rPr>
          <w:rFonts w:hint="eastAsia" w:ascii="仿宋" w:hAnsi="仿宋" w:eastAsia="仿宋" w:cs="仿宋"/>
          <w:color w:val="auto"/>
          <w:sz w:val="30"/>
          <w:szCs w:val="30"/>
        </w:rPr>
        <w:t>%，其中：</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因公出国（境）费支出预算为</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万元，支出决算为</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公务接待费支出预算为</w:t>
      </w:r>
      <w:r>
        <w:rPr>
          <w:rFonts w:hint="eastAsia" w:ascii="仿宋" w:hAnsi="仿宋" w:eastAsia="仿宋" w:cs="仿宋"/>
          <w:color w:val="auto"/>
          <w:sz w:val="30"/>
          <w:szCs w:val="30"/>
          <w:lang w:val="en-US" w:eastAsia="zh-CN"/>
        </w:rPr>
        <w:t>7.5</w:t>
      </w:r>
      <w:r>
        <w:rPr>
          <w:rFonts w:hint="eastAsia" w:ascii="仿宋" w:hAnsi="仿宋" w:eastAsia="仿宋" w:cs="仿宋"/>
          <w:color w:val="auto"/>
          <w:sz w:val="30"/>
          <w:szCs w:val="30"/>
        </w:rPr>
        <w:t>万元，支出决算为</w:t>
      </w:r>
      <w:r>
        <w:rPr>
          <w:rFonts w:hint="eastAsia" w:ascii="仿宋" w:hAnsi="仿宋" w:eastAsia="仿宋" w:cs="仿宋"/>
          <w:color w:val="auto"/>
          <w:sz w:val="30"/>
          <w:szCs w:val="30"/>
          <w:lang w:val="en-US" w:eastAsia="zh-CN"/>
        </w:rPr>
        <w:t>5.85</w:t>
      </w:r>
      <w:r>
        <w:rPr>
          <w:rFonts w:hint="eastAsia" w:ascii="仿宋" w:hAnsi="仿宋" w:eastAsia="仿宋" w:cs="仿宋"/>
          <w:color w:val="auto"/>
          <w:sz w:val="30"/>
          <w:szCs w:val="30"/>
        </w:rPr>
        <w:t>万元，完成预算的</w:t>
      </w:r>
      <w:r>
        <w:rPr>
          <w:rFonts w:hint="eastAsia" w:ascii="仿宋" w:hAnsi="仿宋" w:eastAsia="仿宋" w:cs="仿宋"/>
          <w:color w:val="auto"/>
          <w:sz w:val="30"/>
          <w:szCs w:val="30"/>
          <w:lang w:val="en-US" w:eastAsia="zh-CN"/>
        </w:rPr>
        <w:t>78</w:t>
      </w:r>
      <w:r>
        <w:rPr>
          <w:rFonts w:hint="eastAsia" w:ascii="仿宋" w:hAnsi="仿宋" w:eastAsia="仿宋" w:cs="仿宋"/>
          <w:color w:val="auto"/>
          <w:sz w:val="30"/>
          <w:szCs w:val="30"/>
        </w:rPr>
        <w:t>%，决算数小于预算数的主要原因是</w:t>
      </w:r>
      <w:r>
        <w:rPr>
          <w:rFonts w:hint="eastAsia" w:ascii="仿宋" w:hAnsi="仿宋" w:eastAsia="仿宋" w:cs="仿宋"/>
          <w:b w:val="0"/>
          <w:bCs w:val="0"/>
          <w:color w:val="auto"/>
          <w:sz w:val="30"/>
          <w:szCs w:val="30"/>
        </w:rPr>
        <w:t>严格执行中央八项规定和省委《关于进一步贯彻落实中央八项规定精神的实施办法》，进一步加强对公务接待等“三公”经费的管控</w:t>
      </w:r>
      <w:r>
        <w:rPr>
          <w:rFonts w:hint="eastAsia" w:ascii="仿宋" w:hAnsi="仿宋" w:eastAsia="仿宋" w:cs="仿宋"/>
          <w:b w:val="0"/>
          <w:bCs w:val="0"/>
          <w:color w:val="auto"/>
          <w:sz w:val="30"/>
          <w:szCs w:val="30"/>
          <w:lang w:eastAsia="zh-CN"/>
        </w:rPr>
        <w:t>。</w:t>
      </w:r>
      <w:r>
        <w:rPr>
          <w:rFonts w:hint="eastAsia" w:ascii="仿宋" w:hAnsi="仿宋" w:eastAsia="仿宋" w:cs="仿宋"/>
          <w:color w:val="auto"/>
          <w:sz w:val="30"/>
          <w:szCs w:val="30"/>
        </w:rPr>
        <w:t>与上年相比减少</w:t>
      </w:r>
      <w:r>
        <w:rPr>
          <w:rFonts w:hint="eastAsia" w:ascii="仿宋" w:hAnsi="仿宋" w:eastAsia="仿宋" w:cs="仿宋"/>
          <w:color w:val="auto"/>
          <w:sz w:val="30"/>
          <w:szCs w:val="30"/>
          <w:lang w:val="en-US" w:eastAsia="zh-CN"/>
        </w:rPr>
        <w:t>3.73</w:t>
      </w:r>
      <w:r>
        <w:rPr>
          <w:rFonts w:hint="eastAsia" w:ascii="仿宋" w:hAnsi="仿宋" w:eastAsia="仿宋" w:cs="仿宋"/>
          <w:color w:val="auto"/>
          <w:sz w:val="30"/>
          <w:szCs w:val="30"/>
        </w:rPr>
        <w:t>万元，减少</w:t>
      </w:r>
      <w:r>
        <w:rPr>
          <w:rFonts w:hint="eastAsia" w:ascii="仿宋" w:hAnsi="仿宋" w:eastAsia="仿宋" w:cs="仿宋"/>
          <w:color w:val="auto"/>
          <w:sz w:val="30"/>
          <w:szCs w:val="30"/>
          <w:lang w:val="en-US" w:eastAsia="zh-CN"/>
        </w:rPr>
        <w:t>63.76</w:t>
      </w:r>
      <w:r>
        <w:rPr>
          <w:rFonts w:hint="eastAsia" w:ascii="仿宋" w:hAnsi="仿宋" w:eastAsia="仿宋" w:cs="仿宋"/>
          <w:color w:val="auto"/>
          <w:sz w:val="30"/>
          <w:szCs w:val="30"/>
        </w:rPr>
        <w:t>%,减少的主要原因是</w:t>
      </w:r>
      <w:r>
        <w:rPr>
          <w:rFonts w:hint="eastAsia" w:ascii="仿宋" w:hAnsi="仿宋" w:eastAsia="仿宋" w:cs="仿宋"/>
          <w:color w:val="auto"/>
          <w:sz w:val="30"/>
          <w:szCs w:val="30"/>
          <w:lang w:eastAsia="zh-CN"/>
        </w:rPr>
        <w:t>厉行节约，严格控制公务接待支出</w:t>
      </w:r>
      <w:r>
        <w:rPr>
          <w:rFonts w:hint="eastAsia" w:ascii="仿宋" w:hAnsi="仿宋" w:eastAsia="仿宋" w:cs="仿宋"/>
          <w:color w:val="auto"/>
          <w:sz w:val="30"/>
          <w:szCs w:val="30"/>
        </w:rPr>
        <w:t>。</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公务用车购置费及运行维护费支出预算为</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万元，支出决算为</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w:t>
      </w:r>
    </w:p>
    <w:p>
      <w:pPr>
        <w:pStyle w:val="10"/>
        <w:keepNext w:val="0"/>
        <w:keepLines w:val="0"/>
        <w:pageBreakBefore w:val="0"/>
        <w:kinsoku/>
        <w:wordWrap/>
        <w:overflowPunct/>
        <w:topLinePunct w:val="0"/>
        <w:bidi w:val="0"/>
        <w:snapToGrid/>
        <w:spacing w:line="600" w:lineRule="exact"/>
        <w:ind w:firstLine="602" w:firstLineChars="200"/>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（二）“三公”经费财政拨款支出决算具体情况说明</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2020年度“三公”经费财政拨款支出决算中，公务接待费支出决算</w:t>
      </w:r>
      <w:r>
        <w:rPr>
          <w:rFonts w:hint="eastAsia" w:ascii="仿宋" w:hAnsi="仿宋" w:eastAsia="仿宋" w:cs="仿宋"/>
          <w:color w:val="auto"/>
          <w:sz w:val="30"/>
          <w:szCs w:val="30"/>
          <w:lang w:val="en-US" w:eastAsia="zh-CN"/>
        </w:rPr>
        <w:t>5.85</w:t>
      </w:r>
      <w:r>
        <w:rPr>
          <w:rFonts w:hint="eastAsia" w:ascii="仿宋" w:hAnsi="仿宋" w:eastAsia="仿宋" w:cs="仿宋"/>
          <w:color w:val="auto"/>
          <w:sz w:val="30"/>
          <w:szCs w:val="30"/>
        </w:rPr>
        <w:t>万元，占</w:t>
      </w:r>
      <w:r>
        <w:rPr>
          <w:rFonts w:hint="eastAsia" w:ascii="仿宋" w:hAnsi="仿宋" w:eastAsia="仿宋" w:cs="仿宋"/>
          <w:color w:val="auto"/>
          <w:sz w:val="30"/>
          <w:szCs w:val="30"/>
          <w:lang w:val="en-US" w:eastAsia="zh-CN"/>
        </w:rPr>
        <w:t>78</w:t>
      </w:r>
      <w:r>
        <w:rPr>
          <w:rFonts w:hint="eastAsia" w:ascii="仿宋" w:hAnsi="仿宋" w:eastAsia="仿宋" w:cs="仿宋"/>
          <w:color w:val="auto"/>
          <w:sz w:val="30"/>
          <w:szCs w:val="30"/>
        </w:rPr>
        <w:t>%,因公出国（境）费支出决算</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万元，占</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%,公务用车购置费及运行维护费支出决算</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万元，占</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%。其中：</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i w:val="0"/>
          <w:iCs w:val="0"/>
          <w:color w:val="auto"/>
          <w:sz w:val="30"/>
          <w:szCs w:val="30"/>
          <w:lang w:eastAsia="zh-CN"/>
        </w:rPr>
      </w:pPr>
      <w:r>
        <w:rPr>
          <w:rFonts w:hint="eastAsia" w:ascii="仿宋" w:hAnsi="仿宋" w:eastAsia="仿宋" w:cs="仿宋"/>
          <w:i w:val="0"/>
          <w:iCs w:val="0"/>
          <w:color w:val="auto"/>
          <w:sz w:val="30"/>
          <w:szCs w:val="30"/>
        </w:rPr>
        <w:t>1、因公出国（境）费支出决算为</w:t>
      </w:r>
      <w:r>
        <w:rPr>
          <w:rFonts w:hint="eastAsia" w:ascii="仿宋" w:hAnsi="仿宋" w:eastAsia="仿宋" w:cs="仿宋"/>
          <w:i w:val="0"/>
          <w:iCs w:val="0"/>
          <w:color w:val="auto"/>
          <w:sz w:val="30"/>
          <w:szCs w:val="30"/>
          <w:lang w:val="en-US" w:eastAsia="zh-CN"/>
        </w:rPr>
        <w:t>0</w:t>
      </w:r>
      <w:r>
        <w:rPr>
          <w:rFonts w:hint="eastAsia" w:ascii="仿宋" w:hAnsi="仿宋" w:eastAsia="仿宋" w:cs="仿宋"/>
          <w:i w:val="0"/>
          <w:iCs w:val="0"/>
          <w:color w:val="auto"/>
          <w:sz w:val="30"/>
          <w:szCs w:val="30"/>
        </w:rPr>
        <w:t>万元</w:t>
      </w:r>
      <w:r>
        <w:rPr>
          <w:rFonts w:hint="default" w:ascii="仿宋" w:hAnsi="仿宋" w:eastAsia="仿宋" w:cs="仿宋"/>
          <w:i w:val="0"/>
          <w:iCs w:val="0"/>
          <w:color w:val="auto"/>
          <w:sz w:val="30"/>
          <w:szCs w:val="30"/>
        </w:rPr>
        <w:t>，因公出国（境）团组数0次，出境人数0人。</w:t>
      </w:r>
      <w:r>
        <w:rPr>
          <w:rFonts w:hint="eastAsia" w:ascii="仿宋" w:hAnsi="仿宋" w:eastAsia="仿宋" w:cs="仿宋"/>
          <w:i w:val="0"/>
          <w:iCs w:val="0"/>
          <w:color w:val="auto"/>
          <w:sz w:val="30"/>
          <w:szCs w:val="30"/>
          <w:lang w:eastAsia="zh-CN"/>
        </w:rPr>
        <w:t>。</w:t>
      </w:r>
    </w:p>
    <w:p>
      <w:pPr>
        <w:pStyle w:val="10"/>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i w:val="0"/>
          <w:iCs w:val="0"/>
          <w:color w:val="auto"/>
          <w:sz w:val="30"/>
          <w:szCs w:val="30"/>
        </w:rPr>
        <w:t>2、公务接待费支出决算为</w:t>
      </w:r>
      <w:r>
        <w:rPr>
          <w:rFonts w:hint="eastAsia" w:ascii="仿宋" w:hAnsi="仿宋" w:eastAsia="仿宋" w:cs="仿宋"/>
          <w:i w:val="0"/>
          <w:iCs w:val="0"/>
          <w:color w:val="auto"/>
          <w:sz w:val="30"/>
          <w:szCs w:val="30"/>
          <w:lang w:val="en-US" w:eastAsia="zh-CN"/>
        </w:rPr>
        <w:t>5.85</w:t>
      </w:r>
      <w:r>
        <w:rPr>
          <w:rFonts w:hint="eastAsia" w:ascii="仿宋" w:hAnsi="仿宋" w:eastAsia="仿宋" w:cs="仿宋"/>
          <w:i w:val="0"/>
          <w:iCs w:val="0"/>
          <w:color w:val="auto"/>
          <w:sz w:val="30"/>
          <w:szCs w:val="30"/>
        </w:rPr>
        <w:t>万元，全年共接待来访团组</w:t>
      </w:r>
      <w:r>
        <w:rPr>
          <w:rFonts w:hint="eastAsia" w:ascii="仿宋" w:hAnsi="仿宋" w:eastAsia="仿宋" w:cs="仿宋"/>
          <w:i w:val="0"/>
          <w:iCs w:val="0"/>
          <w:color w:val="auto"/>
          <w:sz w:val="30"/>
          <w:szCs w:val="30"/>
          <w:lang w:val="en-US" w:eastAsia="zh-CN"/>
        </w:rPr>
        <w:t>49</w:t>
      </w:r>
      <w:r>
        <w:rPr>
          <w:rFonts w:hint="eastAsia" w:ascii="仿宋" w:hAnsi="仿宋" w:eastAsia="仿宋" w:cs="仿宋"/>
          <w:i w:val="0"/>
          <w:iCs w:val="0"/>
          <w:color w:val="auto"/>
          <w:sz w:val="30"/>
          <w:szCs w:val="30"/>
        </w:rPr>
        <w:t>个、来宾</w:t>
      </w:r>
      <w:r>
        <w:rPr>
          <w:rFonts w:hint="eastAsia" w:ascii="仿宋" w:hAnsi="仿宋" w:eastAsia="仿宋" w:cs="仿宋"/>
          <w:i w:val="0"/>
          <w:iCs w:val="0"/>
          <w:color w:val="auto"/>
          <w:sz w:val="30"/>
          <w:szCs w:val="30"/>
          <w:lang w:val="en-US" w:eastAsia="zh-CN"/>
        </w:rPr>
        <w:t>339</w:t>
      </w:r>
      <w:r>
        <w:rPr>
          <w:rFonts w:hint="eastAsia" w:ascii="仿宋" w:hAnsi="仿宋" w:eastAsia="仿宋" w:cs="仿宋"/>
          <w:i w:val="0"/>
          <w:iCs w:val="0"/>
          <w:color w:val="auto"/>
          <w:sz w:val="30"/>
          <w:szCs w:val="30"/>
        </w:rPr>
        <w:t>人次，主要是</w:t>
      </w:r>
      <w:r>
        <w:rPr>
          <w:rFonts w:hint="eastAsia" w:ascii="仿宋" w:hAnsi="仿宋" w:eastAsia="仿宋" w:cs="仿宋"/>
          <w:color w:val="auto"/>
          <w:sz w:val="30"/>
          <w:szCs w:val="30"/>
          <w:lang w:eastAsia="zh-CN"/>
        </w:rPr>
        <w:t>深化供销社综合改革的调研和项目招商引资及业务调研等</w:t>
      </w:r>
      <w:r>
        <w:rPr>
          <w:rFonts w:hint="eastAsia" w:ascii="仿宋" w:hAnsi="仿宋" w:eastAsia="仿宋" w:cs="仿宋"/>
          <w:color w:val="auto"/>
          <w:sz w:val="30"/>
          <w:szCs w:val="30"/>
        </w:rPr>
        <w:t>发生的接待支出。</w:t>
      </w:r>
    </w:p>
    <w:p>
      <w:pPr>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i w:val="0"/>
          <w:iCs w:val="0"/>
          <w:color w:val="auto"/>
          <w:kern w:val="0"/>
          <w:sz w:val="30"/>
          <w:szCs w:val="30"/>
          <w:lang w:eastAsia="zh-CN"/>
        </w:rPr>
      </w:pPr>
      <w:r>
        <w:rPr>
          <w:rFonts w:hint="eastAsia" w:ascii="仿宋" w:hAnsi="仿宋" w:eastAsia="仿宋" w:cs="仿宋"/>
          <w:i w:val="0"/>
          <w:iCs w:val="0"/>
          <w:color w:val="auto"/>
          <w:sz w:val="30"/>
          <w:szCs w:val="30"/>
        </w:rPr>
        <w:t>3、公务用车购置费及运行维护费支出决算为</w:t>
      </w:r>
      <w:r>
        <w:rPr>
          <w:rFonts w:hint="eastAsia" w:ascii="仿宋" w:hAnsi="仿宋" w:eastAsia="仿宋" w:cs="仿宋"/>
          <w:i w:val="0"/>
          <w:iCs w:val="0"/>
          <w:color w:val="auto"/>
          <w:sz w:val="30"/>
          <w:szCs w:val="30"/>
          <w:lang w:val="en-US" w:eastAsia="zh-CN"/>
        </w:rPr>
        <w:t>0</w:t>
      </w:r>
      <w:r>
        <w:rPr>
          <w:rFonts w:hint="eastAsia" w:ascii="仿宋" w:hAnsi="仿宋" w:eastAsia="仿宋" w:cs="仿宋"/>
          <w:i w:val="0"/>
          <w:iCs w:val="0"/>
          <w:color w:val="auto"/>
          <w:sz w:val="30"/>
          <w:szCs w:val="30"/>
        </w:rPr>
        <w:t>万元，</w:t>
      </w:r>
      <w:r>
        <w:rPr>
          <w:rFonts w:hint="eastAsia" w:ascii="仿宋" w:hAnsi="仿宋" w:eastAsia="仿宋" w:cs="仿宋"/>
          <w:i w:val="0"/>
          <w:iCs w:val="0"/>
          <w:color w:val="auto"/>
          <w:sz w:val="30"/>
          <w:szCs w:val="30"/>
          <w:lang w:eastAsia="zh-CN"/>
        </w:rPr>
        <w:t>其中：</w:t>
      </w:r>
      <w:r>
        <w:rPr>
          <w:rFonts w:hint="eastAsia" w:ascii="仿宋" w:hAnsi="仿宋" w:eastAsia="仿宋" w:cs="仿宋"/>
          <w:i w:val="0"/>
          <w:iCs w:val="0"/>
          <w:color w:val="auto"/>
          <w:sz w:val="30"/>
          <w:szCs w:val="30"/>
        </w:rPr>
        <w:t>公务用车购置费</w:t>
      </w:r>
      <w:r>
        <w:rPr>
          <w:rFonts w:hint="eastAsia" w:ascii="仿宋" w:hAnsi="仿宋" w:eastAsia="仿宋" w:cs="仿宋"/>
          <w:i w:val="0"/>
          <w:iCs w:val="0"/>
          <w:color w:val="auto"/>
          <w:sz w:val="30"/>
          <w:szCs w:val="30"/>
          <w:lang w:val="en-US" w:eastAsia="zh-CN"/>
        </w:rPr>
        <w:t>0万元，</w:t>
      </w:r>
      <w:r>
        <w:rPr>
          <w:rFonts w:hint="eastAsia" w:ascii="仿宋" w:hAnsi="仿宋" w:eastAsia="仿宋" w:cs="仿宋"/>
          <w:i w:val="0"/>
          <w:iCs w:val="0"/>
          <w:color w:val="auto"/>
          <w:sz w:val="30"/>
          <w:szCs w:val="30"/>
        </w:rPr>
        <w:t>更新公务用车</w:t>
      </w:r>
      <w:r>
        <w:rPr>
          <w:rFonts w:hint="eastAsia" w:ascii="仿宋" w:hAnsi="仿宋" w:eastAsia="仿宋" w:cs="仿宋"/>
          <w:i w:val="0"/>
          <w:iCs w:val="0"/>
          <w:color w:val="auto"/>
          <w:sz w:val="30"/>
          <w:szCs w:val="30"/>
          <w:lang w:val="en-US" w:eastAsia="zh-CN"/>
        </w:rPr>
        <w:t>0</w:t>
      </w:r>
      <w:r>
        <w:rPr>
          <w:rFonts w:hint="eastAsia" w:ascii="仿宋" w:hAnsi="仿宋" w:eastAsia="仿宋" w:cs="仿宋"/>
          <w:i w:val="0"/>
          <w:iCs w:val="0"/>
          <w:color w:val="auto"/>
          <w:sz w:val="30"/>
          <w:szCs w:val="30"/>
        </w:rPr>
        <w:t>辆</w:t>
      </w:r>
      <w:r>
        <w:rPr>
          <w:rFonts w:hint="eastAsia" w:asciiTheme="minorEastAsia" w:hAnsiTheme="minorEastAsia"/>
          <w:i w:val="0"/>
          <w:iCs w:val="0"/>
          <w:color w:val="auto"/>
          <w:sz w:val="32"/>
          <w:szCs w:val="32"/>
        </w:rPr>
        <w:t>。</w:t>
      </w:r>
      <w:r>
        <w:rPr>
          <w:rFonts w:hint="eastAsia" w:ascii="仿宋" w:hAnsi="仿宋" w:eastAsia="仿宋" w:cs="仿宋"/>
          <w:i w:val="0"/>
          <w:iCs w:val="0"/>
          <w:color w:val="auto"/>
          <w:sz w:val="30"/>
          <w:szCs w:val="30"/>
        </w:rPr>
        <w:t>公务用车运行维护费</w:t>
      </w:r>
      <w:r>
        <w:rPr>
          <w:rFonts w:hint="eastAsia" w:ascii="仿宋" w:hAnsi="仿宋" w:eastAsia="仿宋" w:cs="仿宋"/>
          <w:i w:val="0"/>
          <w:iCs w:val="0"/>
          <w:color w:val="auto"/>
          <w:sz w:val="30"/>
          <w:szCs w:val="30"/>
          <w:lang w:val="en-US" w:eastAsia="zh-CN"/>
        </w:rPr>
        <w:t>0</w:t>
      </w:r>
      <w:r>
        <w:rPr>
          <w:rFonts w:hint="eastAsia" w:ascii="仿宋" w:hAnsi="仿宋" w:eastAsia="仿宋" w:cs="仿宋"/>
          <w:i w:val="0"/>
          <w:iCs w:val="0"/>
          <w:color w:val="auto"/>
          <w:sz w:val="30"/>
          <w:szCs w:val="30"/>
        </w:rPr>
        <w:t>万元，截止2020年12月31日，我单位开支财政拨款的公务用车保有量为</w:t>
      </w:r>
      <w:r>
        <w:rPr>
          <w:rFonts w:hint="eastAsia" w:ascii="仿宋" w:hAnsi="仿宋" w:eastAsia="仿宋" w:cs="仿宋"/>
          <w:i w:val="0"/>
          <w:iCs w:val="0"/>
          <w:color w:val="auto"/>
          <w:sz w:val="30"/>
          <w:szCs w:val="30"/>
          <w:lang w:val="en-US" w:eastAsia="zh-CN"/>
        </w:rPr>
        <w:t>0</w:t>
      </w:r>
      <w:r>
        <w:rPr>
          <w:rFonts w:hint="eastAsia" w:ascii="仿宋" w:hAnsi="仿宋" w:eastAsia="仿宋" w:cs="仿宋"/>
          <w:i w:val="0"/>
          <w:iCs w:val="0"/>
          <w:color w:val="auto"/>
          <w:sz w:val="30"/>
          <w:szCs w:val="30"/>
        </w:rPr>
        <w:t>辆。</w:t>
      </w:r>
    </w:p>
    <w:p>
      <w:pPr>
        <w:pStyle w:val="10"/>
        <w:keepNext w:val="0"/>
        <w:keepLines w:val="0"/>
        <w:pageBreakBefore w:val="0"/>
        <w:kinsoku/>
        <w:wordWrap/>
        <w:overflowPunct/>
        <w:topLinePunct w:val="0"/>
        <w:bidi w:val="0"/>
        <w:snapToGrid/>
        <w:spacing w:line="600" w:lineRule="exact"/>
        <w:ind w:firstLine="602" w:firstLineChars="200"/>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八、政府性基金预算收入支出决算情况</w:t>
      </w:r>
    </w:p>
    <w:p>
      <w:pPr>
        <w:autoSpaceDE w:val="0"/>
        <w:autoSpaceDN w:val="0"/>
        <w:adjustRightInd w:val="0"/>
        <w:spacing w:line="600" w:lineRule="exact"/>
        <w:ind w:firstLine="600" w:firstLineChars="200"/>
        <w:rPr>
          <w:rFonts w:hint="eastAsia" w:ascii="仿宋" w:hAnsi="仿宋" w:eastAsia="仿宋" w:cs="仿宋"/>
          <w:i w:val="0"/>
          <w:iCs w:val="0"/>
          <w:color w:val="auto"/>
          <w:kern w:val="0"/>
          <w:sz w:val="30"/>
          <w:szCs w:val="30"/>
          <w:lang w:val="en-US" w:eastAsia="zh-CN" w:bidi="ar-SA"/>
        </w:rPr>
      </w:pPr>
      <w:r>
        <w:rPr>
          <w:rFonts w:hint="eastAsia" w:ascii="仿宋" w:hAnsi="仿宋" w:eastAsia="仿宋" w:cs="仿宋"/>
          <w:i w:val="0"/>
          <w:iCs w:val="0"/>
          <w:color w:val="auto"/>
          <w:kern w:val="0"/>
          <w:sz w:val="30"/>
          <w:szCs w:val="30"/>
          <w:lang w:val="en-US" w:eastAsia="zh-CN" w:bidi="ar-SA"/>
        </w:rPr>
        <w:t>2020年度政府性基金预算财政拨款收入0万元；年初结转和结余0万元；支出0万元，其中基本支出0万元，项目支出0万元；年末结转和结余0万元。本单位无政府性基金收支。</w:t>
      </w:r>
    </w:p>
    <w:p>
      <w:pPr>
        <w:pStyle w:val="10"/>
        <w:keepNext w:val="0"/>
        <w:keepLines w:val="0"/>
        <w:pageBreakBefore w:val="0"/>
        <w:kinsoku/>
        <w:wordWrap/>
        <w:overflowPunct/>
        <w:topLinePunct w:val="0"/>
        <w:bidi w:val="0"/>
        <w:snapToGrid/>
        <w:spacing w:line="600" w:lineRule="exact"/>
        <w:ind w:firstLine="640"/>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九、关于机关</w:t>
      </w:r>
      <w:r>
        <w:rPr>
          <w:rFonts w:hint="default" w:ascii="宋体" w:hAnsi="宋体" w:eastAsia="宋体" w:cs="宋体"/>
          <w:b/>
          <w:color w:val="auto"/>
          <w:sz w:val="30"/>
          <w:szCs w:val="30"/>
        </w:rPr>
        <w:t>（部门）</w:t>
      </w:r>
      <w:r>
        <w:rPr>
          <w:rFonts w:hint="eastAsia" w:ascii="宋体" w:hAnsi="宋体" w:eastAsia="宋体" w:cs="宋体"/>
          <w:b/>
          <w:color w:val="auto"/>
          <w:sz w:val="30"/>
          <w:szCs w:val="30"/>
        </w:rPr>
        <w:t>运行经费支出说明</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i w:val="0"/>
          <w:iCs w:val="0"/>
          <w:color w:val="auto"/>
          <w:sz w:val="30"/>
          <w:szCs w:val="30"/>
          <w:lang w:val="en-US" w:eastAsia="zh-CN"/>
        </w:rPr>
      </w:pPr>
      <w:r>
        <w:rPr>
          <w:rFonts w:hint="eastAsia" w:ascii="仿宋" w:hAnsi="仿宋" w:eastAsia="仿宋" w:cs="仿宋"/>
          <w:i w:val="0"/>
          <w:iCs w:val="0"/>
          <w:color w:val="auto"/>
          <w:sz w:val="30"/>
          <w:szCs w:val="30"/>
        </w:rPr>
        <w:t>本部门2020年度</w:t>
      </w:r>
      <w:r>
        <w:rPr>
          <w:rFonts w:hint="eastAsia" w:ascii="仿宋" w:hAnsi="仿宋" w:eastAsia="仿宋" w:cs="仿宋"/>
          <w:i w:val="0"/>
          <w:iCs w:val="0"/>
          <w:color w:val="auto"/>
          <w:sz w:val="30"/>
          <w:szCs w:val="30"/>
          <w:lang w:eastAsia="zh-CN"/>
        </w:rPr>
        <w:t>单位</w:t>
      </w:r>
      <w:r>
        <w:rPr>
          <w:rFonts w:hint="eastAsia" w:ascii="仿宋" w:hAnsi="仿宋" w:eastAsia="仿宋" w:cs="仿宋"/>
          <w:i w:val="0"/>
          <w:iCs w:val="0"/>
          <w:color w:val="auto"/>
          <w:sz w:val="30"/>
          <w:szCs w:val="30"/>
        </w:rPr>
        <w:t>运行经费支出</w:t>
      </w:r>
      <w:r>
        <w:rPr>
          <w:rFonts w:hint="eastAsia" w:ascii="仿宋" w:hAnsi="仿宋" w:eastAsia="仿宋" w:cs="仿宋"/>
          <w:i w:val="0"/>
          <w:iCs w:val="0"/>
          <w:color w:val="auto"/>
          <w:sz w:val="30"/>
          <w:szCs w:val="30"/>
          <w:lang w:val="en-US" w:eastAsia="zh-CN"/>
        </w:rPr>
        <w:t>76.05</w:t>
      </w:r>
      <w:r>
        <w:rPr>
          <w:rFonts w:hint="eastAsia" w:ascii="仿宋" w:hAnsi="仿宋" w:eastAsia="仿宋" w:cs="仿宋"/>
          <w:i w:val="0"/>
          <w:iCs w:val="0"/>
          <w:color w:val="auto"/>
          <w:sz w:val="30"/>
          <w:szCs w:val="30"/>
        </w:rPr>
        <w:t>万元，比年初预算数</w:t>
      </w:r>
      <w:r>
        <w:rPr>
          <w:rFonts w:hint="eastAsia" w:ascii="仿宋" w:hAnsi="仿宋" w:eastAsia="仿宋" w:cs="仿宋"/>
          <w:i w:val="0"/>
          <w:iCs w:val="0"/>
          <w:color w:val="auto"/>
          <w:sz w:val="30"/>
          <w:szCs w:val="30"/>
          <w:lang w:eastAsia="zh-CN"/>
        </w:rPr>
        <w:t>减少</w:t>
      </w:r>
      <w:r>
        <w:rPr>
          <w:rFonts w:hint="eastAsia" w:ascii="仿宋" w:hAnsi="仿宋" w:eastAsia="仿宋" w:cs="仿宋"/>
          <w:i w:val="0"/>
          <w:iCs w:val="0"/>
          <w:color w:val="auto"/>
          <w:sz w:val="30"/>
          <w:szCs w:val="30"/>
          <w:lang w:val="en-US" w:eastAsia="zh-CN"/>
        </w:rPr>
        <w:t>3.55万元，降低4.67%。比上年决算数减少76.93万元，降低101.16%。主要原因是减少了办公费、差旅费、会议费、培训费等公用经费支出和专项支出。</w:t>
      </w:r>
    </w:p>
    <w:p>
      <w:pPr>
        <w:pStyle w:val="10"/>
        <w:keepNext w:val="0"/>
        <w:keepLines w:val="0"/>
        <w:pageBreakBefore w:val="0"/>
        <w:kinsoku/>
        <w:wordWrap/>
        <w:overflowPunct/>
        <w:topLinePunct w:val="0"/>
        <w:bidi w:val="0"/>
        <w:snapToGrid/>
        <w:spacing w:line="600" w:lineRule="exact"/>
        <w:ind w:firstLine="602" w:firstLineChars="200"/>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十、一般性支出情况</w:t>
      </w:r>
    </w:p>
    <w:p>
      <w:pPr>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lang w:val="en-US"/>
        </w:rPr>
      </w:pPr>
      <w:r>
        <w:rPr>
          <w:rFonts w:hint="eastAsia" w:ascii="仿宋" w:hAnsi="仿宋" w:eastAsia="仿宋" w:cs="仿宋"/>
          <w:color w:val="auto"/>
          <w:sz w:val="30"/>
          <w:szCs w:val="30"/>
        </w:rPr>
        <w:t>2020年本部门开支会议费</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开支培训费</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因为疫情，我单位本年度内没有举办重大会议、培训、</w:t>
      </w:r>
      <w:r>
        <w:rPr>
          <w:rFonts w:hint="eastAsia" w:ascii="仿宋" w:hAnsi="仿宋" w:eastAsia="仿宋" w:cs="仿宋"/>
          <w:color w:val="auto"/>
          <w:sz w:val="30"/>
          <w:szCs w:val="30"/>
        </w:rPr>
        <w:t>节庆、晚会、论坛、赛事</w:t>
      </w:r>
      <w:r>
        <w:rPr>
          <w:rFonts w:hint="default" w:ascii="仿宋" w:hAnsi="仿宋" w:eastAsia="仿宋" w:cs="仿宋"/>
          <w:color w:val="auto"/>
          <w:sz w:val="30"/>
          <w:szCs w:val="30"/>
        </w:rPr>
        <w:t>等</w:t>
      </w:r>
      <w:r>
        <w:rPr>
          <w:rFonts w:hint="eastAsia" w:ascii="仿宋" w:hAnsi="仿宋" w:eastAsia="仿宋" w:cs="仿宋"/>
          <w:color w:val="auto"/>
          <w:sz w:val="30"/>
          <w:szCs w:val="30"/>
        </w:rPr>
        <w:t>活动</w:t>
      </w:r>
      <w:r>
        <w:rPr>
          <w:rFonts w:hint="default" w:ascii="仿宋" w:hAnsi="仿宋" w:eastAsia="仿宋" w:cs="仿宋"/>
          <w:color w:val="auto"/>
          <w:sz w:val="30"/>
          <w:szCs w:val="30"/>
        </w:rPr>
        <w:t>，开支0万元</w:t>
      </w:r>
      <w:r>
        <w:rPr>
          <w:rFonts w:hint="eastAsia" w:ascii="仿宋" w:hAnsi="仿宋" w:eastAsia="仿宋" w:cs="仿宋"/>
          <w:color w:val="auto"/>
          <w:sz w:val="30"/>
          <w:szCs w:val="30"/>
          <w:lang w:val="zh-CN"/>
        </w:rPr>
        <w:t>。</w:t>
      </w:r>
    </w:p>
    <w:p>
      <w:pPr>
        <w:pStyle w:val="10"/>
        <w:keepNext w:val="0"/>
        <w:keepLines w:val="0"/>
        <w:pageBreakBefore w:val="0"/>
        <w:kinsoku/>
        <w:wordWrap/>
        <w:overflowPunct/>
        <w:topLinePunct w:val="0"/>
        <w:bidi w:val="0"/>
        <w:snapToGrid/>
        <w:spacing w:line="600" w:lineRule="exact"/>
        <w:ind w:firstLine="602" w:firstLineChars="200"/>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十一、关于政府采购支出说明</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i w:val="0"/>
          <w:iCs/>
          <w:color w:val="auto"/>
          <w:sz w:val="30"/>
          <w:szCs w:val="30"/>
          <w:lang w:eastAsia="zh-CN"/>
        </w:rPr>
      </w:pPr>
      <w:r>
        <w:rPr>
          <w:rFonts w:hint="eastAsia" w:ascii="仿宋" w:hAnsi="仿宋" w:eastAsia="仿宋" w:cs="仿宋"/>
          <w:color w:val="auto"/>
          <w:sz w:val="30"/>
          <w:szCs w:val="30"/>
        </w:rPr>
        <w:t>本部门2020年度政府采购支出总额</w:t>
      </w:r>
      <w:r>
        <w:rPr>
          <w:rFonts w:hint="eastAsia" w:ascii="仿宋" w:hAnsi="仿宋" w:eastAsia="仿宋" w:cs="仿宋"/>
          <w:color w:val="auto"/>
          <w:sz w:val="30"/>
          <w:szCs w:val="30"/>
          <w:lang w:val="en-US" w:eastAsia="zh-CN"/>
        </w:rPr>
        <w:t>1.09</w:t>
      </w:r>
      <w:r>
        <w:rPr>
          <w:rFonts w:hint="eastAsia" w:ascii="仿宋" w:hAnsi="仿宋" w:eastAsia="仿宋" w:cs="仿宋"/>
          <w:color w:val="auto"/>
          <w:sz w:val="30"/>
          <w:szCs w:val="30"/>
        </w:rPr>
        <w:t>万元，其中：政府采购货物支出</w:t>
      </w:r>
      <w:r>
        <w:rPr>
          <w:rFonts w:hint="eastAsia" w:ascii="仿宋" w:hAnsi="仿宋" w:eastAsia="仿宋" w:cs="仿宋"/>
          <w:color w:val="auto"/>
          <w:sz w:val="30"/>
          <w:szCs w:val="30"/>
          <w:lang w:val="en-US" w:eastAsia="zh-CN"/>
        </w:rPr>
        <w:t>1.09</w:t>
      </w:r>
      <w:r>
        <w:rPr>
          <w:rFonts w:hint="eastAsia" w:ascii="仿宋" w:hAnsi="仿宋" w:eastAsia="仿宋" w:cs="仿宋"/>
          <w:color w:val="auto"/>
          <w:sz w:val="30"/>
          <w:szCs w:val="30"/>
        </w:rPr>
        <w:t>万元</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占政府采购支出总额的</w:t>
      </w:r>
      <w:r>
        <w:rPr>
          <w:rFonts w:hint="eastAsia" w:ascii="仿宋" w:hAnsi="仿宋" w:eastAsia="仿宋" w:cs="仿宋"/>
          <w:color w:val="auto"/>
          <w:sz w:val="30"/>
          <w:szCs w:val="30"/>
          <w:lang w:val="en-US" w:eastAsia="zh-CN"/>
        </w:rPr>
        <w:t>100</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政府采购工程支出</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政府采购服务支出</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万元。授予中小企业合同金额</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占政府采购支出总额的</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%，其中：授予小微企业合同金额</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万元，占政府采购支出总额的</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w:t>
      </w:r>
    </w:p>
    <w:p>
      <w:pPr>
        <w:pStyle w:val="10"/>
        <w:keepNext w:val="0"/>
        <w:keepLines w:val="0"/>
        <w:pageBreakBefore w:val="0"/>
        <w:kinsoku/>
        <w:wordWrap/>
        <w:overflowPunct/>
        <w:topLinePunct w:val="0"/>
        <w:bidi w:val="0"/>
        <w:snapToGrid/>
        <w:spacing w:line="600" w:lineRule="exact"/>
        <w:ind w:firstLine="602" w:firstLineChars="200"/>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十二、关于国有资产占用情况说明</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截至2020年12月31日，本单位共有车辆</w:t>
      </w:r>
      <w:r>
        <w:rPr>
          <w:rFonts w:hint="default" w:ascii="仿宋" w:hAnsi="仿宋" w:eastAsia="仿宋" w:cs="仿宋"/>
          <w:color w:val="auto"/>
          <w:sz w:val="30"/>
          <w:szCs w:val="30"/>
        </w:rPr>
        <w:t>0</w:t>
      </w:r>
      <w:r>
        <w:rPr>
          <w:rFonts w:hint="eastAsia" w:ascii="仿宋" w:hAnsi="仿宋" w:eastAsia="仿宋" w:cs="仿宋"/>
          <w:color w:val="auto"/>
          <w:sz w:val="30"/>
          <w:szCs w:val="30"/>
        </w:rPr>
        <w:t>辆，其中，主要领导干部用车</w:t>
      </w:r>
      <w:r>
        <w:rPr>
          <w:rFonts w:hint="default" w:ascii="仿宋" w:hAnsi="仿宋" w:eastAsia="仿宋" w:cs="仿宋"/>
          <w:color w:val="auto"/>
          <w:sz w:val="30"/>
          <w:szCs w:val="30"/>
        </w:rPr>
        <w:t>0</w:t>
      </w:r>
      <w:r>
        <w:rPr>
          <w:rFonts w:hint="eastAsia" w:ascii="仿宋" w:hAnsi="仿宋" w:eastAsia="仿宋" w:cs="仿宋"/>
          <w:color w:val="auto"/>
          <w:sz w:val="30"/>
          <w:szCs w:val="30"/>
        </w:rPr>
        <w:t>辆，机要通信用车</w:t>
      </w:r>
      <w:r>
        <w:rPr>
          <w:rFonts w:hint="default" w:ascii="仿宋" w:hAnsi="仿宋" w:eastAsia="仿宋" w:cs="仿宋"/>
          <w:color w:val="auto"/>
          <w:sz w:val="30"/>
          <w:szCs w:val="30"/>
        </w:rPr>
        <w:t>0</w:t>
      </w:r>
      <w:r>
        <w:rPr>
          <w:rFonts w:hint="eastAsia" w:ascii="仿宋" w:hAnsi="仿宋" w:eastAsia="仿宋" w:cs="仿宋"/>
          <w:color w:val="auto"/>
          <w:sz w:val="30"/>
          <w:szCs w:val="30"/>
        </w:rPr>
        <w:t>辆、应急保障用车</w:t>
      </w:r>
      <w:r>
        <w:rPr>
          <w:rFonts w:hint="default" w:ascii="仿宋" w:hAnsi="仿宋" w:eastAsia="仿宋" w:cs="仿宋"/>
          <w:color w:val="auto"/>
          <w:sz w:val="30"/>
          <w:szCs w:val="30"/>
        </w:rPr>
        <w:t>0</w:t>
      </w:r>
      <w:r>
        <w:rPr>
          <w:rFonts w:hint="eastAsia" w:ascii="仿宋" w:hAnsi="仿宋" w:eastAsia="仿宋" w:cs="仿宋"/>
          <w:color w:val="auto"/>
          <w:sz w:val="30"/>
          <w:szCs w:val="30"/>
        </w:rPr>
        <w:t>辆、执法执勤用车</w:t>
      </w:r>
      <w:r>
        <w:rPr>
          <w:rFonts w:hint="default" w:ascii="仿宋" w:hAnsi="仿宋" w:eastAsia="仿宋" w:cs="仿宋"/>
          <w:color w:val="auto"/>
          <w:sz w:val="30"/>
          <w:szCs w:val="30"/>
        </w:rPr>
        <w:t>0</w:t>
      </w:r>
      <w:r>
        <w:rPr>
          <w:rFonts w:hint="eastAsia" w:ascii="仿宋" w:hAnsi="仿宋" w:eastAsia="仿宋" w:cs="仿宋"/>
          <w:color w:val="auto"/>
          <w:sz w:val="30"/>
          <w:szCs w:val="30"/>
        </w:rPr>
        <w:t>辆、特种专业技术用车</w:t>
      </w:r>
      <w:r>
        <w:rPr>
          <w:rFonts w:hint="default" w:ascii="仿宋" w:hAnsi="仿宋" w:eastAsia="仿宋" w:cs="仿宋"/>
          <w:color w:val="auto"/>
          <w:sz w:val="30"/>
          <w:szCs w:val="30"/>
        </w:rPr>
        <w:t>0</w:t>
      </w:r>
      <w:r>
        <w:rPr>
          <w:rFonts w:hint="eastAsia" w:ascii="仿宋" w:hAnsi="仿宋" w:eastAsia="仿宋" w:cs="仿宋"/>
          <w:color w:val="auto"/>
          <w:sz w:val="30"/>
          <w:szCs w:val="30"/>
        </w:rPr>
        <w:t>辆、其他用车</w:t>
      </w:r>
      <w:r>
        <w:rPr>
          <w:rFonts w:hint="default" w:ascii="仿宋" w:hAnsi="仿宋" w:eastAsia="仿宋" w:cs="仿宋"/>
          <w:color w:val="auto"/>
          <w:sz w:val="30"/>
          <w:szCs w:val="30"/>
        </w:rPr>
        <w:t>0</w:t>
      </w:r>
      <w:r>
        <w:rPr>
          <w:rFonts w:hint="eastAsia" w:ascii="仿宋" w:hAnsi="仿宋" w:eastAsia="仿宋" w:cs="仿宋"/>
          <w:color w:val="auto"/>
          <w:sz w:val="30"/>
          <w:szCs w:val="30"/>
        </w:rPr>
        <w:t>辆，单位价值50万元以上通用设备</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台（套）；单位价值100万元以上专用设备</w:t>
      </w:r>
      <w:r>
        <w:rPr>
          <w:rFonts w:hint="default" w:ascii="仿宋" w:hAnsi="仿宋" w:eastAsia="仿宋" w:cs="仿宋"/>
          <w:color w:val="auto"/>
          <w:sz w:val="30"/>
          <w:szCs w:val="30"/>
        </w:rPr>
        <w:t>0</w:t>
      </w:r>
      <w:r>
        <w:rPr>
          <w:rFonts w:hint="eastAsia" w:ascii="仿宋" w:hAnsi="仿宋" w:eastAsia="仿宋" w:cs="仿宋"/>
          <w:color w:val="auto"/>
          <w:sz w:val="30"/>
          <w:szCs w:val="30"/>
        </w:rPr>
        <w:t>台（套）。</w:t>
      </w:r>
    </w:p>
    <w:p>
      <w:pPr>
        <w:pStyle w:val="10"/>
        <w:numPr>
          <w:ilvl w:val="0"/>
          <w:numId w:val="0"/>
        </w:numPr>
        <w:ind w:firstLine="602" w:firstLineChars="200"/>
        <w:rPr>
          <w:rFonts w:hint="eastAsia" w:ascii="宋体" w:hAnsi="宋体" w:eastAsia="宋体" w:cs="宋体"/>
          <w:b/>
          <w:bCs w:val="0"/>
          <w:color w:val="auto"/>
          <w:sz w:val="30"/>
          <w:szCs w:val="30"/>
        </w:rPr>
      </w:pPr>
      <w:r>
        <w:rPr>
          <w:rFonts w:hint="eastAsia" w:ascii="宋体" w:hAnsi="宋体" w:eastAsia="宋体" w:cs="宋体"/>
          <w:b/>
          <w:bCs w:val="0"/>
          <w:color w:val="auto"/>
          <w:sz w:val="30"/>
          <w:szCs w:val="30"/>
        </w:rPr>
        <w:t>十三、关于2020年度</w:t>
      </w:r>
      <w:r>
        <w:rPr>
          <w:rFonts w:hint="eastAsia" w:ascii="宋体" w:hAnsi="宋体" w:eastAsia="宋体" w:cs="宋体"/>
          <w:b/>
          <w:bCs w:val="0"/>
          <w:color w:val="auto"/>
          <w:sz w:val="30"/>
          <w:szCs w:val="30"/>
          <w:lang w:eastAsia="zh-CN"/>
        </w:rPr>
        <w:t>重点项目评价结果等</w:t>
      </w:r>
      <w:r>
        <w:rPr>
          <w:rFonts w:hint="eastAsia" w:ascii="宋体" w:hAnsi="宋体" w:eastAsia="宋体" w:cs="宋体"/>
          <w:b/>
          <w:bCs w:val="0"/>
          <w:color w:val="auto"/>
          <w:sz w:val="30"/>
          <w:szCs w:val="30"/>
        </w:rPr>
        <w:t>预算绩效情况的说明</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sz w:val="30"/>
          <w:szCs w:val="30"/>
        </w:rPr>
        <w:t>本部门预算绩效管理开展情况、绩效目标和绩效评价报告</w:t>
      </w:r>
      <w:r>
        <w:rPr>
          <w:rFonts w:hint="eastAsia" w:ascii="仿宋" w:hAnsi="仿宋" w:eastAsia="仿宋" w:cs="仿宋"/>
          <w:color w:val="auto"/>
          <w:sz w:val="30"/>
          <w:szCs w:val="30"/>
          <w:lang w:eastAsia="zh-CN"/>
        </w:rPr>
        <w:t>。</w:t>
      </w:r>
      <w:r>
        <w:rPr>
          <w:rFonts w:hint="eastAsia" w:ascii="仿宋" w:hAnsi="仿宋" w:eastAsia="仿宋" w:cs="仿宋"/>
          <w:color w:val="auto"/>
          <w:kern w:val="0"/>
          <w:sz w:val="30"/>
          <w:szCs w:val="30"/>
          <w:lang w:val="en-US" w:eastAsia="zh-CN"/>
        </w:rPr>
        <w:t>2020年度</w:t>
      </w:r>
      <w:r>
        <w:rPr>
          <w:rFonts w:hint="eastAsia" w:ascii="仿宋" w:hAnsi="仿宋" w:eastAsia="仿宋" w:cs="仿宋"/>
          <w:color w:val="auto"/>
          <w:kern w:val="0"/>
          <w:sz w:val="30"/>
          <w:szCs w:val="30"/>
          <w:lang w:eastAsia="zh-CN"/>
        </w:rPr>
        <w:t>我单位</w:t>
      </w:r>
      <w:r>
        <w:rPr>
          <w:rFonts w:hint="eastAsia" w:ascii="仿宋" w:hAnsi="仿宋" w:eastAsia="仿宋" w:cs="仿宋"/>
          <w:color w:val="auto"/>
          <w:kern w:val="0"/>
          <w:sz w:val="30"/>
          <w:szCs w:val="30"/>
          <w:lang w:val="en-US" w:eastAsia="zh-CN"/>
        </w:rPr>
        <w:t>重点项目预决算收入支出0万元。</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为进一步规范和加强预算管理，强化支出责任，提高资金使用效益，建立健全预算绩效管理机制，根据财政相关文件精神，我社继续积极稳妥推进预算绩效管理工作。</w:t>
      </w:r>
    </w:p>
    <w:p>
      <w:pPr>
        <w:keepNext w:val="0"/>
        <w:keepLines w:val="0"/>
        <w:pageBreakBefore w:val="0"/>
        <w:widowControl/>
        <w:kinsoku/>
        <w:wordWrap/>
        <w:overflowPunct/>
        <w:topLinePunct w:val="0"/>
        <w:bidi w:val="0"/>
        <w:snapToGrid/>
        <w:spacing w:line="600" w:lineRule="exact"/>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建立健全工作机制。为了顺利推进预算绩效管理工作实施，建立了相应的工作机制和操作规程。在具体实施中，做好预算支出绩效考评相关政策的制定工作，跟踪了解项目绩效考评工作实施情况，做好项目绩效考评经验总结及交流宣传工作，探索绩效考评结果公示及应用机制，做好相关科室、单位间的协调工作。</w:t>
      </w:r>
    </w:p>
    <w:p>
      <w:pPr>
        <w:keepNext w:val="0"/>
        <w:keepLines w:val="0"/>
        <w:pageBreakBefore w:val="0"/>
        <w:widowControl/>
        <w:kinsoku/>
        <w:wordWrap/>
        <w:overflowPunct/>
        <w:topLinePunct w:val="0"/>
        <w:bidi w:val="0"/>
        <w:snapToGrid/>
        <w:spacing w:line="600" w:lineRule="exact"/>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（2）加强完善制度建设。我社</w:t>
      </w:r>
      <w:r>
        <w:rPr>
          <w:rFonts w:hint="eastAsia" w:ascii="仿宋" w:hAnsi="仿宋" w:eastAsia="仿宋" w:cs="仿宋"/>
          <w:color w:val="auto"/>
          <w:kern w:val="0"/>
          <w:sz w:val="30"/>
          <w:szCs w:val="30"/>
          <w:lang w:eastAsia="zh-CN"/>
        </w:rPr>
        <w:t>制定</w:t>
      </w:r>
      <w:r>
        <w:rPr>
          <w:rFonts w:hint="eastAsia" w:ascii="仿宋" w:hAnsi="仿宋" w:eastAsia="仿宋" w:cs="仿宋"/>
          <w:color w:val="auto"/>
          <w:kern w:val="0"/>
          <w:sz w:val="30"/>
          <w:szCs w:val="30"/>
        </w:rPr>
        <w:t>了</w:t>
      </w:r>
      <w:r>
        <w:rPr>
          <w:rFonts w:hint="eastAsia" w:ascii="仿宋" w:hAnsi="仿宋" w:eastAsia="仿宋" w:cs="仿宋"/>
          <w:color w:val="auto"/>
          <w:kern w:val="0"/>
          <w:sz w:val="30"/>
          <w:szCs w:val="30"/>
        </w:rPr>
        <w:t>《永州市供销合作联社财务管理</w:t>
      </w:r>
      <w:r>
        <w:rPr>
          <w:rFonts w:hint="eastAsia" w:ascii="仿宋" w:hAnsi="仿宋" w:eastAsia="仿宋" w:cs="仿宋"/>
          <w:color w:val="auto"/>
          <w:kern w:val="0"/>
          <w:sz w:val="30"/>
          <w:szCs w:val="30"/>
          <w:lang w:eastAsia="zh-CN"/>
        </w:rPr>
        <w:t>制度</w:t>
      </w: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rPr>
        <w:t>，并结合当年预算绩效管理目标任务，从预算编制源头抓起，进一步落实，不论参评项目涉及资金多少，都要求立项依据充分、与民生保障和社会发展密切相关、能充分体现部门履行职能的项目要求编制项目绩效目标，进一步强化预算绩效意识和支出责任，加快构建“预算编制有目标、预算执行有监控、预算完成有评价、评价结果有反馈、反馈结果有运用”的预算绩效管理机制。</w:t>
      </w:r>
    </w:p>
    <w:p>
      <w:pPr>
        <w:keepNext w:val="0"/>
        <w:keepLines w:val="0"/>
        <w:pageBreakBefore w:val="0"/>
        <w:widowControl/>
        <w:kinsoku/>
        <w:wordWrap/>
        <w:overflowPunct/>
        <w:topLinePunct w:val="0"/>
        <w:bidi w:val="0"/>
        <w:snapToGrid/>
        <w:spacing w:line="600" w:lineRule="exact"/>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20</w:t>
      </w:r>
      <w:r>
        <w:rPr>
          <w:rFonts w:hint="eastAsia" w:ascii="仿宋" w:hAnsi="仿宋" w:eastAsia="仿宋" w:cs="仿宋"/>
          <w:color w:val="auto"/>
          <w:kern w:val="0"/>
          <w:sz w:val="30"/>
          <w:szCs w:val="30"/>
          <w:lang w:val="en-US" w:eastAsia="zh-CN"/>
        </w:rPr>
        <w:t>20</w:t>
      </w:r>
      <w:r>
        <w:rPr>
          <w:rFonts w:hint="eastAsia" w:ascii="仿宋" w:hAnsi="仿宋" w:eastAsia="仿宋" w:cs="仿宋"/>
          <w:color w:val="auto"/>
          <w:kern w:val="0"/>
          <w:sz w:val="30"/>
          <w:szCs w:val="30"/>
        </w:rPr>
        <w:t>年，我单位根据全年工作实际，结合年初制定的绩效目标，对部门整体支出进行了绩效评价，并按要求进行了公开。</w:t>
      </w:r>
      <w:r>
        <w:rPr>
          <w:rFonts w:hint="eastAsia" w:ascii="仿宋" w:hAnsi="仿宋" w:eastAsia="仿宋" w:cs="仿宋"/>
          <w:color w:val="auto"/>
          <w:kern w:val="0"/>
          <w:sz w:val="30"/>
          <w:szCs w:val="30"/>
          <w:lang w:eastAsia="zh-CN"/>
        </w:rPr>
        <w:t>（详见第五部分附件）</w:t>
      </w:r>
    </w:p>
    <w:p>
      <w:pPr>
        <w:pStyle w:val="10"/>
        <w:ind w:firstLine="640" w:firstLineChars="200"/>
        <w:rPr>
          <w:rFonts w:hint="eastAsia" w:asciiTheme="minorEastAsia" w:hAnsiTheme="minorEastAsia" w:eastAsiaTheme="minorEastAsia"/>
          <w:color w:val="auto"/>
          <w:sz w:val="32"/>
          <w:szCs w:val="32"/>
          <w:lang w:eastAsia="zh-CN"/>
        </w:rPr>
      </w:pPr>
    </w:p>
    <w:p>
      <w:pPr>
        <w:pStyle w:val="10"/>
        <w:rPr>
          <w:rFonts w:hAnsi="黑体"/>
          <w:b/>
          <w:color w:val="auto"/>
          <w:sz w:val="32"/>
          <w:szCs w:val="3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rFonts w:hint="eastAsia"/>
          <w:color w:val="auto"/>
          <w:sz w:val="84"/>
          <w:szCs w:val="84"/>
        </w:rPr>
      </w:pPr>
    </w:p>
    <w:p>
      <w:pPr>
        <w:pStyle w:val="10"/>
        <w:jc w:val="center"/>
        <w:rPr>
          <w:rFonts w:hint="eastAsia"/>
          <w:color w:val="auto"/>
          <w:sz w:val="84"/>
          <w:szCs w:val="84"/>
        </w:rPr>
      </w:pPr>
    </w:p>
    <w:p>
      <w:pPr>
        <w:pStyle w:val="10"/>
        <w:jc w:val="center"/>
        <w:rPr>
          <w:rFonts w:hint="eastAsia"/>
          <w:color w:val="auto"/>
          <w:sz w:val="84"/>
          <w:szCs w:val="84"/>
        </w:rPr>
      </w:pPr>
    </w:p>
    <w:p>
      <w:pPr>
        <w:pStyle w:val="10"/>
        <w:jc w:val="center"/>
        <w:rPr>
          <w:color w:val="auto"/>
          <w:sz w:val="84"/>
          <w:szCs w:val="84"/>
        </w:rPr>
      </w:pPr>
      <w:r>
        <w:rPr>
          <w:rFonts w:hint="eastAsia"/>
          <w:color w:val="auto"/>
          <w:sz w:val="84"/>
          <w:szCs w:val="84"/>
        </w:rPr>
        <w:t>第四部分</w:t>
      </w:r>
    </w:p>
    <w:p>
      <w:pPr>
        <w:ind w:firstLine="2520" w:firstLineChars="300"/>
        <w:jc w:val="both"/>
        <w:rPr>
          <w:rFonts w:hint="eastAsia" w:ascii="黑体" w:eastAsia="黑体" w:cs="黑体"/>
          <w:color w:val="auto"/>
          <w:kern w:val="0"/>
          <w:sz w:val="84"/>
          <w:szCs w:val="84"/>
        </w:rPr>
      </w:pPr>
    </w:p>
    <w:p>
      <w:pPr>
        <w:jc w:val="center"/>
        <w:rPr>
          <w:rFonts w:ascii="黑体" w:eastAsia="黑体" w:cs="黑体"/>
          <w:color w:val="auto"/>
          <w:kern w:val="0"/>
          <w:sz w:val="72"/>
          <w:szCs w:val="72"/>
        </w:rPr>
      </w:pPr>
      <w:r>
        <w:rPr>
          <w:rFonts w:hint="eastAsia" w:ascii="黑体" w:eastAsia="黑体" w:cs="黑体"/>
          <w:color w:val="auto"/>
          <w:kern w:val="0"/>
          <w:sz w:val="84"/>
          <w:szCs w:val="84"/>
        </w:rPr>
        <w:t>名词解释</w:t>
      </w:r>
    </w:p>
    <w:p>
      <w:pPr>
        <w:widowControl/>
        <w:jc w:val="left"/>
        <w:rPr>
          <w:rFonts w:ascii="黑体" w:eastAsia="黑体" w:cs="黑体"/>
          <w:color w:val="auto"/>
          <w:kern w:val="0"/>
          <w:sz w:val="70"/>
          <w:szCs w:val="70"/>
        </w:rPr>
      </w:pPr>
      <w:r>
        <w:rPr>
          <w:rFonts w:ascii="黑体" w:eastAsia="黑体" w:cs="黑体"/>
          <w:color w:val="auto"/>
          <w:kern w:val="0"/>
          <w:sz w:val="70"/>
          <w:szCs w:val="70"/>
        </w:rPr>
        <w:br w:type="page"/>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hint="eastAsia" w:ascii="仿宋" w:hAnsi="仿宋" w:eastAsia="仿宋" w:cs="仿宋"/>
          <w:color w:val="auto"/>
          <w:kern w:val="2"/>
          <w:sz w:val="30"/>
          <w:szCs w:val="30"/>
          <w:lang w:val="en-US" w:eastAsia="zh-CN" w:bidi="ar-SA"/>
        </w:rPr>
      </w:pPr>
      <w:r>
        <w:rPr>
          <w:rFonts w:hint="eastAsia" w:ascii="宋体" w:hAnsi="宋体" w:eastAsia="宋体" w:cs="宋体"/>
          <w:b/>
          <w:bCs/>
          <w:color w:val="auto"/>
          <w:kern w:val="2"/>
          <w:sz w:val="30"/>
          <w:szCs w:val="30"/>
          <w:lang w:val="en-US" w:eastAsia="zh-CN" w:bidi="ar-SA"/>
        </w:rPr>
        <w:t>一、财政拨款收入：</w:t>
      </w:r>
      <w:r>
        <w:rPr>
          <w:rFonts w:hint="eastAsia" w:ascii="仿宋" w:hAnsi="仿宋" w:eastAsia="仿宋" w:cs="仿宋"/>
          <w:color w:val="auto"/>
          <w:kern w:val="2"/>
          <w:sz w:val="30"/>
          <w:szCs w:val="30"/>
          <w:lang w:val="en-US" w:eastAsia="zh-CN" w:bidi="ar-SA"/>
        </w:rPr>
        <w:t>指财政当年拨付的资金。包括一般公共预算财政拨款和政府性基金预算财政拨款。</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hint="eastAsia" w:ascii="仿宋" w:hAnsi="仿宋" w:eastAsia="仿宋" w:cs="仿宋"/>
          <w:color w:val="auto"/>
          <w:kern w:val="2"/>
          <w:sz w:val="30"/>
          <w:szCs w:val="30"/>
          <w:lang w:val="en-US" w:eastAsia="zh-CN" w:bidi="ar-SA"/>
        </w:rPr>
      </w:pPr>
      <w:r>
        <w:rPr>
          <w:rFonts w:hint="eastAsia" w:ascii="宋体" w:hAnsi="宋体" w:eastAsia="宋体" w:cs="宋体"/>
          <w:b/>
          <w:bCs/>
          <w:color w:val="auto"/>
          <w:kern w:val="2"/>
          <w:sz w:val="30"/>
          <w:szCs w:val="30"/>
          <w:lang w:val="en-US" w:eastAsia="zh-CN" w:bidi="ar-SA"/>
        </w:rPr>
        <w:t>二、上级补助收入：</w:t>
      </w:r>
      <w:r>
        <w:rPr>
          <w:rFonts w:hint="eastAsia" w:ascii="仿宋" w:hAnsi="仿宋" w:eastAsia="仿宋" w:cs="仿宋"/>
          <w:color w:val="auto"/>
          <w:kern w:val="2"/>
          <w:sz w:val="30"/>
          <w:szCs w:val="30"/>
          <w:lang w:val="en-US" w:eastAsia="zh-CN" w:bidi="ar-SA"/>
        </w:rPr>
        <w:t xml:space="preserve">指事业单位从主管部门和上级单位取得的非财政补助收入。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hint="eastAsia" w:ascii="仿宋" w:hAnsi="仿宋" w:eastAsia="仿宋" w:cs="仿宋"/>
          <w:color w:val="auto"/>
          <w:kern w:val="2"/>
          <w:sz w:val="30"/>
          <w:szCs w:val="30"/>
          <w:lang w:val="en-US" w:eastAsia="zh-CN" w:bidi="ar-SA"/>
        </w:rPr>
      </w:pPr>
      <w:r>
        <w:rPr>
          <w:rFonts w:hint="eastAsia" w:ascii="宋体" w:hAnsi="宋体" w:eastAsia="宋体" w:cs="宋体"/>
          <w:b/>
          <w:bCs/>
          <w:color w:val="auto"/>
          <w:kern w:val="2"/>
          <w:sz w:val="30"/>
          <w:szCs w:val="30"/>
          <w:lang w:val="en-US" w:eastAsia="zh-CN" w:bidi="ar-SA"/>
        </w:rPr>
        <w:t>三、事业收入：</w:t>
      </w:r>
      <w:r>
        <w:rPr>
          <w:rFonts w:hint="eastAsia" w:ascii="仿宋" w:hAnsi="仿宋" w:eastAsia="仿宋" w:cs="仿宋"/>
          <w:color w:val="auto"/>
          <w:kern w:val="2"/>
          <w:sz w:val="30"/>
          <w:szCs w:val="30"/>
          <w:lang w:val="en-US" w:eastAsia="zh-CN" w:bidi="ar-SA"/>
        </w:rPr>
        <w:t xml:space="preserve">指事业单位开展专业业务活动及辅助活动所取得的收入。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hint="eastAsia" w:ascii="仿宋" w:hAnsi="仿宋" w:eastAsia="仿宋" w:cs="仿宋"/>
          <w:color w:val="auto"/>
          <w:kern w:val="2"/>
          <w:sz w:val="30"/>
          <w:szCs w:val="30"/>
          <w:lang w:val="en-US" w:eastAsia="zh-CN" w:bidi="ar-SA"/>
        </w:rPr>
      </w:pPr>
      <w:r>
        <w:rPr>
          <w:rFonts w:hint="eastAsia" w:ascii="宋体" w:hAnsi="宋体" w:eastAsia="宋体" w:cs="宋体"/>
          <w:b/>
          <w:bCs/>
          <w:color w:val="auto"/>
          <w:kern w:val="2"/>
          <w:sz w:val="30"/>
          <w:szCs w:val="30"/>
          <w:lang w:val="en-US" w:eastAsia="zh-CN" w:bidi="ar-SA"/>
        </w:rPr>
        <w:t>四、经营收入：</w:t>
      </w:r>
      <w:r>
        <w:rPr>
          <w:rFonts w:hint="eastAsia" w:ascii="仿宋" w:hAnsi="仿宋" w:eastAsia="仿宋" w:cs="仿宋"/>
          <w:color w:val="auto"/>
          <w:kern w:val="2"/>
          <w:sz w:val="30"/>
          <w:szCs w:val="30"/>
          <w:lang w:val="en-US" w:eastAsia="zh-CN" w:bidi="ar-SA"/>
        </w:rPr>
        <w:t xml:space="preserve">指事业单位在专业业务活动及其辅助活动之外开展非独立核算经营活动取得的收入。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hint="eastAsia" w:ascii="仿宋" w:hAnsi="仿宋" w:eastAsia="仿宋" w:cs="仿宋"/>
          <w:color w:val="auto"/>
          <w:kern w:val="2"/>
          <w:sz w:val="30"/>
          <w:szCs w:val="30"/>
          <w:lang w:val="en-US" w:eastAsia="zh-CN" w:bidi="ar-SA"/>
        </w:rPr>
      </w:pPr>
      <w:r>
        <w:rPr>
          <w:rFonts w:hint="eastAsia" w:ascii="宋体" w:hAnsi="宋体" w:eastAsia="宋体" w:cs="宋体"/>
          <w:b/>
          <w:bCs/>
          <w:color w:val="auto"/>
          <w:kern w:val="2"/>
          <w:sz w:val="30"/>
          <w:szCs w:val="30"/>
          <w:lang w:val="en-US" w:eastAsia="zh-CN" w:bidi="ar-SA"/>
        </w:rPr>
        <w:t>五、附属单位上缴收入</w:t>
      </w:r>
      <w:r>
        <w:rPr>
          <w:rFonts w:hint="eastAsia" w:ascii="仿宋" w:hAnsi="仿宋" w:eastAsia="仿宋" w:cs="仿宋"/>
          <w:color w:val="auto"/>
          <w:kern w:val="2"/>
          <w:sz w:val="30"/>
          <w:szCs w:val="30"/>
          <w:lang w:val="en-US" w:eastAsia="zh-CN" w:bidi="ar-SA"/>
        </w:rPr>
        <w:t xml:space="preserve">：指事业单位附属独立核算单位按照有关规定上缴的收入。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hint="eastAsia" w:ascii="仿宋" w:hAnsi="仿宋" w:eastAsia="仿宋" w:cs="仿宋"/>
          <w:color w:val="auto"/>
          <w:kern w:val="2"/>
          <w:sz w:val="30"/>
          <w:szCs w:val="30"/>
          <w:lang w:val="en-US" w:eastAsia="zh-CN" w:bidi="ar-SA"/>
        </w:rPr>
      </w:pPr>
      <w:r>
        <w:rPr>
          <w:rFonts w:hint="eastAsia" w:ascii="宋体" w:hAnsi="宋体" w:eastAsia="宋体" w:cs="宋体"/>
          <w:b/>
          <w:bCs/>
          <w:color w:val="auto"/>
          <w:kern w:val="2"/>
          <w:sz w:val="30"/>
          <w:szCs w:val="30"/>
          <w:lang w:val="en-US" w:eastAsia="zh-CN" w:bidi="ar-SA"/>
        </w:rPr>
        <w:t>六、其他收入：</w:t>
      </w:r>
      <w:r>
        <w:rPr>
          <w:rFonts w:hint="eastAsia" w:ascii="仿宋" w:hAnsi="仿宋" w:eastAsia="仿宋" w:cs="仿宋"/>
          <w:color w:val="auto"/>
          <w:kern w:val="2"/>
          <w:sz w:val="30"/>
          <w:szCs w:val="30"/>
          <w:lang w:val="en-US" w:eastAsia="zh-CN" w:bidi="ar-SA"/>
        </w:rPr>
        <w:t xml:space="preserve">指除上述“财政拨款收入”、“事业收入”、“经营收入”等以外的收入。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hint="eastAsia" w:ascii="仿宋" w:hAnsi="仿宋" w:eastAsia="仿宋" w:cs="仿宋"/>
          <w:color w:val="auto"/>
          <w:kern w:val="2"/>
          <w:sz w:val="30"/>
          <w:szCs w:val="30"/>
          <w:lang w:val="en-US" w:eastAsia="zh-CN" w:bidi="ar-SA"/>
        </w:rPr>
      </w:pPr>
      <w:r>
        <w:rPr>
          <w:rFonts w:hint="eastAsia" w:ascii="宋体" w:hAnsi="宋体" w:eastAsia="宋体" w:cs="宋体"/>
          <w:b/>
          <w:bCs/>
          <w:color w:val="auto"/>
          <w:kern w:val="2"/>
          <w:sz w:val="30"/>
          <w:szCs w:val="30"/>
          <w:lang w:val="en-US" w:eastAsia="zh-CN" w:bidi="ar-SA"/>
        </w:rPr>
        <w:t>七、基本支出：</w:t>
      </w:r>
      <w:r>
        <w:rPr>
          <w:rFonts w:hint="eastAsia" w:ascii="仿宋" w:hAnsi="仿宋" w:eastAsia="仿宋" w:cs="仿宋"/>
          <w:color w:val="auto"/>
          <w:kern w:val="2"/>
          <w:sz w:val="30"/>
          <w:szCs w:val="30"/>
          <w:lang w:val="en-US" w:eastAsia="zh-CN" w:bidi="ar-SA"/>
        </w:rPr>
        <w:t>指为保障机构正常运转、完成日常工作任务而发生的各项支出，包括人员支出和公用支出。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hint="eastAsia" w:ascii="仿宋" w:hAnsi="仿宋" w:eastAsia="仿宋" w:cs="仿宋"/>
          <w:color w:val="auto"/>
          <w:kern w:val="2"/>
          <w:sz w:val="30"/>
          <w:szCs w:val="30"/>
          <w:lang w:val="en-US" w:eastAsia="zh-CN" w:bidi="ar-SA"/>
        </w:rPr>
      </w:pPr>
      <w:r>
        <w:rPr>
          <w:rFonts w:hint="eastAsia" w:ascii="宋体" w:hAnsi="宋体" w:eastAsia="宋体" w:cs="宋体"/>
          <w:b/>
          <w:bCs/>
          <w:color w:val="auto"/>
          <w:kern w:val="2"/>
          <w:sz w:val="30"/>
          <w:szCs w:val="30"/>
          <w:lang w:val="en-US" w:eastAsia="zh-CN" w:bidi="ar-SA"/>
        </w:rPr>
        <w:t>八、项目支出：</w:t>
      </w:r>
      <w:r>
        <w:rPr>
          <w:rFonts w:hint="eastAsia" w:ascii="仿宋" w:hAnsi="仿宋" w:eastAsia="仿宋" w:cs="仿宋"/>
          <w:color w:val="auto"/>
          <w:kern w:val="2"/>
          <w:sz w:val="30"/>
          <w:szCs w:val="30"/>
          <w:lang w:val="en-US" w:eastAsia="zh-CN" w:bidi="ar-SA"/>
        </w:rPr>
        <w:t>指在基本支出以外为完成相关行政任务和事业发展目标所发生的各项支出。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hint="eastAsia" w:ascii="仿宋" w:hAnsi="仿宋" w:eastAsia="仿宋" w:cs="仿宋"/>
          <w:color w:val="auto"/>
          <w:kern w:val="2"/>
          <w:sz w:val="30"/>
          <w:szCs w:val="30"/>
          <w:lang w:val="en-US" w:eastAsia="zh-CN" w:bidi="ar-SA"/>
        </w:rPr>
      </w:pPr>
      <w:r>
        <w:rPr>
          <w:rFonts w:hint="eastAsia" w:ascii="宋体" w:hAnsi="宋体" w:eastAsia="宋体" w:cs="宋体"/>
          <w:b/>
          <w:bCs/>
          <w:color w:val="auto"/>
          <w:kern w:val="2"/>
          <w:sz w:val="30"/>
          <w:szCs w:val="30"/>
          <w:lang w:val="en-US" w:eastAsia="zh-CN" w:bidi="ar-SA"/>
        </w:rPr>
        <w:t>九、“三公”经费：</w:t>
      </w:r>
      <w:r>
        <w:rPr>
          <w:rFonts w:hint="eastAsia" w:ascii="仿宋" w:hAnsi="仿宋" w:eastAsia="仿宋" w:cs="仿宋"/>
          <w:color w:val="auto"/>
          <w:kern w:val="2"/>
          <w:sz w:val="30"/>
          <w:szCs w:val="30"/>
          <w:lang w:val="en-US" w:eastAsia="zh-CN" w:bidi="ar-SA"/>
        </w:rPr>
        <w:t>指通过财政拨款资金安排的因公出国（境）费、公务用车购置及运行费和公务接待费支出。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hint="eastAsia" w:asciiTheme="minorEastAsia" w:hAnsiTheme="minorEastAsia" w:eastAsiaTheme="minorEastAsia" w:cstheme="minorEastAsia"/>
          <w:color w:val="auto"/>
          <w:kern w:val="2"/>
          <w:sz w:val="32"/>
          <w:szCs w:val="32"/>
          <w:lang w:val="en-US" w:eastAsia="zh-CN" w:bidi="ar-SA"/>
        </w:rPr>
      </w:pPr>
      <w:r>
        <w:rPr>
          <w:rFonts w:hint="eastAsia" w:ascii="宋体" w:hAnsi="宋体" w:eastAsia="宋体" w:cs="宋体"/>
          <w:b/>
          <w:bCs/>
          <w:color w:val="auto"/>
          <w:kern w:val="2"/>
          <w:sz w:val="30"/>
          <w:szCs w:val="30"/>
          <w:lang w:val="en-US" w:eastAsia="zh-CN" w:bidi="ar-SA"/>
        </w:rPr>
        <w:t>十、机关运行经费：</w:t>
      </w:r>
      <w:r>
        <w:rPr>
          <w:rFonts w:hint="eastAsia" w:ascii="仿宋" w:hAnsi="仿宋" w:eastAsia="仿宋" w:cs="仿宋"/>
          <w:color w:val="auto"/>
          <w:kern w:val="2"/>
          <w:sz w:val="30"/>
          <w:szCs w:val="30"/>
          <w:lang w:val="en-US" w:eastAsia="zh-CN" w:bidi="ar-SA"/>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rPr>
          <w:rFonts w:ascii="宋体" w:hAnsi="宋体" w:eastAsia="宋体" w:cs="宋体"/>
          <w:color w:val="auto"/>
          <w:sz w:val="24"/>
          <w:szCs w:val="24"/>
        </w:rPr>
      </w:pPr>
    </w:p>
    <w:p>
      <w:pPr>
        <w:ind w:firstLine="640" w:firstLineChars="200"/>
        <w:jc w:val="left"/>
        <w:rPr>
          <w:rFonts w:cs="黑体" w:asciiTheme="minorEastAsia" w:hAnsiTheme="minorEastAsia"/>
          <w:color w:val="auto"/>
          <w:kern w:val="0"/>
          <w:sz w:val="32"/>
          <w:szCs w:val="3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p>
    <w:p>
      <w:pPr>
        <w:pStyle w:val="10"/>
        <w:ind w:firstLine="2520" w:firstLineChars="300"/>
        <w:jc w:val="both"/>
        <w:rPr>
          <w:color w:val="auto"/>
          <w:sz w:val="84"/>
          <w:szCs w:val="84"/>
        </w:rPr>
      </w:pPr>
      <w:r>
        <w:rPr>
          <w:rFonts w:hint="eastAsia"/>
          <w:color w:val="auto"/>
          <w:sz w:val="84"/>
          <w:szCs w:val="84"/>
        </w:rPr>
        <w:t>第五部分</w:t>
      </w:r>
    </w:p>
    <w:p>
      <w:pPr>
        <w:jc w:val="center"/>
        <w:rPr>
          <w:rFonts w:ascii="黑体" w:eastAsia="黑体" w:cs="黑体"/>
          <w:color w:val="auto"/>
          <w:kern w:val="0"/>
          <w:sz w:val="84"/>
          <w:szCs w:val="84"/>
        </w:rPr>
      </w:pPr>
    </w:p>
    <w:p>
      <w:pPr>
        <w:ind w:firstLine="3360" w:firstLineChars="400"/>
        <w:jc w:val="both"/>
        <w:rPr>
          <w:rFonts w:ascii="黑体" w:eastAsia="黑体" w:cs="黑体"/>
          <w:color w:val="auto"/>
          <w:kern w:val="0"/>
          <w:sz w:val="84"/>
          <w:szCs w:val="84"/>
        </w:rPr>
      </w:pPr>
      <w:r>
        <w:rPr>
          <w:rFonts w:hint="eastAsia" w:ascii="黑体" w:eastAsia="黑体" w:cs="黑体"/>
          <w:color w:val="auto"/>
          <w:kern w:val="0"/>
          <w:sz w:val="84"/>
          <w:szCs w:val="84"/>
        </w:rPr>
        <w:t>附件</w:t>
      </w:r>
    </w:p>
    <w:p>
      <w:pPr>
        <w:widowControl/>
        <w:jc w:val="left"/>
        <w:rPr>
          <w:rFonts w:ascii="黑体" w:eastAsia="黑体" w:cs="黑体"/>
          <w:color w:val="auto"/>
          <w:kern w:val="0"/>
          <w:sz w:val="70"/>
          <w:szCs w:val="70"/>
        </w:rPr>
      </w:pPr>
      <w:r>
        <w:rPr>
          <w:rFonts w:ascii="黑体" w:eastAsia="黑体" w:cs="黑体"/>
          <w:color w:val="auto"/>
          <w:kern w:val="0"/>
          <w:sz w:val="70"/>
          <w:szCs w:val="70"/>
        </w:rPr>
        <w:br w:type="page"/>
      </w:r>
    </w:p>
    <w:p>
      <w:pPr>
        <w:keepNext w:val="0"/>
        <w:keepLines w:val="0"/>
        <w:pageBreakBefore w:val="0"/>
        <w:kinsoku/>
        <w:wordWrap/>
        <w:overflowPunct/>
        <w:topLinePunct w:val="0"/>
        <w:autoSpaceDE/>
        <w:autoSpaceDN/>
        <w:bidi w:val="0"/>
        <w:spacing w:line="600" w:lineRule="exact"/>
        <w:ind w:firstLine="2208" w:firstLineChars="500"/>
        <w:jc w:val="both"/>
        <w:textAlignment w:val="auto"/>
        <w:rPr>
          <w:rFonts w:hint="eastAsia" w:ascii="宋体" w:eastAsia="宋体"/>
          <w:b/>
          <w:color w:val="auto"/>
          <w:sz w:val="44"/>
          <w:szCs w:val="44"/>
          <w:lang w:eastAsia="zh-CN"/>
        </w:rPr>
      </w:pPr>
      <w:r>
        <w:rPr>
          <w:rFonts w:hint="eastAsia" w:ascii="宋体" w:eastAsia="宋体"/>
          <w:b/>
          <w:color w:val="auto"/>
          <w:sz w:val="44"/>
          <w:szCs w:val="44"/>
        </w:rPr>
        <w:t xml:space="preserve">永州市供销合作联社  </w:t>
      </w:r>
    </w:p>
    <w:p>
      <w:pPr>
        <w:keepNext w:val="0"/>
        <w:keepLines w:val="0"/>
        <w:pageBreakBefore w:val="0"/>
        <w:kinsoku/>
        <w:wordWrap/>
        <w:overflowPunct/>
        <w:topLinePunct w:val="0"/>
        <w:autoSpaceDE/>
        <w:autoSpaceDN/>
        <w:bidi w:val="0"/>
        <w:spacing w:line="600" w:lineRule="exact"/>
        <w:jc w:val="center"/>
        <w:textAlignment w:val="auto"/>
        <w:rPr>
          <w:rFonts w:hint="eastAsia" w:ascii="宋体" w:eastAsia="宋体"/>
          <w:color w:val="auto"/>
          <w:sz w:val="44"/>
          <w:szCs w:val="44"/>
        </w:rPr>
      </w:pPr>
      <w:r>
        <w:rPr>
          <w:rFonts w:hint="eastAsia" w:ascii="宋体" w:eastAsia="宋体"/>
          <w:b/>
          <w:color w:val="auto"/>
          <w:sz w:val="44"/>
          <w:szCs w:val="44"/>
        </w:rPr>
        <w:t>20</w:t>
      </w:r>
      <w:r>
        <w:rPr>
          <w:rFonts w:hint="eastAsia" w:ascii="宋体" w:eastAsia="宋体"/>
          <w:b/>
          <w:color w:val="auto"/>
          <w:sz w:val="44"/>
          <w:szCs w:val="44"/>
          <w:lang w:val="en-US" w:eastAsia="zh-CN"/>
        </w:rPr>
        <w:t>20</w:t>
      </w:r>
      <w:r>
        <w:rPr>
          <w:rFonts w:hint="eastAsia" w:ascii="宋体" w:eastAsia="宋体"/>
          <w:b/>
          <w:color w:val="auto"/>
          <w:sz w:val="44"/>
          <w:szCs w:val="44"/>
        </w:rPr>
        <w:t>年部门整体支出绩效评价报告</w:t>
      </w:r>
    </w:p>
    <w:p>
      <w:pPr>
        <w:keepNext w:val="0"/>
        <w:keepLines w:val="0"/>
        <w:pageBreakBefore w:val="0"/>
        <w:widowControl w:val="0"/>
        <w:kinsoku/>
        <w:wordWrap/>
        <w:overflowPunct/>
        <w:topLinePunct w:val="0"/>
        <w:autoSpaceDE/>
        <w:autoSpaceDN/>
        <w:bidi w:val="0"/>
        <w:spacing w:line="600" w:lineRule="exact"/>
        <w:ind w:firstLine="600" w:firstLineChars="200"/>
        <w:jc w:val="both"/>
        <w:textAlignment w:val="auto"/>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autoSpaceDN/>
        <w:bidi w:val="0"/>
        <w:spacing w:line="6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为充分发挥永州市供销合作联社的资金使用效率，根据《永州市预算绩效管理操作办法》</w:t>
      </w:r>
      <w:r>
        <w:rPr>
          <w:rFonts w:hint="eastAsia" w:ascii="仿宋" w:hAnsi="仿宋" w:eastAsia="仿宋" w:cs="仿宋"/>
          <w:color w:val="auto"/>
          <w:sz w:val="30"/>
          <w:szCs w:val="30"/>
          <w:lang w:eastAsia="zh-CN"/>
        </w:rPr>
        <w:t>、《</w:t>
      </w:r>
      <w:r>
        <w:rPr>
          <w:rFonts w:hint="eastAsia" w:ascii="仿宋" w:hAnsi="仿宋" w:eastAsia="仿宋" w:cs="仿宋"/>
          <w:bCs/>
          <w:color w:val="auto"/>
          <w:sz w:val="30"/>
          <w:szCs w:val="30"/>
        </w:rPr>
        <w:t>关于做好2021年预算绩效目标编审和2020年度财政支出绩效自评工作的通知</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并结合我社实际，对20</w:t>
      </w:r>
      <w:r>
        <w:rPr>
          <w:rFonts w:hint="eastAsia" w:ascii="仿宋" w:hAnsi="仿宋" w:eastAsia="仿宋" w:cs="仿宋"/>
          <w:color w:val="auto"/>
          <w:sz w:val="30"/>
          <w:szCs w:val="30"/>
          <w:lang w:val="en-US" w:eastAsia="zh-CN"/>
        </w:rPr>
        <w:t>20</w:t>
      </w:r>
      <w:r>
        <w:rPr>
          <w:rFonts w:hint="eastAsia" w:ascii="仿宋" w:hAnsi="仿宋" w:eastAsia="仿宋" w:cs="仿宋"/>
          <w:color w:val="auto"/>
          <w:sz w:val="30"/>
          <w:szCs w:val="30"/>
        </w:rPr>
        <w:t>年度永州市供销合作联社资金使用的基本情况、绩效情况、绩效评价指标分析情况等进行了分析和核实，按照评价指标和标准进行打分，现将绩效评价情况报告如下。</w:t>
      </w: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rPr>
        <w:t>一、单位概况</w:t>
      </w:r>
    </w:p>
    <w:p>
      <w:pPr>
        <w:keepNext w:val="0"/>
        <w:keepLines w:val="0"/>
        <w:pageBreakBefore w:val="0"/>
        <w:widowControl w:val="0"/>
        <w:kinsoku/>
        <w:wordWrap/>
        <w:overflowPunct/>
        <w:topLinePunct w:val="0"/>
        <w:autoSpaceDE/>
        <w:autoSpaceDN/>
        <w:bidi w:val="0"/>
        <w:snapToGrid w:val="0"/>
        <w:spacing w:line="600" w:lineRule="exact"/>
        <w:ind w:firstLine="602" w:firstLineChars="200"/>
        <w:textAlignment w:val="auto"/>
        <w:rPr>
          <w:rFonts w:hint="eastAsia" w:ascii="仿宋" w:hAnsi="仿宋" w:eastAsia="仿宋" w:cs="仿宋"/>
          <w:b/>
          <w:bCs/>
          <w:color w:val="auto"/>
          <w:sz w:val="30"/>
          <w:szCs w:val="30"/>
        </w:rPr>
      </w:pPr>
      <w:r>
        <w:rPr>
          <w:rFonts w:hint="eastAsia" w:ascii="宋体" w:hAnsi="宋体" w:eastAsia="宋体" w:cs="宋体"/>
          <w:b/>
          <w:bCs/>
          <w:color w:val="auto"/>
          <w:sz w:val="30"/>
          <w:szCs w:val="30"/>
        </w:rPr>
        <w:t>（一）基本情况</w:t>
      </w:r>
    </w:p>
    <w:p>
      <w:pPr>
        <w:keepNext w:val="0"/>
        <w:keepLines w:val="0"/>
        <w:pageBreakBefore w:val="0"/>
        <w:widowControl w:val="0"/>
        <w:kinsoku/>
        <w:wordWrap/>
        <w:overflowPunct/>
        <w:topLinePunct w:val="0"/>
        <w:autoSpaceDE/>
        <w:autoSpaceDN/>
        <w:bidi w:val="0"/>
        <w:snapToGrid w:val="0"/>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永州市供销合作联社属市财政全额预算拨款</w:t>
      </w:r>
      <w:r>
        <w:rPr>
          <w:rFonts w:hint="eastAsia" w:ascii="仿宋" w:hAnsi="仿宋" w:eastAsia="仿宋" w:cs="仿宋"/>
          <w:color w:val="auto"/>
          <w:sz w:val="30"/>
          <w:szCs w:val="30"/>
          <w:lang w:eastAsia="zh-CN"/>
        </w:rPr>
        <w:t>参公管理</w:t>
      </w:r>
      <w:r>
        <w:rPr>
          <w:rFonts w:hint="eastAsia" w:ascii="仿宋" w:hAnsi="仿宋" w:eastAsia="仿宋" w:cs="仿宋"/>
          <w:color w:val="auto"/>
          <w:sz w:val="30"/>
          <w:szCs w:val="30"/>
        </w:rPr>
        <w:t>的正处级事业单位，内设机构7个，即办公室、财会统计科、合作指导科、经贸科、监督审计科（加挂“监事会办公室”牌子）、政工科、机关党委。现有事业编制3</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人，实有在职人员</w:t>
      </w:r>
      <w:r>
        <w:rPr>
          <w:rFonts w:hint="eastAsia" w:ascii="仿宋" w:hAnsi="仿宋" w:eastAsia="仿宋" w:cs="仿宋"/>
          <w:color w:val="auto"/>
          <w:sz w:val="30"/>
          <w:szCs w:val="30"/>
          <w:lang w:val="en-US" w:eastAsia="zh-CN"/>
        </w:rPr>
        <w:t>31</w:t>
      </w:r>
      <w:r>
        <w:rPr>
          <w:rFonts w:hint="eastAsia" w:ascii="仿宋" w:hAnsi="仿宋" w:eastAsia="仿宋" w:cs="仿宋"/>
          <w:color w:val="auto"/>
          <w:sz w:val="30"/>
          <w:szCs w:val="30"/>
        </w:rPr>
        <w:t>人（其中：正副处级</w:t>
      </w:r>
      <w:r>
        <w:rPr>
          <w:rFonts w:hint="eastAsia" w:ascii="仿宋" w:hAnsi="仿宋" w:eastAsia="仿宋" w:cs="仿宋"/>
          <w:color w:val="auto"/>
          <w:sz w:val="30"/>
          <w:szCs w:val="30"/>
          <w:lang w:val="en-US" w:eastAsia="zh-CN"/>
        </w:rPr>
        <w:t>10</w:t>
      </w:r>
      <w:r>
        <w:rPr>
          <w:rFonts w:hint="eastAsia" w:ascii="仿宋" w:hAnsi="仿宋" w:eastAsia="仿宋" w:cs="仿宋"/>
          <w:color w:val="auto"/>
          <w:sz w:val="30"/>
          <w:szCs w:val="30"/>
        </w:rPr>
        <w:t>人，科级及以下人员</w:t>
      </w:r>
      <w:r>
        <w:rPr>
          <w:rFonts w:hint="eastAsia" w:ascii="仿宋" w:hAnsi="仿宋" w:eastAsia="仿宋" w:cs="仿宋"/>
          <w:color w:val="auto"/>
          <w:sz w:val="30"/>
          <w:szCs w:val="30"/>
          <w:lang w:val="en-US" w:eastAsia="zh-CN"/>
        </w:rPr>
        <w:t>21</w:t>
      </w:r>
      <w:r>
        <w:rPr>
          <w:rFonts w:hint="eastAsia" w:ascii="仿宋" w:hAnsi="仿宋" w:eastAsia="仿宋" w:cs="仿宋"/>
          <w:color w:val="auto"/>
          <w:sz w:val="30"/>
          <w:szCs w:val="30"/>
        </w:rPr>
        <w:t>人），退休</w:t>
      </w:r>
      <w:r>
        <w:rPr>
          <w:rFonts w:hint="eastAsia" w:ascii="仿宋" w:hAnsi="仿宋" w:eastAsia="仿宋" w:cs="仿宋"/>
          <w:color w:val="auto"/>
          <w:sz w:val="30"/>
          <w:szCs w:val="30"/>
          <w:lang w:val="en-US" w:eastAsia="zh-CN"/>
        </w:rPr>
        <w:t>32</w:t>
      </w:r>
      <w:r>
        <w:rPr>
          <w:rFonts w:hint="eastAsia" w:ascii="仿宋" w:hAnsi="仿宋" w:eastAsia="仿宋" w:cs="仿宋"/>
          <w:color w:val="auto"/>
          <w:sz w:val="30"/>
          <w:szCs w:val="30"/>
        </w:rPr>
        <w:t>人。</w:t>
      </w:r>
    </w:p>
    <w:p>
      <w:pPr>
        <w:keepNext w:val="0"/>
        <w:keepLines w:val="0"/>
        <w:pageBreakBefore w:val="0"/>
        <w:widowControl w:val="0"/>
        <w:kinsoku/>
        <w:wordWrap/>
        <w:overflowPunct/>
        <w:topLinePunct w:val="0"/>
        <w:autoSpaceDE/>
        <w:autoSpaceDN/>
        <w:bidi w:val="0"/>
        <w:snapToGrid w:val="0"/>
        <w:spacing w:line="600" w:lineRule="exact"/>
        <w:ind w:firstLine="602" w:firstLineChars="200"/>
        <w:textAlignment w:val="auto"/>
        <w:rPr>
          <w:rFonts w:hint="eastAsia" w:ascii="宋体" w:hAnsi="宋体" w:eastAsia="宋体" w:cs="宋体"/>
          <w:color w:val="auto"/>
          <w:sz w:val="30"/>
          <w:szCs w:val="30"/>
        </w:rPr>
      </w:pPr>
      <w:r>
        <w:rPr>
          <w:rFonts w:hint="eastAsia" w:ascii="宋体" w:hAnsi="宋体" w:eastAsia="宋体" w:cs="宋体"/>
          <w:b/>
          <w:bCs/>
          <w:color w:val="auto"/>
          <w:sz w:val="30"/>
          <w:szCs w:val="30"/>
        </w:rPr>
        <w:t>（二）主要工作职责</w:t>
      </w:r>
    </w:p>
    <w:p>
      <w:pPr>
        <w:keepNext w:val="0"/>
        <w:keepLines w:val="0"/>
        <w:pageBreakBefore w:val="0"/>
        <w:widowControl w:val="0"/>
        <w:kinsoku/>
        <w:wordWrap/>
        <w:overflowPunct/>
        <w:topLinePunct w:val="0"/>
        <w:autoSpaceDE/>
        <w:autoSpaceDN/>
        <w:bidi w:val="0"/>
        <w:snapToGrid w:val="0"/>
        <w:spacing w:line="600" w:lineRule="exact"/>
        <w:ind w:firstLine="645"/>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本单位的主要工作职责是：（一）贯彻执行党和国家及省委、省政府有关农村经济工作的方针、政策、法规。（二</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研究拟定全市供销社的发展规划；指导全市供销社的改革和发展，组织市供销社直属单位具体实施。</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三）根据市人民政府授权，指导全市有关农业生产资料和农副产品政策性业务经营工作。（四）指导各级供销社开拓农村市场，推动全市供销社组织农民进入市场，参与大流通、大市场，发展农业产业化经营，为农业、农村和农民提供综合服务，建立和完善本系统为农业生产和农村经济发展服务的体系；预测预报相关的市场信息。（五）指导和监督全市供销社系统的资产管理；具体抓好市供销社直属单位的资产经营，盘活资产，确保社有资产保值增值；依法维护供销社的合法权益。（六）指导全市供销社系统的科技开发和推广应用工作，引进、推广农业产销所需的新品种、新设施、新技术，推进科教兴社。（七）研究制订市供销社直属单位人事、财务、资产管理制度，并组织实施。（八</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负责市直供销社系统队伍建设和干部职工教育培训工作</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（九）承办市委、市人民政府交办的其他事项。</w:t>
      </w: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rPr>
        <w:t>二、部门整体支出使用情况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02" w:firstLineChars="200"/>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（一）基本支出</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1．20</w:t>
      </w:r>
      <w:r>
        <w:rPr>
          <w:rFonts w:hint="eastAsia" w:ascii="仿宋" w:hAnsi="仿宋" w:eastAsia="仿宋" w:cs="仿宋"/>
          <w:color w:val="auto"/>
          <w:sz w:val="30"/>
          <w:szCs w:val="30"/>
          <w:lang w:val="en-US" w:eastAsia="zh-CN"/>
        </w:rPr>
        <w:t>20</w:t>
      </w:r>
      <w:r>
        <w:rPr>
          <w:rFonts w:hint="eastAsia" w:ascii="仿宋" w:hAnsi="仿宋" w:eastAsia="仿宋" w:cs="仿宋"/>
          <w:color w:val="auto"/>
          <w:sz w:val="30"/>
          <w:szCs w:val="30"/>
        </w:rPr>
        <w:t>年基本支出预算为</w:t>
      </w:r>
      <w:r>
        <w:rPr>
          <w:rFonts w:hint="eastAsia" w:ascii="仿宋" w:hAnsi="仿宋" w:eastAsia="仿宋" w:cs="仿宋"/>
          <w:color w:val="auto"/>
          <w:sz w:val="30"/>
          <w:szCs w:val="30"/>
          <w:lang w:val="en-US" w:eastAsia="zh-CN"/>
        </w:rPr>
        <w:t>423.25</w:t>
      </w:r>
      <w:r>
        <w:rPr>
          <w:rFonts w:hint="eastAsia" w:ascii="仿宋" w:hAnsi="仿宋" w:eastAsia="仿宋" w:cs="仿宋"/>
          <w:color w:val="auto"/>
          <w:sz w:val="30"/>
          <w:szCs w:val="30"/>
        </w:rPr>
        <w:t>万元，其中：工资福利支出</w:t>
      </w:r>
      <w:r>
        <w:rPr>
          <w:rFonts w:hint="eastAsia" w:ascii="仿宋" w:hAnsi="仿宋" w:eastAsia="仿宋" w:cs="仿宋"/>
          <w:color w:val="auto"/>
          <w:sz w:val="30"/>
          <w:szCs w:val="30"/>
          <w:lang w:val="en-US" w:eastAsia="zh-CN"/>
        </w:rPr>
        <w:t>343.65</w:t>
      </w:r>
      <w:r>
        <w:rPr>
          <w:rFonts w:hint="eastAsia" w:ascii="仿宋" w:hAnsi="仿宋" w:eastAsia="仿宋" w:cs="仿宋"/>
          <w:color w:val="auto"/>
          <w:sz w:val="30"/>
          <w:szCs w:val="30"/>
        </w:rPr>
        <w:t>万元，一般商品和服务支出</w:t>
      </w:r>
      <w:r>
        <w:rPr>
          <w:rFonts w:hint="eastAsia" w:ascii="仿宋" w:hAnsi="仿宋" w:eastAsia="仿宋" w:cs="仿宋"/>
          <w:color w:val="auto"/>
          <w:sz w:val="30"/>
          <w:szCs w:val="30"/>
          <w:lang w:val="en-US" w:eastAsia="zh-CN"/>
        </w:rPr>
        <w:t>79.6</w:t>
      </w:r>
      <w:r>
        <w:rPr>
          <w:rFonts w:hint="eastAsia" w:ascii="仿宋" w:hAnsi="仿宋" w:eastAsia="仿宋" w:cs="仿宋"/>
          <w:color w:val="auto"/>
          <w:sz w:val="30"/>
          <w:szCs w:val="30"/>
        </w:rPr>
        <w:t>万元。实际支出</w:t>
      </w:r>
      <w:r>
        <w:rPr>
          <w:rFonts w:hint="eastAsia" w:ascii="仿宋" w:hAnsi="仿宋" w:eastAsia="仿宋" w:cs="仿宋"/>
          <w:color w:val="auto"/>
          <w:sz w:val="30"/>
          <w:szCs w:val="30"/>
          <w:lang w:val="en-US" w:eastAsia="zh-CN"/>
        </w:rPr>
        <w:t>503.48</w:t>
      </w:r>
      <w:r>
        <w:rPr>
          <w:rFonts w:hint="eastAsia" w:ascii="仿宋" w:hAnsi="仿宋" w:eastAsia="仿宋" w:cs="仿宋"/>
          <w:color w:val="auto"/>
          <w:sz w:val="30"/>
          <w:szCs w:val="30"/>
        </w:rPr>
        <w:t>万元，其中：工资福利支出</w:t>
      </w:r>
      <w:r>
        <w:rPr>
          <w:rFonts w:hint="eastAsia" w:ascii="仿宋" w:hAnsi="仿宋" w:eastAsia="仿宋" w:cs="仿宋"/>
          <w:color w:val="auto"/>
          <w:sz w:val="30"/>
          <w:szCs w:val="30"/>
          <w:lang w:val="en-US" w:eastAsia="zh-CN"/>
        </w:rPr>
        <w:t>383</w:t>
      </w:r>
      <w:r>
        <w:rPr>
          <w:rFonts w:hint="eastAsia" w:ascii="仿宋" w:hAnsi="仿宋" w:eastAsia="仿宋" w:cs="仿宋"/>
          <w:color w:val="auto"/>
          <w:sz w:val="30"/>
          <w:szCs w:val="30"/>
        </w:rPr>
        <w:t>万元，一般商品和服务支出</w:t>
      </w:r>
      <w:r>
        <w:rPr>
          <w:rFonts w:hint="eastAsia" w:ascii="仿宋" w:hAnsi="仿宋" w:eastAsia="仿宋" w:cs="仿宋"/>
          <w:color w:val="auto"/>
          <w:sz w:val="30"/>
          <w:szCs w:val="30"/>
          <w:lang w:val="en-US" w:eastAsia="zh-CN"/>
        </w:rPr>
        <w:t>120.48</w:t>
      </w:r>
      <w:r>
        <w:rPr>
          <w:rFonts w:hint="eastAsia" w:ascii="仿宋" w:hAnsi="仿宋" w:eastAsia="仿宋" w:cs="仿宋"/>
          <w:color w:val="auto"/>
          <w:sz w:val="30"/>
          <w:szCs w:val="30"/>
        </w:rPr>
        <w:t>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2．20</w:t>
      </w:r>
      <w:r>
        <w:rPr>
          <w:rFonts w:hint="eastAsia" w:ascii="仿宋" w:hAnsi="仿宋" w:eastAsia="仿宋" w:cs="仿宋"/>
          <w:color w:val="auto"/>
          <w:sz w:val="30"/>
          <w:szCs w:val="30"/>
          <w:lang w:val="en-US" w:eastAsia="zh-CN"/>
        </w:rPr>
        <w:t>20</w:t>
      </w:r>
      <w:r>
        <w:rPr>
          <w:rFonts w:hint="eastAsia" w:ascii="仿宋" w:hAnsi="仿宋" w:eastAsia="仿宋" w:cs="仿宋"/>
          <w:color w:val="auto"/>
          <w:sz w:val="30"/>
          <w:szCs w:val="30"/>
        </w:rPr>
        <w:t>年“三公经费”预算为</w:t>
      </w:r>
      <w:r>
        <w:rPr>
          <w:rFonts w:hint="eastAsia" w:ascii="仿宋" w:hAnsi="仿宋" w:eastAsia="仿宋" w:cs="仿宋"/>
          <w:color w:val="auto"/>
          <w:sz w:val="30"/>
          <w:szCs w:val="30"/>
          <w:lang w:val="en-US" w:eastAsia="zh-CN"/>
        </w:rPr>
        <w:t>7.5</w:t>
      </w:r>
      <w:r>
        <w:rPr>
          <w:rFonts w:hint="eastAsia" w:ascii="仿宋" w:hAnsi="仿宋" w:eastAsia="仿宋" w:cs="仿宋"/>
          <w:color w:val="auto"/>
          <w:sz w:val="30"/>
          <w:szCs w:val="30"/>
        </w:rPr>
        <w:t>万元，其中：公务接待费</w:t>
      </w:r>
      <w:r>
        <w:rPr>
          <w:rFonts w:hint="eastAsia" w:ascii="仿宋" w:hAnsi="仿宋" w:eastAsia="仿宋" w:cs="仿宋"/>
          <w:color w:val="auto"/>
          <w:sz w:val="30"/>
          <w:szCs w:val="30"/>
          <w:lang w:val="en-US" w:eastAsia="zh-CN"/>
        </w:rPr>
        <w:t>7.5</w:t>
      </w:r>
      <w:r>
        <w:rPr>
          <w:rFonts w:hint="eastAsia" w:ascii="仿宋" w:hAnsi="仿宋" w:eastAsia="仿宋" w:cs="仿宋"/>
          <w:color w:val="auto"/>
          <w:sz w:val="30"/>
          <w:szCs w:val="30"/>
        </w:rPr>
        <w:t>万元，公务用车运行和购置费</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万元。实际支出</w:t>
      </w:r>
      <w:r>
        <w:rPr>
          <w:rFonts w:hint="eastAsia" w:ascii="仿宋" w:hAnsi="仿宋" w:eastAsia="仿宋" w:cs="仿宋"/>
          <w:color w:val="auto"/>
          <w:sz w:val="30"/>
          <w:szCs w:val="30"/>
          <w:lang w:val="en-US" w:eastAsia="zh-CN"/>
        </w:rPr>
        <w:t>5.85</w:t>
      </w:r>
      <w:r>
        <w:rPr>
          <w:rFonts w:hint="eastAsia" w:ascii="仿宋" w:hAnsi="仿宋" w:eastAsia="仿宋" w:cs="仿宋"/>
          <w:color w:val="auto"/>
          <w:sz w:val="30"/>
          <w:szCs w:val="30"/>
        </w:rPr>
        <w:t>万元，其中：公务接待费</w:t>
      </w:r>
      <w:r>
        <w:rPr>
          <w:rFonts w:hint="eastAsia" w:ascii="仿宋" w:hAnsi="仿宋" w:eastAsia="仿宋" w:cs="仿宋"/>
          <w:color w:val="auto"/>
          <w:sz w:val="30"/>
          <w:szCs w:val="30"/>
          <w:lang w:val="en-US" w:eastAsia="zh-CN"/>
        </w:rPr>
        <w:t>5.85</w:t>
      </w:r>
      <w:r>
        <w:rPr>
          <w:rFonts w:hint="eastAsia" w:ascii="仿宋" w:hAnsi="仿宋" w:eastAsia="仿宋" w:cs="仿宋"/>
          <w:color w:val="auto"/>
          <w:sz w:val="30"/>
          <w:szCs w:val="30"/>
        </w:rPr>
        <w:t>万元，公务用车运行和购置费</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02" w:firstLineChars="200"/>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（二）项目支出</w:t>
      </w:r>
    </w:p>
    <w:p>
      <w:pPr>
        <w:keepNext w:val="0"/>
        <w:keepLines w:val="0"/>
        <w:pageBreakBefore w:val="0"/>
        <w:widowControl w:val="0"/>
        <w:kinsoku/>
        <w:wordWrap/>
        <w:overflowPunct/>
        <w:topLinePunct w:val="0"/>
        <w:autoSpaceDE/>
        <w:autoSpaceDN/>
        <w:bidi w:val="0"/>
        <w:spacing w:line="60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20</w:t>
      </w:r>
      <w:r>
        <w:rPr>
          <w:rFonts w:hint="eastAsia" w:ascii="仿宋" w:hAnsi="仿宋" w:eastAsia="仿宋" w:cs="仿宋"/>
          <w:color w:val="auto"/>
          <w:sz w:val="30"/>
          <w:szCs w:val="30"/>
          <w:lang w:val="en-US" w:eastAsia="zh-CN"/>
        </w:rPr>
        <w:t>20</w:t>
      </w:r>
      <w:r>
        <w:rPr>
          <w:rFonts w:hint="eastAsia" w:ascii="仿宋" w:hAnsi="仿宋" w:eastAsia="仿宋" w:cs="仿宋"/>
          <w:color w:val="auto"/>
          <w:sz w:val="30"/>
          <w:szCs w:val="30"/>
        </w:rPr>
        <w:t>年</w:t>
      </w:r>
      <w:r>
        <w:rPr>
          <w:rFonts w:hint="eastAsia" w:ascii="仿宋" w:hAnsi="仿宋" w:eastAsia="仿宋" w:cs="仿宋"/>
          <w:color w:val="auto"/>
          <w:sz w:val="30"/>
          <w:szCs w:val="30"/>
          <w:lang w:eastAsia="zh-CN"/>
        </w:rPr>
        <w:t>无项目支出。</w:t>
      </w:r>
      <w:bookmarkStart w:id="0" w:name="_GoBack"/>
      <w:bookmarkEnd w:id="0"/>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rPr>
        <w:t>三、部门整体支出绩效情况</w:t>
      </w:r>
    </w:p>
    <w:p>
      <w:pPr>
        <w:keepNext w:val="0"/>
        <w:keepLines w:val="0"/>
        <w:pageBreakBefore w:val="0"/>
        <w:widowControl w:val="0"/>
        <w:kinsoku/>
        <w:wordWrap/>
        <w:overflowPunct/>
        <w:topLinePunct w:val="0"/>
        <w:autoSpaceDE/>
        <w:autoSpaceDN/>
        <w:bidi w:val="0"/>
        <w:snapToGrid w:val="0"/>
        <w:spacing w:line="600" w:lineRule="exact"/>
        <w:ind w:firstLine="602" w:firstLineChars="200"/>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（一）绩效目标</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确保机关正常运转的资金所需及职工工资等的发放。</w:t>
      </w:r>
    </w:p>
    <w:p>
      <w:pPr>
        <w:keepNext w:val="0"/>
        <w:keepLines w:val="0"/>
        <w:pageBreakBefore w:val="0"/>
        <w:widowControl/>
        <w:kinsoku/>
        <w:wordWrap/>
        <w:overflowPunct/>
        <w:topLinePunct w:val="0"/>
        <w:autoSpaceDE/>
        <w:autoSpaceDN/>
        <w:bidi w:val="0"/>
        <w:adjustRightInd/>
        <w:spacing w:line="600" w:lineRule="exact"/>
        <w:ind w:firstLine="600" w:firstLineChars="200"/>
        <w:jc w:val="left"/>
        <w:textAlignment w:val="auto"/>
        <w:rPr>
          <w:rFonts w:hint="eastAsia" w:ascii="仿宋" w:hAnsi="仿宋" w:eastAsia="仿宋" w:cs="仿宋"/>
          <w:color w:val="auto"/>
          <w:kern w:val="0"/>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kern w:val="0"/>
          <w:sz w:val="30"/>
          <w:szCs w:val="30"/>
        </w:rPr>
        <w:t>确保各专项资金专款专用，项目顺利推进，达到各项目的具体目标。</w:t>
      </w:r>
    </w:p>
    <w:p>
      <w:pPr>
        <w:keepNext w:val="0"/>
        <w:keepLines w:val="0"/>
        <w:pageBreakBefore w:val="0"/>
        <w:widowControl/>
        <w:kinsoku/>
        <w:wordWrap/>
        <w:overflowPunct/>
        <w:topLinePunct w:val="0"/>
        <w:autoSpaceDE/>
        <w:autoSpaceDN/>
        <w:bidi w:val="0"/>
        <w:adjustRightInd/>
        <w:spacing w:line="600" w:lineRule="exact"/>
        <w:ind w:firstLine="600" w:firstLineChars="200"/>
        <w:jc w:val="left"/>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推进供销社标杆社、农民合作示范社建设。制定创建基层社标杆社和农民合作社示范社创建活动工作方案，完成创建市级标杆社和市级农民合作社示范社各11家。</w:t>
      </w:r>
    </w:p>
    <w:p>
      <w:pPr>
        <w:keepNext w:val="0"/>
        <w:keepLines w:val="0"/>
        <w:pageBreakBefore w:val="0"/>
        <w:widowControl/>
        <w:kinsoku/>
        <w:wordWrap/>
        <w:overflowPunct/>
        <w:topLinePunct w:val="0"/>
        <w:autoSpaceDE/>
        <w:autoSpaceDN/>
        <w:bidi w:val="0"/>
        <w:adjustRightInd/>
        <w:spacing w:line="600" w:lineRule="exact"/>
        <w:ind w:firstLine="600" w:firstLineChars="200"/>
        <w:jc w:val="left"/>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4</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加快构建起供销合作社县、乡、村完善的基层组织体系，乡镇基层社覆盖率达到95%以上，村级综合服务社覆盖率达到60%以上；全市60%的县（区）、乡建立农村合作经济组织联合会或农民合作社联合社。</w:t>
      </w:r>
    </w:p>
    <w:p>
      <w:pPr>
        <w:keepNext w:val="0"/>
        <w:keepLines w:val="0"/>
        <w:pageBreakBefore w:val="0"/>
        <w:widowControl/>
        <w:kinsoku/>
        <w:wordWrap/>
        <w:overflowPunct/>
        <w:topLinePunct w:val="0"/>
        <w:autoSpaceDE/>
        <w:autoSpaceDN/>
        <w:bidi w:val="0"/>
        <w:adjustRightInd/>
        <w:spacing w:line="600" w:lineRule="exact"/>
        <w:ind w:firstLine="600" w:firstLineChars="200"/>
        <w:jc w:val="left"/>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5</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做好农资供应工作。确保农资供应不脱销、不断档，加强市场监管，保障本系统农资企业农资商品质量不出问题。</w:t>
      </w:r>
    </w:p>
    <w:p>
      <w:pPr>
        <w:keepNext w:val="0"/>
        <w:keepLines w:val="0"/>
        <w:pageBreakBefore w:val="0"/>
        <w:widowControl/>
        <w:kinsoku/>
        <w:wordWrap/>
        <w:overflowPunct/>
        <w:topLinePunct w:val="0"/>
        <w:autoSpaceDE/>
        <w:autoSpaceDN/>
        <w:bidi w:val="0"/>
        <w:adjustRightInd/>
        <w:spacing w:line="600" w:lineRule="exact"/>
        <w:ind w:firstLine="600"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kern w:val="0"/>
          <w:sz w:val="30"/>
          <w:szCs w:val="30"/>
        </w:rPr>
        <w:t>6</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开展农业生产社会化服务，指导公司开展农业生产社会化服务。</w:t>
      </w:r>
    </w:p>
    <w:p>
      <w:pPr>
        <w:keepNext w:val="0"/>
        <w:keepLines w:val="0"/>
        <w:pageBreakBefore w:val="0"/>
        <w:widowControl w:val="0"/>
        <w:kinsoku/>
        <w:wordWrap/>
        <w:overflowPunct/>
        <w:topLinePunct w:val="0"/>
        <w:autoSpaceDE/>
        <w:autoSpaceDN/>
        <w:bidi w:val="0"/>
        <w:snapToGrid w:val="0"/>
        <w:spacing w:line="600" w:lineRule="exact"/>
        <w:ind w:firstLine="602" w:firstLineChars="200"/>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rPr>
        <w:t>（二）绩效目标完成情况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sz w:val="30"/>
          <w:szCs w:val="30"/>
        </w:rPr>
        <w:t>市供销社在市委、市政府的正确领导下，全面融入乡村振兴战略，加快推进供销合作社综合改革，提升为农服务水平，夯实基层网络体系，壮大系统经济实力，供销合作社改革发展不断迈上新台阶。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eastAsia" w:ascii="仿宋" w:hAnsi="仿宋" w:eastAsia="仿宋" w:cs="仿宋"/>
          <w:color w:val="auto"/>
          <w:kern w:val="0"/>
          <w:sz w:val="30"/>
          <w:szCs w:val="30"/>
          <w:shd w:val="clear" w:color="auto" w:fill="FFFFFF"/>
          <w:lang w:val="en-US" w:eastAsia="zh-CN" w:bidi="ar"/>
        </w:rPr>
      </w:pPr>
      <w:r>
        <w:rPr>
          <w:rFonts w:hint="eastAsia" w:ascii="仿宋" w:hAnsi="仿宋" w:eastAsia="仿宋" w:cs="仿宋"/>
          <w:color w:val="auto"/>
          <w:sz w:val="30"/>
          <w:szCs w:val="30"/>
        </w:rPr>
        <w:t>20</w:t>
      </w:r>
      <w:r>
        <w:rPr>
          <w:rFonts w:hint="eastAsia" w:ascii="仿宋" w:hAnsi="仿宋" w:eastAsia="仿宋" w:cs="仿宋"/>
          <w:color w:val="auto"/>
          <w:sz w:val="30"/>
          <w:szCs w:val="30"/>
          <w:lang w:val="en-US" w:eastAsia="zh-CN"/>
        </w:rPr>
        <w:t>20</w:t>
      </w:r>
      <w:r>
        <w:rPr>
          <w:rFonts w:hint="eastAsia" w:ascii="仿宋" w:hAnsi="仿宋" w:eastAsia="仿宋" w:cs="仿宋"/>
          <w:color w:val="auto"/>
          <w:sz w:val="30"/>
          <w:szCs w:val="30"/>
        </w:rPr>
        <w:t>年度部门整体支出绩效目标全部完成。1、确保机关正常运转的资金所需及职工工资福利的发放；2、确保各专项资金专款专用，项目顺利推进，达到各项目的具体目标；3、推进供销社标杆社、农民合作示范社建设。制定了《永州市创建基层供销合作社标杆社“以奖代补”实施方案》，完成创建标杆社11个和市级农民合作社示范社18家；4、加快构建起供销合作社县、乡、村完善的基层组织体系，乡镇基层社覆盖率达到100%，村级综合服务社覆盖率达到了80%以上；全市县（区）建立农村合作经济组织联合会达到了100%，乡镇建立农民合作社联合社达到了60%；5、做好农资供应工作。确保农资供应不脱销、不断档，春耕销售量达12.96万吨；6、开展农业生产社会化服务，指导公司开展农业生产社会化服务收入4.69亿元。</w:t>
      </w:r>
      <w:r>
        <w:rPr>
          <w:rFonts w:hint="eastAsia" w:ascii="仿宋" w:hAnsi="仿宋" w:eastAsia="仿宋" w:cs="仿宋"/>
          <w:color w:val="auto"/>
          <w:sz w:val="30"/>
          <w:szCs w:val="30"/>
          <w:lang w:eastAsia="zh-CN"/>
        </w:rPr>
        <w:t>全年</w:t>
      </w:r>
      <w:r>
        <w:rPr>
          <w:rFonts w:hint="eastAsia" w:ascii="仿宋" w:hAnsi="仿宋" w:eastAsia="仿宋" w:cs="仿宋"/>
          <w:color w:val="auto"/>
          <w:sz w:val="30"/>
          <w:szCs w:val="30"/>
        </w:rPr>
        <w:t>累计实现销售总额</w:t>
      </w:r>
      <w:r>
        <w:rPr>
          <w:rFonts w:hint="eastAsia" w:ascii="仿宋" w:hAnsi="仿宋" w:eastAsia="仿宋" w:cs="仿宋"/>
          <w:color w:val="auto"/>
          <w:sz w:val="30"/>
          <w:szCs w:val="30"/>
          <w:lang w:val="en-US" w:eastAsia="zh-CN"/>
        </w:rPr>
        <w:t>187.63</w:t>
      </w:r>
      <w:r>
        <w:rPr>
          <w:rFonts w:hint="eastAsia" w:ascii="仿宋" w:hAnsi="仿宋" w:eastAsia="仿宋" w:cs="仿宋"/>
          <w:color w:val="auto"/>
          <w:sz w:val="30"/>
          <w:szCs w:val="30"/>
        </w:rPr>
        <w:t>亿元，同比增长</w:t>
      </w:r>
      <w:r>
        <w:rPr>
          <w:rFonts w:hint="eastAsia" w:ascii="仿宋" w:hAnsi="仿宋" w:eastAsia="仿宋" w:cs="仿宋"/>
          <w:color w:val="auto"/>
          <w:sz w:val="30"/>
          <w:szCs w:val="30"/>
          <w:lang w:val="en-US" w:eastAsia="zh-CN"/>
        </w:rPr>
        <w:t>12.51</w:t>
      </w:r>
      <w:r>
        <w:rPr>
          <w:rFonts w:hint="eastAsia" w:ascii="仿宋" w:hAnsi="仿宋" w:eastAsia="仿宋" w:cs="仿宋"/>
          <w:color w:val="auto"/>
          <w:sz w:val="30"/>
          <w:szCs w:val="30"/>
        </w:rPr>
        <w:t>%；营业总收入</w:t>
      </w:r>
      <w:r>
        <w:rPr>
          <w:rFonts w:hint="eastAsia" w:ascii="仿宋" w:hAnsi="仿宋" w:eastAsia="仿宋" w:cs="仿宋"/>
          <w:color w:val="auto"/>
          <w:sz w:val="30"/>
          <w:szCs w:val="30"/>
          <w:lang w:val="en-US" w:eastAsia="zh-CN"/>
        </w:rPr>
        <w:t>120.57</w:t>
      </w:r>
      <w:r>
        <w:rPr>
          <w:rFonts w:hint="eastAsia" w:ascii="仿宋" w:hAnsi="仿宋" w:eastAsia="仿宋" w:cs="仿宋"/>
          <w:color w:val="auto"/>
          <w:sz w:val="30"/>
          <w:szCs w:val="30"/>
        </w:rPr>
        <w:t>亿元，同比增长</w:t>
      </w:r>
      <w:r>
        <w:rPr>
          <w:rFonts w:hint="eastAsia" w:ascii="仿宋" w:hAnsi="仿宋" w:eastAsia="仿宋" w:cs="仿宋"/>
          <w:color w:val="auto"/>
          <w:sz w:val="30"/>
          <w:szCs w:val="30"/>
          <w:lang w:val="en-US" w:eastAsia="zh-CN"/>
        </w:rPr>
        <w:t>8.73</w:t>
      </w:r>
      <w:r>
        <w:rPr>
          <w:rFonts w:hint="eastAsia" w:ascii="仿宋" w:hAnsi="仿宋" w:eastAsia="仿宋" w:cs="仿宋"/>
          <w:color w:val="auto"/>
          <w:sz w:val="30"/>
          <w:szCs w:val="30"/>
        </w:rPr>
        <w:t>%；实现利润总额</w:t>
      </w:r>
      <w:r>
        <w:rPr>
          <w:rFonts w:hint="eastAsia" w:ascii="仿宋" w:hAnsi="仿宋" w:eastAsia="仿宋" w:cs="仿宋"/>
          <w:color w:val="auto"/>
          <w:sz w:val="30"/>
          <w:szCs w:val="30"/>
          <w:lang w:val="en-US" w:eastAsia="zh-CN"/>
        </w:rPr>
        <w:t>2.92</w:t>
      </w:r>
      <w:r>
        <w:rPr>
          <w:rFonts w:hint="eastAsia" w:ascii="仿宋" w:hAnsi="仿宋" w:eastAsia="仿宋" w:cs="仿宋"/>
          <w:color w:val="auto"/>
          <w:sz w:val="30"/>
          <w:szCs w:val="30"/>
        </w:rPr>
        <w:t>亿元，同比增长</w:t>
      </w:r>
      <w:r>
        <w:rPr>
          <w:rFonts w:hint="eastAsia" w:ascii="仿宋" w:hAnsi="仿宋" w:eastAsia="仿宋" w:cs="仿宋"/>
          <w:color w:val="auto"/>
          <w:sz w:val="30"/>
          <w:szCs w:val="30"/>
          <w:lang w:val="en-US" w:eastAsia="zh-CN"/>
        </w:rPr>
        <w:t>25.86</w:t>
      </w:r>
      <w:r>
        <w:rPr>
          <w:rFonts w:hint="eastAsia" w:ascii="仿宋" w:hAnsi="仿宋" w:eastAsia="仿宋" w:cs="仿宋"/>
          <w:color w:val="auto"/>
          <w:sz w:val="30"/>
          <w:szCs w:val="30"/>
        </w:rPr>
        <w:t>%。</w:t>
      </w:r>
      <w:r>
        <w:rPr>
          <w:rFonts w:hint="eastAsia" w:ascii="仿宋" w:hAnsi="仿宋" w:eastAsia="仿宋" w:cs="仿宋"/>
          <w:color w:val="auto"/>
          <w:kern w:val="0"/>
          <w:sz w:val="30"/>
          <w:szCs w:val="30"/>
          <w:shd w:val="clear" w:color="auto" w:fill="FFFFFF"/>
          <w:lang w:val="en-US" w:eastAsia="zh-CN" w:bidi="ar"/>
        </w:rPr>
        <w:t>同时，市社紧紧围绕重点工作，严格执行部门预算，进一步规范内部管理，强化基础工作，切实加强“三公”经费管理，努力降低行政成本，厉行节约，勤俭办事，较好地完成了本年度的预算执行任务。</w:t>
      </w: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rPr>
        <w:t>四、绩效评价结果</w:t>
      </w:r>
    </w:p>
    <w:p>
      <w:pPr>
        <w:pStyle w:val="13"/>
        <w:keepNext w:val="0"/>
        <w:keepLines w:val="0"/>
        <w:pageBreakBefore w:val="0"/>
        <w:kinsoku/>
        <w:wordWrap/>
        <w:overflowPunct/>
        <w:topLinePunct w:val="0"/>
        <w:autoSpaceDE/>
        <w:autoSpaceDN/>
        <w:bidi w:val="0"/>
        <w:spacing w:line="600" w:lineRule="exact"/>
        <w:ind w:firstLine="450" w:firstLineChars="150"/>
        <w:textAlignment w:val="auto"/>
        <w:rPr>
          <w:rFonts w:hint="eastAsia" w:ascii="仿宋" w:hAnsi="仿宋" w:eastAsia="仿宋" w:cs="仿宋"/>
          <w:bCs/>
          <w:color w:val="auto"/>
          <w:sz w:val="30"/>
          <w:szCs w:val="30"/>
        </w:rPr>
      </w:pPr>
      <w:r>
        <w:rPr>
          <w:rFonts w:hint="eastAsia" w:ascii="仿宋" w:hAnsi="仿宋" w:eastAsia="仿宋" w:cs="仿宋"/>
          <w:color w:val="auto"/>
          <w:sz w:val="30"/>
          <w:szCs w:val="30"/>
        </w:rPr>
        <w:t>20</w:t>
      </w:r>
      <w:r>
        <w:rPr>
          <w:rFonts w:hint="eastAsia" w:ascii="仿宋" w:hAnsi="仿宋" w:eastAsia="仿宋" w:cs="仿宋"/>
          <w:color w:val="auto"/>
          <w:sz w:val="30"/>
          <w:szCs w:val="30"/>
          <w:lang w:val="en-US" w:eastAsia="zh-CN"/>
        </w:rPr>
        <w:t>20</w:t>
      </w:r>
      <w:r>
        <w:rPr>
          <w:rFonts w:hint="eastAsia" w:ascii="仿宋" w:hAnsi="仿宋" w:eastAsia="仿宋" w:cs="仿宋"/>
          <w:color w:val="auto"/>
          <w:sz w:val="30"/>
          <w:szCs w:val="30"/>
        </w:rPr>
        <w:t>年单位部门整体支出完成情况基本达到了预期目标，符合国家财务管理制度等相关规定。20</w:t>
      </w:r>
      <w:r>
        <w:rPr>
          <w:rFonts w:hint="eastAsia" w:ascii="仿宋" w:hAnsi="仿宋" w:eastAsia="仿宋" w:cs="仿宋"/>
          <w:color w:val="auto"/>
          <w:sz w:val="30"/>
          <w:szCs w:val="30"/>
          <w:lang w:val="en-US" w:eastAsia="zh-CN"/>
        </w:rPr>
        <w:t>20</w:t>
      </w:r>
      <w:r>
        <w:rPr>
          <w:rFonts w:hint="eastAsia" w:ascii="仿宋" w:hAnsi="仿宋" w:eastAsia="仿宋" w:cs="仿宋"/>
          <w:color w:val="auto"/>
          <w:sz w:val="30"/>
          <w:szCs w:val="30"/>
        </w:rPr>
        <w:t>年永州市供销合作联社部门整体支出资金落实到位、政策执行有力、资金使用规范</w:t>
      </w:r>
      <w:r>
        <w:rPr>
          <w:rFonts w:hint="eastAsia" w:ascii="仿宋" w:hAnsi="仿宋" w:eastAsia="仿宋" w:cs="仿宋"/>
          <w:color w:val="auto"/>
          <w:sz w:val="30"/>
          <w:szCs w:val="30"/>
          <w:lang w:eastAsia="zh-CN"/>
        </w:rPr>
        <w:t>，本年度</w:t>
      </w:r>
      <w:r>
        <w:rPr>
          <w:rFonts w:hint="eastAsia" w:ascii="仿宋" w:hAnsi="仿宋" w:eastAsia="仿宋" w:cs="仿宋"/>
          <w:bCs/>
          <w:color w:val="auto"/>
          <w:sz w:val="30"/>
          <w:szCs w:val="30"/>
        </w:rPr>
        <w:t>部门整体绩效评分</w:t>
      </w:r>
      <w:r>
        <w:rPr>
          <w:rFonts w:hint="eastAsia" w:ascii="仿宋" w:hAnsi="仿宋" w:eastAsia="仿宋" w:cs="仿宋"/>
          <w:bCs/>
          <w:color w:val="auto"/>
          <w:sz w:val="30"/>
          <w:szCs w:val="30"/>
          <w:lang w:val="en-US" w:eastAsia="zh-CN"/>
        </w:rPr>
        <w:t>97</w:t>
      </w:r>
      <w:r>
        <w:rPr>
          <w:rFonts w:hint="eastAsia" w:ascii="仿宋" w:hAnsi="仿宋" w:eastAsia="仿宋" w:cs="仿宋"/>
          <w:bCs/>
          <w:color w:val="auto"/>
          <w:sz w:val="30"/>
          <w:szCs w:val="30"/>
        </w:rPr>
        <w:t>分</w:t>
      </w:r>
      <w:r>
        <w:rPr>
          <w:rFonts w:hint="eastAsia" w:ascii="仿宋" w:hAnsi="仿宋" w:eastAsia="仿宋" w:cs="仿宋"/>
          <w:bCs/>
          <w:color w:val="auto"/>
          <w:sz w:val="30"/>
          <w:szCs w:val="30"/>
          <w:lang w:eastAsia="zh-CN"/>
        </w:rPr>
        <w:t>，</w:t>
      </w:r>
      <w:r>
        <w:rPr>
          <w:rFonts w:hint="eastAsia" w:ascii="仿宋" w:hAnsi="仿宋" w:eastAsia="仿宋" w:cs="仿宋"/>
          <w:bCs/>
          <w:color w:val="auto"/>
          <w:sz w:val="30"/>
          <w:szCs w:val="30"/>
        </w:rPr>
        <w:t>绩效评价等级为</w:t>
      </w:r>
      <w:r>
        <w:rPr>
          <w:rFonts w:hint="eastAsia" w:ascii="仿宋" w:hAnsi="仿宋" w:eastAsia="仿宋" w:cs="仿宋"/>
          <w:bCs/>
          <w:color w:val="auto"/>
          <w:sz w:val="30"/>
          <w:szCs w:val="30"/>
          <w:lang w:eastAsia="zh-CN"/>
        </w:rPr>
        <w:t>优</w:t>
      </w:r>
      <w:r>
        <w:rPr>
          <w:rFonts w:hint="eastAsia" w:ascii="仿宋" w:hAnsi="仿宋" w:eastAsia="仿宋" w:cs="仿宋"/>
          <w:bCs/>
          <w:color w:val="auto"/>
          <w:sz w:val="30"/>
          <w:szCs w:val="30"/>
        </w:rPr>
        <w:t>。</w:t>
      </w:r>
    </w:p>
    <w:p>
      <w:pPr>
        <w:keepNext w:val="0"/>
        <w:keepLines w:val="0"/>
        <w:pageBreakBefore w:val="0"/>
        <w:widowControl w:val="0"/>
        <w:kinsoku/>
        <w:wordWrap/>
        <w:overflowPunct/>
        <w:topLinePunct w:val="0"/>
        <w:autoSpaceDE/>
        <w:autoSpaceDN/>
        <w:bidi w:val="0"/>
        <w:spacing w:line="600" w:lineRule="exact"/>
        <w:ind w:firstLine="602" w:firstLineChars="200"/>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rPr>
        <w:t>五、存在的主要问题</w:t>
      </w:r>
    </w:p>
    <w:p>
      <w:pPr>
        <w:keepNext w:val="0"/>
        <w:keepLines w:val="0"/>
        <w:pageBreakBefore w:val="0"/>
        <w:widowControl w:val="0"/>
        <w:kinsoku/>
        <w:wordWrap/>
        <w:overflowPunct/>
        <w:topLinePunct w:val="0"/>
        <w:autoSpaceDE/>
        <w:autoSpaceDN/>
        <w:bidi w:val="0"/>
        <w:snapToGrid w:val="0"/>
        <w:spacing w:line="600" w:lineRule="exact"/>
        <w:ind w:firstLine="602" w:firstLineChars="200"/>
        <w:textAlignment w:val="auto"/>
        <w:rPr>
          <w:rFonts w:hint="eastAsia" w:ascii="仿宋" w:hAnsi="仿宋" w:eastAsia="仿宋" w:cs="仿宋"/>
          <w:b/>
          <w:bCs/>
          <w:color w:val="auto"/>
          <w:sz w:val="30"/>
          <w:szCs w:val="30"/>
          <w:lang w:val="en-US" w:eastAsia="zh-CN"/>
        </w:rPr>
      </w:pPr>
      <w:r>
        <w:rPr>
          <w:rFonts w:hint="eastAsia" w:ascii="宋体" w:hAnsi="宋体" w:eastAsia="宋体" w:cs="宋体"/>
          <w:b/>
          <w:bCs/>
          <w:color w:val="auto"/>
          <w:sz w:val="30"/>
          <w:szCs w:val="30"/>
          <w:lang w:eastAsia="zh-CN"/>
        </w:rPr>
        <w:t>（一）预算控制方面</w:t>
      </w:r>
      <w:r>
        <w:rPr>
          <w:rFonts w:hint="eastAsia" w:ascii="仿宋" w:hAnsi="仿宋" w:eastAsia="仿宋" w:cs="仿宋"/>
          <w:b/>
          <w:bCs/>
          <w:color w:val="auto"/>
          <w:sz w:val="30"/>
          <w:szCs w:val="30"/>
          <w:lang w:val="en-US" w:eastAsia="zh-CN"/>
        </w:rPr>
        <w:t xml:space="preserve"> </w:t>
      </w:r>
    </w:p>
    <w:p>
      <w:pPr>
        <w:keepNext w:val="0"/>
        <w:keepLines w:val="0"/>
        <w:pageBreakBefore w:val="0"/>
        <w:widowControl w:val="0"/>
        <w:kinsoku/>
        <w:wordWrap/>
        <w:overflowPunct/>
        <w:topLinePunct w:val="0"/>
        <w:autoSpaceDE/>
        <w:autoSpaceDN/>
        <w:bidi w:val="0"/>
        <w:snapToGrid w:val="0"/>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永州市供销合作联社实际发生支出503.48万元，较预算增加80.23万元，增加比例19%，预算控制欠佳。</w:t>
      </w:r>
    </w:p>
    <w:p>
      <w:pPr>
        <w:keepNext w:val="0"/>
        <w:keepLines w:val="0"/>
        <w:pageBreakBefore w:val="0"/>
        <w:widowControl w:val="0"/>
        <w:numPr>
          <w:ilvl w:val="0"/>
          <w:numId w:val="2"/>
        </w:numPr>
        <w:kinsoku/>
        <w:wordWrap/>
        <w:overflowPunct/>
        <w:topLinePunct w:val="0"/>
        <w:autoSpaceDE/>
        <w:autoSpaceDN/>
        <w:bidi w:val="0"/>
        <w:snapToGrid w:val="0"/>
        <w:spacing w:line="600" w:lineRule="exact"/>
        <w:ind w:left="-223" w:leftChars="0" w:firstLine="643" w:firstLineChars="0"/>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 xml:space="preserve">固定资产管理水平有待提高  </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固定资产台账未及时与账面资产金额对账，且未与实物进行清点，未及时清理处置报废资产，导致资产台账与账面资产金额存在差异，固定资产管理继续加强中。</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02" w:firstLineChars="200"/>
        <w:textAlignment w:val="auto"/>
        <w:rPr>
          <w:rFonts w:hint="eastAsia" w:ascii="宋体" w:hAnsi="宋体" w:eastAsia="宋体" w:cs="宋体"/>
          <w:b/>
          <w:bCs/>
          <w:color w:val="auto"/>
          <w:sz w:val="30"/>
          <w:szCs w:val="30"/>
          <w:u w:val="none"/>
        </w:rPr>
      </w:pPr>
      <w:r>
        <w:rPr>
          <w:rFonts w:hint="eastAsia" w:ascii="宋体" w:hAnsi="宋体" w:eastAsia="宋体" w:cs="宋体"/>
          <w:b/>
          <w:bCs/>
          <w:color w:val="auto"/>
          <w:sz w:val="30"/>
          <w:szCs w:val="30"/>
          <w:u w:val="none"/>
        </w:rPr>
        <w:t>六、改进措施和建议</w:t>
      </w:r>
    </w:p>
    <w:p>
      <w:pPr>
        <w:keepNext w:val="0"/>
        <w:keepLines w:val="0"/>
        <w:pageBreakBefore w:val="0"/>
        <w:kinsoku/>
        <w:wordWrap/>
        <w:overflowPunct/>
        <w:topLinePunct w:val="0"/>
        <w:autoSpaceDE/>
        <w:autoSpaceDN/>
        <w:bidi w:val="0"/>
        <w:spacing w:line="600" w:lineRule="exact"/>
        <w:ind w:firstLine="602" w:firstLineChars="200"/>
        <w:textAlignment w:val="auto"/>
        <w:rPr>
          <w:rFonts w:hint="eastAsia" w:ascii="仿宋" w:hAnsi="仿宋" w:eastAsia="仿宋" w:cs="仿宋"/>
          <w:b w:val="0"/>
          <w:bCs w:val="0"/>
          <w:color w:val="auto"/>
          <w:sz w:val="30"/>
          <w:szCs w:val="30"/>
          <w:lang w:val="en-US" w:eastAsia="zh-CN"/>
        </w:rPr>
      </w:pPr>
      <w:r>
        <w:rPr>
          <w:rFonts w:hint="eastAsia" w:ascii="宋体" w:hAnsi="宋体" w:eastAsia="宋体" w:cs="宋体"/>
          <w:b/>
          <w:bCs/>
          <w:color w:val="auto"/>
          <w:sz w:val="30"/>
          <w:szCs w:val="30"/>
          <w:lang w:eastAsia="zh-CN"/>
        </w:rPr>
        <w:t>（一）预算控制方面</w:t>
      </w:r>
      <w:r>
        <w:rPr>
          <w:rFonts w:hint="eastAsia" w:ascii="宋体" w:hAnsi="宋体" w:eastAsia="宋体" w:cs="宋体"/>
          <w:b w:val="0"/>
          <w:bCs w:val="0"/>
          <w:color w:val="auto"/>
          <w:sz w:val="30"/>
          <w:szCs w:val="30"/>
          <w:lang w:val="en-US" w:eastAsia="zh-CN"/>
        </w:rPr>
        <w:t xml:space="preserve"> </w:t>
      </w:r>
      <w:r>
        <w:rPr>
          <w:rFonts w:hint="eastAsia" w:ascii="仿宋" w:hAnsi="仿宋" w:eastAsia="仿宋" w:cs="仿宋"/>
          <w:b w:val="0"/>
          <w:bCs w:val="0"/>
          <w:color w:val="auto"/>
          <w:sz w:val="30"/>
          <w:szCs w:val="30"/>
          <w:lang w:val="en-US" w:eastAsia="zh-CN"/>
        </w:rPr>
        <w:t>在预算编制时应总结以往预算执行差异的原因，对来年工作计划进行详细的剖析和分析，充分全面的考虑预算变动因素，包括人员增减，政策性调整职工工资和津补贴，保证预算编制的合理性与全面性。</w:t>
      </w:r>
    </w:p>
    <w:p>
      <w:pPr>
        <w:keepNext w:val="0"/>
        <w:keepLines w:val="0"/>
        <w:pageBreakBefore w:val="0"/>
        <w:kinsoku/>
        <w:wordWrap/>
        <w:overflowPunct/>
        <w:topLinePunct w:val="0"/>
        <w:autoSpaceDE/>
        <w:autoSpaceDN/>
        <w:bidi w:val="0"/>
        <w:spacing w:line="600" w:lineRule="exact"/>
        <w:ind w:firstLine="602" w:firstLineChars="200"/>
        <w:textAlignment w:val="auto"/>
        <w:rPr>
          <w:rFonts w:hint="eastAsia" w:ascii="仿宋" w:hAnsi="仿宋" w:eastAsia="仿宋" w:cs="仿宋"/>
          <w:b w:val="0"/>
          <w:bCs w:val="0"/>
          <w:color w:val="auto"/>
          <w:sz w:val="30"/>
          <w:szCs w:val="30"/>
          <w:lang w:val="en-US" w:eastAsia="zh-CN"/>
        </w:rPr>
      </w:pPr>
      <w:r>
        <w:rPr>
          <w:rFonts w:hint="eastAsia" w:ascii="宋体" w:hAnsi="宋体" w:eastAsia="宋体" w:cs="宋体"/>
          <w:b/>
          <w:bCs/>
          <w:color w:val="auto"/>
          <w:sz w:val="30"/>
          <w:szCs w:val="30"/>
          <w:lang w:val="en-US" w:eastAsia="zh-CN"/>
        </w:rPr>
        <w:t>（二）年度绩效目标设定方面</w:t>
      </w:r>
      <w:r>
        <w:rPr>
          <w:rFonts w:hint="eastAsia" w:ascii="仿宋" w:hAnsi="仿宋" w:eastAsia="仿宋" w:cs="仿宋"/>
          <w:b w:val="0"/>
          <w:bCs w:val="0"/>
          <w:color w:val="auto"/>
          <w:sz w:val="30"/>
          <w:szCs w:val="30"/>
          <w:lang w:val="en-US" w:eastAsia="zh-CN"/>
        </w:rPr>
        <w:t xml:space="preserve"> 应从自身职责出发，综合考虑相关因素，全面系统的确定绩效目标，作为日后绩效评价的依据，充分体现绩效目标对工作的指导鞭笞工作。</w:t>
      </w:r>
    </w:p>
    <w:p>
      <w:pPr>
        <w:keepNext w:val="0"/>
        <w:keepLines w:val="0"/>
        <w:pageBreakBefore w:val="0"/>
        <w:kinsoku/>
        <w:wordWrap/>
        <w:overflowPunct/>
        <w:topLinePunct w:val="0"/>
        <w:autoSpaceDE/>
        <w:autoSpaceDN/>
        <w:bidi w:val="0"/>
        <w:spacing w:line="600" w:lineRule="exact"/>
        <w:ind w:firstLine="602" w:firstLineChars="200"/>
        <w:textAlignment w:val="auto"/>
        <w:rPr>
          <w:rFonts w:hint="eastAsia" w:ascii="仿宋" w:hAnsi="仿宋" w:eastAsia="仿宋" w:cs="仿宋"/>
          <w:color w:val="auto"/>
          <w:sz w:val="30"/>
          <w:szCs w:val="30"/>
          <w:lang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b/>
          <w:bCs/>
          <w:color w:val="auto"/>
          <w:sz w:val="30"/>
          <w:szCs w:val="30"/>
          <w:lang w:val="en-US" w:eastAsia="zh-CN"/>
        </w:rPr>
        <w:t>（三）完善管理制度，进一步加强资产管理</w:t>
      </w:r>
      <w:r>
        <w:rPr>
          <w:rFonts w:hint="eastAsia" w:ascii="宋体" w:hAnsi="宋体" w:eastAsia="宋体" w:cs="宋体"/>
          <w:b w:val="0"/>
          <w:bCs w:val="0"/>
          <w:color w:val="auto"/>
          <w:sz w:val="30"/>
          <w:szCs w:val="30"/>
          <w:lang w:val="en-US" w:eastAsia="zh-CN"/>
        </w:rPr>
        <w:t xml:space="preserve">  </w:t>
      </w:r>
      <w:r>
        <w:rPr>
          <w:rFonts w:hint="eastAsia" w:ascii="仿宋" w:hAnsi="仿宋" w:eastAsia="仿宋" w:cs="仿宋"/>
          <w:b w:val="0"/>
          <w:bCs w:val="0"/>
          <w:color w:val="auto"/>
          <w:sz w:val="30"/>
          <w:szCs w:val="30"/>
          <w:lang w:val="en-US" w:eastAsia="zh-CN"/>
        </w:rPr>
        <w:t>严格按照《固定资产管理办法》和《永州市供销合作联社机关财务管理制度》的规定加强固定资产管理，及进登记、更新台账，加强资产卡片管理，对各类实物资产进行全面盘点，确保账账、账实相符。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eastAsia="宋体"/>
          <w:b/>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eastAsia="宋体"/>
          <w:b/>
          <w:color w:val="auto"/>
          <w:sz w:val="44"/>
          <w:szCs w:val="44"/>
          <w:lang w:val="en-US" w:eastAsia="zh-CN"/>
        </w:rPr>
      </w:pPr>
      <w:r>
        <w:rPr>
          <w:rFonts w:hint="eastAsia" w:ascii="宋体" w:eastAsia="宋体"/>
          <w:b/>
          <w:color w:val="auto"/>
          <w:sz w:val="44"/>
          <w:szCs w:val="44"/>
        </w:rPr>
        <w:t>永州市供销合作联社</w:t>
      </w:r>
      <w:r>
        <w:rPr>
          <w:rFonts w:hint="eastAsia" w:ascii="宋体" w:eastAsia="宋体"/>
          <w:b/>
          <w:color w:val="auto"/>
          <w:sz w:val="44"/>
          <w:szCs w:val="44"/>
          <w:lang w:val="en-US" w:eastAsia="zh-CN"/>
        </w:rPr>
        <w:t>2020</w:t>
      </w:r>
      <w:r>
        <w:rPr>
          <w:rFonts w:hint="eastAsia" w:ascii="宋体" w:eastAsia="宋体"/>
          <w:b/>
          <w:color w:val="auto"/>
          <w:sz w:val="44"/>
          <w:szCs w:val="44"/>
        </w:rPr>
        <w:t>年</w:t>
      </w:r>
      <w:r>
        <w:rPr>
          <w:rFonts w:hint="eastAsia" w:ascii="宋体" w:eastAsia="宋体"/>
          <w:b/>
          <w:color w:val="auto"/>
          <w:sz w:val="44"/>
          <w:szCs w:val="44"/>
          <w:lang w:eastAsia="zh-CN"/>
        </w:rPr>
        <w:t>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eastAsia="宋体"/>
          <w:b/>
          <w:color w:val="auto"/>
          <w:sz w:val="44"/>
          <w:szCs w:val="44"/>
        </w:rPr>
      </w:pPr>
      <w:r>
        <w:rPr>
          <w:rFonts w:hint="eastAsia" w:ascii="宋体" w:eastAsia="宋体"/>
          <w:b/>
          <w:color w:val="auto"/>
          <w:sz w:val="44"/>
          <w:szCs w:val="44"/>
          <w:lang w:val="en-US" w:eastAsia="zh-CN"/>
        </w:rPr>
        <w:t>项目</w:t>
      </w:r>
      <w:r>
        <w:rPr>
          <w:rFonts w:hint="eastAsia" w:ascii="宋体" w:eastAsia="宋体"/>
          <w:b/>
          <w:color w:val="auto"/>
          <w:sz w:val="44"/>
          <w:szCs w:val="44"/>
        </w:rPr>
        <w:t>支出绩效自</w:t>
      </w:r>
      <w:r>
        <w:rPr>
          <w:rFonts w:hint="eastAsia" w:ascii="宋体" w:eastAsia="宋体"/>
          <w:b/>
          <w:color w:val="auto"/>
          <w:sz w:val="44"/>
          <w:szCs w:val="44"/>
          <w:lang w:eastAsia="zh-CN"/>
        </w:rPr>
        <w:t>评</w:t>
      </w:r>
      <w:r>
        <w:rPr>
          <w:rFonts w:hint="eastAsia" w:ascii="宋体" w:eastAsia="宋体"/>
          <w:b/>
          <w:color w:val="auto"/>
          <w:sz w:val="44"/>
          <w:szCs w:val="44"/>
        </w:rPr>
        <w:t>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eastAsia="宋体"/>
          <w:b/>
          <w:color w:val="auto"/>
          <w:sz w:val="44"/>
          <w:szCs w:val="44"/>
        </w:rPr>
      </w:pPr>
    </w:p>
    <w:p>
      <w:pPr>
        <w:keepNext w:val="0"/>
        <w:keepLines w:val="0"/>
        <w:pageBreakBefore w:val="0"/>
        <w:widowControl w:val="0"/>
        <w:kinsoku/>
        <w:wordWrap/>
        <w:overflowPunct/>
        <w:topLinePunct w:val="0"/>
        <w:autoSpaceDE/>
        <w:autoSpaceDN/>
        <w:bidi w:val="0"/>
        <w:spacing w:line="600" w:lineRule="exact"/>
        <w:ind w:right="0" w:firstLine="640" w:firstLineChars="200"/>
        <w:jc w:val="both"/>
        <w:textAlignment w:val="auto"/>
        <w:rPr>
          <w:rFonts w:hint="eastAsia" w:ascii="仿宋_GB2312" w:hAnsi="仿宋_GB2312" w:eastAsia="仿宋_GB2312" w:cs="仿宋_GB2312"/>
          <w:b/>
          <w:color w:val="auto"/>
          <w:sz w:val="32"/>
          <w:szCs w:val="32"/>
        </w:rPr>
      </w:pPr>
    </w:p>
    <w:p>
      <w:pPr>
        <w:keepNext w:val="0"/>
        <w:keepLines w:val="0"/>
        <w:pageBreakBefore w:val="0"/>
        <w:widowControl w:val="0"/>
        <w:kinsoku/>
        <w:wordWrap/>
        <w:overflowPunct/>
        <w:topLinePunct w:val="0"/>
        <w:autoSpaceDE/>
        <w:autoSpaceDN/>
        <w:bidi w:val="0"/>
        <w:spacing w:line="600" w:lineRule="exact"/>
        <w:ind w:right="0" w:firstLine="640" w:firstLineChars="200"/>
        <w:jc w:val="both"/>
        <w:textAlignment w:val="auto"/>
        <w:rPr>
          <w:rFonts w:hint="eastAsia" w:ascii="仿宋_GB2312" w:hAnsi="仿宋_GB2312" w:eastAsia="仿宋_GB2312" w:cs="仿宋_GB2312"/>
          <w:b/>
          <w:color w:val="auto"/>
          <w:sz w:val="32"/>
          <w:szCs w:val="32"/>
        </w:rPr>
      </w:pPr>
    </w:p>
    <w:p>
      <w:pPr>
        <w:keepNext w:val="0"/>
        <w:keepLines w:val="0"/>
        <w:pageBreakBefore w:val="0"/>
        <w:widowControl w:val="0"/>
        <w:kinsoku/>
        <w:wordWrap/>
        <w:overflowPunct/>
        <w:topLinePunct w:val="0"/>
        <w:autoSpaceDE/>
        <w:autoSpaceDN/>
        <w:bidi w:val="0"/>
        <w:spacing w:line="60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我单位2020年度项目支出数为0元，因此我单位2020年度无项目支出绩效自评报告。</w:t>
      </w:r>
    </w:p>
    <w:p>
      <w:pPr>
        <w:ind w:firstLine="640" w:firstLineChars="200"/>
        <w:jc w:val="left"/>
        <w:rPr>
          <w:rFonts w:cs="黑体" w:asciiTheme="minorEastAsia" w:hAnsiTheme="minorEastAsia"/>
          <w:color w:val="auto"/>
          <w:kern w:val="0"/>
          <w:sz w:val="32"/>
          <w:szCs w:val="32"/>
        </w:rPr>
      </w:pPr>
    </w:p>
    <w:p>
      <w:pPr>
        <w:pStyle w:val="2"/>
        <w:jc w:val="both"/>
        <w:rPr>
          <w:rFonts w:hint="default" w:eastAsia="黑体"/>
          <w:color w:val="auto"/>
          <w:lang w:val="en-US" w:eastAsia="zh-CN"/>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FDEC26"/>
    <w:multiLevelType w:val="singleLevel"/>
    <w:tmpl w:val="B1FDEC26"/>
    <w:lvl w:ilvl="0" w:tentative="0">
      <w:start w:val="5"/>
      <w:numFmt w:val="decimal"/>
      <w:suff w:val="nothing"/>
      <w:lvlText w:val="%1、"/>
      <w:lvlJc w:val="left"/>
    </w:lvl>
  </w:abstractNum>
  <w:abstractNum w:abstractNumId="1">
    <w:nsid w:val="09DD29B1"/>
    <w:multiLevelType w:val="singleLevel"/>
    <w:tmpl w:val="09DD29B1"/>
    <w:lvl w:ilvl="0" w:tentative="0">
      <w:start w:val="2"/>
      <w:numFmt w:val="chineseCounting"/>
      <w:suff w:val="nothing"/>
      <w:lvlText w:val="（%1）"/>
      <w:lvlJc w:val="left"/>
      <w:pPr>
        <w:ind w:left="-223"/>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yNDUzMWIyNTE1MjYwYWQzNThhZGQwMzE2ZjA2NzQifQ=="/>
  </w:docVars>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1AE31FF"/>
    <w:rsid w:val="03FD3884"/>
    <w:rsid w:val="079F183C"/>
    <w:rsid w:val="091630CD"/>
    <w:rsid w:val="0A0D4D9D"/>
    <w:rsid w:val="0B865F16"/>
    <w:rsid w:val="0E330078"/>
    <w:rsid w:val="0F385B78"/>
    <w:rsid w:val="0FD229C8"/>
    <w:rsid w:val="102C02A1"/>
    <w:rsid w:val="10B94F99"/>
    <w:rsid w:val="10E105AD"/>
    <w:rsid w:val="13120609"/>
    <w:rsid w:val="192516FC"/>
    <w:rsid w:val="1BBA4816"/>
    <w:rsid w:val="200D5BB2"/>
    <w:rsid w:val="209371C1"/>
    <w:rsid w:val="2493516B"/>
    <w:rsid w:val="282744CF"/>
    <w:rsid w:val="2CED13D0"/>
    <w:rsid w:val="2DFDEA31"/>
    <w:rsid w:val="2ED6B801"/>
    <w:rsid w:val="2F2635A0"/>
    <w:rsid w:val="30C92FF6"/>
    <w:rsid w:val="352713D7"/>
    <w:rsid w:val="37111735"/>
    <w:rsid w:val="3B731202"/>
    <w:rsid w:val="3CFC4496"/>
    <w:rsid w:val="3E015FF2"/>
    <w:rsid w:val="3FAF78E9"/>
    <w:rsid w:val="40437D7B"/>
    <w:rsid w:val="43FE2728"/>
    <w:rsid w:val="44134842"/>
    <w:rsid w:val="45A73615"/>
    <w:rsid w:val="4BB31299"/>
    <w:rsid w:val="52215C89"/>
    <w:rsid w:val="54FF0972"/>
    <w:rsid w:val="58E72DC9"/>
    <w:rsid w:val="5A6414A4"/>
    <w:rsid w:val="5ADF13AE"/>
    <w:rsid w:val="5C3042C0"/>
    <w:rsid w:val="5DCB3372"/>
    <w:rsid w:val="5EFD0664"/>
    <w:rsid w:val="5FBDCFA4"/>
    <w:rsid w:val="6429154F"/>
    <w:rsid w:val="650C7648"/>
    <w:rsid w:val="65972460"/>
    <w:rsid w:val="66DEDBA2"/>
    <w:rsid w:val="67D369B4"/>
    <w:rsid w:val="6A2C7F11"/>
    <w:rsid w:val="6AC85649"/>
    <w:rsid w:val="6F7630DF"/>
    <w:rsid w:val="6F9B0CC3"/>
    <w:rsid w:val="703378EC"/>
    <w:rsid w:val="712E2DAE"/>
    <w:rsid w:val="74F53E30"/>
    <w:rsid w:val="75C80976"/>
    <w:rsid w:val="75CF24BE"/>
    <w:rsid w:val="75EC3824"/>
    <w:rsid w:val="77FB7B8F"/>
    <w:rsid w:val="77FEF8AC"/>
    <w:rsid w:val="78471975"/>
    <w:rsid w:val="7A5B257E"/>
    <w:rsid w:val="7BE19C00"/>
    <w:rsid w:val="7BEF01F6"/>
    <w:rsid w:val="7DBF91BB"/>
    <w:rsid w:val="7E0365A9"/>
    <w:rsid w:val="7E1138EC"/>
    <w:rsid w:val="7EDF2386"/>
    <w:rsid w:val="7F5B1019"/>
    <w:rsid w:val="7FF57829"/>
    <w:rsid w:val="7FFD5A56"/>
    <w:rsid w:val="9CF95A7A"/>
    <w:rsid w:val="9FDC9E88"/>
    <w:rsid w:val="BF572C4B"/>
    <w:rsid w:val="BFA986C2"/>
    <w:rsid w:val="BFFF73BD"/>
    <w:rsid w:val="C7C34129"/>
    <w:rsid w:val="CA786907"/>
    <w:rsid w:val="CFF5F2B1"/>
    <w:rsid w:val="D3F36FEF"/>
    <w:rsid w:val="D7FB1594"/>
    <w:rsid w:val="DB5E05BB"/>
    <w:rsid w:val="DD4F7CE9"/>
    <w:rsid w:val="E6DFA4C2"/>
    <w:rsid w:val="E7FBF126"/>
    <w:rsid w:val="EFDF6C55"/>
    <w:rsid w:val="F4CFEA07"/>
    <w:rsid w:val="F7AE4061"/>
    <w:rsid w:val="F7FFE0D6"/>
    <w:rsid w:val="FB5FC644"/>
    <w:rsid w:val="FBAB1794"/>
    <w:rsid w:val="FBFCD180"/>
    <w:rsid w:val="FBFDA56F"/>
    <w:rsid w:val="FDBE55ED"/>
    <w:rsid w:val="FDE58226"/>
    <w:rsid w:val="FF69A1F6"/>
    <w:rsid w:val="FF6B2642"/>
    <w:rsid w:val="FF7E3400"/>
    <w:rsid w:val="FFAFAACF"/>
    <w:rsid w:val="FFBD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line="360" w:lineRule="auto"/>
      <w:jc w:val="center"/>
    </w:pPr>
    <w:rPr>
      <w:rFonts w:ascii="黑体" w:hAnsi="宋体" w:eastAsia="黑体" w:cs="黑体"/>
      <w:color w:val="0A4180"/>
      <w:kern w:val="44"/>
      <w:sz w:val="24"/>
      <w:szCs w:val="24"/>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 w:type="paragraph" w:customStyle="1" w:styleId="13">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7317</Words>
  <Characters>7826</Characters>
  <Lines>62</Lines>
  <Paragraphs>17</Paragraphs>
  <TotalTime>2</TotalTime>
  <ScaleCrop>false</ScaleCrop>
  <LinksUpToDate>false</LinksUpToDate>
  <CharactersWithSpaces>7866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2020-07-03T18:32:00Z</dcterms:created>
  <dc:creator>李航 null</dc:creator>
  <cp:lastModifiedBy>kylin</cp:lastModifiedBy>
  <cp:lastPrinted>2021-09-11T00:55:00Z</cp:lastPrinted>
  <dcterms:modified xsi:type="dcterms:W3CDTF">2022-08-24T09:00:39Z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7C726905F7B14C1288A43C6A3C28A92D</vt:lpwstr>
  </property>
</Properties>
</file>