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DD805">
      <w:pPr>
        <w:pStyle w:val="11"/>
        <w:jc w:val="center"/>
        <w:rPr>
          <w:color w:val="auto"/>
          <w:sz w:val="56"/>
          <w:szCs w:val="56"/>
          <w:highlight w:val="none"/>
        </w:rPr>
      </w:pPr>
    </w:p>
    <w:p w14:paraId="0ABDFC93">
      <w:pPr>
        <w:pStyle w:val="11"/>
        <w:jc w:val="center"/>
        <w:rPr>
          <w:color w:val="auto"/>
          <w:sz w:val="56"/>
          <w:szCs w:val="56"/>
          <w:highlight w:val="none"/>
        </w:rPr>
      </w:pPr>
    </w:p>
    <w:p w14:paraId="615766A6">
      <w:pPr>
        <w:pStyle w:val="11"/>
        <w:jc w:val="center"/>
        <w:rPr>
          <w:color w:val="auto"/>
          <w:sz w:val="84"/>
          <w:szCs w:val="84"/>
          <w:highlight w:val="none"/>
        </w:rPr>
      </w:pPr>
    </w:p>
    <w:p w14:paraId="56F9DE7C">
      <w:pPr>
        <w:pStyle w:val="11"/>
        <w:jc w:val="center"/>
        <w:rPr>
          <w:color w:val="auto"/>
          <w:sz w:val="84"/>
          <w:szCs w:val="84"/>
          <w:highlight w:val="none"/>
        </w:rPr>
      </w:pPr>
    </w:p>
    <w:p w14:paraId="23D51F21">
      <w:pPr>
        <w:pStyle w:val="11"/>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202</w:t>
      </w:r>
      <w:r>
        <w:rPr>
          <w:rFonts w:hint="eastAsia" w:ascii="方正小标宋_GBK" w:hAnsi="方正小标宋_GBK" w:eastAsia="方正小标宋_GBK" w:cs="方正小标宋_GBK"/>
          <w:color w:val="auto"/>
          <w:sz w:val="84"/>
          <w:szCs w:val="84"/>
          <w:highlight w:val="none"/>
          <w:lang w:val="en-US" w:eastAsia="zh-CN"/>
        </w:rPr>
        <w:t>2</w:t>
      </w:r>
      <w:r>
        <w:rPr>
          <w:rFonts w:hint="eastAsia" w:ascii="方正小标宋_GBK" w:hAnsi="方正小标宋_GBK" w:eastAsia="方正小标宋_GBK" w:cs="方正小标宋_GBK"/>
          <w:color w:val="auto"/>
          <w:sz w:val="84"/>
          <w:szCs w:val="84"/>
          <w:highlight w:val="none"/>
        </w:rPr>
        <w:t>年度</w:t>
      </w:r>
    </w:p>
    <w:p w14:paraId="16AAC305">
      <w:pPr>
        <w:pStyle w:val="11"/>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lang w:val="en-US" w:eastAsia="zh-CN"/>
        </w:rPr>
        <w:t>永州市住房公积金管理中心</w:t>
      </w:r>
      <w:r>
        <w:rPr>
          <w:rFonts w:hint="eastAsia" w:ascii="方正小标宋_GBK" w:hAnsi="方正小标宋_GBK" w:eastAsia="方正小标宋_GBK" w:cs="方正小标宋_GBK"/>
          <w:color w:val="auto"/>
          <w:sz w:val="84"/>
          <w:szCs w:val="84"/>
          <w:highlight w:val="none"/>
        </w:rPr>
        <w:t>部门决算</w:t>
      </w:r>
    </w:p>
    <w:p w14:paraId="52ED08FE">
      <w:pPr>
        <w:pStyle w:val="11"/>
        <w:jc w:val="center"/>
        <w:rPr>
          <w:rFonts w:hint="eastAsia" w:ascii="方正小标宋_GBK" w:hAnsi="方正小标宋_GBK" w:eastAsia="方正小标宋_GBK" w:cs="方正小标宋_GBK"/>
          <w:color w:val="auto"/>
          <w:sz w:val="56"/>
          <w:szCs w:val="56"/>
          <w:highlight w:val="none"/>
        </w:rPr>
      </w:pPr>
    </w:p>
    <w:p w14:paraId="4A35A557">
      <w:pPr>
        <w:pStyle w:val="11"/>
        <w:jc w:val="center"/>
        <w:rPr>
          <w:color w:val="auto"/>
          <w:sz w:val="56"/>
          <w:szCs w:val="56"/>
          <w:highlight w:val="none"/>
        </w:rPr>
      </w:pPr>
    </w:p>
    <w:p w14:paraId="59A2C6E4">
      <w:pPr>
        <w:pStyle w:val="11"/>
        <w:jc w:val="center"/>
        <w:rPr>
          <w:color w:val="auto"/>
          <w:sz w:val="56"/>
          <w:szCs w:val="56"/>
          <w:highlight w:val="none"/>
        </w:rPr>
      </w:pPr>
    </w:p>
    <w:p w14:paraId="69BEFFAB">
      <w:pPr>
        <w:pStyle w:val="11"/>
        <w:jc w:val="center"/>
        <w:rPr>
          <w:color w:val="auto"/>
          <w:sz w:val="56"/>
          <w:szCs w:val="56"/>
          <w:highlight w:val="none"/>
        </w:rPr>
      </w:pPr>
    </w:p>
    <w:p w14:paraId="13ED551D">
      <w:pPr>
        <w:pStyle w:val="11"/>
        <w:jc w:val="center"/>
        <w:rPr>
          <w:color w:val="auto"/>
          <w:sz w:val="32"/>
          <w:szCs w:val="32"/>
          <w:highlight w:val="none"/>
        </w:rPr>
      </w:pPr>
    </w:p>
    <w:p w14:paraId="35F5490F">
      <w:pPr>
        <w:pStyle w:val="11"/>
        <w:jc w:val="center"/>
        <w:rPr>
          <w:color w:val="auto"/>
          <w:sz w:val="32"/>
          <w:szCs w:val="32"/>
          <w:highlight w:val="none"/>
        </w:rPr>
      </w:pPr>
    </w:p>
    <w:p w14:paraId="02028939">
      <w:pPr>
        <w:pStyle w:val="11"/>
        <w:spacing w:line="500" w:lineRule="exact"/>
        <w:jc w:val="both"/>
        <w:rPr>
          <w:b/>
          <w:color w:val="auto"/>
          <w:sz w:val="36"/>
          <w:szCs w:val="28"/>
          <w:highlight w:val="none"/>
        </w:rPr>
      </w:pPr>
    </w:p>
    <w:p w14:paraId="3D12FB22">
      <w:pPr>
        <w:pStyle w:val="11"/>
        <w:spacing w:line="500" w:lineRule="exact"/>
        <w:jc w:val="both"/>
        <w:rPr>
          <w:b/>
          <w:color w:val="auto"/>
          <w:sz w:val="36"/>
          <w:szCs w:val="28"/>
          <w:highlight w:val="none"/>
        </w:rPr>
      </w:pPr>
    </w:p>
    <w:p w14:paraId="18AF5312">
      <w:pPr>
        <w:pStyle w:val="11"/>
        <w:spacing w:line="500" w:lineRule="exact"/>
        <w:jc w:val="center"/>
        <w:rPr>
          <w:b/>
          <w:color w:val="auto"/>
          <w:sz w:val="36"/>
          <w:szCs w:val="28"/>
          <w:highlight w:val="none"/>
        </w:rPr>
      </w:pPr>
      <w:r>
        <w:rPr>
          <w:rFonts w:hint="eastAsia"/>
          <w:b/>
          <w:color w:val="auto"/>
          <w:sz w:val="36"/>
          <w:szCs w:val="28"/>
          <w:highlight w:val="none"/>
        </w:rPr>
        <w:t>目录</w:t>
      </w:r>
    </w:p>
    <w:p w14:paraId="62857772">
      <w:pPr>
        <w:pStyle w:val="11"/>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第一部分</w:t>
      </w:r>
      <w:r>
        <w:rPr>
          <w:rFonts w:hint="eastAsia" w:ascii="黑体" w:hAnsi="黑体" w:eastAsia="黑体" w:cs="黑体"/>
          <w:b w:val="0"/>
          <w:bCs/>
          <w:color w:val="auto"/>
          <w:sz w:val="28"/>
          <w:szCs w:val="28"/>
          <w:highlight w:val="none"/>
          <w:lang w:val="en-US" w:eastAsia="zh-CN"/>
        </w:rPr>
        <w:t xml:space="preserve"> </w:t>
      </w:r>
      <w:r>
        <w:rPr>
          <w:rFonts w:hint="eastAsia" w:hAnsi="黑体" w:cs="黑体"/>
          <w:b w:val="0"/>
          <w:bCs/>
          <w:color w:val="auto"/>
          <w:sz w:val="28"/>
          <w:szCs w:val="28"/>
          <w:highlight w:val="none"/>
          <w:lang w:eastAsia="zh-CN"/>
        </w:rPr>
        <w:t>永州市住房公积金管理中心</w:t>
      </w:r>
      <w:r>
        <w:rPr>
          <w:rFonts w:hint="eastAsia" w:ascii="黑体" w:hAnsi="黑体" w:eastAsia="黑体" w:cs="黑体"/>
          <w:b w:val="0"/>
          <w:bCs/>
          <w:color w:val="auto"/>
          <w:sz w:val="28"/>
          <w:szCs w:val="28"/>
          <w:highlight w:val="none"/>
        </w:rPr>
        <w:t>概况</w:t>
      </w:r>
    </w:p>
    <w:p w14:paraId="2E76A71A">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一、部门职责</w:t>
      </w:r>
    </w:p>
    <w:p w14:paraId="07F77C70">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二、机构设置</w:t>
      </w:r>
    </w:p>
    <w:p w14:paraId="083208A9">
      <w:pPr>
        <w:pStyle w:val="11"/>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第二部分</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部门决算表</w:t>
      </w:r>
    </w:p>
    <w:p w14:paraId="097C0BD6">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一、收入支出决算总表</w:t>
      </w:r>
    </w:p>
    <w:p w14:paraId="2B088798">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二、收入决算表</w:t>
      </w:r>
    </w:p>
    <w:p w14:paraId="6FE721B6">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三、支出决算表</w:t>
      </w:r>
    </w:p>
    <w:p w14:paraId="75A71DF9">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四、财政拨款收入支出决算总表</w:t>
      </w:r>
    </w:p>
    <w:p w14:paraId="48DCC90E">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五、一般公共预算财政拨款支出决算表</w:t>
      </w:r>
    </w:p>
    <w:p w14:paraId="114C280E">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六、一般公共预算财政拨款基本支出决算明细表</w:t>
      </w:r>
    </w:p>
    <w:p w14:paraId="1E7E40A1">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七、政府性基金预算财政拨款收入支出决算表</w:t>
      </w:r>
    </w:p>
    <w:p w14:paraId="581BC59F">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八、国有资本经营预算财政拨款支出决算表</w:t>
      </w:r>
    </w:p>
    <w:p w14:paraId="3A3CA9F1">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九、财政拨款“三公”经费支出决算表</w:t>
      </w:r>
    </w:p>
    <w:p w14:paraId="47268634">
      <w:pPr>
        <w:pStyle w:val="11"/>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第三部分</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部门决算情况说明</w:t>
      </w:r>
    </w:p>
    <w:p w14:paraId="1DC79B55">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一、收入支出决算总体情况说明</w:t>
      </w:r>
    </w:p>
    <w:p w14:paraId="0856AF44">
      <w:pPr>
        <w:spacing w:line="500" w:lineRule="exact"/>
        <w:ind w:firstLine="700" w:firstLineChars="25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二、收入决算情况说明</w:t>
      </w:r>
    </w:p>
    <w:p w14:paraId="35DE9086">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三、支出决算情况说明</w:t>
      </w:r>
    </w:p>
    <w:p w14:paraId="662ECA15">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四、财政拨款收入支出决算总体情况说明</w:t>
      </w:r>
    </w:p>
    <w:p w14:paraId="737CFA62">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五、一般公共预算财政拨款支出决算情况说明</w:t>
      </w:r>
    </w:p>
    <w:p w14:paraId="79B7BC05">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六、一般公共预算财政拨款基本支出决算情况说明</w:t>
      </w:r>
    </w:p>
    <w:p w14:paraId="3F4A9994">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七、一般公共预算财政拨款三公经费支出决算情况说明</w:t>
      </w:r>
    </w:p>
    <w:p w14:paraId="18C36186">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八、政府性基金预算收入支出决算情况</w:t>
      </w:r>
    </w:p>
    <w:p w14:paraId="5969B7B3">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九、关于机关运行经费支出说明</w:t>
      </w:r>
    </w:p>
    <w:p w14:paraId="1A0739E6">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十、一般性支出情况说明</w:t>
      </w:r>
    </w:p>
    <w:p w14:paraId="2F5FBBA8">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十一、关于政府采购支出说明</w:t>
      </w:r>
    </w:p>
    <w:p w14:paraId="7B60A5A7">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十二、关于国有资产占用情况说明</w:t>
      </w:r>
    </w:p>
    <w:p w14:paraId="076633F6">
      <w:pPr>
        <w:pStyle w:val="11"/>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十三、关于预算绩效情况的说明</w:t>
      </w:r>
    </w:p>
    <w:p w14:paraId="1290C82B">
      <w:pPr>
        <w:pStyle w:val="11"/>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第四部分</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名词解释</w:t>
      </w:r>
    </w:p>
    <w:p w14:paraId="67DE9599">
      <w:pPr>
        <w:jc w:val="center"/>
        <w:rPr>
          <w:color w:val="auto"/>
          <w:sz w:val="72"/>
          <w:szCs w:val="72"/>
          <w:highlight w:val="none"/>
        </w:rPr>
      </w:pPr>
    </w:p>
    <w:p w14:paraId="46EE2174">
      <w:pPr>
        <w:jc w:val="center"/>
        <w:rPr>
          <w:color w:val="auto"/>
          <w:sz w:val="72"/>
          <w:szCs w:val="72"/>
          <w:highlight w:val="none"/>
        </w:rPr>
      </w:pPr>
    </w:p>
    <w:p w14:paraId="1789DF62">
      <w:pPr>
        <w:jc w:val="center"/>
        <w:rPr>
          <w:color w:val="auto"/>
          <w:sz w:val="72"/>
          <w:szCs w:val="72"/>
          <w:highlight w:val="none"/>
        </w:rPr>
      </w:pPr>
    </w:p>
    <w:p w14:paraId="3608F1C5">
      <w:pPr>
        <w:jc w:val="center"/>
        <w:rPr>
          <w:color w:val="auto"/>
          <w:sz w:val="72"/>
          <w:szCs w:val="72"/>
          <w:highlight w:val="none"/>
        </w:rPr>
      </w:pPr>
    </w:p>
    <w:p w14:paraId="42A40FA2">
      <w:pPr>
        <w:pStyle w:val="11"/>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第一部分</w:t>
      </w:r>
    </w:p>
    <w:p w14:paraId="76E07600">
      <w:pPr>
        <w:pStyle w:val="11"/>
        <w:jc w:val="center"/>
        <w:rPr>
          <w:rFonts w:hint="eastAsia" w:ascii="方正小标宋_GBK" w:hAnsi="方正小标宋_GBK" w:eastAsia="方正小标宋_GBK" w:cs="方正小标宋_GBK"/>
          <w:color w:val="auto"/>
          <w:sz w:val="84"/>
          <w:szCs w:val="84"/>
          <w:highlight w:val="none"/>
        </w:rPr>
      </w:pPr>
    </w:p>
    <w:p w14:paraId="45BD90AE">
      <w:pPr>
        <w:pStyle w:val="11"/>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lang w:val="en-US" w:eastAsia="zh-CN"/>
        </w:rPr>
        <w:t>永州市住房公积金管理中心</w:t>
      </w:r>
      <w:r>
        <w:rPr>
          <w:rFonts w:hint="eastAsia" w:ascii="方正小标宋_GBK" w:hAnsi="方正小标宋_GBK" w:eastAsia="方正小标宋_GBK" w:cs="方正小标宋_GBK"/>
          <w:color w:val="auto"/>
          <w:sz w:val="84"/>
          <w:szCs w:val="84"/>
          <w:highlight w:val="none"/>
        </w:rPr>
        <w:t>概况</w:t>
      </w:r>
    </w:p>
    <w:p w14:paraId="3A2F431D">
      <w:pPr>
        <w:jc w:val="center"/>
        <w:rPr>
          <w:rFonts w:hint="eastAsia" w:ascii="方正小标宋_GBK" w:hAnsi="方正小标宋_GBK" w:eastAsia="方正小标宋_GBK" w:cs="方正小标宋_GBK"/>
          <w:color w:val="auto"/>
          <w:sz w:val="72"/>
          <w:szCs w:val="72"/>
          <w:highlight w:val="none"/>
        </w:rPr>
      </w:pPr>
    </w:p>
    <w:p w14:paraId="4FCD2F0B">
      <w:pPr>
        <w:jc w:val="center"/>
        <w:rPr>
          <w:rFonts w:hint="eastAsia" w:ascii="方正小标宋_GBK" w:hAnsi="方正小标宋_GBK" w:eastAsia="方正小标宋_GBK" w:cs="方正小标宋_GBK"/>
          <w:color w:val="auto"/>
          <w:sz w:val="72"/>
          <w:szCs w:val="72"/>
          <w:highlight w:val="none"/>
        </w:rPr>
      </w:pPr>
    </w:p>
    <w:p w14:paraId="0843C7AC">
      <w:pPr>
        <w:jc w:val="center"/>
        <w:rPr>
          <w:rFonts w:hint="eastAsia" w:ascii="方正小标宋_GBK" w:hAnsi="方正小标宋_GBK" w:eastAsia="方正小标宋_GBK" w:cs="方正小标宋_GBK"/>
          <w:color w:val="auto"/>
          <w:sz w:val="72"/>
          <w:szCs w:val="72"/>
          <w:highlight w:val="none"/>
        </w:rPr>
        <w:sectPr>
          <w:pgSz w:w="11906" w:h="16838"/>
          <w:pgMar w:top="720" w:right="720" w:bottom="720" w:left="720" w:header="851" w:footer="992" w:gutter="0"/>
          <w:cols w:space="425" w:num="1"/>
          <w:docGrid w:type="lines" w:linePitch="312" w:charSpace="0"/>
        </w:sectPr>
      </w:pPr>
    </w:p>
    <w:p w14:paraId="18EF7DC6">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auto"/>
          <w:kern w:val="0"/>
          <w:sz w:val="32"/>
          <w:szCs w:val="32"/>
          <w:highlight w:val="none"/>
        </w:rPr>
      </w:pPr>
      <w:r>
        <w:rPr>
          <w:rFonts w:hint="eastAsia" w:ascii="黑体" w:hAnsi="黑体" w:eastAsia="黑体" w:cs="黑体"/>
          <w:b w:val="0"/>
          <w:bCs/>
          <w:color w:val="auto"/>
          <w:kern w:val="0"/>
          <w:sz w:val="32"/>
          <w:szCs w:val="32"/>
          <w:highlight w:val="none"/>
          <w:lang w:eastAsia="zh-CN"/>
        </w:rPr>
        <w:t>一、</w:t>
      </w:r>
      <w:r>
        <w:rPr>
          <w:rFonts w:hint="eastAsia" w:ascii="黑体" w:hAnsi="黑体" w:eastAsia="黑体" w:cs="黑体"/>
          <w:b w:val="0"/>
          <w:bCs/>
          <w:color w:val="auto"/>
          <w:kern w:val="0"/>
          <w:sz w:val="32"/>
          <w:szCs w:val="32"/>
          <w:highlight w:val="none"/>
        </w:rPr>
        <w:t>部门职责</w:t>
      </w:r>
    </w:p>
    <w:p w14:paraId="5B8D185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cs="黑体" w:asciiTheme="minorEastAsia" w:hAnsiTheme="minorEastAsia" w:eastAsiaTheme="minorEastAsia"/>
          <w:color w:val="auto"/>
          <w:kern w:val="0"/>
          <w:sz w:val="32"/>
          <w:szCs w:val="32"/>
          <w:highlight w:val="none"/>
          <w:lang w:val="en-US" w:eastAsia="zh-CN" w:bidi="ar-SA"/>
        </w:rPr>
      </w:pPr>
      <w:r>
        <w:rPr>
          <w:rFonts w:hint="eastAsia" w:ascii="Times New Roman" w:hAnsi="Times New Roman" w:eastAsia="仿宋_GB2312" w:cs="仿宋_GB2312"/>
          <w:color w:val="auto"/>
          <w:sz w:val="32"/>
          <w:szCs w:val="32"/>
          <w:highlight w:val="none"/>
          <w:lang w:val="en-US" w:eastAsia="zh-CN"/>
        </w:rPr>
        <w:t>永州市住房公积金管理中心是市人民政府直属正处级公益一类事业单位，主要负责全市住房公积金的归集、使用和管理工作，主要职责是：</w:t>
      </w:r>
    </w:p>
    <w:p w14:paraId="5984F88B">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编制、执行住房公积金的归集、使用计划；</w:t>
      </w:r>
    </w:p>
    <w:p w14:paraId="1FAB41BB">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（二）</w:t>
      </w:r>
      <w:r>
        <w:rPr>
          <w:rFonts w:hint="eastAsia" w:ascii="Times New Roman" w:hAnsi="Times New Roman" w:eastAsia="仿宋_GB2312" w:cs="仿宋_GB2312"/>
          <w:color w:val="auto"/>
          <w:sz w:val="32"/>
          <w:szCs w:val="32"/>
          <w:highlight w:val="none"/>
          <w:lang w:val="en-US" w:eastAsia="zh-CN"/>
        </w:rPr>
        <w:t>负责记载职工住房公积金的缴存、提取使用等情况；</w:t>
      </w:r>
    </w:p>
    <w:p w14:paraId="03CEEB99">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（三）负责住房公积金的核算、保值和归还；</w:t>
      </w:r>
    </w:p>
    <w:p w14:paraId="35107D9D">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（四）审批住房公积金的提取和使用；</w:t>
      </w:r>
    </w:p>
    <w:p w14:paraId="4A6A62AF">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（五）编制住房公积金归集、使用计划执行情况的报告；</w:t>
      </w:r>
    </w:p>
    <w:p w14:paraId="0B9895AB">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（六）拟定住房公积金增值收益分配方案；</w:t>
      </w:r>
    </w:p>
    <w:p w14:paraId="37CB6ED0">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（七）检查单位住房公积金的登记和缴存情况；</w:t>
      </w:r>
    </w:p>
    <w:p w14:paraId="5F474F99">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（八）受理违反住房公积金管理规定行为的投诉和举报；</w:t>
      </w:r>
    </w:p>
    <w:p w14:paraId="17E61649">
      <w:pPr>
        <w:keepNext w:val="0"/>
        <w:keepLines w:val="0"/>
        <w:pageBreakBefore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（九）承办市住房公积金管理委员会和市委、市政府决定的其他事项。</w:t>
      </w:r>
    </w:p>
    <w:p w14:paraId="172C4BD2">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auto"/>
          <w:kern w:val="0"/>
          <w:sz w:val="32"/>
          <w:szCs w:val="32"/>
          <w:highlight w:val="none"/>
        </w:rPr>
      </w:pPr>
      <w:r>
        <w:rPr>
          <w:rFonts w:hint="eastAsia" w:ascii="黑体" w:hAnsi="黑体" w:eastAsia="黑体" w:cs="黑体"/>
          <w:b w:val="0"/>
          <w:bCs/>
          <w:color w:val="auto"/>
          <w:kern w:val="0"/>
          <w:sz w:val="32"/>
          <w:szCs w:val="32"/>
          <w:highlight w:val="none"/>
        </w:rPr>
        <w:t>二、机构设置及决算单位构成</w:t>
      </w:r>
    </w:p>
    <w:p w14:paraId="4366568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一）内设机构设置。永州市住房公积金管理中心内设综合部、财务部、人力资源部、稽查部、资金归集部、资金营运部、信息管理部、资金结算部、电子业务部、资产管理部10个部室，下设直属营业部和冷水滩管理部、零陵管理部、祁阳管理部、东安管理部、双牌管理部、道县管理部、江永管理部、江华管理部、宁远管理部、新田管理部、蓝山管理部11个县区管理部。事业编制109名，从业人员112人，其中在编人员104人、非在编人员8人。</w:t>
      </w:r>
    </w:p>
    <w:p w14:paraId="4F26F6F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二）决算单位构成。永州市住房公积金管理中心2022年部门决算汇总公开单位构成包括：永州市住房公积金管理中心机关及直属营业部、县区管理部，中心机关、直属营业部、县区管理部统一财务收支管理，因此2022年度部门决算公开单位为永州市住房公积金管理中心。</w:t>
      </w:r>
    </w:p>
    <w:p w14:paraId="50EF46B3">
      <w:pPr>
        <w:jc w:val="left"/>
        <w:rPr>
          <w:rFonts w:ascii="仿宋_GB2312" w:eastAsia="仿宋_GB2312" w:hAnsiTheme="minorEastAsia"/>
          <w:color w:val="auto"/>
          <w:sz w:val="28"/>
          <w:szCs w:val="32"/>
          <w:highlight w:val="none"/>
        </w:rPr>
      </w:pPr>
    </w:p>
    <w:p w14:paraId="515C5885">
      <w:pPr>
        <w:jc w:val="center"/>
        <w:rPr>
          <w:rFonts w:ascii="黑体" w:hAnsi="黑体" w:eastAsia="黑体"/>
          <w:color w:val="auto"/>
          <w:sz w:val="28"/>
          <w:szCs w:val="28"/>
          <w:highlight w:val="none"/>
        </w:rPr>
      </w:pPr>
    </w:p>
    <w:p w14:paraId="0C33EEEC">
      <w:pPr>
        <w:jc w:val="center"/>
        <w:rPr>
          <w:rFonts w:ascii="黑体" w:hAnsi="黑体" w:eastAsia="黑体"/>
          <w:color w:val="auto"/>
          <w:sz w:val="28"/>
          <w:szCs w:val="28"/>
          <w:highlight w:val="none"/>
        </w:rPr>
      </w:pPr>
    </w:p>
    <w:p w14:paraId="56AB4224">
      <w:pPr>
        <w:jc w:val="center"/>
        <w:rPr>
          <w:rFonts w:ascii="黑体" w:hAnsi="黑体" w:eastAsia="黑体"/>
          <w:color w:val="auto"/>
          <w:sz w:val="28"/>
          <w:szCs w:val="28"/>
          <w:highlight w:val="none"/>
        </w:rPr>
      </w:pPr>
    </w:p>
    <w:p w14:paraId="3ED29F0F">
      <w:pPr>
        <w:pStyle w:val="11"/>
        <w:jc w:val="both"/>
        <w:rPr>
          <w:rFonts w:hint="eastAsia" w:ascii="方正小标宋_GBK" w:hAnsi="方正小标宋_GBK" w:eastAsia="方正小标宋_GBK" w:cs="方正小标宋_GBK"/>
          <w:color w:val="auto"/>
          <w:sz w:val="84"/>
          <w:szCs w:val="84"/>
          <w:highlight w:val="none"/>
        </w:rPr>
      </w:pPr>
    </w:p>
    <w:p w14:paraId="3C2C100F">
      <w:pPr>
        <w:pStyle w:val="11"/>
        <w:jc w:val="both"/>
        <w:rPr>
          <w:rFonts w:hint="eastAsia" w:ascii="方正小标宋_GBK" w:hAnsi="方正小标宋_GBK" w:eastAsia="方正小标宋_GBK" w:cs="方正小标宋_GBK"/>
          <w:color w:val="auto"/>
          <w:sz w:val="84"/>
          <w:szCs w:val="84"/>
          <w:highlight w:val="none"/>
        </w:rPr>
      </w:pPr>
    </w:p>
    <w:p w14:paraId="294EB30A">
      <w:pPr>
        <w:pStyle w:val="11"/>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第二部分</w:t>
      </w:r>
    </w:p>
    <w:p w14:paraId="7E761399">
      <w:pPr>
        <w:pStyle w:val="11"/>
        <w:jc w:val="center"/>
        <w:rPr>
          <w:rFonts w:hint="eastAsia" w:ascii="方正小标宋_GBK" w:hAnsi="方正小标宋_GBK" w:eastAsia="方正小标宋_GBK" w:cs="方正小标宋_GBK"/>
          <w:color w:val="auto"/>
          <w:sz w:val="84"/>
          <w:szCs w:val="84"/>
          <w:highlight w:val="none"/>
        </w:rPr>
      </w:pPr>
    </w:p>
    <w:p w14:paraId="368B97F5">
      <w:pPr>
        <w:pStyle w:val="11"/>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部门决算表</w:t>
      </w:r>
    </w:p>
    <w:p w14:paraId="1F66346F">
      <w:pPr>
        <w:jc w:val="center"/>
        <w:rPr>
          <w:color w:val="auto"/>
          <w:sz w:val="72"/>
          <w:szCs w:val="72"/>
          <w:highlight w:val="none"/>
        </w:rPr>
      </w:pPr>
    </w:p>
    <w:p w14:paraId="592FCACF">
      <w:pPr>
        <w:jc w:val="center"/>
        <w:rPr>
          <w:color w:val="auto"/>
          <w:sz w:val="72"/>
          <w:szCs w:val="72"/>
          <w:highlight w:val="none"/>
        </w:rPr>
      </w:pPr>
    </w:p>
    <w:p w14:paraId="57B62131">
      <w:pPr>
        <w:jc w:val="center"/>
        <w:rPr>
          <w:color w:val="auto"/>
          <w:sz w:val="72"/>
          <w:szCs w:val="72"/>
          <w:highlight w:val="none"/>
        </w:rPr>
      </w:pPr>
    </w:p>
    <w:p w14:paraId="40F4F8DC">
      <w:pPr>
        <w:jc w:val="center"/>
        <w:rPr>
          <w:color w:val="auto"/>
          <w:sz w:val="72"/>
          <w:szCs w:val="72"/>
          <w:highlight w:val="none"/>
        </w:rPr>
      </w:pPr>
    </w:p>
    <w:p w14:paraId="07C2879C">
      <w:pPr>
        <w:jc w:val="center"/>
        <w:rPr>
          <w:color w:val="auto"/>
          <w:sz w:val="72"/>
          <w:szCs w:val="72"/>
          <w:highlight w:val="none"/>
        </w:rPr>
      </w:pPr>
    </w:p>
    <w:p w14:paraId="2EA34198">
      <w:pPr>
        <w:jc w:val="left"/>
        <w:rPr>
          <w:rFonts w:asciiTheme="minorEastAsia" w:hAnsiTheme="minorEastAsia"/>
          <w:color w:val="auto"/>
          <w:sz w:val="32"/>
          <w:szCs w:val="32"/>
          <w:highlight w:val="none"/>
        </w:rPr>
        <w:sectPr>
          <w:pgSz w:w="11906" w:h="16838"/>
          <w:pgMar w:top="720" w:right="720" w:bottom="720" w:left="720" w:header="851" w:footer="992" w:gutter="0"/>
          <w:cols w:space="425" w:num="1"/>
          <w:docGrid w:type="lines" w:linePitch="312" w:charSpace="0"/>
        </w:sectPr>
      </w:pPr>
    </w:p>
    <w:p w14:paraId="41B46F13">
      <w:pPr>
        <w:autoSpaceDE w:val="0"/>
        <w:autoSpaceDN w:val="0"/>
        <w:adjustRightInd w:val="0"/>
        <w:jc w:val="center"/>
        <w:rPr>
          <w:rFonts w:hint="eastAsia" w:ascii="宋体" w:eastAsia="宋体" w:cs="宋体"/>
          <w:color w:val="auto"/>
          <w:kern w:val="0"/>
          <w:sz w:val="24"/>
          <w:szCs w:val="24"/>
          <w:highlight w:val="none"/>
          <w:lang w:eastAsia="zh-CN"/>
        </w:rPr>
      </w:pPr>
      <w:r>
        <w:rPr>
          <w:rFonts w:hint="eastAsia" w:ascii="宋体" w:eastAsia="宋体" w:cs="宋体"/>
          <w:color w:val="auto"/>
          <w:kern w:val="0"/>
          <w:sz w:val="24"/>
          <w:szCs w:val="24"/>
          <w:highlight w:val="none"/>
          <w:lang w:eastAsia="zh-CN"/>
        </w:rPr>
        <w:drawing>
          <wp:inline distT="0" distB="0" distL="114300" distR="114300">
            <wp:extent cx="9400540" cy="6642100"/>
            <wp:effectExtent l="0" t="0" r="10160" b="6350"/>
            <wp:docPr id="9" name="图片 9" descr="永州市住房公积金管理中心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永州市住房公积金管理中心_00"/>
                    <pic:cNvPicPr>
                      <a:picLocks noChangeAspect="1"/>
                    </pic:cNvPicPr>
                  </pic:nvPicPr>
                  <pic:blipFill>
                    <a:blip r:embed="rId4"/>
                    <a:stretch>
                      <a:fillRect/>
                    </a:stretch>
                  </pic:blipFill>
                  <pic:spPr>
                    <a:xfrm>
                      <a:off x="0" y="0"/>
                      <a:ext cx="9400540" cy="6642100"/>
                    </a:xfrm>
                    <a:prstGeom prst="rect">
                      <a:avLst/>
                    </a:prstGeom>
                  </pic:spPr>
                </pic:pic>
              </a:graphicData>
            </a:graphic>
          </wp:inline>
        </w:drawing>
      </w:r>
      <w:r>
        <w:rPr>
          <w:rFonts w:hint="eastAsia" w:ascii="宋体" w:eastAsia="宋体" w:cs="宋体"/>
          <w:color w:val="auto"/>
          <w:kern w:val="0"/>
          <w:sz w:val="24"/>
          <w:szCs w:val="24"/>
          <w:highlight w:val="none"/>
          <w:lang w:eastAsia="zh-CN"/>
        </w:rPr>
        <w:drawing>
          <wp:inline distT="0" distB="0" distL="114300" distR="114300">
            <wp:extent cx="9400540" cy="6642100"/>
            <wp:effectExtent l="0" t="0" r="10160" b="6350"/>
            <wp:docPr id="8" name="图片 8" descr="永州市住房公积金管理中心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永州市住房公积金管理中心_01"/>
                    <pic:cNvPicPr>
                      <a:picLocks noChangeAspect="1"/>
                    </pic:cNvPicPr>
                  </pic:nvPicPr>
                  <pic:blipFill>
                    <a:blip r:embed="rId5"/>
                    <a:stretch>
                      <a:fillRect/>
                    </a:stretch>
                  </pic:blipFill>
                  <pic:spPr>
                    <a:xfrm>
                      <a:off x="0" y="0"/>
                      <a:ext cx="9400540" cy="6642100"/>
                    </a:xfrm>
                    <a:prstGeom prst="rect">
                      <a:avLst/>
                    </a:prstGeom>
                  </pic:spPr>
                </pic:pic>
              </a:graphicData>
            </a:graphic>
          </wp:inline>
        </w:drawing>
      </w:r>
      <w:r>
        <w:rPr>
          <w:rFonts w:hint="eastAsia" w:ascii="宋体" w:eastAsia="宋体" w:cs="宋体"/>
          <w:color w:val="auto"/>
          <w:kern w:val="0"/>
          <w:sz w:val="24"/>
          <w:szCs w:val="24"/>
          <w:highlight w:val="none"/>
          <w:lang w:eastAsia="zh-CN"/>
        </w:rPr>
        <w:drawing>
          <wp:inline distT="0" distB="0" distL="114300" distR="114300">
            <wp:extent cx="9400540" cy="6642100"/>
            <wp:effectExtent l="0" t="0" r="10160" b="6350"/>
            <wp:docPr id="7" name="图片 7" descr="永州市住房公积金管理中心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永州市住房公积金管理中心_02"/>
                    <pic:cNvPicPr>
                      <a:picLocks noChangeAspect="1"/>
                    </pic:cNvPicPr>
                  </pic:nvPicPr>
                  <pic:blipFill>
                    <a:blip r:embed="rId6"/>
                    <a:stretch>
                      <a:fillRect/>
                    </a:stretch>
                  </pic:blipFill>
                  <pic:spPr>
                    <a:xfrm>
                      <a:off x="0" y="0"/>
                      <a:ext cx="9400540" cy="6642100"/>
                    </a:xfrm>
                    <a:prstGeom prst="rect">
                      <a:avLst/>
                    </a:prstGeom>
                  </pic:spPr>
                </pic:pic>
              </a:graphicData>
            </a:graphic>
          </wp:inline>
        </w:drawing>
      </w:r>
      <w:r>
        <w:rPr>
          <w:rFonts w:hint="eastAsia" w:ascii="宋体" w:eastAsia="宋体" w:cs="宋体"/>
          <w:color w:val="auto"/>
          <w:kern w:val="0"/>
          <w:sz w:val="24"/>
          <w:szCs w:val="24"/>
          <w:highlight w:val="none"/>
          <w:lang w:eastAsia="zh-CN"/>
        </w:rPr>
        <w:drawing>
          <wp:inline distT="0" distB="0" distL="114300" distR="114300">
            <wp:extent cx="9400540" cy="6642100"/>
            <wp:effectExtent l="0" t="0" r="10160" b="6350"/>
            <wp:docPr id="6" name="图片 6" descr="永州市住房公积金管理中心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永州市住房公积金管理中心_03"/>
                    <pic:cNvPicPr>
                      <a:picLocks noChangeAspect="1"/>
                    </pic:cNvPicPr>
                  </pic:nvPicPr>
                  <pic:blipFill>
                    <a:blip r:embed="rId7"/>
                    <a:stretch>
                      <a:fillRect/>
                    </a:stretch>
                  </pic:blipFill>
                  <pic:spPr>
                    <a:xfrm>
                      <a:off x="0" y="0"/>
                      <a:ext cx="9400540" cy="6642100"/>
                    </a:xfrm>
                    <a:prstGeom prst="rect">
                      <a:avLst/>
                    </a:prstGeom>
                  </pic:spPr>
                </pic:pic>
              </a:graphicData>
            </a:graphic>
          </wp:inline>
        </w:drawing>
      </w:r>
      <w:r>
        <w:rPr>
          <w:rFonts w:hint="eastAsia" w:ascii="宋体" w:eastAsia="宋体" w:cs="宋体"/>
          <w:color w:val="auto"/>
          <w:kern w:val="0"/>
          <w:sz w:val="24"/>
          <w:szCs w:val="24"/>
          <w:highlight w:val="none"/>
          <w:lang w:eastAsia="zh-CN"/>
        </w:rPr>
        <w:drawing>
          <wp:inline distT="0" distB="0" distL="114300" distR="114300">
            <wp:extent cx="9400540" cy="6642100"/>
            <wp:effectExtent l="0" t="0" r="10160" b="6350"/>
            <wp:docPr id="5" name="图片 5" descr="永州市住房公积金管理中心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永州市住房公积金管理中心_04"/>
                    <pic:cNvPicPr>
                      <a:picLocks noChangeAspect="1"/>
                    </pic:cNvPicPr>
                  </pic:nvPicPr>
                  <pic:blipFill>
                    <a:blip r:embed="rId8"/>
                    <a:stretch>
                      <a:fillRect/>
                    </a:stretch>
                  </pic:blipFill>
                  <pic:spPr>
                    <a:xfrm>
                      <a:off x="0" y="0"/>
                      <a:ext cx="9400540" cy="6642100"/>
                    </a:xfrm>
                    <a:prstGeom prst="rect">
                      <a:avLst/>
                    </a:prstGeom>
                  </pic:spPr>
                </pic:pic>
              </a:graphicData>
            </a:graphic>
          </wp:inline>
        </w:drawing>
      </w:r>
      <w:r>
        <w:rPr>
          <w:rFonts w:hint="eastAsia" w:ascii="宋体" w:eastAsia="宋体" w:cs="宋体"/>
          <w:color w:val="auto"/>
          <w:kern w:val="0"/>
          <w:sz w:val="24"/>
          <w:szCs w:val="24"/>
          <w:highlight w:val="none"/>
          <w:lang w:eastAsia="zh-CN"/>
        </w:rPr>
        <w:drawing>
          <wp:inline distT="0" distB="0" distL="114300" distR="114300">
            <wp:extent cx="9400540" cy="5937250"/>
            <wp:effectExtent l="0" t="0" r="10160" b="6350"/>
            <wp:docPr id="4" name="图片 4" descr="永州市住房公积金管理中心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永州市住房公积金管理中心_05"/>
                    <pic:cNvPicPr>
                      <a:picLocks noChangeAspect="1"/>
                    </pic:cNvPicPr>
                  </pic:nvPicPr>
                  <pic:blipFill>
                    <a:blip r:embed="rId9"/>
                    <a:srcRect b="10612"/>
                    <a:stretch>
                      <a:fillRect/>
                    </a:stretch>
                  </pic:blipFill>
                  <pic:spPr>
                    <a:xfrm>
                      <a:off x="0" y="0"/>
                      <a:ext cx="9400540" cy="5937250"/>
                    </a:xfrm>
                    <a:prstGeom prst="rect">
                      <a:avLst/>
                    </a:prstGeom>
                  </pic:spPr>
                </pic:pic>
              </a:graphicData>
            </a:graphic>
          </wp:inline>
        </w:drawing>
      </w:r>
    </w:p>
    <w:p w14:paraId="2937A873">
      <w:pPr>
        <w:autoSpaceDE w:val="0"/>
        <w:autoSpaceDN w:val="0"/>
        <w:adjustRightInd w:val="0"/>
        <w:ind w:firstLine="420" w:firstLineChars="200"/>
        <w:jc w:val="left"/>
        <w:rPr>
          <w:rFonts w:hint="eastAsia" w:ascii="宋体" w:eastAsia="宋体" w:cs="宋体"/>
          <w:color w:val="auto"/>
          <w:kern w:val="0"/>
          <w:sz w:val="24"/>
          <w:szCs w:val="24"/>
          <w:highlight w:val="none"/>
          <w:lang w:eastAsia="zh-CN"/>
        </w:rPr>
      </w:pPr>
      <w:r>
        <w:rPr>
          <w:rFonts w:hint="eastAsia" w:ascii="宋体" w:hAnsi="宋体" w:eastAsia="宋体" w:cs="宋体"/>
          <w:color w:val="auto"/>
          <w:kern w:val="0"/>
          <w:szCs w:val="24"/>
          <w:highlight w:val="none"/>
          <w:lang w:val="en-US" w:eastAsia="zh-CN"/>
        </w:rPr>
        <w:t>说明：我单位没有一般公共预算财政拨款基本支出，故本表无数据。</w:t>
      </w:r>
    </w:p>
    <w:p w14:paraId="54289A68">
      <w:pPr>
        <w:autoSpaceDE w:val="0"/>
        <w:autoSpaceDN w:val="0"/>
        <w:adjustRightInd w:val="0"/>
        <w:jc w:val="center"/>
        <w:rPr>
          <w:rFonts w:hint="eastAsia" w:ascii="宋体" w:eastAsia="宋体" w:cs="宋体"/>
          <w:color w:val="auto"/>
          <w:kern w:val="0"/>
          <w:sz w:val="24"/>
          <w:szCs w:val="24"/>
          <w:highlight w:val="none"/>
          <w:lang w:eastAsia="zh-CN"/>
        </w:rPr>
      </w:pPr>
      <w:r>
        <w:rPr>
          <w:rFonts w:hint="eastAsia" w:ascii="宋体" w:eastAsia="宋体" w:cs="宋体"/>
          <w:color w:val="auto"/>
          <w:kern w:val="0"/>
          <w:sz w:val="24"/>
          <w:szCs w:val="24"/>
          <w:highlight w:val="none"/>
          <w:lang w:eastAsia="zh-CN"/>
        </w:rPr>
        <w:drawing>
          <wp:inline distT="0" distB="0" distL="114300" distR="114300">
            <wp:extent cx="9400540" cy="6108700"/>
            <wp:effectExtent l="0" t="0" r="10160" b="6350"/>
            <wp:docPr id="3" name="图片 3" descr="永州市住房公积金管理中心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永州市住房公积金管理中心_06"/>
                    <pic:cNvPicPr>
                      <a:picLocks noChangeAspect="1"/>
                    </pic:cNvPicPr>
                  </pic:nvPicPr>
                  <pic:blipFill>
                    <a:blip r:embed="rId10"/>
                    <a:srcRect b="8031"/>
                    <a:stretch>
                      <a:fillRect/>
                    </a:stretch>
                  </pic:blipFill>
                  <pic:spPr>
                    <a:xfrm>
                      <a:off x="0" y="0"/>
                      <a:ext cx="9400540" cy="6108700"/>
                    </a:xfrm>
                    <a:prstGeom prst="rect">
                      <a:avLst/>
                    </a:prstGeom>
                  </pic:spPr>
                </pic:pic>
              </a:graphicData>
            </a:graphic>
          </wp:inline>
        </w:drawing>
      </w:r>
    </w:p>
    <w:p w14:paraId="13DB346C">
      <w:pPr>
        <w:autoSpaceDE w:val="0"/>
        <w:autoSpaceDN w:val="0"/>
        <w:adjustRightInd w:val="0"/>
        <w:ind w:firstLine="480" w:firstLineChars="200"/>
        <w:jc w:val="left"/>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说明：我单位没有政府性基金收入，也没有使用政府性基金安排的支出，故本表无数据。</w:t>
      </w:r>
    </w:p>
    <w:p w14:paraId="6735D225">
      <w:pPr>
        <w:autoSpaceDE w:val="0"/>
        <w:autoSpaceDN w:val="0"/>
        <w:adjustRightInd w:val="0"/>
        <w:ind w:firstLine="480" w:firstLineChars="200"/>
        <w:jc w:val="center"/>
        <w:rPr>
          <w:rFonts w:hint="eastAsia" w:ascii="宋体" w:eastAsia="宋体" w:cs="宋体"/>
          <w:color w:val="auto"/>
          <w:kern w:val="0"/>
          <w:sz w:val="24"/>
          <w:szCs w:val="24"/>
          <w:highlight w:val="none"/>
          <w:lang w:eastAsia="zh-CN"/>
        </w:rPr>
      </w:pPr>
      <w:r>
        <w:rPr>
          <w:rFonts w:hint="eastAsia" w:ascii="宋体" w:eastAsia="宋体" w:cs="宋体"/>
          <w:color w:val="auto"/>
          <w:kern w:val="0"/>
          <w:sz w:val="24"/>
          <w:szCs w:val="24"/>
          <w:highlight w:val="none"/>
          <w:lang w:eastAsia="zh-CN"/>
        </w:rPr>
        <w:drawing>
          <wp:inline distT="0" distB="0" distL="114300" distR="114300">
            <wp:extent cx="9400540" cy="6080125"/>
            <wp:effectExtent l="0" t="0" r="10160" b="15875"/>
            <wp:docPr id="2" name="图片 2" descr="永州市住房公积金管理中心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永州市住房公积金管理中心_07"/>
                    <pic:cNvPicPr>
                      <a:picLocks noChangeAspect="1"/>
                    </pic:cNvPicPr>
                  </pic:nvPicPr>
                  <pic:blipFill>
                    <a:blip r:embed="rId11"/>
                    <a:srcRect b="8461"/>
                    <a:stretch>
                      <a:fillRect/>
                    </a:stretch>
                  </pic:blipFill>
                  <pic:spPr>
                    <a:xfrm>
                      <a:off x="0" y="0"/>
                      <a:ext cx="9400540" cy="6080125"/>
                    </a:xfrm>
                    <a:prstGeom prst="rect">
                      <a:avLst/>
                    </a:prstGeom>
                  </pic:spPr>
                </pic:pic>
              </a:graphicData>
            </a:graphic>
          </wp:inline>
        </w:drawing>
      </w:r>
    </w:p>
    <w:p w14:paraId="51B99BE3">
      <w:pPr>
        <w:autoSpaceDE w:val="0"/>
        <w:autoSpaceDN w:val="0"/>
        <w:adjustRightInd w:val="0"/>
        <w:ind w:firstLine="480" w:firstLineChars="200"/>
        <w:jc w:val="left"/>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说明：我单位没有使用国有资本经营预算安排的支出，故本表无数据。</w:t>
      </w:r>
    </w:p>
    <w:p w14:paraId="12F6DD09">
      <w:pPr>
        <w:autoSpaceDE w:val="0"/>
        <w:autoSpaceDN w:val="0"/>
        <w:adjustRightInd w:val="0"/>
        <w:ind w:firstLine="480" w:firstLineChars="200"/>
        <w:jc w:val="left"/>
        <w:rPr>
          <w:rFonts w:hint="eastAsia" w:ascii="宋体" w:eastAsia="宋体" w:cs="宋体"/>
          <w:color w:val="auto"/>
          <w:kern w:val="0"/>
          <w:sz w:val="24"/>
          <w:szCs w:val="24"/>
          <w:highlight w:val="none"/>
          <w:lang w:eastAsia="zh-CN"/>
        </w:rPr>
      </w:pPr>
    </w:p>
    <w:p w14:paraId="1F7E8E05">
      <w:pPr>
        <w:pStyle w:val="2"/>
        <w:rPr>
          <w:rFonts w:hint="eastAsia"/>
          <w:lang w:eastAsia="zh-CN"/>
        </w:rPr>
      </w:pPr>
    </w:p>
    <w:tbl>
      <w:tblPr>
        <w:tblStyle w:val="7"/>
        <w:tblW w:w="144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1200"/>
        <w:gridCol w:w="1200"/>
        <w:gridCol w:w="1200"/>
        <w:gridCol w:w="1200"/>
        <w:gridCol w:w="1200"/>
        <w:gridCol w:w="1200"/>
        <w:gridCol w:w="1200"/>
        <w:gridCol w:w="1200"/>
        <w:gridCol w:w="1200"/>
        <w:gridCol w:w="1200"/>
        <w:gridCol w:w="1200"/>
      </w:tblGrid>
      <w:tr w14:paraId="311D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400" w:type="dxa"/>
            <w:gridSpan w:val="12"/>
            <w:tcBorders>
              <w:top w:val="nil"/>
              <w:left w:val="nil"/>
              <w:bottom w:val="nil"/>
              <w:right w:val="nil"/>
            </w:tcBorders>
            <w:shd w:val="clear" w:color="auto" w:fill="auto"/>
            <w:noWrap/>
            <w:vAlign w:val="bottom"/>
          </w:tcPr>
          <w:p w14:paraId="672D9BFE">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财政拨款“三公”经费支出决算表</w:t>
            </w:r>
          </w:p>
        </w:tc>
      </w:tr>
      <w:tr w14:paraId="0ADEA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6339BBFA">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7ABDC3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2738D1F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BE6E8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D371F7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2F4221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E6FED4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74B6FA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6A07CA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A21002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E732CA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16FFA21">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公开09表</w:t>
            </w:r>
          </w:p>
        </w:tc>
      </w:tr>
      <w:tr w14:paraId="00B55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gridSpan w:val="7"/>
            <w:tcBorders>
              <w:top w:val="nil"/>
              <w:left w:val="nil"/>
              <w:bottom w:val="nil"/>
              <w:right w:val="nil"/>
            </w:tcBorders>
            <w:shd w:val="clear" w:color="auto" w:fill="auto"/>
            <w:noWrap/>
            <w:vAlign w:val="bottom"/>
          </w:tcPr>
          <w:p w14:paraId="154EE0B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部门：永州市住房公积金管理中心</w:t>
            </w:r>
          </w:p>
        </w:tc>
        <w:tc>
          <w:tcPr>
            <w:tcW w:w="0" w:type="auto"/>
            <w:tcBorders>
              <w:top w:val="nil"/>
              <w:left w:val="nil"/>
              <w:bottom w:val="nil"/>
              <w:right w:val="nil"/>
            </w:tcBorders>
            <w:shd w:val="clear" w:color="auto" w:fill="auto"/>
            <w:noWrap/>
            <w:vAlign w:val="bottom"/>
          </w:tcPr>
          <w:p w14:paraId="16E2131A">
            <w:pPr>
              <w:rPr>
                <w:rFonts w:hint="default" w:ascii="Arial" w:hAnsi="Arial" w:cs="Arial"/>
                <w:i w:val="0"/>
                <w:iCs w:val="0"/>
                <w:color w:val="000000"/>
                <w:sz w:val="18"/>
                <w:szCs w:val="18"/>
                <w:u w:val="none"/>
              </w:rPr>
            </w:pPr>
          </w:p>
        </w:tc>
        <w:tc>
          <w:tcPr>
            <w:tcW w:w="0" w:type="auto"/>
            <w:tcBorders>
              <w:top w:val="nil"/>
              <w:left w:val="nil"/>
              <w:bottom w:val="nil"/>
              <w:right w:val="nil"/>
            </w:tcBorders>
            <w:shd w:val="clear" w:color="auto" w:fill="auto"/>
            <w:noWrap/>
            <w:vAlign w:val="bottom"/>
          </w:tcPr>
          <w:p w14:paraId="5AF5B388">
            <w:pPr>
              <w:rPr>
                <w:rFonts w:hint="default" w:ascii="Arial" w:hAnsi="Arial" w:cs="Arial"/>
                <w:i w:val="0"/>
                <w:iCs w:val="0"/>
                <w:color w:val="000000"/>
                <w:sz w:val="18"/>
                <w:szCs w:val="18"/>
                <w:u w:val="none"/>
              </w:rPr>
            </w:pPr>
          </w:p>
        </w:tc>
        <w:tc>
          <w:tcPr>
            <w:tcW w:w="0" w:type="auto"/>
            <w:tcBorders>
              <w:top w:val="nil"/>
              <w:left w:val="nil"/>
              <w:bottom w:val="nil"/>
              <w:right w:val="nil"/>
            </w:tcBorders>
            <w:shd w:val="clear" w:color="auto" w:fill="auto"/>
            <w:noWrap/>
            <w:vAlign w:val="bottom"/>
          </w:tcPr>
          <w:p w14:paraId="4EB00267">
            <w:pPr>
              <w:rPr>
                <w:rFonts w:hint="default" w:ascii="Arial" w:hAnsi="Arial" w:cs="Arial"/>
                <w:i w:val="0"/>
                <w:iCs w:val="0"/>
                <w:color w:val="000000"/>
                <w:sz w:val="18"/>
                <w:szCs w:val="18"/>
                <w:u w:val="none"/>
              </w:rPr>
            </w:pPr>
          </w:p>
        </w:tc>
        <w:tc>
          <w:tcPr>
            <w:tcW w:w="0" w:type="auto"/>
            <w:gridSpan w:val="2"/>
            <w:tcBorders>
              <w:top w:val="nil"/>
              <w:left w:val="nil"/>
              <w:bottom w:val="nil"/>
              <w:right w:val="nil"/>
            </w:tcBorders>
            <w:shd w:val="clear" w:color="auto" w:fill="auto"/>
            <w:noWrap/>
            <w:vAlign w:val="bottom"/>
          </w:tcPr>
          <w:p w14:paraId="0B7A97CA">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14:paraId="7E6E0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2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14:paraId="304A5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预算数</w:t>
            </w:r>
          </w:p>
        </w:tc>
        <w:tc>
          <w:tcPr>
            <w:tcW w:w="7200" w:type="dxa"/>
            <w:gridSpan w:val="6"/>
            <w:tcBorders>
              <w:top w:val="single" w:color="000000" w:sz="4" w:space="0"/>
              <w:left w:val="nil"/>
              <w:bottom w:val="single" w:color="000000" w:sz="4" w:space="0"/>
              <w:right w:val="single" w:color="000000" w:sz="4" w:space="0"/>
            </w:tcBorders>
            <w:shd w:val="clear" w:color="FFFFFF" w:fill="FFFFFF"/>
            <w:vAlign w:val="center"/>
          </w:tcPr>
          <w:p w14:paraId="4C175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决算数</w:t>
            </w:r>
          </w:p>
        </w:tc>
      </w:tr>
      <w:tr w14:paraId="6932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00" w:type="dxa"/>
            <w:vMerge w:val="restart"/>
            <w:tcBorders>
              <w:top w:val="nil"/>
              <w:left w:val="single" w:color="000000" w:sz="4" w:space="0"/>
              <w:bottom w:val="single" w:color="000000" w:sz="4" w:space="0"/>
              <w:right w:val="single" w:color="000000" w:sz="4" w:space="0"/>
            </w:tcBorders>
            <w:shd w:val="clear" w:color="FFFFFF" w:fill="FFFFFF"/>
            <w:vAlign w:val="center"/>
          </w:tcPr>
          <w:p w14:paraId="3548A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200" w:type="dxa"/>
            <w:vMerge w:val="restart"/>
            <w:tcBorders>
              <w:top w:val="nil"/>
              <w:left w:val="nil"/>
              <w:bottom w:val="single" w:color="000000" w:sz="4" w:space="0"/>
              <w:right w:val="single" w:color="000000" w:sz="4" w:space="0"/>
            </w:tcBorders>
            <w:shd w:val="clear" w:color="FFFFFF" w:fill="FFFFFF"/>
            <w:vAlign w:val="center"/>
          </w:tcPr>
          <w:p w14:paraId="1FCFB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因公出国（境）费</w:t>
            </w:r>
          </w:p>
        </w:tc>
        <w:tc>
          <w:tcPr>
            <w:tcW w:w="3600" w:type="dxa"/>
            <w:gridSpan w:val="3"/>
            <w:tcBorders>
              <w:top w:val="nil"/>
              <w:left w:val="nil"/>
              <w:bottom w:val="single" w:color="000000" w:sz="4" w:space="0"/>
              <w:right w:val="single" w:color="000000" w:sz="4" w:space="0"/>
            </w:tcBorders>
            <w:shd w:val="clear" w:color="FFFFFF" w:fill="FFFFFF"/>
            <w:vAlign w:val="center"/>
          </w:tcPr>
          <w:p w14:paraId="573D4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公务用车购置及运行维护费</w:t>
            </w:r>
          </w:p>
        </w:tc>
        <w:tc>
          <w:tcPr>
            <w:tcW w:w="1200" w:type="dxa"/>
            <w:vMerge w:val="restart"/>
            <w:tcBorders>
              <w:top w:val="nil"/>
              <w:left w:val="nil"/>
              <w:bottom w:val="single" w:color="000000" w:sz="4" w:space="0"/>
              <w:right w:val="single" w:color="000000" w:sz="4" w:space="0"/>
            </w:tcBorders>
            <w:shd w:val="clear" w:color="FFFFFF" w:fill="FFFFFF"/>
            <w:vAlign w:val="center"/>
          </w:tcPr>
          <w:p w14:paraId="1025E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公务接待费</w:t>
            </w:r>
          </w:p>
        </w:tc>
        <w:tc>
          <w:tcPr>
            <w:tcW w:w="1200" w:type="dxa"/>
            <w:vMerge w:val="restart"/>
            <w:tcBorders>
              <w:top w:val="nil"/>
              <w:left w:val="nil"/>
              <w:bottom w:val="single" w:color="000000" w:sz="4" w:space="0"/>
              <w:right w:val="single" w:color="000000" w:sz="4" w:space="0"/>
            </w:tcBorders>
            <w:shd w:val="clear" w:color="FFFFFF" w:fill="FFFFFF"/>
            <w:vAlign w:val="center"/>
          </w:tcPr>
          <w:p w14:paraId="6B2AE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200" w:type="dxa"/>
            <w:vMerge w:val="restart"/>
            <w:tcBorders>
              <w:top w:val="nil"/>
              <w:left w:val="nil"/>
              <w:bottom w:val="single" w:color="000000" w:sz="4" w:space="0"/>
              <w:right w:val="single" w:color="000000" w:sz="4" w:space="0"/>
            </w:tcBorders>
            <w:shd w:val="clear" w:color="FFFFFF" w:fill="FFFFFF"/>
            <w:vAlign w:val="center"/>
          </w:tcPr>
          <w:p w14:paraId="00F16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因公出国（境）费</w:t>
            </w:r>
          </w:p>
        </w:tc>
        <w:tc>
          <w:tcPr>
            <w:tcW w:w="3600" w:type="dxa"/>
            <w:gridSpan w:val="3"/>
            <w:tcBorders>
              <w:top w:val="nil"/>
              <w:left w:val="nil"/>
              <w:bottom w:val="single" w:color="000000" w:sz="4" w:space="0"/>
              <w:right w:val="single" w:color="000000" w:sz="4" w:space="0"/>
            </w:tcBorders>
            <w:shd w:val="clear" w:color="FFFFFF" w:fill="FFFFFF"/>
            <w:vAlign w:val="center"/>
          </w:tcPr>
          <w:p w14:paraId="18C79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公务用车购置及运行维护费</w:t>
            </w:r>
          </w:p>
        </w:tc>
        <w:tc>
          <w:tcPr>
            <w:tcW w:w="1200" w:type="dxa"/>
            <w:vMerge w:val="restart"/>
            <w:tcBorders>
              <w:top w:val="nil"/>
              <w:left w:val="nil"/>
              <w:bottom w:val="single" w:color="000000" w:sz="4" w:space="0"/>
              <w:right w:val="single" w:color="000000" w:sz="4" w:space="0"/>
            </w:tcBorders>
            <w:shd w:val="clear" w:color="FFFFFF" w:fill="FFFFFF"/>
            <w:vAlign w:val="center"/>
          </w:tcPr>
          <w:p w14:paraId="78C87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公务接待费</w:t>
            </w:r>
          </w:p>
        </w:tc>
      </w:tr>
      <w:tr w14:paraId="2F287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200" w:type="dxa"/>
            <w:vMerge w:val="continue"/>
            <w:tcBorders>
              <w:top w:val="nil"/>
              <w:left w:val="single" w:color="000000" w:sz="4" w:space="0"/>
              <w:bottom w:val="single" w:color="000000" w:sz="4" w:space="0"/>
              <w:right w:val="single" w:color="000000" w:sz="4" w:space="0"/>
            </w:tcBorders>
            <w:shd w:val="clear" w:color="FFFFFF" w:fill="FFFFFF"/>
            <w:vAlign w:val="center"/>
          </w:tcPr>
          <w:p w14:paraId="7D58A1B9">
            <w:pPr>
              <w:jc w:val="center"/>
              <w:rPr>
                <w:rFonts w:hint="eastAsia" w:ascii="宋体" w:hAnsi="宋体" w:eastAsia="宋体" w:cs="宋体"/>
                <w:i w:val="0"/>
                <w:iCs w:val="0"/>
                <w:color w:val="000000"/>
                <w:sz w:val="18"/>
                <w:szCs w:val="18"/>
                <w:u w:val="none"/>
              </w:rPr>
            </w:pPr>
          </w:p>
        </w:tc>
        <w:tc>
          <w:tcPr>
            <w:tcW w:w="1200" w:type="dxa"/>
            <w:vMerge w:val="continue"/>
            <w:tcBorders>
              <w:top w:val="nil"/>
              <w:left w:val="nil"/>
              <w:bottom w:val="single" w:color="000000" w:sz="4" w:space="0"/>
              <w:right w:val="single" w:color="000000" w:sz="4" w:space="0"/>
            </w:tcBorders>
            <w:shd w:val="clear" w:color="FFFFFF" w:fill="FFFFFF"/>
            <w:vAlign w:val="center"/>
          </w:tcPr>
          <w:p w14:paraId="320F4C35">
            <w:pPr>
              <w:jc w:val="center"/>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FFFFFF" w:fill="FFFFFF"/>
            <w:vAlign w:val="center"/>
          </w:tcPr>
          <w:p w14:paraId="0410C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200" w:type="dxa"/>
            <w:tcBorders>
              <w:top w:val="nil"/>
              <w:left w:val="nil"/>
              <w:bottom w:val="single" w:color="000000" w:sz="4" w:space="0"/>
              <w:right w:val="single" w:color="000000" w:sz="4" w:space="0"/>
            </w:tcBorders>
            <w:shd w:val="clear" w:color="FFFFFF" w:fill="FFFFFF"/>
            <w:vAlign w:val="center"/>
          </w:tcPr>
          <w:p w14:paraId="44BD4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公务用车购置费</w:t>
            </w:r>
          </w:p>
        </w:tc>
        <w:tc>
          <w:tcPr>
            <w:tcW w:w="1200" w:type="dxa"/>
            <w:tcBorders>
              <w:top w:val="nil"/>
              <w:left w:val="nil"/>
              <w:bottom w:val="single" w:color="000000" w:sz="4" w:space="0"/>
              <w:right w:val="single" w:color="000000" w:sz="4" w:space="0"/>
            </w:tcBorders>
            <w:shd w:val="clear" w:color="FFFFFF" w:fill="FFFFFF"/>
            <w:vAlign w:val="center"/>
          </w:tcPr>
          <w:p w14:paraId="23D0E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公务用车运行维护费</w:t>
            </w:r>
          </w:p>
        </w:tc>
        <w:tc>
          <w:tcPr>
            <w:tcW w:w="1200" w:type="dxa"/>
            <w:vMerge w:val="continue"/>
            <w:tcBorders>
              <w:top w:val="nil"/>
              <w:left w:val="nil"/>
              <w:bottom w:val="single" w:color="000000" w:sz="4" w:space="0"/>
              <w:right w:val="single" w:color="000000" w:sz="4" w:space="0"/>
            </w:tcBorders>
            <w:shd w:val="clear" w:color="FFFFFF" w:fill="FFFFFF"/>
            <w:vAlign w:val="center"/>
          </w:tcPr>
          <w:p w14:paraId="3637C0FB">
            <w:pPr>
              <w:jc w:val="center"/>
              <w:rPr>
                <w:rFonts w:hint="eastAsia" w:ascii="宋体" w:hAnsi="宋体" w:eastAsia="宋体" w:cs="宋体"/>
                <w:i w:val="0"/>
                <w:iCs w:val="0"/>
                <w:color w:val="000000"/>
                <w:sz w:val="18"/>
                <w:szCs w:val="18"/>
                <w:u w:val="none"/>
              </w:rPr>
            </w:pPr>
          </w:p>
        </w:tc>
        <w:tc>
          <w:tcPr>
            <w:tcW w:w="1200" w:type="dxa"/>
            <w:vMerge w:val="continue"/>
            <w:tcBorders>
              <w:top w:val="nil"/>
              <w:left w:val="nil"/>
              <w:bottom w:val="single" w:color="000000" w:sz="4" w:space="0"/>
              <w:right w:val="single" w:color="000000" w:sz="4" w:space="0"/>
            </w:tcBorders>
            <w:shd w:val="clear" w:color="FFFFFF" w:fill="FFFFFF"/>
            <w:vAlign w:val="center"/>
          </w:tcPr>
          <w:p w14:paraId="5F61AAA6">
            <w:pPr>
              <w:jc w:val="center"/>
              <w:rPr>
                <w:rFonts w:hint="eastAsia" w:ascii="宋体" w:hAnsi="宋体" w:eastAsia="宋体" w:cs="宋体"/>
                <w:i w:val="0"/>
                <w:iCs w:val="0"/>
                <w:color w:val="000000"/>
                <w:sz w:val="18"/>
                <w:szCs w:val="18"/>
                <w:u w:val="none"/>
              </w:rPr>
            </w:pPr>
          </w:p>
        </w:tc>
        <w:tc>
          <w:tcPr>
            <w:tcW w:w="1200" w:type="dxa"/>
            <w:vMerge w:val="continue"/>
            <w:tcBorders>
              <w:top w:val="nil"/>
              <w:left w:val="nil"/>
              <w:bottom w:val="single" w:color="000000" w:sz="4" w:space="0"/>
              <w:right w:val="single" w:color="000000" w:sz="4" w:space="0"/>
            </w:tcBorders>
            <w:shd w:val="clear" w:color="FFFFFF" w:fill="FFFFFF"/>
            <w:vAlign w:val="center"/>
          </w:tcPr>
          <w:p w14:paraId="333AB913">
            <w:pPr>
              <w:jc w:val="center"/>
              <w:rPr>
                <w:rFonts w:hint="eastAsia" w:ascii="宋体" w:hAnsi="宋体" w:eastAsia="宋体" w:cs="宋体"/>
                <w:i w:val="0"/>
                <w:iCs w:val="0"/>
                <w:color w:val="000000"/>
                <w:sz w:val="18"/>
                <w:szCs w:val="18"/>
                <w:u w:val="none"/>
              </w:rPr>
            </w:pPr>
          </w:p>
        </w:tc>
        <w:tc>
          <w:tcPr>
            <w:tcW w:w="1200" w:type="dxa"/>
            <w:tcBorders>
              <w:top w:val="nil"/>
              <w:left w:val="nil"/>
              <w:bottom w:val="single" w:color="000000" w:sz="4" w:space="0"/>
              <w:right w:val="single" w:color="000000" w:sz="4" w:space="0"/>
            </w:tcBorders>
            <w:shd w:val="clear" w:color="FFFFFF" w:fill="FFFFFF"/>
            <w:vAlign w:val="center"/>
          </w:tcPr>
          <w:p w14:paraId="440BA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200" w:type="dxa"/>
            <w:tcBorders>
              <w:top w:val="nil"/>
              <w:left w:val="nil"/>
              <w:bottom w:val="single" w:color="000000" w:sz="4" w:space="0"/>
              <w:right w:val="single" w:color="000000" w:sz="4" w:space="0"/>
            </w:tcBorders>
            <w:shd w:val="clear" w:color="FFFFFF" w:fill="FFFFFF"/>
            <w:vAlign w:val="center"/>
          </w:tcPr>
          <w:p w14:paraId="3E30E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公务用车购置费</w:t>
            </w:r>
          </w:p>
        </w:tc>
        <w:tc>
          <w:tcPr>
            <w:tcW w:w="1200" w:type="dxa"/>
            <w:tcBorders>
              <w:top w:val="nil"/>
              <w:left w:val="nil"/>
              <w:bottom w:val="single" w:color="000000" w:sz="4" w:space="0"/>
              <w:right w:val="single" w:color="000000" w:sz="4" w:space="0"/>
            </w:tcBorders>
            <w:shd w:val="clear" w:color="FFFFFF" w:fill="FFFFFF"/>
            <w:vAlign w:val="center"/>
          </w:tcPr>
          <w:p w14:paraId="2A03B1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公务用车运行维护费</w:t>
            </w:r>
          </w:p>
        </w:tc>
        <w:tc>
          <w:tcPr>
            <w:tcW w:w="1200" w:type="dxa"/>
            <w:vMerge w:val="continue"/>
            <w:tcBorders>
              <w:top w:val="nil"/>
              <w:left w:val="nil"/>
              <w:bottom w:val="single" w:color="000000" w:sz="4" w:space="0"/>
              <w:right w:val="single" w:color="000000" w:sz="4" w:space="0"/>
            </w:tcBorders>
            <w:shd w:val="clear" w:color="FFFFFF" w:fill="FFFFFF"/>
            <w:vAlign w:val="center"/>
          </w:tcPr>
          <w:p w14:paraId="5460056F">
            <w:pPr>
              <w:jc w:val="center"/>
              <w:rPr>
                <w:rFonts w:hint="eastAsia" w:ascii="宋体" w:hAnsi="宋体" w:eastAsia="宋体" w:cs="宋体"/>
                <w:i w:val="0"/>
                <w:iCs w:val="0"/>
                <w:color w:val="000000"/>
                <w:sz w:val="18"/>
                <w:szCs w:val="18"/>
                <w:u w:val="none"/>
              </w:rPr>
            </w:pPr>
          </w:p>
        </w:tc>
      </w:tr>
      <w:tr w14:paraId="0BC2D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00" w:type="dxa"/>
            <w:tcBorders>
              <w:top w:val="nil"/>
              <w:left w:val="single" w:color="000000" w:sz="4" w:space="0"/>
              <w:bottom w:val="single" w:color="000000" w:sz="4" w:space="0"/>
              <w:right w:val="single" w:color="000000" w:sz="4" w:space="0"/>
            </w:tcBorders>
            <w:shd w:val="clear" w:color="FFFFFF" w:fill="FFFFFF"/>
            <w:vAlign w:val="center"/>
          </w:tcPr>
          <w:p w14:paraId="42981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0" w:type="dxa"/>
            <w:tcBorders>
              <w:top w:val="nil"/>
              <w:left w:val="nil"/>
              <w:bottom w:val="single" w:color="000000" w:sz="4" w:space="0"/>
              <w:right w:val="single" w:color="000000" w:sz="4" w:space="0"/>
            </w:tcBorders>
            <w:shd w:val="clear" w:color="FFFFFF" w:fill="FFFFFF"/>
            <w:vAlign w:val="center"/>
          </w:tcPr>
          <w:p w14:paraId="7B230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0" w:type="dxa"/>
            <w:tcBorders>
              <w:top w:val="nil"/>
              <w:left w:val="nil"/>
              <w:bottom w:val="single" w:color="000000" w:sz="4" w:space="0"/>
              <w:right w:val="single" w:color="000000" w:sz="4" w:space="0"/>
            </w:tcBorders>
            <w:shd w:val="clear" w:color="FFFFFF" w:fill="FFFFFF"/>
            <w:vAlign w:val="center"/>
          </w:tcPr>
          <w:p w14:paraId="37780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0" w:type="dxa"/>
            <w:tcBorders>
              <w:top w:val="nil"/>
              <w:left w:val="nil"/>
              <w:bottom w:val="single" w:color="000000" w:sz="4" w:space="0"/>
              <w:right w:val="single" w:color="000000" w:sz="4" w:space="0"/>
            </w:tcBorders>
            <w:shd w:val="clear" w:color="FFFFFF" w:fill="FFFFFF"/>
            <w:vAlign w:val="center"/>
          </w:tcPr>
          <w:p w14:paraId="48036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00" w:type="dxa"/>
            <w:tcBorders>
              <w:top w:val="nil"/>
              <w:left w:val="nil"/>
              <w:bottom w:val="single" w:color="000000" w:sz="4" w:space="0"/>
              <w:right w:val="single" w:color="000000" w:sz="4" w:space="0"/>
            </w:tcBorders>
            <w:shd w:val="clear" w:color="FFFFFF" w:fill="FFFFFF"/>
            <w:vAlign w:val="center"/>
          </w:tcPr>
          <w:p w14:paraId="1A74C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00" w:type="dxa"/>
            <w:tcBorders>
              <w:top w:val="nil"/>
              <w:left w:val="nil"/>
              <w:bottom w:val="single" w:color="000000" w:sz="4" w:space="0"/>
              <w:right w:val="single" w:color="000000" w:sz="4" w:space="0"/>
            </w:tcBorders>
            <w:shd w:val="clear" w:color="FFFFFF" w:fill="FFFFFF"/>
            <w:vAlign w:val="center"/>
          </w:tcPr>
          <w:p w14:paraId="7CB95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00" w:type="dxa"/>
            <w:tcBorders>
              <w:top w:val="nil"/>
              <w:left w:val="nil"/>
              <w:bottom w:val="single" w:color="000000" w:sz="4" w:space="0"/>
              <w:right w:val="single" w:color="000000" w:sz="4" w:space="0"/>
            </w:tcBorders>
            <w:shd w:val="clear" w:color="FFFFFF" w:fill="FFFFFF"/>
            <w:vAlign w:val="center"/>
          </w:tcPr>
          <w:p w14:paraId="1AD4C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00" w:type="dxa"/>
            <w:tcBorders>
              <w:top w:val="nil"/>
              <w:left w:val="nil"/>
              <w:bottom w:val="single" w:color="000000" w:sz="4" w:space="0"/>
              <w:right w:val="single" w:color="000000" w:sz="4" w:space="0"/>
            </w:tcBorders>
            <w:shd w:val="clear" w:color="FFFFFF" w:fill="FFFFFF"/>
            <w:vAlign w:val="center"/>
          </w:tcPr>
          <w:p w14:paraId="67631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00" w:type="dxa"/>
            <w:tcBorders>
              <w:top w:val="nil"/>
              <w:left w:val="nil"/>
              <w:bottom w:val="single" w:color="000000" w:sz="4" w:space="0"/>
              <w:right w:val="single" w:color="000000" w:sz="4" w:space="0"/>
            </w:tcBorders>
            <w:shd w:val="clear" w:color="FFFFFF" w:fill="FFFFFF"/>
            <w:vAlign w:val="center"/>
          </w:tcPr>
          <w:p w14:paraId="132E4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00" w:type="dxa"/>
            <w:tcBorders>
              <w:top w:val="nil"/>
              <w:left w:val="nil"/>
              <w:bottom w:val="single" w:color="000000" w:sz="4" w:space="0"/>
              <w:right w:val="single" w:color="000000" w:sz="4" w:space="0"/>
            </w:tcBorders>
            <w:shd w:val="clear" w:color="FFFFFF" w:fill="FFFFFF"/>
            <w:vAlign w:val="center"/>
          </w:tcPr>
          <w:p w14:paraId="04FB3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00" w:type="dxa"/>
            <w:tcBorders>
              <w:top w:val="nil"/>
              <w:left w:val="nil"/>
              <w:bottom w:val="single" w:color="000000" w:sz="4" w:space="0"/>
              <w:right w:val="single" w:color="000000" w:sz="4" w:space="0"/>
            </w:tcBorders>
            <w:shd w:val="clear" w:color="FFFFFF" w:fill="FFFFFF"/>
            <w:vAlign w:val="center"/>
          </w:tcPr>
          <w:p w14:paraId="50AC0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00" w:type="dxa"/>
            <w:tcBorders>
              <w:top w:val="nil"/>
              <w:left w:val="nil"/>
              <w:bottom w:val="single" w:color="000000" w:sz="4" w:space="0"/>
              <w:right w:val="single" w:color="000000" w:sz="4" w:space="0"/>
            </w:tcBorders>
            <w:shd w:val="clear" w:color="FFFFFF" w:fill="FFFFFF"/>
            <w:vAlign w:val="center"/>
          </w:tcPr>
          <w:p w14:paraId="45148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386E1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884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0" w:type="auto"/>
            <w:tcBorders>
              <w:top w:val="nil"/>
              <w:left w:val="nil"/>
              <w:bottom w:val="single" w:color="000000" w:sz="4" w:space="0"/>
              <w:right w:val="single" w:color="000000" w:sz="4" w:space="0"/>
            </w:tcBorders>
            <w:shd w:val="clear" w:color="auto" w:fill="auto"/>
            <w:noWrap/>
            <w:vAlign w:val="center"/>
          </w:tcPr>
          <w:p w14:paraId="3329F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0" w:type="auto"/>
            <w:tcBorders>
              <w:top w:val="nil"/>
              <w:left w:val="nil"/>
              <w:bottom w:val="single" w:color="000000" w:sz="4" w:space="0"/>
              <w:right w:val="single" w:color="000000" w:sz="4" w:space="0"/>
            </w:tcBorders>
            <w:shd w:val="clear" w:color="auto" w:fill="auto"/>
            <w:noWrap/>
            <w:vAlign w:val="center"/>
          </w:tcPr>
          <w:p w14:paraId="159B1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0" w:type="auto"/>
            <w:tcBorders>
              <w:top w:val="nil"/>
              <w:left w:val="nil"/>
              <w:bottom w:val="single" w:color="000000" w:sz="4" w:space="0"/>
              <w:right w:val="single" w:color="000000" w:sz="4" w:space="0"/>
            </w:tcBorders>
            <w:shd w:val="clear" w:color="auto" w:fill="auto"/>
            <w:noWrap/>
            <w:vAlign w:val="center"/>
          </w:tcPr>
          <w:p w14:paraId="7B77D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0" w:type="auto"/>
            <w:tcBorders>
              <w:top w:val="nil"/>
              <w:left w:val="nil"/>
              <w:bottom w:val="single" w:color="000000" w:sz="4" w:space="0"/>
              <w:right w:val="single" w:color="000000" w:sz="4" w:space="0"/>
            </w:tcBorders>
            <w:shd w:val="clear" w:color="auto" w:fill="auto"/>
            <w:noWrap/>
            <w:vAlign w:val="center"/>
          </w:tcPr>
          <w:p w14:paraId="07826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0" w:type="auto"/>
            <w:tcBorders>
              <w:top w:val="nil"/>
              <w:left w:val="nil"/>
              <w:bottom w:val="single" w:color="000000" w:sz="4" w:space="0"/>
              <w:right w:val="single" w:color="000000" w:sz="4" w:space="0"/>
            </w:tcBorders>
            <w:shd w:val="clear" w:color="auto" w:fill="auto"/>
            <w:noWrap/>
            <w:vAlign w:val="center"/>
          </w:tcPr>
          <w:p w14:paraId="148C2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0" w:type="auto"/>
            <w:tcBorders>
              <w:top w:val="nil"/>
              <w:left w:val="nil"/>
              <w:bottom w:val="single" w:color="000000" w:sz="4" w:space="0"/>
              <w:right w:val="single" w:color="000000" w:sz="4" w:space="0"/>
            </w:tcBorders>
            <w:shd w:val="clear" w:color="auto" w:fill="auto"/>
            <w:noWrap/>
            <w:vAlign w:val="center"/>
          </w:tcPr>
          <w:p w14:paraId="2E78C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10.03</w:t>
            </w:r>
          </w:p>
        </w:tc>
        <w:tc>
          <w:tcPr>
            <w:tcW w:w="0" w:type="auto"/>
            <w:tcBorders>
              <w:top w:val="nil"/>
              <w:left w:val="nil"/>
              <w:bottom w:val="single" w:color="000000" w:sz="4" w:space="0"/>
              <w:right w:val="single" w:color="000000" w:sz="4" w:space="0"/>
            </w:tcBorders>
            <w:shd w:val="clear" w:color="auto" w:fill="auto"/>
            <w:noWrap/>
            <w:vAlign w:val="center"/>
          </w:tcPr>
          <w:p w14:paraId="6C546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0" w:type="auto"/>
            <w:tcBorders>
              <w:top w:val="nil"/>
              <w:left w:val="nil"/>
              <w:bottom w:val="single" w:color="000000" w:sz="4" w:space="0"/>
              <w:right w:val="single" w:color="000000" w:sz="4" w:space="0"/>
            </w:tcBorders>
            <w:shd w:val="clear" w:color="auto" w:fill="auto"/>
            <w:noWrap/>
            <w:vAlign w:val="center"/>
          </w:tcPr>
          <w:p w14:paraId="608EA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7.13</w:t>
            </w:r>
          </w:p>
        </w:tc>
        <w:tc>
          <w:tcPr>
            <w:tcW w:w="0" w:type="auto"/>
            <w:tcBorders>
              <w:top w:val="nil"/>
              <w:left w:val="nil"/>
              <w:bottom w:val="single" w:color="000000" w:sz="4" w:space="0"/>
              <w:right w:val="single" w:color="000000" w:sz="4" w:space="0"/>
            </w:tcBorders>
            <w:shd w:val="clear" w:color="auto" w:fill="auto"/>
            <w:noWrap/>
            <w:vAlign w:val="center"/>
          </w:tcPr>
          <w:p w14:paraId="268BE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0" w:type="auto"/>
            <w:tcBorders>
              <w:top w:val="nil"/>
              <w:left w:val="nil"/>
              <w:bottom w:val="single" w:color="000000" w:sz="4" w:space="0"/>
              <w:right w:val="single" w:color="000000" w:sz="4" w:space="0"/>
            </w:tcBorders>
            <w:shd w:val="clear" w:color="auto" w:fill="auto"/>
            <w:noWrap/>
            <w:vAlign w:val="center"/>
          </w:tcPr>
          <w:p w14:paraId="477A9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7.13</w:t>
            </w:r>
          </w:p>
        </w:tc>
        <w:tc>
          <w:tcPr>
            <w:tcW w:w="0" w:type="auto"/>
            <w:tcBorders>
              <w:top w:val="nil"/>
              <w:left w:val="nil"/>
              <w:bottom w:val="single" w:color="000000" w:sz="4" w:space="0"/>
              <w:right w:val="single" w:color="000000" w:sz="4" w:space="0"/>
            </w:tcBorders>
            <w:shd w:val="clear" w:color="auto" w:fill="auto"/>
            <w:noWrap/>
            <w:vAlign w:val="center"/>
          </w:tcPr>
          <w:p w14:paraId="6D24A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r>
      <w:tr w14:paraId="0024F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4400" w:type="dxa"/>
            <w:gridSpan w:val="12"/>
            <w:tcBorders>
              <w:top w:val="nil"/>
              <w:left w:val="nil"/>
              <w:bottom w:val="nil"/>
              <w:right w:val="nil"/>
            </w:tcBorders>
            <w:shd w:val="clear" w:color="auto" w:fill="auto"/>
            <w:vAlign w:val="center"/>
          </w:tcPr>
          <w:p w14:paraId="6F176E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C53EB95">
      <w:pPr>
        <w:widowControl/>
        <w:jc w:val="both"/>
        <w:rPr>
          <w:color w:val="auto"/>
          <w:sz w:val="72"/>
          <w:szCs w:val="72"/>
          <w:highlight w:val="none"/>
        </w:rPr>
        <w:sectPr>
          <w:pgSz w:w="16838" w:h="11906" w:orient="landscape"/>
          <w:pgMar w:top="720" w:right="720" w:bottom="720" w:left="720" w:header="851" w:footer="992" w:gutter="0"/>
          <w:cols w:space="425" w:num="1"/>
          <w:docGrid w:type="lines" w:linePitch="312" w:charSpace="0"/>
        </w:sectPr>
      </w:pPr>
    </w:p>
    <w:p w14:paraId="0A4B27BF">
      <w:pPr>
        <w:pStyle w:val="11"/>
        <w:rPr>
          <w:color w:val="auto"/>
          <w:sz w:val="72"/>
          <w:szCs w:val="72"/>
          <w:highlight w:val="none"/>
        </w:rPr>
      </w:pPr>
    </w:p>
    <w:p w14:paraId="392C4228">
      <w:pPr>
        <w:pStyle w:val="11"/>
        <w:rPr>
          <w:color w:val="auto"/>
          <w:sz w:val="72"/>
          <w:szCs w:val="72"/>
          <w:highlight w:val="none"/>
        </w:rPr>
      </w:pPr>
    </w:p>
    <w:p w14:paraId="0756351A">
      <w:pPr>
        <w:pStyle w:val="11"/>
        <w:rPr>
          <w:color w:val="auto"/>
          <w:sz w:val="72"/>
          <w:szCs w:val="72"/>
          <w:highlight w:val="none"/>
        </w:rPr>
      </w:pPr>
    </w:p>
    <w:p w14:paraId="5C66EC78">
      <w:pPr>
        <w:pStyle w:val="11"/>
        <w:rPr>
          <w:color w:val="auto"/>
          <w:sz w:val="72"/>
          <w:szCs w:val="72"/>
          <w:highlight w:val="none"/>
        </w:rPr>
      </w:pPr>
    </w:p>
    <w:p w14:paraId="3DFA7180">
      <w:pPr>
        <w:pStyle w:val="11"/>
        <w:jc w:val="center"/>
        <w:rPr>
          <w:color w:val="auto"/>
          <w:sz w:val="72"/>
          <w:szCs w:val="72"/>
          <w:highlight w:val="none"/>
        </w:rPr>
      </w:pPr>
    </w:p>
    <w:p w14:paraId="3E50E439">
      <w:pPr>
        <w:pStyle w:val="11"/>
        <w:jc w:val="center"/>
        <w:rPr>
          <w:rFonts w:hint="eastAsia" w:ascii="方正小标宋_GBK" w:hAnsi="方正小标宋_GBK" w:eastAsia="方正小标宋_GBK" w:cs="方正小标宋_GBK"/>
          <w:color w:val="auto"/>
          <w:sz w:val="72"/>
          <w:szCs w:val="72"/>
          <w:highlight w:val="none"/>
        </w:rPr>
      </w:pPr>
    </w:p>
    <w:p w14:paraId="3444EE80">
      <w:pPr>
        <w:pStyle w:val="11"/>
        <w:jc w:val="center"/>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第三部分</w:t>
      </w:r>
    </w:p>
    <w:p w14:paraId="33EAB340">
      <w:pPr>
        <w:pStyle w:val="11"/>
        <w:jc w:val="center"/>
        <w:rPr>
          <w:rFonts w:hint="eastAsia" w:ascii="方正小标宋_GBK" w:hAnsi="方正小标宋_GBK" w:eastAsia="方正小标宋_GBK" w:cs="方正小标宋_GBK"/>
          <w:color w:val="auto"/>
          <w:sz w:val="70"/>
          <w:szCs w:val="70"/>
          <w:highlight w:val="none"/>
        </w:rPr>
      </w:pPr>
    </w:p>
    <w:p w14:paraId="25B7D5FC">
      <w:pPr>
        <w:pStyle w:val="11"/>
        <w:jc w:val="center"/>
        <w:rPr>
          <w:rFonts w:hint="eastAsia" w:ascii="方正小标宋_GBK" w:hAnsi="方正小标宋_GBK" w:eastAsia="方正小标宋_GBK" w:cs="方正小标宋_GBK"/>
          <w:color w:val="auto"/>
          <w:sz w:val="70"/>
          <w:szCs w:val="70"/>
          <w:highlight w:val="none"/>
        </w:rPr>
      </w:pPr>
      <w:r>
        <w:rPr>
          <w:rFonts w:hint="eastAsia" w:ascii="方正小标宋_GBK" w:hAnsi="方正小标宋_GBK" w:eastAsia="方正小标宋_GBK" w:cs="方正小标宋_GBK"/>
          <w:color w:val="auto"/>
          <w:sz w:val="70"/>
          <w:szCs w:val="70"/>
          <w:highlight w:val="none"/>
        </w:rPr>
        <w:t>202</w:t>
      </w:r>
      <w:r>
        <w:rPr>
          <w:rFonts w:hint="eastAsia" w:ascii="方正小标宋_GBK" w:hAnsi="方正小标宋_GBK" w:eastAsia="方正小标宋_GBK" w:cs="方正小标宋_GBK"/>
          <w:color w:val="auto"/>
          <w:sz w:val="70"/>
          <w:szCs w:val="70"/>
          <w:highlight w:val="none"/>
          <w:lang w:val="en-US" w:eastAsia="zh-CN"/>
        </w:rPr>
        <w:t>2</w:t>
      </w:r>
      <w:r>
        <w:rPr>
          <w:rFonts w:hint="eastAsia" w:ascii="方正小标宋_GBK" w:hAnsi="方正小标宋_GBK" w:eastAsia="方正小标宋_GBK" w:cs="方正小标宋_GBK"/>
          <w:color w:val="auto"/>
          <w:sz w:val="70"/>
          <w:szCs w:val="70"/>
          <w:highlight w:val="none"/>
        </w:rPr>
        <w:t>年度部门决算情况说明</w:t>
      </w:r>
    </w:p>
    <w:p w14:paraId="2E99789A">
      <w:pPr>
        <w:widowControl/>
        <w:jc w:val="left"/>
        <w:rPr>
          <w:rFonts w:asciiTheme="minorEastAsia" w:hAnsiTheme="minorEastAsia" w:eastAsiaTheme="minorEastAsia"/>
          <w:color w:val="auto"/>
          <w:sz w:val="32"/>
          <w:szCs w:val="32"/>
          <w:highlight w:val="none"/>
        </w:rPr>
      </w:pPr>
      <w:r>
        <w:rPr>
          <w:rFonts w:hint="eastAsia" w:ascii="方正小标宋_GBK" w:hAnsi="方正小标宋_GBK" w:eastAsia="方正小标宋_GBK" w:cs="方正小标宋_GBK"/>
          <w:color w:val="auto"/>
          <w:sz w:val="70"/>
          <w:szCs w:val="70"/>
          <w:highlight w:val="none"/>
        </w:rPr>
        <w:br w:type="page"/>
      </w:r>
    </w:p>
    <w:p w14:paraId="5C46F31F">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一、收入支出决算总体情况说明</w:t>
      </w:r>
    </w:p>
    <w:p w14:paraId="66FD5523">
      <w:pPr>
        <w:pStyle w:val="11"/>
        <w:keepNext w:val="0"/>
        <w:keepLines w:val="0"/>
        <w:pageBreakBefore w:val="0"/>
        <w:widowControl w:val="0"/>
        <w:kinsoku/>
        <w:wordWrap/>
        <w:overflowPunct/>
        <w:topLinePunct w:val="0"/>
        <w:bidi w:val="0"/>
        <w:snapToGrid/>
        <w:spacing w:line="600" w:lineRule="exact"/>
        <w:ind w:firstLine="640" w:firstLineChars="200"/>
        <w:jc w:val="both"/>
        <w:textAlignment w:val="auto"/>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2022年度收入总计2980万元，与上年相比，减少411.53万元，减少12.13%。2022年度支出总计2980万元，与上年相比，减少411.53万元，减少12.13%。主要是因为减少了临聘人员支出</w:t>
      </w:r>
      <w:r>
        <w:rPr>
          <w:rFonts w:hint="eastAsia" w:asciiTheme="minorEastAsia" w:hAnsiTheme="minorEastAsia" w:eastAsiaTheme="minorEastAsia" w:cstheme="minorEastAsia"/>
          <w:color w:val="auto"/>
          <w:sz w:val="32"/>
          <w:szCs w:val="32"/>
          <w:highlight w:val="none"/>
          <w:lang w:eastAsia="zh-CN"/>
        </w:rPr>
        <w:t>。</w:t>
      </w:r>
    </w:p>
    <w:p w14:paraId="7E67AC00">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二、收入决算情况说明</w:t>
      </w:r>
    </w:p>
    <w:p w14:paraId="447F19F6">
      <w:pPr>
        <w:pStyle w:val="11"/>
        <w:keepNext w:val="0"/>
        <w:keepLines w:val="0"/>
        <w:pageBreakBefore w:val="0"/>
        <w:widowControl w:val="0"/>
        <w:kinsoku/>
        <w:wordWrap/>
        <w:overflowPunct/>
        <w:topLinePunct w:val="0"/>
        <w:bidi w:val="0"/>
        <w:snapToGrid/>
        <w:spacing w:line="600" w:lineRule="exact"/>
        <w:ind w:firstLine="640" w:firstLineChars="200"/>
        <w:jc w:val="both"/>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2022年度收入合计2980万元，其中：财政拨款收入2980万元，占100%；上级补助收入0万元，占0%；事业收入0万元，占0%；经营收入0万元，占0%；附属单位上缴收入0万元，占0%；其他收入0万元，占0%。</w:t>
      </w:r>
    </w:p>
    <w:p w14:paraId="36E6CC6A">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三、支出决算情况说明</w:t>
      </w:r>
    </w:p>
    <w:p w14:paraId="6F845E57">
      <w:pPr>
        <w:pStyle w:val="11"/>
        <w:keepNext w:val="0"/>
        <w:keepLines w:val="0"/>
        <w:pageBreakBefore w:val="0"/>
        <w:widowControl w:val="0"/>
        <w:kinsoku/>
        <w:wordWrap/>
        <w:overflowPunct/>
        <w:topLinePunct w:val="0"/>
        <w:bidi w:val="0"/>
        <w:snapToGrid/>
        <w:spacing w:line="600" w:lineRule="exact"/>
        <w:ind w:firstLine="640" w:firstLineChars="200"/>
        <w:jc w:val="both"/>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2022年度支出合计2980万元，其中：基本支出0万元，占0%；项目支出2980万元，占100%；上缴上级支出0万元，占0%；经营支出0万元，占0%；对附属单位补助支出0万元，占0%。</w:t>
      </w:r>
    </w:p>
    <w:p w14:paraId="606B6A97">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四、财政拨款收入支出决算总体情况说明</w:t>
      </w:r>
    </w:p>
    <w:p w14:paraId="5DF01EDC">
      <w:pPr>
        <w:pStyle w:val="11"/>
        <w:keepNext w:val="0"/>
        <w:keepLines w:val="0"/>
        <w:pageBreakBefore w:val="0"/>
        <w:widowControl w:val="0"/>
        <w:kinsoku/>
        <w:wordWrap/>
        <w:overflowPunct/>
        <w:topLinePunct w:val="0"/>
        <w:bidi w:val="0"/>
        <w:snapToGrid/>
        <w:spacing w:line="600" w:lineRule="exact"/>
        <w:ind w:firstLine="640" w:firstLineChars="200"/>
        <w:jc w:val="both"/>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2022年度财政拨款收入总计2980万元，与上年相比，减少397.3万元，减少11.76%。2022年度财政拨款支出总计2980万元，与上年相比，减少397.3万元，减少11.76%，主要是因为减少了临聘人员支出。</w:t>
      </w:r>
    </w:p>
    <w:p w14:paraId="38B8B495">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五、一般公共预算财政拨款支出决算情况说明</w:t>
      </w:r>
    </w:p>
    <w:p w14:paraId="4132B222">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（一）财政拨款支出决算总体情况</w:t>
      </w:r>
    </w:p>
    <w:p w14:paraId="20827B1B">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2022年度财政拨款支出2980万元，占本年支出合计的100%，与上年相比，减少397.27万元，减少11.76%，主要是因为减少了临聘人员支出。</w:t>
      </w:r>
    </w:p>
    <w:p w14:paraId="7DD0DE6F">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（二）财政拨款支出决算结构情况</w:t>
      </w:r>
    </w:p>
    <w:p w14:paraId="0FC2E903">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2022年度财政拨款支出2980万元，主要用于以下方面：住房保障（类）支出2980万元，占100%。</w:t>
      </w:r>
    </w:p>
    <w:p w14:paraId="23B902CC">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（三）财政拨款支出决算具体情况</w:t>
      </w:r>
    </w:p>
    <w:p w14:paraId="33431315">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2022年度财政拨款支出年初预算数为2980万元，支出决算数为2980万元，完成年初预算的100%，其中：</w:t>
      </w:r>
    </w:p>
    <w:p w14:paraId="1708DCCF">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住房保障（类）城乡社区住宅（款）住房公积金管理（项）。</w:t>
      </w:r>
    </w:p>
    <w:p w14:paraId="390A3E0D">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t>年初预算为2980万元，支出决算为2980万元，完成年初预算的100%，决算数等于年初预算数。</w:t>
      </w:r>
    </w:p>
    <w:p w14:paraId="1432B2E7">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六、一般公共预算财政拨款基本支出决算情况说明</w:t>
      </w:r>
    </w:p>
    <w:p w14:paraId="3A3A355D">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本单位无一般公共预算财政拨款基本支出。</w:t>
      </w:r>
    </w:p>
    <w:p w14:paraId="21E2EEBE">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b/>
          <w:color w:val="auto"/>
          <w:sz w:val="32"/>
          <w:szCs w:val="32"/>
          <w:highlight w:val="none"/>
        </w:rPr>
      </w:pPr>
      <w:r>
        <w:rPr>
          <w:rFonts w:hint="eastAsia" w:ascii="黑体" w:hAnsi="黑体" w:eastAsia="黑体" w:cs="黑体"/>
          <w:b w:val="0"/>
          <w:bCs/>
          <w:color w:val="auto"/>
          <w:sz w:val="32"/>
          <w:szCs w:val="32"/>
          <w:highlight w:val="none"/>
        </w:rPr>
        <w:t>七、财政拨款三公经费支出决算情况说明</w:t>
      </w:r>
    </w:p>
    <w:p w14:paraId="2362F78B">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color w:val="auto"/>
          <w:sz w:val="32"/>
          <w:szCs w:val="32"/>
          <w:highlight w:val="none"/>
        </w:rPr>
      </w:pPr>
      <w:r>
        <w:rPr>
          <w:rFonts w:hint="eastAsia" w:ascii="楷体" w:hAnsi="楷体" w:eastAsia="楷体" w:cs="楷体"/>
          <w:b/>
          <w:bCs w:val="0"/>
          <w:color w:val="auto"/>
          <w:sz w:val="32"/>
          <w:szCs w:val="32"/>
          <w:highlight w:val="none"/>
        </w:rPr>
        <w:t>（一）“三公”经费财政拨款支出决算总体情况说明</w:t>
      </w:r>
    </w:p>
    <w:p w14:paraId="6078FA74">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“三公”经费财政拨款支出预算为16.00万元，支出决算为10.03万元，完成预算的62.69%，其中：</w:t>
      </w:r>
    </w:p>
    <w:p w14:paraId="01B094ED">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因公出国（境）费支出预算为0万元，支出决算为0万元。</w:t>
      </w:r>
    </w:p>
    <w:p w14:paraId="20DE14DE">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接待费支出预算为8万元，支出决算为2.9万元，完成预算的36.25%，决算数小于预算数的主要原因是我中心大幅压减公务接待费开支，与上年相比减少0.16万元，减少5.23%,减少的主要原因是我中心大幅压减公务接待费开支。</w:t>
      </w:r>
    </w:p>
    <w:p w14:paraId="0BE6490B">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公务用车购置费支出预算为0万元，支出决算为0万元</w:t>
      </w:r>
      <w:r>
        <w:rPr>
          <w:rFonts w:hint="default" w:ascii="Times New Roman" w:hAnsi="Times New Roman" w:eastAsia="仿宋_GB2312" w:cs="仿宋_GB2312"/>
          <w:color w:val="auto"/>
          <w:kern w:val="2"/>
          <w:sz w:val="32"/>
          <w:szCs w:val="32"/>
          <w:highlight w:val="none"/>
          <w:lang w:val="en-US" w:eastAsia="zh-CN" w:bidi="ar-SA"/>
        </w:rPr>
        <w:t>。</w:t>
      </w:r>
    </w:p>
    <w:p w14:paraId="6A1DDDE3">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公务用车运行维护费支出预算为8万元，支出决算为7.13万元，完成预算的89.13%，与上年相比增加1.53万元，增长27.32%,增长的主要原因是</w:t>
      </w:r>
      <w:r>
        <w:rPr>
          <w:rFonts w:hint="default" w:ascii="Times New Roman" w:hAnsi="Times New Roman" w:eastAsia="仿宋_GB2312" w:cs="仿宋_GB2312"/>
          <w:color w:val="auto"/>
          <w:kern w:val="2"/>
          <w:sz w:val="32"/>
          <w:szCs w:val="32"/>
          <w:highlight w:val="none"/>
          <w:lang w:val="en-US" w:eastAsia="zh-CN" w:bidi="ar-SA"/>
        </w:rPr>
        <w:t>公务用车</w:t>
      </w:r>
      <w:r>
        <w:rPr>
          <w:rFonts w:hint="eastAsia" w:ascii="Times New Roman" w:hAnsi="Times New Roman" w:eastAsia="仿宋_GB2312" w:cs="仿宋_GB2312"/>
          <w:color w:val="auto"/>
          <w:kern w:val="2"/>
          <w:sz w:val="32"/>
          <w:szCs w:val="32"/>
          <w:highlight w:val="none"/>
          <w:lang w:val="en-US" w:eastAsia="zh-CN" w:bidi="ar-SA"/>
        </w:rPr>
        <w:t>车龄已13年、车辆磨损严重</w:t>
      </w:r>
      <w:r>
        <w:rPr>
          <w:rFonts w:hint="default" w:ascii="Times New Roman" w:hAnsi="Times New Roman"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耗油较高，车况较差，而中心因实际工作需要，需</w:t>
      </w:r>
      <w:r>
        <w:rPr>
          <w:rFonts w:hint="default" w:ascii="Times New Roman" w:hAnsi="Times New Roman" w:eastAsia="仿宋_GB2312" w:cs="仿宋_GB2312"/>
          <w:color w:val="auto"/>
          <w:kern w:val="2"/>
          <w:sz w:val="32"/>
          <w:szCs w:val="32"/>
          <w:highlight w:val="none"/>
          <w:lang w:val="en-US" w:eastAsia="zh-CN" w:bidi="ar-SA"/>
        </w:rPr>
        <w:t>深入基层</w:t>
      </w:r>
      <w:r>
        <w:rPr>
          <w:rFonts w:hint="eastAsia" w:ascii="Times New Roman" w:hAnsi="Times New Roman" w:eastAsia="仿宋_GB2312" w:cs="仿宋_GB2312"/>
          <w:color w:val="auto"/>
          <w:kern w:val="2"/>
          <w:sz w:val="32"/>
          <w:szCs w:val="32"/>
          <w:highlight w:val="none"/>
          <w:lang w:val="en-US" w:eastAsia="zh-CN" w:bidi="ar-SA"/>
        </w:rPr>
        <w:t>各县市区管理部、乡村振兴联点村进行调研指导，</w:t>
      </w:r>
      <w:r>
        <w:rPr>
          <w:rFonts w:hint="default" w:ascii="Times New Roman" w:hAnsi="Times New Roman" w:eastAsia="仿宋_GB2312" w:cs="仿宋_GB2312"/>
          <w:color w:val="auto"/>
          <w:kern w:val="2"/>
          <w:sz w:val="32"/>
          <w:szCs w:val="32"/>
          <w:highlight w:val="none"/>
          <w:lang w:val="en-US" w:eastAsia="zh-CN" w:bidi="ar-SA"/>
        </w:rPr>
        <w:t>工作任务</w:t>
      </w:r>
      <w:r>
        <w:rPr>
          <w:rFonts w:hint="eastAsia" w:ascii="Times New Roman" w:hAnsi="Times New Roman" w:eastAsia="仿宋_GB2312" w:cs="仿宋_GB2312"/>
          <w:color w:val="auto"/>
          <w:kern w:val="2"/>
          <w:sz w:val="32"/>
          <w:szCs w:val="32"/>
          <w:highlight w:val="none"/>
          <w:lang w:val="en-US" w:eastAsia="zh-CN" w:bidi="ar-SA"/>
        </w:rPr>
        <w:t>繁重、出车频繁，且我市各县市区特别是南六县与北五县距离远，路况较差、情况复杂、车辆磨损严重，</w:t>
      </w:r>
      <w:r>
        <w:rPr>
          <w:rFonts w:hint="default" w:ascii="Times New Roman" w:hAnsi="Times New Roman" w:eastAsia="仿宋_GB2312" w:cs="仿宋_GB2312"/>
          <w:color w:val="auto"/>
          <w:kern w:val="2"/>
          <w:sz w:val="32"/>
          <w:szCs w:val="32"/>
          <w:highlight w:val="none"/>
          <w:lang w:val="en-US" w:eastAsia="zh-CN" w:bidi="ar-SA"/>
        </w:rPr>
        <w:t>对车辆进行维修保养及相关零部件更换支出增加。</w:t>
      </w:r>
    </w:p>
    <w:p w14:paraId="0807ED9F">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color w:val="auto"/>
          <w:sz w:val="32"/>
          <w:szCs w:val="32"/>
          <w:highlight w:val="none"/>
        </w:rPr>
      </w:pPr>
      <w:r>
        <w:rPr>
          <w:rFonts w:hint="eastAsia" w:ascii="楷体" w:hAnsi="楷体" w:eastAsia="楷体" w:cs="楷体"/>
          <w:b/>
          <w:bCs w:val="0"/>
          <w:color w:val="auto"/>
          <w:sz w:val="32"/>
          <w:szCs w:val="32"/>
          <w:highlight w:val="none"/>
        </w:rPr>
        <w:t>（二）“三公”经费财政拨款支出决算具体情况说明</w:t>
      </w:r>
    </w:p>
    <w:p w14:paraId="3DC3CDE2">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2022年度“三公”经费财政拨款支出决算中，公务接待费支出决算2.90万元，占28.91%,因公出国（境）费支出决算0万元，占0%,公务用车购置费及运行维护费支出决算7.13万元，占71.09%。其中：</w:t>
      </w:r>
    </w:p>
    <w:p w14:paraId="1A771F64">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1、因公出国（境）费支出决算为0万元。</w:t>
      </w:r>
    </w:p>
    <w:p w14:paraId="0A65F373">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2、公务接待费支出决算为2.90万元，全年共接待来访团组48个、来宾351人次，主要是各类检查督查、调研、交流学习等发生的接待支出。</w:t>
      </w:r>
    </w:p>
    <w:p w14:paraId="22DB44E1">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公务用车购置费及运行维护费支出决算为7.13万元，其中：公务用车购置费0万元。公务用车运行维护费7.13万元，主要是路桥费、燃油费、维修保养费等支出，截止2022年12月31日，我单位开支财政拨款的公务用车保有量为1辆。</w:t>
      </w:r>
    </w:p>
    <w:p w14:paraId="7E1ECF70">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八、政府性基金预算收入支出决算情况</w:t>
      </w:r>
    </w:p>
    <w:p w14:paraId="292D388F">
      <w:pPr>
        <w:pStyle w:val="11"/>
        <w:keepNext w:val="0"/>
        <w:keepLines w:val="0"/>
        <w:pageBreakBefore w:val="0"/>
        <w:widowControl w:val="0"/>
        <w:kinsoku/>
        <w:wordWrap/>
        <w:overflowPunct/>
        <w:topLinePunct w:val="0"/>
        <w:autoSpaceDE w:val="0"/>
        <w:autoSpaceDN w:val="0"/>
        <w:bidi w:val="0"/>
        <w:adjustRightInd w:val="0"/>
        <w:snapToGrid/>
        <w:spacing w:line="600" w:lineRule="exact"/>
        <w:ind w:right="0" w:rightChars="0" w:firstLine="640" w:firstLineChars="200"/>
        <w:jc w:val="both"/>
        <w:textAlignment w:val="auto"/>
        <w:outlineLvl w:val="9"/>
        <w:rPr>
          <w:rFonts w:hint="eastAsia" w:asciiTheme="minorEastAsia" w:hAnsiTheme="minorEastAsia" w:eastAsiaTheme="minorEastAsia" w:cstheme="minorEastAsia"/>
          <w:color w:val="auto"/>
          <w:sz w:val="32"/>
          <w:szCs w:val="32"/>
          <w:highlight w:val="none"/>
        </w:rPr>
      </w:pPr>
      <w:r>
        <w:rPr>
          <w:rFonts w:hint="eastAsia" w:ascii="Times New Roman" w:hAnsi="Times New Roman" w:eastAsia="仿宋_GB2312" w:cstheme="minorBidi"/>
          <w:color w:val="auto"/>
          <w:kern w:val="2"/>
          <w:sz w:val="32"/>
          <w:szCs w:val="32"/>
          <w:highlight w:val="none"/>
          <w:lang w:val="en-US" w:eastAsia="zh-CN" w:bidi="ar-SA"/>
        </w:rPr>
        <w:t>本单位无政府性基金收支。</w:t>
      </w:r>
    </w:p>
    <w:p w14:paraId="37668A42">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九、关于机关运行经费支出说明</w:t>
      </w:r>
    </w:p>
    <w:p w14:paraId="361CE4E2">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stheme="minorBidi"/>
          <w:color w:val="auto"/>
          <w:kern w:val="2"/>
          <w:sz w:val="32"/>
          <w:szCs w:val="32"/>
          <w:highlight w:val="none"/>
          <w:lang w:val="en-US" w:eastAsia="zh-CN" w:bidi="ar-SA"/>
        </w:rPr>
        <w:t>机关运行经费是指为保障行政单位（含参照公务员法管理事业单位）运行用于购买货物和服务的各项资金。中心不属于行政单位或者参照公务员法管理的事业单位，故无此项支出。</w:t>
      </w:r>
    </w:p>
    <w:p w14:paraId="46686FFE">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十、一般性支出情况说明</w:t>
      </w:r>
    </w:p>
    <w:p w14:paraId="1654F428">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default" w:ascii="Times New Roman" w:hAnsi="Times New Roman" w:eastAsia="仿宋_GB2312" w:cstheme="minorBidi"/>
          <w:color w:val="auto"/>
          <w:kern w:val="2"/>
          <w:sz w:val="32"/>
          <w:szCs w:val="32"/>
          <w:highlight w:val="none"/>
          <w:lang w:val="en" w:eastAsia="zh-CN" w:bidi="ar-SA"/>
        </w:rPr>
      </w:pPr>
      <w:r>
        <w:rPr>
          <w:rFonts w:hint="eastAsia" w:ascii="Times New Roman" w:hAnsi="Times New Roman" w:eastAsia="仿宋_GB2312" w:cstheme="minorBidi"/>
          <w:color w:val="auto"/>
          <w:kern w:val="2"/>
          <w:sz w:val="32"/>
          <w:szCs w:val="32"/>
          <w:highlight w:val="none"/>
          <w:lang w:val="en-US" w:eastAsia="zh-CN" w:bidi="ar-SA"/>
        </w:rPr>
        <w:t>2022年本部门开支会议费3.89万元，用于召开领导干部年度考核、贷后管理、专项警示教育、专项整治动员部署、管委会、运营分析会议、劳派人员分流安置等会议，人数415人，内容为述职及民主测评、年度考核、贷后管理、运营分析、专项警示教育、专项整治动员部署、劳派人员分流安置等；开支培训费11.46万元，用于开展期房贷款培训、楼盘专管员培训、法律法规宣传培训，人数403人，内容为在编在岗人员培训、期房贷款培训、楼盘专管员培训、法律法规宣传培训等；未举办节庆、晚会、论坛、赛事活动。</w:t>
      </w:r>
    </w:p>
    <w:p w14:paraId="4C0062C0">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十一、关于政府采购支出说明</w:t>
      </w:r>
    </w:p>
    <w:p w14:paraId="0EDECD2A">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Times New Roman" w:hAnsi="Times New Roman" w:eastAsia="仿宋_GB2312" w:cstheme="minorBidi"/>
          <w:color w:val="auto"/>
          <w:kern w:val="2"/>
          <w:sz w:val="32"/>
          <w:szCs w:val="32"/>
          <w:highlight w:val="none"/>
          <w:lang w:val="en-US" w:eastAsia="zh-CN" w:bidi="ar-SA"/>
        </w:rPr>
      </w:pPr>
      <w:r>
        <w:rPr>
          <w:rFonts w:hint="eastAsia" w:ascii="Times New Roman" w:hAnsi="Times New Roman" w:eastAsia="仿宋_GB2312" w:cstheme="minorBidi"/>
          <w:color w:val="auto"/>
          <w:kern w:val="2"/>
          <w:sz w:val="32"/>
          <w:szCs w:val="32"/>
          <w:highlight w:val="none"/>
          <w:lang w:val="en-US" w:eastAsia="zh-CN" w:bidi="ar-SA"/>
        </w:rPr>
        <w:t>本单位2022年度无政府采购支出。</w:t>
      </w:r>
    </w:p>
    <w:p w14:paraId="0DB11D1C">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十二、关于国有资产占用情况说明</w:t>
      </w:r>
    </w:p>
    <w:p w14:paraId="5B85F931">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Times New Roman" w:hAnsi="Times New Roman" w:eastAsia="仿宋_GB2312" w:cstheme="minorBidi"/>
          <w:color w:val="auto"/>
          <w:kern w:val="2"/>
          <w:sz w:val="32"/>
          <w:szCs w:val="32"/>
          <w:highlight w:val="none"/>
          <w:lang w:val="en-US" w:eastAsia="zh-CN" w:bidi="ar-SA"/>
        </w:rPr>
      </w:pPr>
      <w:r>
        <w:rPr>
          <w:rFonts w:hint="eastAsia" w:ascii="Times New Roman" w:hAnsi="Times New Roman" w:eastAsia="仿宋_GB2312" w:cstheme="minorBidi"/>
          <w:color w:val="auto"/>
          <w:kern w:val="2"/>
          <w:sz w:val="32"/>
          <w:szCs w:val="32"/>
          <w:highlight w:val="none"/>
          <w:lang w:val="en-US" w:eastAsia="zh-CN" w:bidi="ar-SA"/>
        </w:rPr>
        <w:t>截至2022年12月31日，本单位共有车辆1辆，其中，主要领导干部用车0辆，机要通信用车0辆、应急保障用车0辆、执法执勤用车0辆、特种专业技术用车0辆、其他用车1辆，其他用车主要是一般公务用车；单位价值50万元以上通用设备0台（套）；单位价值100万元以上专用设备0台（套）。</w:t>
      </w:r>
    </w:p>
    <w:p w14:paraId="6D3CBD9B">
      <w:pPr>
        <w:pStyle w:val="11"/>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十三、关于</w:t>
      </w: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2</w:t>
      </w:r>
      <w:r>
        <w:rPr>
          <w:rFonts w:hint="eastAsia" w:ascii="黑体" w:hAnsi="黑体" w:eastAsia="黑体" w:cs="黑体"/>
          <w:b w:val="0"/>
          <w:bCs/>
          <w:color w:val="auto"/>
          <w:sz w:val="32"/>
          <w:szCs w:val="32"/>
          <w:highlight w:val="none"/>
        </w:rPr>
        <w:t>年度预算绩效情况的说明</w:t>
      </w:r>
    </w:p>
    <w:p w14:paraId="78244029">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lang w:eastAsia="zh-CN"/>
        </w:rPr>
        <w:t>（一）</w:t>
      </w:r>
      <w:r>
        <w:rPr>
          <w:rFonts w:hint="eastAsia" w:ascii="楷体" w:hAnsi="楷体" w:eastAsia="楷体" w:cs="楷体"/>
          <w:b/>
          <w:bCs/>
          <w:color w:val="auto"/>
          <w:sz w:val="32"/>
          <w:szCs w:val="32"/>
          <w:highlight w:val="none"/>
        </w:rPr>
        <w:t>部门整体支出绩效情况</w:t>
      </w:r>
    </w:p>
    <w:p w14:paraId="442DC0DA">
      <w:pPr>
        <w:pStyle w:val="2"/>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仿宋_GB2312" w:cstheme="minorBidi"/>
          <w:color w:val="auto"/>
          <w:kern w:val="2"/>
          <w:sz w:val="32"/>
          <w:szCs w:val="32"/>
          <w:highlight w:val="none"/>
          <w:lang w:val="en-US" w:eastAsia="zh-CN" w:bidi="ar-SA"/>
        </w:rPr>
      </w:pPr>
      <w:r>
        <w:rPr>
          <w:rFonts w:hint="eastAsia" w:ascii="Times New Roman" w:hAnsi="Times New Roman" w:eastAsia="仿宋_GB2312" w:cstheme="minorBidi"/>
          <w:color w:val="auto"/>
          <w:kern w:val="2"/>
          <w:sz w:val="32"/>
          <w:szCs w:val="32"/>
          <w:highlight w:val="none"/>
          <w:lang w:val="en-US" w:eastAsia="zh-CN" w:bidi="ar-SA"/>
        </w:rPr>
        <w:t>本单位组织对2022年度项目支出开展了绩效自评，根据年初设定的绩效目标，本单位绩效自评得分98分。全年预算数2980万元，全年执行数2980万元，完成总额的100.0%。2022年，全年归集住房公积金35.82亿元、发放住房公积金个人委托贷款和组合贷款18.58亿元、实现增值收益2.41亿元、计提廉租住房建设补充资金2.05亿元、贷款逾期率0.025%，全面完成了年度目标任务。2022年进一步精简优化了住房公积金业务办理流程、要件和资料，拓展了住房公积金综合服务平台功能，实现了信息查询、变更、开户、购房提取、离退休提取、提前结清等8项服务事项“跨省通办”，网办深度三级以上业务事项比率98.46%。面对疫情影响和困难群众出行难等问题，全面推行了住房公积金“预约办”“延迟办”“上门办”“容缺办”等便民举措，主动深入园区企业宣传政策，各县市区管理部当年上门办理业务80余笔，突出解决了群众“急难愁盼事”。在“好差评”、优化营商环境测评以及政务服务评比中，住房公积金不断得到好评，群众满意度持续提高。</w:t>
      </w:r>
    </w:p>
    <w:p w14:paraId="4CA86DF0">
      <w:pPr>
        <w:pStyle w:val="11"/>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lang w:eastAsia="zh-CN"/>
        </w:rPr>
        <w:t>（二）</w:t>
      </w:r>
      <w:r>
        <w:rPr>
          <w:rFonts w:hint="eastAsia" w:ascii="楷体" w:hAnsi="楷体" w:eastAsia="楷体" w:cs="楷体"/>
          <w:b/>
          <w:bCs/>
          <w:color w:val="auto"/>
          <w:sz w:val="32"/>
          <w:szCs w:val="32"/>
          <w:highlight w:val="none"/>
        </w:rPr>
        <w:t>存在的问题及原因分析</w:t>
      </w:r>
    </w:p>
    <w:p w14:paraId="5258F400">
      <w:pPr>
        <w:pStyle w:val="11"/>
        <w:keepNext w:val="0"/>
        <w:keepLines w:val="0"/>
        <w:pageBreakBefore w:val="0"/>
        <w:widowControl w:val="0"/>
        <w:kinsoku/>
        <w:wordWrap/>
        <w:overflowPunct/>
        <w:topLinePunct w:val="0"/>
        <w:bidi w:val="0"/>
        <w:snapToGrid/>
        <w:spacing w:line="600" w:lineRule="exact"/>
        <w:ind w:firstLine="640" w:firstLineChars="200"/>
        <w:jc w:val="both"/>
        <w:textAlignment w:val="auto"/>
        <w:rPr>
          <w:rFonts w:hint="eastAsia" w:ascii="Times New Roman" w:hAnsi="Times New Roman" w:eastAsia="仿宋_GB2312" w:cstheme="minorBidi"/>
          <w:color w:val="auto"/>
          <w:kern w:val="2"/>
          <w:sz w:val="32"/>
          <w:szCs w:val="32"/>
          <w:highlight w:val="none"/>
          <w:lang w:val="en-US" w:eastAsia="zh-CN" w:bidi="ar-SA"/>
        </w:rPr>
        <w:sectPr>
          <w:pgSz w:w="11906" w:h="16838"/>
          <w:pgMar w:top="720" w:right="720" w:bottom="720" w:left="720" w:header="851" w:footer="992" w:gutter="0"/>
          <w:cols w:space="425" w:num="1"/>
          <w:docGrid w:type="linesAndChars" w:linePitch="312" w:charSpace="0"/>
        </w:sectPr>
      </w:pPr>
      <w:r>
        <w:rPr>
          <w:rFonts w:hint="eastAsia" w:ascii="Times New Roman" w:hAnsi="Times New Roman" w:eastAsia="仿宋_GB2312" w:cstheme="minorBidi"/>
          <w:color w:val="auto"/>
          <w:kern w:val="2"/>
          <w:sz w:val="32"/>
          <w:szCs w:val="32"/>
          <w:highlight w:val="none"/>
          <w:lang w:val="en-US" w:eastAsia="zh-CN" w:bidi="ar-SA"/>
        </w:rPr>
        <w:t>2022年度项目支出未偏离绩效目标。今后将进一步加强预算执行分析，提高预算执行效率及资金使用效益，将绩效评价结果与年度预算安排相结合，合理设置绩效指标，确保当年完成各项绩效目标任务，切实提高预算编制和绩效目标编制的水平。</w:t>
      </w:r>
    </w:p>
    <w:p w14:paraId="5E781BEB">
      <w:pPr>
        <w:pStyle w:val="11"/>
        <w:jc w:val="center"/>
        <w:rPr>
          <w:rFonts w:hint="eastAsia" w:ascii="方正小标宋_GBK" w:hAnsi="方正小标宋_GBK" w:eastAsia="方正小标宋_GBK" w:cs="方正小标宋_GBK"/>
          <w:color w:val="auto"/>
          <w:sz w:val="72"/>
          <w:szCs w:val="72"/>
          <w:highlight w:val="none"/>
        </w:rPr>
      </w:pPr>
    </w:p>
    <w:p w14:paraId="09D31933">
      <w:pPr>
        <w:pStyle w:val="11"/>
        <w:jc w:val="center"/>
        <w:rPr>
          <w:rFonts w:hint="eastAsia" w:ascii="方正小标宋_GBK" w:hAnsi="方正小标宋_GBK" w:eastAsia="方正小标宋_GBK" w:cs="方正小标宋_GBK"/>
          <w:color w:val="auto"/>
          <w:sz w:val="72"/>
          <w:szCs w:val="72"/>
          <w:highlight w:val="none"/>
        </w:rPr>
      </w:pPr>
    </w:p>
    <w:p w14:paraId="3749A5FB">
      <w:pPr>
        <w:pStyle w:val="11"/>
        <w:jc w:val="center"/>
        <w:rPr>
          <w:rFonts w:hint="eastAsia" w:ascii="方正小标宋_GBK" w:hAnsi="方正小标宋_GBK" w:eastAsia="方正小标宋_GBK" w:cs="方正小标宋_GBK"/>
          <w:color w:val="auto"/>
          <w:sz w:val="72"/>
          <w:szCs w:val="72"/>
          <w:highlight w:val="none"/>
        </w:rPr>
      </w:pPr>
    </w:p>
    <w:p w14:paraId="5805F893">
      <w:pPr>
        <w:pStyle w:val="11"/>
        <w:jc w:val="center"/>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第四部分</w:t>
      </w:r>
    </w:p>
    <w:p w14:paraId="750FF88F">
      <w:pPr>
        <w:jc w:val="center"/>
        <w:rPr>
          <w:rFonts w:hint="eastAsia" w:ascii="方正小标宋_GBK" w:hAnsi="方正小标宋_GBK" w:eastAsia="方正小标宋_GBK" w:cs="方正小标宋_GBK"/>
          <w:color w:val="auto"/>
          <w:kern w:val="0"/>
          <w:sz w:val="70"/>
          <w:szCs w:val="70"/>
          <w:highlight w:val="none"/>
        </w:rPr>
      </w:pPr>
    </w:p>
    <w:p w14:paraId="3A5F122A">
      <w:pPr>
        <w:jc w:val="center"/>
        <w:rPr>
          <w:rFonts w:hint="eastAsia" w:ascii="方正小标宋_GBK" w:hAnsi="方正小标宋_GBK" w:eastAsia="方正小标宋_GBK" w:cs="方正小标宋_GBK"/>
          <w:color w:val="auto"/>
          <w:kern w:val="0"/>
          <w:sz w:val="70"/>
          <w:szCs w:val="70"/>
          <w:highlight w:val="none"/>
        </w:rPr>
      </w:pPr>
      <w:r>
        <w:rPr>
          <w:rFonts w:hint="eastAsia" w:ascii="方正小标宋_GBK" w:hAnsi="方正小标宋_GBK" w:eastAsia="方正小标宋_GBK" w:cs="方正小标宋_GBK"/>
          <w:color w:val="auto"/>
          <w:kern w:val="0"/>
          <w:sz w:val="70"/>
          <w:szCs w:val="70"/>
          <w:highlight w:val="none"/>
        </w:rPr>
        <w:t>名词解释</w:t>
      </w:r>
    </w:p>
    <w:p w14:paraId="2C69B1F6">
      <w:pPr>
        <w:widowControl/>
        <w:jc w:val="left"/>
        <w:rPr>
          <w:rFonts w:cs="黑体" w:asciiTheme="minorEastAsia" w:hAnsiTheme="minorEastAsia"/>
          <w:color w:val="auto"/>
          <w:kern w:val="0"/>
          <w:sz w:val="32"/>
          <w:szCs w:val="32"/>
          <w:highlight w:val="none"/>
        </w:rPr>
      </w:pPr>
      <w:bookmarkStart w:id="0" w:name="_GoBack"/>
      <w:r>
        <w:rPr>
          <w:rFonts w:hint="eastAsia" w:ascii="方正小标宋_GBK" w:hAnsi="方正小标宋_GBK" w:eastAsia="方正小标宋_GBK" w:cs="方正小标宋_GBK"/>
          <w:color w:val="auto"/>
          <w:kern w:val="0"/>
          <w:sz w:val="70"/>
          <w:szCs w:val="70"/>
          <w:highlight w:val="none"/>
        </w:rPr>
        <w:br w:type="page"/>
      </w:r>
    </w:p>
    <w:bookmarkEnd w:id="0"/>
    <w:p w14:paraId="7C4B3D14">
      <w:pPr>
        <w:keepNext w:val="0"/>
        <w:keepLines w:val="0"/>
        <w:pageBreakBefore w:val="0"/>
        <w:widowControl/>
        <w:numPr>
          <w:ilvl w:val="0"/>
          <w:numId w:val="1"/>
        </w:numPr>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财政拨款收入：指财政当年拨付的资金，主要包括一般公共预算财政拨款，政府性基金预算财政拨款，国有资本经营预算财政拨款。</w:t>
      </w:r>
    </w:p>
    <w:p w14:paraId="50315840">
      <w:pPr>
        <w:keepNext w:val="0"/>
        <w:keepLines w:val="0"/>
        <w:pageBreakBefore w:val="0"/>
        <w:widowControl/>
        <w:numPr>
          <w:ilvl w:val="0"/>
          <w:numId w:val="0"/>
        </w:numPr>
        <w:kinsoku/>
        <w:wordWrap/>
        <w:overflowPunct/>
        <w:topLinePunct w:val="0"/>
        <w:bidi w:val="0"/>
        <w:snapToGrid/>
        <w:spacing w:line="560" w:lineRule="exact"/>
        <w:ind w:firstLine="640" w:firstLineChars="200"/>
        <w:jc w:val="left"/>
        <w:textAlignment w:val="auto"/>
        <w:rPr>
          <w:rFonts w:hint="default" w:ascii="仿宋_GB2312" w:hAnsi="仿宋_GB2312" w:eastAsia="仿宋_GB2312" w:cs="仿宋_GB2312"/>
          <w:color w:val="auto"/>
          <w:sz w:val="32"/>
          <w:szCs w:val="32"/>
          <w:highlight w:val="none"/>
          <w:lang w:val="en" w:eastAsia="zh-CN"/>
        </w:rPr>
      </w:pPr>
      <w:r>
        <w:rPr>
          <w:rFonts w:hint="eastAsia" w:ascii="仿宋_GB2312" w:hAnsi="仿宋_GB2312" w:eastAsia="仿宋_GB2312" w:cs="仿宋_GB2312"/>
          <w:color w:val="auto"/>
          <w:sz w:val="32"/>
          <w:szCs w:val="32"/>
          <w:highlight w:val="none"/>
          <w:lang w:val="en-US" w:eastAsia="zh-CN"/>
        </w:rPr>
        <w:t>二、上级补助收入：指事业单位从主管部门和上级单位取得的非财政补助收入。</w:t>
      </w:r>
    </w:p>
    <w:p w14:paraId="54B60B38">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default" w:ascii="仿宋_GB2312" w:hAnsi="仿宋_GB2312" w:eastAsia="仿宋_GB2312" w:cs="仿宋_GB2312"/>
          <w:color w:val="auto"/>
          <w:sz w:val="32"/>
          <w:szCs w:val="32"/>
          <w:highlight w:val="none"/>
          <w:lang w:val="en" w:eastAsia="zh-CN"/>
        </w:rPr>
      </w:pPr>
      <w:r>
        <w:rPr>
          <w:rFonts w:hint="eastAsia" w:ascii="仿宋_GB2312" w:hAnsi="仿宋_GB2312" w:eastAsia="仿宋_GB2312" w:cs="仿宋_GB2312"/>
          <w:color w:val="auto"/>
          <w:sz w:val="32"/>
          <w:szCs w:val="32"/>
          <w:highlight w:val="none"/>
          <w:lang w:val="en-US" w:eastAsia="zh-CN"/>
        </w:rPr>
        <w:t>三、事业收入：指事业单位开展专业业务活动及辅助活动所取得的收入。</w:t>
      </w:r>
    </w:p>
    <w:p w14:paraId="32D2B826">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default" w:ascii="仿宋_GB2312" w:hAnsi="仿宋_GB2312" w:eastAsia="仿宋_GB2312" w:cs="仿宋_GB2312"/>
          <w:color w:val="auto"/>
          <w:sz w:val="32"/>
          <w:szCs w:val="32"/>
          <w:highlight w:val="none"/>
          <w:lang w:val="en" w:eastAsia="zh-CN"/>
        </w:rPr>
      </w:pPr>
      <w:r>
        <w:rPr>
          <w:rFonts w:hint="eastAsia" w:ascii="仿宋_GB2312" w:hAnsi="仿宋_GB2312" w:eastAsia="仿宋_GB2312" w:cs="仿宋_GB2312"/>
          <w:color w:val="auto"/>
          <w:sz w:val="32"/>
          <w:szCs w:val="32"/>
          <w:highlight w:val="none"/>
          <w:lang w:val="en-US" w:eastAsia="zh-CN"/>
        </w:rPr>
        <w:t>四、其他收入：指除上述“财政拨款收入”、“事业收入”、“经营收入”等以外的收入。</w:t>
      </w:r>
    </w:p>
    <w:p w14:paraId="2918201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五、基本支出：指为保障机构正常运转、完成日常工作任务而发生的各项支出，包括人员支出和公用支出。  </w:t>
      </w:r>
    </w:p>
    <w:p w14:paraId="06AC0B26">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六、项目支出：指在基本支出以外为完成相关行政任务和事业发展目标所发生的各项支出。  </w:t>
      </w:r>
    </w:p>
    <w:p w14:paraId="74369E42">
      <w:pPr>
        <w:pStyle w:val="11"/>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olor w:val="auto"/>
          <w:sz w:val="32"/>
          <w:szCs w:val="32"/>
          <w:highlight w:val="none"/>
          <w:lang w:val="en"/>
        </w:rPr>
      </w:pPr>
      <w:r>
        <w:rPr>
          <w:rFonts w:hint="eastAsia" w:ascii="仿宋_GB2312" w:hAnsi="仿宋_GB2312" w:eastAsia="仿宋_GB2312" w:cs="仿宋_GB2312"/>
          <w:color w:val="auto"/>
          <w:kern w:val="2"/>
          <w:sz w:val="32"/>
          <w:szCs w:val="32"/>
          <w:highlight w:val="none"/>
          <w:lang w:val="en-US" w:eastAsia="zh-CN" w:bidi="ar-SA"/>
        </w:rPr>
        <w:t>七、“三公”经费：</w:t>
      </w:r>
      <w:r>
        <w:rPr>
          <w:rFonts w:hint="eastAsia" w:ascii="Times New Roman" w:hAnsi="Times New Roman" w:eastAsia="仿宋_GB2312"/>
          <w:color w:val="auto"/>
          <w:sz w:val="32"/>
          <w:szCs w:val="32"/>
          <w:highlight w:val="none"/>
        </w:rPr>
        <w:t>“三公”经费是指单位预算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食宿费等支出。</w:t>
      </w:r>
    </w:p>
    <w:p w14:paraId="397B8319">
      <w:pPr>
        <w:pStyle w:val="11"/>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八、机关运行经费：机关</w:t>
      </w:r>
      <w:r>
        <w:rPr>
          <w:rFonts w:hint="eastAsia" w:ascii="Times New Roman" w:hAnsi="Times New Roman" w:eastAsia="仿宋_GB2312"/>
          <w:color w:val="auto"/>
          <w:sz w:val="32"/>
          <w:szCs w:val="32"/>
          <w:highlight w:val="none"/>
        </w:rPr>
        <w:t>运行经费指的是为保障机关运行用于购买货物、工程和服务的各项资金，包括办公及印刷费、邮电费、差旅费、会议费、福利费、日常维修费、办公用房水电费、办公用房取暖费、办公用房物业管理费、公务用车运行维护费以及其他费用。</w:t>
      </w:r>
    </w:p>
    <w:p w14:paraId="2A41E964">
      <w:pPr>
        <w:pStyle w:val="11"/>
        <w:keepNext w:val="0"/>
        <w:keepLines w:val="0"/>
        <w:pageBreakBefore w:val="0"/>
        <w:widowControl w:val="0"/>
        <w:kinsoku/>
        <w:wordWrap/>
        <w:overflowPunct/>
        <w:topLinePunct w:val="0"/>
        <w:bidi w:val="0"/>
        <w:snapToGrid/>
        <w:spacing w:line="560" w:lineRule="exact"/>
        <w:ind w:firstLine="640" w:firstLineChars="200"/>
        <w:textAlignment w:val="auto"/>
        <w:rPr>
          <w:rFonts w:cs="黑体" w:asciiTheme="minorEastAsia" w:hAnsiTheme="minorEastAsia"/>
          <w:color w:val="auto"/>
          <w:kern w:val="0"/>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九、住房公积金归集业务：住</w:t>
      </w:r>
      <w:r>
        <w:rPr>
          <w:rFonts w:hint="eastAsia" w:ascii="Times New Roman" w:hAnsi="Times New Roman" w:eastAsia="仿宋_GB2312"/>
          <w:color w:val="auto"/>
          <w:sz w:val="32"/>
          <w:szCs w:val="32"/>
          <w:highlight w:val="none"/>
          <w:lang w:eastAsia="zh-CN"/>
        </w:rPr>
        <w:t>房公积金归集业务是指住房公积金管理中心作为住房公积金管理的法定机构，依据《公积金条例》，将职工个人按照规定比例缴存的及其所在单位按照规定比例为职工缴存的住房公积金，全部归集于管理中心在受委托银行开立的住房公积金专户内，存入职工个人账户，并集中管理运作的行为。</w:t>
      </w: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altName w:val="微软雅黑"/>
    <w:panose1 w:val="02000000000000000000"/>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3DA24"/>
    <w:multiLevelType w:val="singleLevel"/>
    <w:tmpl w:val="D9E3DA2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4Zjk4ZWI2YjVjY2EwNWQ2ZTllNjAwMjE2YjQ1OTIifQ=="/>
  </w:docVars>
  <w:rsids>
    <w:rsidRoot w:val="004506F9"/>
    <w:rsid w:val="0002229B"/>
    <w:rsid w:val="000273BD"/>
    <w:rsid w:val="00040CBC"/>
    <w:rsid w:val="000415B7"/>
    <w:rsid w:val="00041E3F"/>
    <w:rsid w:val="00055DAA"/>
    <w:rsid w:val="00061F7B"/>
    <w:rsid w:val="000658A3"/>
    <w:rsid w:val="00074155"/>
    <w:rsid w:val="000A3F69"/>
    <w:rsid w:val="00103957"/>
    <w:rsid w:val="00152C6D"/>
    <w:rsid w:val="00162D39"/>
    <w:rsid w:val="001678BD"/>
    <w:rsid w:val="00182373"/>
    <w:rsid w:val="001A67DB"/>
    <w:rsid w:val="001C3C29"/>
    <w:rsid w:val="001D51E5"/>
    <w:rsid w:val="001E080D"/>
    <w:rsid w:val="001E53D0"/>
    <w:rsid w:val="001F0C3B"/>
    <w:rsid w:val="00202C82"/>
    <w:rsid w:val="00214427"/>
    <w:rsid w:val="00226CB7"/>
    <w:rsid w:val="00264552"/>
    <w:rsid w:val="00264EF9"/>
    <w:rsid w:val="00265724"/>
    <w:rsid w:val="0027426B"/>
    <w:rsid w:val="002E0A30"/>
    <w:rsid w:val="003130C4"/>
    <w:rsid w:val="00316C4B"/>
    <w:rsid w:val="0032192B"/>
    <w:rsid w:val="003479BD"/>
    <w:rsid w:val="0037197D"/>
    <w:rsid w:val="003768D5"/>
    <w:rsid w:val="003926B9"/>
    <w:rsid w:val="003C47E6"/>
    <w:rsid w:val="003C4FC2"/>
    <w:rsid w:val="00416E61"/>
    <w:rsid w:val="0042790C"/>
    <w:rsid w:val="004506F9"/>
    <w:rsid w:val="004717A2"/>
    <w:rsid w:val="00473DF3"/>
    <w:rsid w:val="00487911"/>
    <w:rsid w:val="00491741"/>
    <w:rsid w:val="004B0CEE"/>
    <w:rsid w:val="00500E5F"/>
    <w:rsid w:val="005122EF"/>
    <w:rsid w:val="0051441A"/>
    <w:rsid w:val="00517C33"/>
    <w:rsid w:val="00517D5F"/>
    <w:rsid w:val="00523644"/>
    <w:rsid w:val="0054069E"/>
    <w:rsid w:val="00544866"/>
    <w:rsid w:val="005767CC"/>
    <w:rsid w:val="00590D9F"/>
    <w:rsid w:val="00595D26"/>
    <w:rsid w:val="005A74E6"/>
    <w:rsid w:val="005B404E"/>
    <w:rsid w:val="005D4D55"/>
    <w:rsid w:val="005E2CFB"/>
    <w:rsid w:val="005F2103"/>
    <w:rsid w:val="005F3D1C"/>
    <w:rsid w:val="0062378F"/>
    <w:rsid w:val="00641842"/>
    <w:rsid w:val="00651EEC"/>
    <w:rsid w:val="00686673"/>
    <w:rsid w:val="00691E8C"/>
    <w:rsid w:val="006A22C4"/>
    <w:rsid w:val="006A351B"/>
    <w:rsid w:val="006B0422"/>
    <w:rsid w:val="006C1B53"/>
    <w:rsid w:val="006D7730"/>
    <w:rsid w:val="006E5284"/>
    <w:rsid w:val="006F3EB5"/>
    <w:rsid w:val="00702E34"/>
    <w:rsid w:val="00704395"/>
    <w:rsid w:val="00710FE7"/>
    <w:rsid w:val="00717621"/>
    <w:rsid w:val="00720FF1"/>
    <w:rsid w:val="00727A53"/>
    <w:rsid w:val="00787B42"/>
    <w:rsid w:val="007C4539"/>
    <w:rsid w:val="007F3657"/>
    <w:rsid w:val="00812ED5"/>
    <w:rsid w:val="008277D9"/>
    <w:rsid w:val="0084478C"/>
    <w:rsid w:val="0086638C"/>
    <w:rsid w:val="008A3E8D"/>
    <w:rsid w:val="009237C4"/>
    <w:rsid w:val="00944C48"/>
    <w:rsid w:val="00950252"/>
    <w:rsid w:val="00967F5D"/>
    <w:rsid w:val="009A0F95"/>
    <w:rsid w:val="009B3ADF"/>
    <w:rsid w:val="009C3B52"/>
    <w:rsid w:val="009E6817"/>
    <w:rsid w:val="009E6E9A"/>
    <w:rsid w:val="00A01D2B"/>
    <w:rsid w:val="00A42218"/>
    <w:rsid w:val="00A70249"/>
    <w:rsid w:val="00A70B02"/>
    <w:rsid w:val="00A71D9F"/>
    <w:rsid w:val="00A92E9F"/>
    <w:rsid w:val="00AB18FF"/>
    <w:rsid w:val="00AE43FF"/>
    <w:rsid w:val="00B33BEA"/>
    <w:rsid w:val="00B57C9F"/>
    <w:rsid w:val="00B63572"/>
    <w:rsid w:val="00B845B3"/>
    <w:rsid w:val="00B85D8B"/>
    <w:rsid w:val="00BB4A40"/>
    <w:rsid w:val="00BD6C3E"/>
    <w:rsid w:val="00BE3674"/>
    <w:rsid w:val="00C10681"/>
    <w:rsid w:val="00C3049A"/>
    <w:rsid w:val="00C31B1E"/>
    <w:rsid w:val="00C77645"/>
    <w:rsid w:val="00CE04C3"/>
    <w:rsid w:val="00CE76A0"/>
    <w:rsid w:val="00D148C6"/>
    <w:rsid w:val="00D17A8A"/>
    <w:rsid w:val="00D415BA"/>
    <w:rsid w:val="00D63780"/>
    <w:rsid w:val="00D644EE"/>
    <w:rsid w:val="00DD06FF"/>
    <w:rsid w:val="00DD5FE9"/>
    <w:rsid w:val="00E00C7A"/>
    <w:rsid w:val="00E37D6C"/>
    <w:rsid w:val="00E55B68"/>
    <w:rsid w:val="00E561AE"/>
    <w:rsid w:val="00E67BE6"/>
    <w:rsid w:val="00E8683C"/>
    <w:rsid w:val="00EA2B72"/>
    <w:rsid w:val="00F74360"/>
    <w:rsid w:val="00FB462F"/>
    <w:rsid w:val="00FE16FA"/>
    <w:rsid w:val="00FE328A"/>
    <w:rsid w:val="00FE6269"/>
    <w:rsid w:val="00FF5CD6"/>
    <w:rsid w:val="01E31D20"/>
    <w:rsid w:val="06F84E69"/>
    <w:rsid w:val="084A1899"/>
    <w:rsid w:val="09CA0BB9"/>
    <w:rsid w:val="0ABF65E6"/>
    <w:rsid w:val="0C1C1235"/>
    <w:rsid w:val="0C563491"/>
    <w:rsid w:val="0EB9159E"/>
    <w:rsid w:val="102313C5"/>
    <w:rsid w:val="1402155F"/>
    <w:rsid w:val="150A6ED6"/>
    <w:rsid w:val="1514676F"/>
    <w:rsid w:val="164C4571"/>
    <w:rsid w:val="180733C8"/>
    <w:rsid w:val="19826332"/>
    <w:rsid w:val="1AE9320B"/>
    <w:rsid w:val="1D752B34"/>
    <w:rsid w:val="1EBA2EF4"/>
    <w:rsid w:val="1FB212F0"/>
    <w:rsid w:val="24C619E1"/>
    <w:rsid w:val="24F64293"/>
    <w:rsid w:val="26CC349C"/>
    <w:rsid w:val="27025664"/>
    <w:rsid w:val="298349D1"/>
    <w:rsid w:val="2BAD21C5"/>
    <w:rsid w:val="2F6300B1"/>
    <w:rsid w:val="30306FC4"/>
    <w:rsid w:val="31B870B7"/>
    <w:rsid w:val="34481449"/>
    <w:rsid w:val="35C16E06"/>
    <w:rsid w:val="35C738DB"/>
    <w:rsid w:val="36851BE2"/>
    <w:rsid w:val="37AF4911"/>
    <w:rsid w:val="3B60645F"/>
    <w:rsid w:val="3D0347AF"/>
    <w:rsid w:val="403D7263"/>
    <w:rsid w:val="40A11ACA"/>
    <w:rsid w:val="41351A13"/>
    <w:rsid w:val="43751AE9"/>
    <w:rsid w:val="45324B91"/>
    <w:rsid w:val="46386C71"/>
    <w:rsid w:val="491A0850"/>
    <w:rsid w:val="4A9566D6"/>
    <w:rsid w:val="4CF2406B"/>
    <w:rsid w:val="4EB62289"/>
    <w:rsid w:val="4ED92673"/>
    <w:rsid w:val="50BE663C"/>
    <w:rsid w:val="521A58B8"/>
    <w:rsid w:val="524D5852"/>
    <w:rsid w:val="52AC42CE"/>
    <w:rsid w:val="532742F5"/>
    <w:rsid w:val="5777D4F5"/>
    <w:rsid w:val="59936937"/>
    <w:rsid w:val="59AB7D61"/>
    <w:rsid w:val="5C3536C0"/>
    <w:rsid w:val="5E7D27E9"/>
    <w:rsid w:val="5F883D16"/>
    <w:rsid w:val="5FC6BB1E"/>
    <w:rsid w:val="5FF720F1"/>
    <w:rsid w:val="656E5DB3"/>
    <w:rsid w:val="66A268DD"/>
    <w:rsid w:val="67E91925"/>
    <w:rsid w:val="68C82FD5"/>
    <w:rsid w:val="6E717293"/>
    <w:rsid w:val="719C5A86"/>
    <w:rsid w:val="726572AF"/>
    <w:rsid w:val="737D59BA"/>
    <w:rsid w:val="73C65EEA"/>
    <w:rsid w:val="741D149B"/>
    <w:rsid w:val="750E50E6"/>
    <w:rsid w:val="758F7694"/>
    <w:rsid w:val="77B7582D"/>
    <w:rsid w:val="77C37683"/>
    <w:rsid w:val="79FE3157"/>
    <w:rsid w:val="79FF515B"/>
    <w:rsid w:val="7D0F2D7C"/>
    <w:rsid w:val="7E9F11B4"/>
    <w:rsid w:val="7F964A15"/>
    <w:rsid w:val="7FC69637"/>
    <w:rsid w:val="7FFDB408"/>
    <w:rsid w:val="CBFF70E0"/>
    <w:rsid w:val="EBE71603"/>
    <w:rsid w:val="EEABED75"/>
    <w:rsid w:val="FAFF7135"/>
    <w:rsid w:val="FB36E1A6"/>
    <w:rsid w:val="FF7CAC18"/>
    <w:rsid w:val="FFFF1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590" w:lineRule="exact"/>
      <w:ind w:firstLine="880" w:firstLineChars="200"/>
    </w:pPr>
    <w:rPr>
      <w:rFonts w:ascii="Calibri" w:hAnsi="Calibri" w:eastAsia="方正仿宋_GBK"/>
      <w:sz w:val="32"/>
    </w:rPr>
  </w:style>
  <w:style w:type="paragraph" w:styleId="4">
    <w:name w:val="Balloon Text"/>
    <w:basedOn w:val="1"/>
    <w:link w:val="13"/>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sz w:val="18"/>
      <w:szCs w:val="18"/>
    </w:rPr>
  </w:style>
  <w:style w:type="character" w:customStyle="1" w:styleId="10">
    <w:name w:val="页脚 Char"/>
    <w:basedOn w:val="8"/>
    <w:link w:val="5"/>
    <w:qFormat/>
    <w:uiPriority w:val="99"/>
    <w:rPr>
      <w:sz w:val="18"/>
      <w:szCs w:val="18"/>
    </w:rPr>
  </w:style>
  <w:style w:type="paragraph" w:customStyle="1" w:styleId="11">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styleId="12">
    <w:name w:val="List Paragraph"/>
    <w:basedOn w:val="1"/>
    <w:qFormat/>
    <w:uiPriority w:val="34"/>
    <w:pPr>
      <w:ind w:firstLine="420" w:firstLineChars="200"/>
    </w:pPr>
  </w:style>
  <w:style w:type="character" w:customStyle="1" w:styleId="13">
    <w:name w:val="批注框文本 Char"/>
    <w:basedOn w:val="8"/>
    <w:link w:val="4"/>
    <w:semiHidden/>
    <w:qFormat/>
    <w:uiPriority w:val="99"/>
    <w:rPr>
      <w:sz w:val="18"/>
      <w:szCs w:val="18"/>
    </w:rPr>
  </w:style>
  <w:style w:type="character" w:customStyle="1" w:styleId="14">
    <w:name w:val="font01"/>
    <w:basedOn w:val="8"/>
    <w:qFormat/>
    <w:uiPriority w:val="0"/>
    <w:rPr>
      <w:rFonts w:hint="eastAsia" w:ascii="宋体" w:hAnsi="宋体" w:eastAsia="宋体" w:cs="宋体"/>
      <w:color w:val="000000"/>
      <w:sz w:val="22"/>
      <w:szCs w:val="22"/>
      <w:u w:val="none"/>
    </w:rPr>
  </w:style>
  <w:style w:type="character" w:customStyle="1" w:styleId="15">
    <w:name w:val="font21"/>
    <w:basedOn w:val="8"/>
    <w:qFormat/>
    <w:uiPriority w:val="0"/>
    <w:rPr>
      <w:rFonts w:hint="eastAsia" w:ascii="宋体" w:hAnsi="宋体" w:eastAsia="宋体" w:cs="宋体"/>
      <w:color w:val="000000"/>
      <w:sz w:val="24"/>
      <w:szCs w:val="24"/>
      <w:u w:val="none"/>
    </w:rPr>
  </w:style>
  <w:style w:type="character" w:customStyle="1" w:styleId="16">
    <w:name w:val="font11"/>
    <w:basedOn w:val="8"/>
    <w:qFormat/>
    <w:uiPriority w:val="0"/>
    <w:rPr>
      <w:rFonts w:hint="eastAsia" w:ascii="宋体" w:hAnsi="宋体" w:eastAsia="宋体" w:cs="宋体"/>
      <w:color w:val="000000"/>
      <w:sz w:val="24"/>
      <w:szCs w:val="24"/>
      <w:u w:val="none"/>
    </w:rPr>
  </w:style>
  <w:style w:type="paragraph" w:customStyle="1" w:styleId="17">
    <w:name w:val="BodyText"/>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21</Pages>
  <Words>4547</Words>
  <Characters>4918</Characters>
  <Lines>63</Lines>
  <Paragraphs>18</Paragraphs>
  <TotalTime>33</TotalTime>
  <ScaleCrop>false</ScaleCrop>
  <LinksUpToDate>false</LinksUpToDate>
  <CharactersWithSpaces>4926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2020-07-05T18:32:00Z</dcterms:created>
  <dc:creator>李航 null</dc:creator>
  <cp:lastModifiedBy>我</cp:lastModifiedBy>
  <cp:lastPrinted>2023-08-16T09:28:00Z</cp:lastPrinted>
  <dcterms:modified xsi:type="dcterms:W3CDTF">2024-10-12T03:20:10Z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13D967EEF98046A1AF976CA96CB72866_12</vt:lpwstr>
  </property>
</Properties>
</file>