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sz w:val="84"/>
          <w:szCs w:val="84"/>
        </w:rPr>
      </w:pPr>
      <w:r>
        <w:rPr>
          <w:rFonts w:hint="eastAsia"/>
          <w:sz w:val="84"/>
          <w:szCs w:val="84"/>
          <w:lang w:val="en-US" w:eastAsia="zh-CN"/>
        </w:rPr>
        <w:t>永州市住房公积金管理中心</w:t>
      </w: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00" w:lineRule="exact"/>
        <w:jc w:val="both"/>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永州市住房公积金管理中心</w:t>
      </w:r>
      <w:r>
        <w:rPr>
          <w:rFonts w:hint="eastAsia"/>
          <w:b/>
          <w:sz w:val="28"/>
          <w:szCs w:val="28"/>
        </w:rPr>
        <w:t>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rFonts w:hint="eastAsia"/>
          <w:sz w:val="52"/>
          <w:szCs w:val="52"/>
        </w:rPr>
      </w:pPr>
      <w:r>
        <w:rPr>
          <w:rFonts w:hint="eastAsia"/>
          <w:sz w:val="52"/>
          <w:szCs w:val="52"/>
        </w:rPr>
        <w:t xml:space="preserve">第一部分 </w:t>
      </w:r>
    </w:p>
    <w:p>
      <w:pPr>
        <w:pStyle w:val="12"/>
        <w:jc w:val="center"/>
        <w:rPr>
          <w:rFonts w:hint="eastAsia"/>
          <w:sz w:val="52"/>
          <w:szCs w:val="52"/>
        </w:rPr>
      </w:pPr>
    </w:p>
    <w:p>
      <w:pPr>
        <w:pStyle w:val="12"/>
        <w:jc w:val="center"/>
        <w:rPr>
          <w:rFonts w:hint="eastAsia"/>
          <w:sz w:val="52"/>
          <w:szCs w:val="52"/>
        </w:rPr>
      </w:pPr>
      <w:r>
        <w:rPr>
          <w:rFonts w:hint="eastAsia"/>
          <w:sz w:val="52"/>
          <w:szCs w:val="52"/>
          <w:lang w:val="en-US" w:eastAsia="zh-CN"/>
        </w:rPr>
        <w:t>永州市住房公积金管理中心</w:t>
      </w:r>
      <w:r>
        <w:rPr>
          <w:rFonts w:hint="eastAsia"/>
          <w:sz w:val="52"/>
          <w:szCs w:val="52"/>
        </w:rPr>
        <w:t>概况</w:t>
      </w:r>
    </w:p>
    <w:p>
      <w:pPr>
        <w:jc w:val="center"/>
        <w:rPr>
          <w:sz w:val="52"/>
          <w:szCs w:val="5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0" w:leftChars="0" w:firstLine="0" w:firstLineChars="0"/>
        <w:jc w:val="left"/>
        <w:rPr>
          <w:rFonts w:ascii="黑体" w:hAnsi="黑体" w:eastAsia="黑体"/>
          <w:sz w:val="32"/>
          <w:szCs w:val="32"/>
        </w:rPr>
      </w:pPr>
    </w:p>
    <w:p>
      <w:pPr>
        <w:pStyle w:val="13"/>
        <w:ind w:left="0" w:leftChars="0" w:firstLine="0" w:firstLineChars="0"/>
        <w:jc w:val="left"/>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永州市住房公积金管理中心是市人民政府直属正处级公益一类事业单位，主要负责全市住房公积金的归集、使用和管理工作，主要职责是：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（一）编制、执行住房公积金的归集、使用计划；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（二）负责记载职工住房公积金的缴存、提取、使用等情况；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（三）负责住房公积金的核算、保值和归还；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（四）审批住房公积金的提取和使用；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（五）编制住房公积金归集、使用计划执行情况的报告；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（六）拟定住房公积金增值收益分配方案；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（七）检查单位住房公积金的登记和缴存情况；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（八）受理违反住房公积金管理规定行为的投诉和举报；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（九）承办市住房公积金管理委员会和市委、市政府决定的其他事项。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cs="黑体" w:asciiTheme="minorEastAsia" w:hAnsiTheme="minorEastAsia" w:eastAsiaTheme="minorEastAsia"/>
          <w:color w:val="000000"/>
          <w:kern w:val="0"/>
          <w:sz w:val="32"/>
          <w:szCs w:val="32"/>
          <w:lang w:val="en-US" w:eastAsia="zh-CN" w:bidi="ar-SA"/>
        </w:rPr>
      </w:pPr>
      <w:r>
        <w:rPr>
          <w:rFonts w:hint="eastAsia" w:asciiTheme="minorEastAsia" w:hAnsiTheme="minorEastAsia"/>
          <w:bCs/>
          <w:kern w:val="0"/>
          <w:sz w:val="32"/>
          <w:szCs w:val="32"/>
        </w:rPr>
        <w:t>（一）内设机构设置。</w:t>
      </w:r>
      <w:r>
        <w:rPr>
          <w:rFonts w:hint="eastAsia" w:cs="黑体" w:asciiTheme="minorEastAsia" w:hAnsiTheme="minorEastAsia" w:eastAsiaTheme="minorEastAsia"/>
          <w:color w:val="000000"/>
          <w:kern w:val="0"/>
          <w:sz w:val="32"/>
          <w:szCs w:val="32"/>
          <w:lang w:val="en-US" w:eastAsia="zh-CN" w:bidi="ar-SA"/>
        </w:rPr>
        <w:t>永州市住房公积金管理中心内设综合部、财务部、人力资源部、稽查部、资金归集部、资金营运部、信息管理部、资金结算部、电子业务部、资产管理部10个部室，下设直属营业部和冷水滩管理部、零陵管理部、祁阳管理部、东安管理部、双牌管理部、道县管理部、江永管理部、江华管理部、宁远管理部、新田管理部、蓝山管理部11个县区管理部。事业编制109名，从业人员184人，其中在编人员106人</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劳务派遣人员78人。</w:t>
      </w:r>
    </w:p>
    <w:p>
      <w:pPr>
        <w:spacing w:line="540" w:lineRule="exact"/>
        <w:ind w:firstLine="640" w:firstLineChars="200"/>
        <w:jc w:val="left"/>
        <w:rPr>
          <w:rFonts w:hint="eastAsia" w:cs="黑体" w:asciiTheme="minorEastAsia" w:hAnsiTheme="minorEastAsia" w:eastAsiaTheme="minorEastAsia"/>
          <w:color w:val="000000"/>
          <w:kern w:val="0"/>
          <w:sz w:val="32"/>
          <w:szCs w:val="32"/>
          <w:highlight w:val="none"/>
          <w:lang w:val="en-US" w:eastAsia="zh-CN" w:bidi="ar-SA"/>
        </w:rPr>
      </w:pPr>
      <w:r>
        <w:rPr>
          <w:rFonts w:hint="eastAsia" w:asciiTheme="minorEastAsia" w:hAnsiTheme="minorEastAsia"/>
          <w:bCs/>
          <w:kern w:val="0"/>
          <w:sz w:val="32"/>
          <w:szCs w:val="32"/>
        </w:rPr>
        <w:t>（二）决算单位构成。</w:t>
      </w:r>
      <w:r>
        <w:rPr>
          <w:rFonts w:hint="eastAsia" w:cs="黑体" w:asciiTheme="minorEastAsia" w:hAnsiTheme="minorEastAsia" w:eastAsiaTheme="minorEastAsia"/>
          <w:color w:val="000000"/>
          <w:kern w:val="0"/>
          <w:sz w:val="32"/>
          <w:szCs w:val="32"/>
          <w:lang w:val="en-US" w:eastAsia="zh-CN" w:bidi="ar-SA"/>
        </w:rPr>
        <w:t>永州市住房公积金管理中心2021年部门决算汇总公开单位构成包括：永州市住房公积金管理中心机关</w:t>
      </w:r>
      <w:r>
        <w:rPr>
          <w:rFonts w:hint="eastAsia" w:cs="黑体" w:asciiTheme="minorEastAsia" w:hAnsiTheme="minorEastAsia"/>
          <w:color w:val="000000"/>
          <w:kern w:val="0"/>
          <w:sz w:val="32"/>
          <w:szCs w:val="32"/>
          <w:lang w:val="en-US" w:eastAsia="zh-CN" w:bidi="ar-SA"/>
        </w:rPr>
        <w:t>及</w:t>
      </w:r>
      <w:r>
        <w:rPr>
          <w:rFonts w:hint="eastAsia" w:cs="黑体" w:asciiTheme="minorEastAsia" w:hAnsiTheme="minorEastAsia" w:eastAsiaTheme="minorEastAsia"/>
          <w:color w:val="000000"/>
          <w:kern w:val="0"/>
          <w:sz w:val="32"/>
          <w:szCs w:val="32"/>
          <w:lang w:val="en-US" w:eastAsia="zh-CN" w:bidi="ar-SA"/>
        </w:rPr>
        <w:t>直属营业部</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县区管理部</w:t>
      </w: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highlight w:val="none"/>
          <w:lang w:val="en-US" w:eastAsia="zh-CN" w:bidi="ar-SA"/>
        </w:rPr>
        <w:t>中心</w:t>
      </w:r>
      <w:r>
        <w:rPr>
          <w:rFonts w:hint="eastAsia" w:cs="黑体" w:asciiTheme="minorEastAsia" w:hAnsiTheme="minorEastAsia"/>
          <w:color w:val="000000"/>
          <w:kern w:val="0"/>
          <w:sz w:val="32"/>
          <w:szCs w:val="32"/>
          <w:highlight w:val="none"/>
          <w:lang w:val="en-US" w:eastAsia="zh-CN" w:bidi="ar-SA"/>
        </w:rPr>
        <w:t>机关、直属营业部、县区管理部</w:t>
      </w:r>
      <w:r>
        <w:rPr>
          <w:rFonts w:hint="eastAsia" w:cs="黑体" w:asciiTheme="minorEastAsia" w:hAnsiTheme="minorEastAsia" w:eastAsiaTheme="minorEastAsia"/>
          <w:color w:val="000000"/>
          <w:kern w:val="0"/>
          <w:sz w:val="32"/>
          <w:szCs w:val="32"/>
          <w:highlight w:val="none"/>
          <w:lang w:val="en-US" w:eastAsia="zh-CN" w:bidi="ar-SA"/>
        </w:rPr>
        <w:t>统一财务收支管理</w:t>
      </w:r>
      <w:r>
        <w:rPr>
          <w:rFonts w:hint="default" w:cs="黑体" w:asciiTheme="minorEastAsia" w:hAnsiTheme="minorEastAsia"/>
          <w:color w:val="000000"/>
          <w:kern w:val="0"/>
          <w:sz w:val="32"/>
          <w:szCs w:val="32"/>
          <w:highlight w:val="none"/>
          <w:lang w:val="en" w:eastAsia="zh-CN" w:bidi="ar-SA"/>
        </w:rPr>
        <w:t>,</w:t>
      </w:r>
      <w:r>
        <w:rPr>
          <w:rFonts w:hint="eastAsia" w:cs="黑体" w:asciiTheme="minorEastAsia" w:hAnsiTheme="minorEastAsia" w:eastAsiaTheme="minorEastAsia"/>
          <w:color w:val="000000"/>
          <w:kern w:val="0"/>
          <w:sz w:val="32"/>
          <w:szCs w:val="32"/>
          <w:highlight w:val="none"/>
          <w:lang w:val="en-US" w:eastAsia="zh-CN" w:bidi="ar-SA"/>
        </w:rPr>
        <w:t>因此2021年度部门决算公开单位为永州市住房公积金管理中心。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cs="黑体" w:asciiTheme="minorEastAsia" w:hAnsiTheme="minorEastAsia" w:eastAsiaTheme="minorEastAsia"/>
          <w:color w:val="000000"/>
          <w:kern w:val="0"/>
          <w:sz w:val="32"/>
          <w:szCs w:val="32"/>
          <w:highlight w:val="none"/>
          <w:lang w:val="en-US" w:eastAsia="zh-CN" w:bidi="ar-SA"/>
        </w:rPr>
      </w:pP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48"/>
          <w:szCs w:val="48"/>
        </w:rPr>
      </w:pPr>
    </w:p>
    <w:p>
      <w:pPr>
        <w:pStyle w:val="12"/>
        <w:jc w:val="center"/>
        <w:rPr>
          <w:rFonts w:hint="eastAsia"/>
          <w:sz w:val="52"/>
          <w:szCs w:val="52"/>
        </w:rPr>
      </w:pPr>
    </w:p>
    <w:p>
      <w:pPr>
        <w:pStyle w:val="12"/>
        <w:jc w:val="center"/>
        <w:rPr>
          <w:rFonts w:hint="eastAsia"/>
          <w:sz w:val="52"/>
          <w:szCs w:val="52"/>
        </w:rPr>
      </w:pPr>
    </w:p>
    <w:p>
      <w:pPr>
        <w:pStyle w:val="12"/>
        <w:jc w:val="center"/>
        <w:rPr>
          <w:rFonts w:hint="eastAsia"/>
          <w:sz w:val="52"/>
          <w:szCs w:val="52"/>
        </w:rPr>
      </w:pPr>
      <w:r>
        <w:rPr>
          <w:rFonts w:hint="eastAsia"/>
          <w:sz w:val="52"/>
          <w:szCs w:val="52"/>
        </w:rPr>
        <w:t>第二部分</w:t>
      </w:r>
    </w:p>
    <w:p>
      <w:pPr>
        <w:pStyle w:val="12"/>
        <w:jc w:val="center"/>
        <w:rPr>
          <w:rFonts w:hint="eastAsia"/>
          <w:sz w:val="52"/>
          <w:szCs w:val="52"/>
        </w:rPr>
      </w:pPr>
    </w:p>
    <w:p>
      <w:pPr>
        <w:pStyle w:val="12"/>
        <w:jc w:val="center"/>
        <w:rPr>
          <w:sz w:val="52"/>
          <w:szCs w:val="52"/>
        </w:rPr>
      </w:pPr>
      <w:r>
        <w:rPr>
          <w:rFonts w:hint="eastAsia"/>
          <w:sz w:val="52"/>
          <w:szCs w:val="5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923" w:type="dxa"/>
        <w:tblInd w:w="93" w:type="dxa"/>
        <w:tblLayout w:type="autofit"/>
        <w:tblCellMar>
          <w:top w:w="0" w:type="dxa"/>
          <w:left w:w="108" w:type="dxa"/>
          <w:bottom w:w="0" w:type="dxa"/>
          <w:right w:w="108" w:type="dxa"/>
        </w:tblCellMar>
      </w:tblPr>
      <w:tblGrid>
        <w:gridCol w:w="4513"/>
        <w:gridCol w:w="470"/>
        <w:gridCol w:w="660"/>
        <w:gridCol w:w="626"/>
        <w:gridCol w:w="102"/>
        <w:gridCol w:w="243"/>
        <w:gridCol w:w="3626"/>
        <w:gridCol w:w="884"/>
        <w:gridCol w:w="1527"/>
        <w:gridCol w:w="687"/>
        <w:gridCol w:w="1585"/>
      </w:tblGrid>
      <w:tr>
        <w:tblPrEx>
          <w:tblCellMar>
            <w:top w:w="0" w:type="dxa"/>
            <w:left w:w="108" w:type="dxa"/>
            <w:bottom w:w="0" w:type="dxa"/>
            <w:right w:w="108" w:type="dxa"/>
          </w:tblCellMar>
        </w:tblPrEx>
        <w:trPr>
          <w:trHeight w:val="360" w:hRule="atLeast"/>
        </w:trPr>
        <w:tc>
          <w:tcPr>
            <w:tcW w:w="1427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39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39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部门： 永州市住房公积金管理中心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99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3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3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3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3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3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3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3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lang w:val="en-US" w:eastAsia="zh-CN"/>
              </w:rPr>
              <w:t>3377.30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3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3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4"/>
                <w:szCs w:val="24"/>
              </w:rPr>
            </w:pPr>
            <w:r>
              <w:rPr>
                <w:rFonts w:hint="eastAsia" w:ascii="宋体" w:hAnsi="宋体" w:eastAsia="宋体" w:cs="宋体"/>
                <w:kern w:val="0"/>
                <w:sz w:val="24"/>
                <w:szCs w:val="24"/>
              </w:rPr>
              <w:t>……</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3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14.23</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lang w:val="en-US" w:eastAsia="zh-CN"/>
              </w:rPr>
              <w:t>3377.27</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3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3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lang w:val="en-US" w:eastAsia="zh-CN"/>
              </w:rPr>
              <w:t>3391.53</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lang w:val="en-US" w:eastAsia="zh-CN"/>
              </w:rPr>
              <w:t>3377.27</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3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lang w:val="en-US" w:eastAsia="zh-CN"/>
              </w:rPr>
              <w:t>14.26</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3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3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kern w:val="0"/>
                <w:sz w:val="22"/>
              </w:rPr>
            </w:pPr>
            <w:r>
              <w:rPr>
                <w:rFonts w:hint="eastAsia" w:ascii="宋体" w:hAnsi="宋体" w:eastAsia="宋体" w:cs="宋体"/>
                <w:kern w:val="0"/>
                <w:sz w:val="22"/>
                <w:lang w:val="en-US" w:eastAsia="zh-CN"/>
              </w:rPr>
              <w:t>3391.53</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eastAsia="宋体" w:cs="宋体"/>
                <w:b/>
                <w:bCs/>
                <w:kern w:val="0"/>
                <w:sz w:val="22"/>
              </w:rPr>
            </w:pPr>
            <w:r>
              <w:rPr>
                <w:rFonts w:hint="eastAsia" w:ascii="宋体" w:hAnsi="宋体" w:eastAsia="宋体" w:cs="宋体"/>
                <w:b w:val="0"/>
                <w:bCs w:val="0"/>
                <w:kern w:val="0"/>
                <w:sz w:val="22"/>
                <w:lang w:val="en-US" w:eastAsia="zh-CN"/>
              </w:rPr>
              <w:t>3391.53</w:t>
            </w: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1020" w:hRule="atLeast"/>
        </w:trPr>
        <w:tc>
          <w:tcPr>
            <w:tcW w:w="14271" w:type="dxa"/>
            <w:gridSpan w:val="11"/>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hint="eastAsia" w:ascii="华文中宋" w:hAnsi="华文中宋" w:eastAsia="华文中宋"/>
          <w:color w:val="000000"/>
          <w:sz w:val="32"/>
          <w:szCs w:val="32"/>
        </w:rPr>
        <w:sectPr>
          <w:pgSz w:w="16838" w:h="11906" w:orient="landscape"/>
          <w:pgMar w:top="720" w:right="720" w:bottom="720" w:left="720" w:header="851" w:footer="992" w:gutter="0"/>
          <w:cols w:space="425" w:num="1"/>
          <w:docGrid w:type="lines" w:linePitch="312" w:charSpace="0"/>
        </w:sect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bl>
      <w:tblPr>
        <w:tblStyle w:val="8"/>
        <w:tblW w:w="14923" w:type="dxa"/>
        <w:tblInd w:w="0" w:type="dxa"/>
        <w:tblLayout w:type="autofit"/>
        <w:tblCellMar>
          <w:top w:w="0" w:type="dxa"/>
          <w:left w:w="0" w:type="dxa"/>
          <w:bottom w:w="0" w:type="dxa"/>
          <w:right w:w="0" w:type="dxa"/>
        </w:tblCellMar>
      </w:tblPr>
      <w:tblGrid>
        <w:gridCol w:w="86"/>
        <w:gridCol w:w="880"/>
        <w:gridCol w:w="2715"/>
        <w:gridCol w:w="1705"/>
        <w:gridCol w:w="1352"/>
        <w:gridCol w:w="1352"/>
        <w:gridCol w:w="1705"/>
        <w:gridCol w:w="1352"/>
        <w:gridCol w:w="1352"/>
        <w:gridCol w:w="2424"/>
      </w:tblGrid>
      <w:tr>
        <w:tblPrEx>
          <w:tblCellMar>
            <w:top w:w="0" w:type="dxa"/>
            <w:left w:w="0" w:type="dxa"/>
            <w:bottom w:w="0" w:type="dxa"/>
            <w:right w:w="0" w:type="dxa"/>
          </w:tblCellMar>
        </w:tblPrEx>
        <w:trPr>
          <w:trHeight w:val="357" w:hRule="atLeast"/>
        </w:trPr>
        <w:tc>
          <w:tcPr>
            <w:tcW w:w="8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7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6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ind w:left="0" w:leftChars="0"/>
              <w:jc w:val="distribute"/>
              <w:rPr>
                <w:rFonts w:hint="default" w:ascii="宋体" w:hAnsi="宋体" w:cs="宋体" w:eastAsiaTheme="minorEastAsia"/>
                <w:color w:val="000000"/>
                <w:sz w:val="20"/>
                <w:szCs w:val="20"/>
                <w:highlight w:val="none"/>
                <w:lang w:val="en-US" w:eastAsia="zh-CN"/>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 xml:space="preserve">部门： </w:t>
            </w:r>
          </w:p>
        </w:tc>
        <w:tc>
          <w:tcPr>
            <w:tcW w:w="2715" w:type="dxa"/>
            <w:tcBorders>
              <w:top w:val="nil"/>
              <w:left w:val="nil"/>
              <w:bottom w:val="nil"/>
              <w:right w:val="nil"/>
            </w:tcBorders>
            <w:shd w:val="clear" w:color="000000" w:fill="FFFFFF"/>
            <w:noWrap/>
            <w:tcMar>
              <w:top w:w="15" w:type="dxa"/>
              <w:left w:w="15" w:type="dxa"/>
              <w:bottom w:w="0" w:type="dxa"/>
              <w:right w:w="15" w:type="dxa"/>
            </w:tcMar>
            <w:vAlign w:val="center"/>
          </w:tcPr>
          <w:p>
            <w:pPr>
              <w:ind w:left="0" w:leftChars="0"/>
              <w:jc w:val="distribute"/>
              <w:rPr>
                <w:rFonts w:ascii="宋体" w:hAnsi="宋体" w:eastAsia="宋体" w:cs="宋体"/>
                <w:sz w:val="24"/>
                <w:szCs w:val="24"/>
                <w:highlight w:val="none"/>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永州市住房公积金管理中心</w:t>
            </w:r>
          </w:p>
        </w:tc>
        <w:tc>
          <w:tcPr>
            <w:tcW w:w="17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highlight w:val="none"/>
              </w:rPr>
            </w:pPr>
          </w:p>
        </w:tc>
        <w:tc>
          <w:tcPr>
            <w:tcW w:w="135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68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35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35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35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35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6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71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6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71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68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3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3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3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3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68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3391.53</w:t>
            </w: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3391.53</w:t>
            </w: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14.23</w:t>
            </w:r>
            <w:r>
              <w:rPr>
                <w:rFonts w:hint="eastAsia"/>
              </w:rPr>
              <w:t>　</w:t>
            </w:r>
          </w:p>
        </w:tc>
      </w:tr>
      <w:tr>
        <w:tblPrEx>
          <w:tblCellMar>
            <w:top w:w="0" w:type="dxa"/>
            <w:left w:w="0" w:type="dxa"/>
            <w:bottom w:w="0" w:type="dxa"/>
            <w:right w:w="0" w:type="dxa"/>
          </w:tblCellMar>
        </w:tblPrEx>
        <w:trPr>
          <w:trHeight w:val="450" w:hRule="atLeast"/>
        </w:trPr>
        <w:tc>
          <w:tcPr>
            <w:tcW w:w="9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sz w:val="24"/>
                <w:szCs w:val="24"/>
                <w:lang w:val="en-US" w:eastAsia="zh-CN"/>
              </w:rPr>
            </w:pPr>
            <w:r>
              <w:rPr>
                <w:rFonts w:hint="eastAsia"/>
                <w:lang w:val="en-US" w:eastAsia="zh-CN"/>
              </w:rPr>
              <w:t>229</w:t>
            </w:r>
          </w:p>
        </w:tc>
        <w:tc>
          <w:tcPr>
            <w:tcW w:w="27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其他支出</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3391.53</w:t>
            </w: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3391.53</w:t>
            </w: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14.23</w:t>
            </w:r>
            <w:r>
              <w:rPr>
                <w:rFonts w:hint="eastAsia"/>
              </w:rPr>
              <w:t>　</w:t>
            </w:r>
          </w:p>
        </w:tc>
      </w:tr>
      <w:tr>
        <w:tblPrEx>
          <w:tblCellMar>
            <w:top w:w="0" w:type="dxa"/>
            <w:left w:w="0" w:type="dxa"/>
            <w:bottom w:w="0" w:type="dxa"/>
            <w:right w:w="0" w:type="dxa"/>
          </w:tblCellMar>
        </w:tblPrEx>
        <w:trPr>
          <w:trHeight w:val="450" w:hRule="atLeast"/>
        </w:trPr>
        <w:tc>
          <w:tcPr>
            <w:tcW w:w="9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sz w:val="24"/>
                <w:szCs w:val="24"/>
                <w:lang w:val="en-US" w:eastAsia="zh-CN"/>
              </w:rPr>
            </w:pPr>
            <w:r>
              <w:rPr>
                <w:rFonts w:hint="eastAsia"/>
                <w:lang w:val="en-US" w:eastAsia="zh-CN"/>
              </w:rPr>
              <w:t>22999</w:t>
            </w:r>
          </w:p>
        </w:tc>
        <w:tc>
          <w:tcPr>
            <w:tcW w:w="27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val="en-US" w:eastAsia="zh-CN"/>
              </w:rPr>
              <w:t>其他支出</w:t>
            </w: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lang w:val="en-US" w:eastAsia="zh-CN"/>
              </w:rPr>
              <w:t>3391.53</w:t>
            </w:r>
            <w:r>
              <w:rPr>
                <w:rFonts w:hint="eastAsia" w:ascii="华文中宋" w:hAnsi="华文中宋" w:eastAsia="华文中宋"/>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3391.53</w:t>
            </w: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14.23</w:t>
            </w:r>
            <w:r>
              <w:rPr>
                <w:rFonts w:hint="eastAsia"/>
              </w:rPr>
              <w:t>　</w:t>
            </w:r>
          </w:p>
        </w:tc>
      </w:tr>
      <w:tr>
        <w:tblPrEx>
          <w:tblCellMar>
            <w:top w:w="0" w:type="dxa"/>
            <w:left w:w="0" w:type="dxa"/>
            <w:bottom w:w="0" w:type="dxa"/>
            <w:right w:w="0" w:type="dxa"/>
          </w:tblCellMar>
        </w:tblPrEx>
        <w:trPr>
          <w:trHeight w:val="450" w:hRule="atLeast"/>
        </w:trPr>
        <w:tc>
          <w:tcPr>
            <w:tcW w:w="9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sz w:val="24"/>
                <w:szCs w:val="24"/>
                <w:lang w:val="en-US" w:eastAsia="zh-CN"/>
              </w:rPr>
            </w:pPr>
            <w:r>
              <w:rPr>
                <w:rFonts w:hint="eastAsia"/>
                <w:lang w:val="en-US" w:eastAsia="zh-CN"/>
              </w:rPr>
              <w:t>2299999</w:t>
            </w:r>
          </w:p>
        </w:tc>
        <w:tc>
          <w:tcPr>
            <w:tcW w:w="27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r>
              <w:rPr>
                <w:rFonts w:hint="eastAsia"/>
                <w:lang w:val="en-US" w:eastAsia="zh-CN"/>
              </w:rPr>
              <w:t>其他支出</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3391.53</w:t>
            </w: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3391.53</w:t>
            </w: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14.23</w:t>
            </w:r>
            <w:r>
              <w:rPr>
                <w:rFonts w:hint="eastAsia"/>
              </w:rPr>
              <w:t>　</w:t>
            </w:r>
          </w:p>
        </w:tc>
      </w:tr>
      <w:tr>
        <w:tblPrEx>
          <w:tblCellMar>
            <w:top w:w="0" w:type="dxa"/>
            <w:left w:w="0" w:type="dxa"/>
            <w:bottom w:w="0" w:type="dxa"/>
            <w:right w:w="0" w:type="dxa"/>
          </w:tblCellMar>
        </w:tblPrEx>
        <w:trPr>
          <w:trHeight w:val="450" w:hRule="atLeast"/>
        </w:trPr>
        <w:tc>
          <w:tcPr>
            <w:tcW w:w="9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27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27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27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4923"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5521" w:type="dxa"/>
        <w:tblInd w:w="93" w:type="dxa"/>
        <w:tblLayout w:type="fixed"/>
        <w:tblCellMar>
          <w:top w:w="0" w:type="dxa"/>
          <w:left w:w="108" w:type="dxa"/>
          <w:bottom w:w="0" w:type="dxa"/>
          <w:right w:w="108" w:type="dxa"/>
        </w:tblCellMar>
      </w:tblPr>
      <w:tblGrid>
        <w:gridCol w:w="1042"/>
        <w:gridCol w:w="240"/>
        <w:gridCol w:w="1452"/>
        <w:gridCol w:w="861"/>
        <w:gridCol w:w="436"/>
        <w:gridCol w:w="128"/>
        <w:gridCol w:w="950"/>
        <w:gridCol w:w="729"/>
        <w:gridCol w:w="1679"/>
        <w:gridCol w:w="1003"/>
        <w:gridCol w:w="632"/>
        <w:gridCol w:w="44"/>
        <w:gridCol w:w="391"/>
        <w:gridCol w:w="1288"/>
        <w:gridCol w:w="285"/>
        <w:gridCol w:w="1394"/>
        <w:gridCol w:w="629"/>
        <w:gridCol w:w="765"/>
        <w:gridCol w:w="1573"/>
      </w:tblGrid>
      <w:tr>
        <w:tblPrEx>
          <w:tblCellMar>
            <w:top w:w="0" w:type="dxa"/>
            <w:left w:w="108" w:type="dxa"/>
            <w:bottom w:w="0" w:type="dxa"/>
            <w:right w:w="108" w:type="dxa"/>
          </w:tblCellMar>
        </w:tblPrEx>
        <w:trPr>
          <w:gridAfter w:val="2"/>
          <w:wAfter w:w="2338" w:type="dxa"/>
          <w:trHeight w:val="435" w:hRule="atLeast"/>
        </w:trPr>
        <w:tc>
          <w:tcPr>
            <w:tcW w:w="13183" w:type="dxa"/>
            <w:gridSpan w:val="17"/>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2"/>
          <w:wAfter w:w="2338" w:type="dxa"/>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2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2"/>
          <w:wAfter w:w="2338" w:type="dxa"/>
          <w:trHeight w:val="285" w:hRule="atLeast"/>
        </w:trPr>
        <w:tc>
          <w:tcPr>
            <w:tcW w:w="4159" w:type="dxa"/>
            <w:gridSpan w:val="6"/>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highlight w:val="none"/>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部门：永州市住房公积金管理中心</w:t>
            </w:r>
            <w:r>
              <w:rPr>
                <w:rFonts w:hint="eastAsia" w:ascii="宋体" w:hAnsi="宋体" w:eastAsia="宋体" w:cs="宋体"/>
                <w:kern w:val="0"/>
                <w:sz w:val="24"/>
                <w:szCs w:val="24"/>
                <w:highlight w:val="none"/>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38" w:type="dxa"/>
          <w:trHeight w:val="450" w:hRule="atLeast"/>
        </w:trPr>
        <w:tc>
          <w:tcPr>
            <w:tcW w:w="273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42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38" w:type="dxa"/>
          <w:trHeight w:val="450" w:hRule="atLeast"/>
        </w:trPr>
        <w:tc>
          <w:tcPr>
            <w:tcW w:w="128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5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42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2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273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42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38" w:type="dxa"/>
          <w:trHeight w:val="450" w:hRule="atLeast"/>
        </w:trPr>
        <w:tc>
          <w:tcPr>
            <w:tcW w:w="273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2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3377.27</w:t>
            </w: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3377.27</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8" w:type="dxa"/>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229</w:t>
            </w:r>
            <w:r>
              <w:rPr>
                <w:rFonts w:hint="eastAsia" w:ascii="宋体" w:hAnsi="宋体" w:eastAsia="宋体" w:cs="宋体"/>
                <w:kern w:val="0"/>
                <w:sz w:val="24"/>
                <w:szCs w:val="24"/>
              </w:rPr>
              <w:t>　</w:t>
            </w:r>
          </w:p>
        </w:tc>
        <w:tc>
          <w:tcPr>
            <w:tcW w:w="1452"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其他支出</w:t>
            </w:r>
          </w:p>
        </w:tc>
        <w:tc>
          <w:tcPr>
            <w:tcW w:w="142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3377.27</w:t>
            </w: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3377.27</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8" w:type="dxa"/>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22999</w:t>
            </w:r>
            <w:r>
              <w:rPr>
                <w:rFonts w:hint="eastAsia" w:ascii="宋体" w:hAnsi="宋体" w:eastAsia="宋体" w:cs="宋体"/>
                <w:kern w:val="0"/>
                <w:sz w:val="24"/>
                <w:szCs w:val="24"/>
              </w:rPr>
              <w:t>　</w:t>
            </w:r>
          </w:p>
        </w:tc>
        <w:tc>
          <w:tcPr>
            <w:tcW w:w="14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其他支出</w:t>
            </w:r>
            <w:r>
              <w:rPr>
                <w:rFonts w:hint="eastAsia" w:ascii="宋体" w:hAnsi="宋体" w:eastAsia="宋体" w:cs="宋体"/>
                <w:kern w:val="0"/>
                <w:sz w:val="24"/>
                <w:szCs w:val="24"/>
              </w:rPr>
              <w:t>　</w:t>
            </w:r>
          </w:p>
        </w:tc>
        <w:tc>
          <w:tcPr>
            <w:tcW w:w="142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3377.27</w:t>
            </w: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3377.27</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8" w:type="dxa"/>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229999</w:t>
            </w:r>
          </w:p>
        </w:tc>
        <w:tc>
          <w:tcPr>
            <w:tcW w:w="1452" w:type="dxa"/>
            <w:tcBorders>
              <w:top w:val="nil"/>
              <w:left w:val="nil"/>
              <w:bottom w:val="single" w:color="auto" w:sz="4" w:space="0"/>
              <w:right w:val="single" w:color="auto" w:sz="4" w:space="0"/>
            </w:tcBorders>
            <w:shd w:val="clear" w:color="000000" w:fill="FFFFFF"/>
            <w:noWrap/>
            <w:vAlign w:val="center"/>
          </w:tcPr>
          <w:p>
            <w:pPr>
              <w:widowControl/>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其他支出</w:t>
            </w:r>
            <w:r>
              <w:rPr>
                <w:rFonts w:hint="eastAsia" w:ascii="宋体" w:hAnsi="宋体" w:eastAsia="宋体" w:cs="宋体"/>
                <w:kern w:val="0"/>
                <w:sz w:val="24"/>
                <w:szCs w:val="24"/>
              </w:rPr>
              <w:t>　</w:t>
            </w:r>
          </w:p>
        </w:tc>
        <w:tc>
          <w:tcPr>
            <w:tcW w:w="142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3377.27</w:t>
            </w: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3377.27</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8" w:type="dxa"/>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2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8" w:type="dxa"/>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2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8" w:type="dxa"/>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2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38" w:type="dxa"/>
          <w:trHeight w:val="630" w:hRule="atLeast"/>
        </w:trPr>
        <w:tc>
          <w:tcPr>
            <w:tcW w:w="13183" w:type="dxa"/>
            <w:gridSpan w:val="17"/>
            <w:tcBorders>
              <w:top w:val="nil"/>
              <w:left w:val="nil"/>
              <w:bottom w:val="nil"/>
              <w:right w:val="nil"/>
            </w:tcBorders>
            <w:shd w:val="clear" w:color="auto" w:fill="auto"/>
            <w:vAlign w:val="center"/>
          </w:tcPr>
          <w:p>
            <w:pPr>
              <w:widowControl/>
              <w:jc w:val="left"/>
              <w:rPr>
                <w:rFonts w:hint="eastAsia"/>
              </w:rPr>
            </w:pPr>
            <w:r>
              <w:rPr>
                <w:rFonts w:hint="eastAsia"/>
              </w:rPr>
              <w:t>注：本表反映部门本年度各项支出情况。</w:t>
            </w: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9"/>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gridSpan w:val="4"/>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4"/>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gridSpan w:val="4"/>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部门：</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永州市住房公积金管理中心</w:t>
            </w:r>
          </w:p>
        </w:tc>
        <w:tc>
          <w:tcPr>
            <w:tcW w:w="436"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078" w:type="dxa"/>
            <w:gridSpan w:val="2"/>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4"/>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2"/>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1</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15</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2</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16</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3</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17</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4</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18</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5</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19</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6</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20</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7</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21</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8</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22</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9</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23</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10</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24</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11</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25</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12</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26</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13</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27</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14</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28</w:t>
            </w:r>
          </w:p>
        </w:tc>
        <w:tc>
          <w:tcPr>
            <w:tcW w:w="1573" w:type="dxa"/>
            <w:gridSpan w:val="2"/>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highlight w:val="none"/>
        </w:rPr>
        <w:t xml:space="preserve">   </w:t>
      </w:r>
      <w:r>
        <w:rPr>
          <w:rFonts w:ascii="Times New Roman" w:hAnsi="Times New Roman" w:eastAsia="仿宋_GB2312" w:cs="Times New Roman"/>
          <w:color w:val="000000"/>
          <w:kern w:val="0"/>
          <w:szCs w:val="21"/>
          <w:highlight w:val="none"/>
        </w:rPr>
        <w:t xml:space="preserve">部门：  </w:t>
      </w:r>
      <w:r>
        <w:rPr>
          <w:rFonts w:hint="eastAsia" w:ascii="Times New Roman" w:hAnsi="Times New Roman" w:eastAsia="仿宋_GB2312" w:cs="Times New Roman"/>
          <w:color w:val="000000"/>
          <w:kern w:val="0"/>
          <w:szCs w:val="21"/>
          <w:lang w:val="en-US" w:eastAsia="zh-CN"/>
        </w:rPr>
        <w:t xml:space="preserve">永州市住房公积金管理中心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autofit"/>
        <w:tblCellMar>
          <w:top w:w="0" w:type="dxa"/>
          <w:left w:w="108" w:type="dxa"/>
          <w:bottom w:w="0" w:type="dxa"/>
          <w:right w:w="108" w:type="dxa"/>
        </w:tblCellMar>
      </w:tblPr>
      <w:tblGrid>
        <w:gridCol w:w="1335"/>
        <w:gridCol w:w="3357"/>
        <w:gridCol w:w="658"/>
        <w:gridCol w:w="1221"/>
        <w:gridCol w:w="2310"/>
        <w:gridCol w:w="658"/>
        <w:gridCol w:w="1221"/>
        <w:gridCol w:w="4195"/>
        <w:gridCol w:w="659"/>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highlight w:val="none"/>
              </w:rPr>
              <w:t xml:space="preserve"> 部门：</w:t>
            </w:r>
            <w:r>
              <w:rPr>
                <w:rFonts w:hint="eastAsia" w:ascii="Times New Roman" w:hAnsi="Times New Roman" w:eastAsia="仿宋_GB2312" w:cs="Times New Roman"/>
                <w:color w:val="000000"/>
                <w:kern w:val="0"/>
                <w:szCs w:val="21"/>
                <w:highlight w:val="none"/>
                <w:lang w:val="en-US" w:eastAsia="zh-CN"/>
              </w:rPr>
              <w:t>永</w:t>
            </w:r>
            <w:r>
              <w:rPr>
                <w:rFonts w:hint="eastAsia" w:ascii="Times New Roman" w:hAnsi="Times New Roman" w:eastAsia="仿宋_GB2312" w:cs="Times New Roman"/>
                <w:color w:val="000000"/>
                <w:kern w:val="0"/>
                <w:szCs w:val="21"/>
                <w:lang w:val="en-US" w:eastAsia="zh-CN"/>
              </w:rPr>
              <w:t xml:space="preserve">州市住房公积金管理中心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highlight w:val="none"/>
        </w:rPr>
        <w:t>部门</w:t>
      </w:r>
      <w:r>
        <w:rPr>
          <w:rFonts w:hint="eastAsia" w:ascii="Times New Roman" w:hAnsi="Times New Roman" w:eastAsia="仿宋_GB2312" w:cs="Times New Roman"/>
          <w:color w:val="000000"/>
          <w:kern w:val="0"/>
          <w:szCs w:val="21"/>
          <w:highlight w:val="none"/>
          <w:lang w:val="en-US" w:eastAsia="zh-CN"/>
        </w:rPr>
        <w:t>：永</w:t>
      </w:r>
      <w:r>
        <w:rPr>
          <w:rFonts w:hint="eastAsia" w:ascii="Times New Roman" w:hAnsi="Times New Roman" w:eastAsia="仿宋_GB2312" w:cs="Times New Roman"/>
          <w:color w:val="000000"/>
          <w:kern w:val="0"/>
          <w:szCs w:val="21"/>
          <w:lang w:val="en-US" w:eastAsia="zh-CN"/>
        </w:rPr>
        <w:t xml:space="preserve">州市住房公积金管理中心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center"/>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highlight w:val="none"/>
        </w:rPr>
        <w:t>部门</w:t>
      </w:r>
      <w:r>
        <w:rPr>
          <w:rFonts w:hint="eastAsia" w:ascii="Times New Roman" w:hAnsi="Times New Roman" w:eastAsia="仿宋_GB2312" w:cs="Times New Roman"/>
          <w:color w:val="000000"/>
          <w:kern w:val="0"/>
          <w:szCs w:val="21"/>
          <w:highlight w:val="none"/>
          <w:lang w:val="en-US" w:eastAsia="zh-CN"/>
        </w:rPr>
        <w:t xml:space="preserve">： 永州市住房公积金管理中心     </w:t>
      </w:r>
      <w:r>
        <w:rPr>
          <w:rFonts w:hint="eastAsia" w:ascii="Times New Roman" w:hAnsi="Times New Roman" w:eastAsia="仿宋_GB2312" w:cs="Times New Roman"/>
          <w:color w:val="000000"/>
          <w:kern w:val="0"/>
          <w:szCs w:val="21"/>
          <w:lang w:val="en-US" w:eastAsia="zh-CN"/>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8"/>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4190" w:type="dxa"/>
            <w:gridSpan w:val="9"/>
            <w:tcBorders>
              <w:top w:val="nil"/>
              <w:left w:val="nil"/>
              <w:bottom w:val="nil"/>
              <w:right w:val="nil"/>
            </w:tcBorders>
            <w:shd w:val="clear" w:color="000000" w:fill="FFFFFF"/>
            <w:noWrap/>
            <w:vAlign w:val="center"/>
          </w:tcPr>
          <w:p>
            <w:pPr>
              <w:widowControl/>
              <w:wordWrap w:val="0"/>
              <w:jc w:val="both"/>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highlight w:val="none"/>
                <w:lang w:val="en-US" w:eastAsia="zh-CN"/>
              </w:rPr>
              <w:t>部门：</w:t>
            </w:r>
            <w:r>
              <w:rPr>
                <w:rFonts w:hint="eastAsia" w:ascii="Times New Roman" w:hAnsi="Times New Roman" w:eastAsia="仿宋_GB2312" w:cs="Times New Roman"/>
                <w:color w:val="000000"/>
                <w:kern w:val="0"/>
                <w:szCs w:val="21"/>
                <w:lang w:val="en-US" w:eastAsia="zh-CN"/>
              </w:rPr>
              <w:t xml:space="preserve"> 永州市住房公积金管理中心                                                                                            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52"/>
          <w:szCs w:val="52"/>
        </w:rPr>
      </w:pPr>
    </w:p>
    <w:p>
      <w:pPr>
        <w:pStyle w:val="12"/>
        <w:jc w:val="center"/>
        <w:rPr>
          <w:sz w:val="52"/>
          <w:szCs w:val="52"/>
        </w:rPr>
      </w:pPr>
      <w:r>
        <w:rPr>
          <w:rFonts w:hint="eastAsia"/>
          <w:sz w:val="52"/>
          <w:szCs w:val="52"/>
        </w:rPr>
        <w:t>第三部分</w:t>
      </w:r>
    </w:p>
    <w:p>
      <w:pPr>
        <w:pStyle w:val="12"/>
        <w:jc w:val="center"/>
        <w:rPr>
          <w:sz w:val="52"/>
          <w:szCs w:val="52"/>
        </w:rPr>
      </w:pPr>
    </w:p>
    <w:p>
      <w:pPr>
        <w:pStyle w:val="12"/>
        <w:jc w:val="center"/>
        <w:rPr>
          <w:sz w:val="52"/>
          <w:szCs w:val="52"/>
        </w:rPr>
      </w:pPr>
      <w:r>
        <w:rPr>
          <w:sz w:val="52"/>
          <w:szCs w:val="52"/>
        </w:rPr>
        <w:t>20</w:t>
      </w:r>
      <w:r>
        <w:rPr>
          <w:rFonts w:hint="eastAsia"/>
          <w:sz w:val="52"/>
          <w:szCs w:val="52"/>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rPr>
          <w:rFonts w:hAnsi="黑体"/>
          <w:b/>
          <w:sz w:val="32"/>
          <w:szCs w:val="32"/>
        </w:rPr>
      </w:pPr>
      <w:r>
        <w:rPr>
          <w:rFonts w:hint="eastAsia" w:hAnsi="黑体"/>
          <w:b/>
          <w:sz w:val="32"/>
          <w:szCs w:val="32"/>
        </w:rPr>
        <w:t>一、收入支出决算总体情况说明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本单位20</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年度收入总计</w:t>
      </w:r>
      <w:r>
        <w:rPr>
          <w:rFonts w:hint="eastAsia" w:asciiTheme="minorEastAsia" w:hAnsiTheme="minorEastAsia" w:eastAsiaTheme="minorEastAsia"/>
          <w:sz w:val="32"/>
          <w:szCs w:val="32"/>
          <w:lang w:val="en-US" w:eastAsia="zh-CN"/>
        </w:rPr>
        <w:t>3391.53</w:t>
      </w:r>
      <w:r>
        <w:rPr>
          <w:rFonts w:hint="eastAsia" w:asciiTheme="minorEastAsia" w:hAnsiTheme="minorEastAsia" w:eastAsiaTheme="minorEastAsia"/>
          <w:sz w:val="32"/>
          <w:szCs w:val="32"/>
        </w:rPr>
        <w:t>万元，与20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val="en-US" w:eastAsia="zh-CN"/>
        </w:rPr>
        <w:t>减少375.01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减少9.96</w:t>
      </w:r>
      <w:r>
        <w:rPr>
          <w:rFonts w:hint="eastAsia" w:asciiTheme="minorEastAsia" w:hAnsiTheme="minorEastAsia" w:eastAsiaTheme="minorEastAsia"/>
          <w:sz w:val="32"/>
          <w:szCs w:val="32"/>
        </w:rPr>
        <w:t>%；本单位20</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年度支出总计</w:t>
      </w:r>
      <w:r>
        <w:rPr>
          <w:rFonts w:hint="eastAsia" w:asciiTheme="minorEastAsia" w:hAnsiTheme="minorEastAsia" w:eastAsiaTheme="minorEastAsia"/>
          <w:sz w:val="32"/>
          <w:szCs w:val="32"/>
          <w:lang w:val="en-US" w:eastAsia="zh-CN"/>
        </w:rPr>
        <w:t>3391.53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其中支出3377.27万元</w:t>
      </w:r>
      <w:r>
        <w:rPr>
          <w:rFonts w:hint="eastAsia" w:asciiTheme="minorEastAsia" w:hAnsiTheme="minorEastAsia" w:eastAsiaTheme="minorEastAsia"/>
          <w:sz w:val="32"/>
          <w:szCs w:val="32"/>
        </w:rPr>
        <w:t>，与20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val="en-US" w:eastAsia="zh-CN"/>
        </w:rPr>
        <w:t>减少236.49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减少6.54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结余分配14.26万元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收入及支出</w:t>
      </w:r>
      <w:r>
        <w:rPr>
          <w:rFonts w:hint="eastAsia" w:asciiTheme="minorEastAsia" w:hAnsiTheme="minorEastAsia" w:eastAsiaTheme="minorEastAsia"/>
          <w:sz w:val="32"/>
          <w:szCs w:val="32"/>
          <w:lang w:val="en-US" w:eastAsia="zh-CN"/>
        </w:rPr>
        <w:t>减少</w:t>
      </w:r>
      <w:r>
        <w:rPr>
          <w:rFonts w:hint="eastAsia" w:asciiTheme="minorEastAsia" w:hAnsiTheme="minorEastAsia" w:eastAsiaTheme="minorEastAsia"/>
          <w:sz w:val="32"/>
          <w:szCs w:val="32"/>
          <w:lang w:eastAsia="zh-CN"/>
        </w:rPr>
        <w:t>主要是</w:t>
      </w:r>
      <w:r>
        <w:rPr>
          <w:rFonts w:hint="eastAsia" w:asciiTheme="minorEastAsia" w:hAnsiTheme="minorEastAsia" w:eastAsiaTheme="minorEastAsia" w:cstheme="minorEastAsia"/>
          <w:color w:val="auto"/>
          <w:sz w:val="32"/>
          <w:szCs w:val="32"/>
          <w:lang w:eastAsia="zh-CN"/>
        </w:rPr>
        <w:t>因为</w:t>
      </w:r>
      <w:r>
        <w:rPr>
          <w:rFonts w:hint="eastAsia" w:asciiTheme="minorEastAsia" w:hAnsiTheme="minorEastAsia" w:eastAsiaTheme="minorEastAsia" w:cstheme="minorEastAsia"/>
          <w:color w:val="auto"/>
          <w:sz w:val="32"/>
          <w:szCs w:val="32"/>
          <w:lang w:val="en-US" w:eastAsia="zh-CN"/>
        </w:rPr>
        <w:t>减少</w:t>
      </w:r>
      <w:r>
        <w:rPr>
          <w:rFonts w:hint="eastAsia" w:asciiTheme="minorEastAsia" w:hAnsiTheme="minorEastAsia" w:eastAsiaTheme="minorEastAsia" w:cstheme="minorEastAsia"/>
          <w:color w:val="auto"/>
          <w:sz w:val="32"/>
          <w:szCs w:val="32"/>
          <w:lang w:eastAsia="zh-CN"/>
        </w:rPr>
        <w:t>了信息化二期项目</w:t>
      </w:r>
      <w:r>
        <w:rPr>
          <w:rFonts w:hint="eastAsia" w:asciiTheme="minorEastAsia" w:hAnsiTheme="minorEastAsia" w:eastAsiaTheme="minorEastAsia" w:cstheme="minorEastAsia"/>
          <w:sz w:val="32"/>
          <w:szCs w:val="32"/>
          <w:lang w:val="en-US" w:eastAsia="zh-CN"/>
        </w:rPr>
        <w:t>。</w:t>
      </w:r>
    </w:p>
    <w:p>
      <w:pPr>
        <w:pStyle w:val="12"/>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3391.53</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万元；事业收入</w:t>
      </w:r>
      <w:r>
        <w:rPr>
          <w:rFonts w:hint="eastAsia" w:asciiTheme="minorEastAsia" w:hAnsiTheme="minorEastAsia" w:eastAsiaTheme="minorEastAsia"/>
          <w:sz w:val="32"/>
          <w:szCs w:val="32"/>
          <w:lang w:val="en-US" w:eastAsia="zh-CN"/>
        </w:rPr>
        <w:t>3377.30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99.58</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万元；其他收入</w:t>
      </w:r>
      <w:r>
        <w:rPr>
          <w:rFonts w:hint="eastAsia" w:asciiTheme="minorEastAsia" w:hAnsiTheme="minorEastAsia" w:eastAsiaTheme="minorEastAsia"/>
          <w:sz w:val="32"/>
          <w:szCs w:val="32"/>
          <w:lang w:val="en-US" w:eastAsia="zh-CN"/>
        </w:rPr>
        <w:t>14.23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0.42</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28"/>
          <w:szCs w:val="28"/>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3377.27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3377.27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2"/>
        <w:rPr>
          <w:rFonts w:hAnsi="黑体"/>
          <w:b/>
          <w:sz w:val="32"/>
          <w:szCs w:val="32"/>
        </w:rPr>
      </w:pPr>
      <w:r>
        <w:rPr>
          <w:rFonts w:hint="eastAsia" w:hAnsi="黑体"/>
          <w:b/>
          <w:sz w:val="32"/>
          <w:szCs w:val="32"/>
        </w:rPr>
        <w:t>四、财政拨款收入支出决算总体情况说明</w:t>
      </w:r>
    </w:p>
    <w:p>
      <w:pPr>
        <w:pStyle w:val="12"/>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32"/>
          <w:szCs w:val="32"/>
        </w:rPr>
        <w:t>本单位无财政拨款收入支出。</w:t>
      </w:r>
    </w:p>
    <w:p>
      <w:pPr>
        <w:pStyle w:val="12"/>
        <w:rPr>
          <w:rFonts w:hAnsi="黑体"/>
          <w:b/>
          <w:sz w:val="32"/>
          <w:szCs w:val="32"/>
        </w:rPr>
      </w:pPr>
      <w:r>
        <w:rPr>
          <w:rFonts w:hint="eastAsia" w:hAnsi="黑体"/>
          <w:b/>
          <w:sz w:val="32"/>
          <w:szCs w:val="32"/>
        </w:rPr>
        <w:t>五、一般公共预算财政拨款支出决算情况说明</w:t>
      </w:r>
    </w:p>
    <w:p>
      <w:pPr>
        <w:pStyle w:val="12"/>
        <w:ind w:firstLine="320"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本单位无一般公共预算财政拨款支出。</w:t>
      </w:r>
    </w:p>
    <w:p>
      <w:pPr>
        <w:pStyle w:val="12"/>
        <w:ind w:firstLine="320"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800" w:firstLineChars="25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本单位无一般公共预算财政拨款支出。</w:t>
      </w:r>
    </w:p>
    <w:p>
      <w:pPr>
        <w:pStyle w:val="12"/>
        <w:ind w:firstLine="320"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t>本单位无一般公共预算财政拨款支出。</w:t>
      </w:r>
    </w:p>
    <w:p>
      <w:pPr>
        <w:pStyle w:val="12"/>
        <w:rPr>
          <w:rFonts w:hAnsi="黑体"/>
          <w:b/>
          <w:sz w:val="32"/>
          <w:szCs w:val="32"/>
        </w:rPr>
      </w:pPr>
      <w:r>
        <w:rPr>
          <w:rFonts w:hint="eastAsia" w:hAnsi="黑体"/>
          <w:b/>
          <w:sz w:val="32"/>
          <w:szCs w:val="32"/>
        </w:rPr>
        <w:t>六、一般公共预算财政拨款基本支出决算情况说明</w:t>
      </w:r>
    </w:p>
    <w:p>
      <w:pPr>
        <w:pStyle w:val="12"/>
        <w:ind w:firstLine="800" w:firstLineChars="25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本单位无一般公共预算财政拨款基本支出。</w:t>
      </w:r>
    </w:p>
    <w:p>
      <w:pPr>
        <w:pStyle w:val="12"/>
        <w:rPr>
          <w:rFonts w:hAnsi="黑体"/>
          <w:b/>
          <w:sz w:val="32"/>
          <w:szCs w:val="32"/>
        </w:rPr>
      </w:pP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本单位无一般公共预算财政拨款三公经费支出。</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rightChars="0" w:firstLine="640" w:firstLineChars="200"/>
        <w:jc w:val="both"/>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本单位无一般公共预算财政拨款三公经费支出。</w:t>
      </w:r>
    </w:p>
    <w:p>
      <w:pPr>
        <w:pStyle w:val="12"/>
        <w:rPr>
          <w:rFonts w:hAnsi="黑体"/>
          <w:b/>
          <w:sz w:val="32"/>
          <w:szCs w:val="32"/>
        </w:rPr>
      </w:pPr>
      <w:r>
        <w:rPr>
          <w:rFonts w:hint="eastAsia" w:hAnsi="黑体"/>
          <w:b/>
          <w:sz w:val="32"/>
          <w:szCs w:val="32"/>
        </w:rPr>
        <w:t>八、政府性基金预算收入支出决算情况</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rightChars="0" w:firstLine="640" w:firstLineChars="200"/>
        <w:jc w:val="both"/>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本单位无政府性基金收支。</w:t>
      </w:r>
    </w:p>
    <w:p>
      <w:pPr>
        <w:pStyle w:val="12"/>
        <w:rPr>
          <w:rFonts w:hAnsi="黑体"/>
          <w:b/>
          <w:sz w:val="32"/>
          <w:szCs w:val="32"/>
        </w:rPr>
      </w:pPr>
      <w:r>
        <w:rPr>
          <w:rFonts w:hint="eastAsia" w:hAnsi="黑体"/>
          <w:b/>
          <w:sz w:val="32"/>
          <w:szCs w:val="32"/>
        </w:rPr>
        <w:t>九、机关运行经费支出说明</w:t>
      </w:r>
    </w:p>
    <w:p>
      <w:pPr>
        <w:pStyle w:val="12"/>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（一）机关运行经费支出情况</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本单位20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32"/>
          <w:szCs w:val="32"/>
          <w14:textFill>
            <w14:solidFill>
              <w14:schemeClr w14:val="tx1"/>
            </w14:solidFill>
          </w14:textFill>
        </w:rPr>
        <w:t>年度机关运行经费支出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435.11</w:t>
      </w:r>
      <w:r>
        <w:rPr>
          <w:rFonts w:hint="eastAsia" w:asciiTheme="minorEastAsia" w:hAnsiTheme="minorEastAsia" w:eastAsiaTheme="minorEastAsia" w:cstheme="minorEastAsia"/>
          <w:color w:val="000000" w:themeColor="text1"/>
          <w:sz w:val="32"/>
          <w:szCs w:val="32"/>
          <w14:textFill>
            <w14:solidFill>
              <w14:schemeClr w14:val="tx1"/>
            </w14:solidFill>
          </w14:textFill>
        </w:rPr>
        <w:t>万元，较上年</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减少3.44</w:t>
      </w:r>
      <w:r>
        <w:rPr>
          <w:rFonts w:hint="eastAsia" w:asciiTheme="minorEastAsia" w:hAnsiTheme="minorEastAsia" w:eastAsiaTheme="minorEastAsia" w:cstheme="minorEastAsia"/>
          <w:color w:val="000000" w:themeColor="text1"/>
          <w:sz w:val="32"/>
          <w:szCs w:val="32"/>
          <w14:textFill>
            <w14:solidFill>
              <w14:schemeClr w14:val="tx1"/>
            </w14:solidFill>
          </w14:textFill>
        </w:rPr>
        <w:t>万元，</w:t>
      </w:r>
      <w:r>
        <w:rPr>
          <w:rFonts w:hint="eastAsia" w:asciiTheme="minorEastAsia" w:hAnsiTheme="minorEastAsia" w:eastAsiaTheme="minorEastAsia" w:cstheme="minorEastAsia"/>
          <w:color w:val="000000" w:themeColor="text1"/>
          <w:sz w:val="32"/>
          <w:szCs w:val="32"/>
          <w:highlight w:val="none"/>
          <w:lang w:val="en-US" w:eastAsia="zh-CN"/>
          <w14:textFill>
            <w14:solidFill>
              <w14:schemeClr w14:val="tx1"/>
            </w14:solidFill>
          </w14:textFill>
        </w:rPr>
        <w:t>下降0.78</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w:t>
      </w:r>
      <w:bookmarkStart w:id="3" w:name="_GoBack"/>
      <w:bookmarkEnd w:id="3"/>
    </w:p>
    <w:p>
      <w:pPr>
        <w:pStyle w:val="12"/>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（二）“三公”经费支出情况</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Theme="minorEastAsia" w:hAnsiTheme="minorEastAsia" w:eastAsiaTheme="minorEastAsia" w:cstheme="minorEastAsia"/>
          <w:i w:val="0"/>
          <w:iCs w:val="0"/>
          <w:caps w:val="0"/>
          <w:color w:val="auto"/>
          <w:spacing w:val="0"/>
          <w:kern w:val="2"/>
          <w:sz w:val="32"/>
          <w:szCs w:val="32"/>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2"/>
          <w:sz w:val="32"/>
          <w:szCs w:val="32"/>
          <w:shd w:val="clear" w:fill="FFFFFF"/>
          <w:lang w:val="en-US" w:eastAsia="zh-CN" w:bidi="ar-SA"/>
        </w:rPr>
        <w:t>本单位2021年度“三公”经费支出8.66万元，较上年度减少1.05万元，主要原因是中心严格贯彻落实</w:t>
      </w:r>
      <w:r>
        <w:rPr>
          <w:rFonts w:hint="eastAsia" w:asciiTheme="minorEastAsia" w:hAnsiTheme="minorEastAsia" w:eastAsiaTheme="minorEastAsia" w:cstheme="minorEastAsia"/>
          <w:i w:val="0"/>
          <w:iCs w:val="0"/>
          <w:caps w:val="0"/>
          <w:color w:val="000000" w:themeColor="text1"/>
          <w:spacing w:val="0"/>
          <w:kern w:val="2"/>
          <w:sz w:val="32"/>
          <w:szCs w:val="32"/>
          <w:shd w:val="clear" w:fill="FFFFFF"/>
          <w:lang w:val="en-US" w:eastAsia="zh-CN" w:bidi="ar-SA"/>
          <w14:textFill>
            <w14:solidFill>
              <w14:schemeClr w14:val="tx1"/>
            </w14:solidFill>
          </w14:textFill>
        </w:rPr>
        <w:t>中央八项规定精神</w:t>
      </w:r>
      <w:r>
        <w:rPr>
          <w:rFonts w:hint="eastAsia" w:asciiTheme="minorEastAsia" w:hAnsiTheme="minorEastAsia" w:eastAsiaTheme="minorEastAsia" w:cstheme="minorEastAsia"/>
          <w:i w:val="0"/>
          <w:iCs w:val="0"/>
          <w:caps w:val="0"/>
          <w:color w:val="auto"/>
          <w:spacing w:val="0"/>
          <w:kern w:val="2"/>
          <w:sz w:val="32"/>
          <w:szCs w:val="32"/>
          <w:shd w:val="clear" w:fill="FFFFFF"/>
          <w:lang w:val="en-US" w:eastAsia="zh-CN" w:bidi="ar-SA"/>
        </w:rPr>
        <w:t>和厉行节约的要求，严控“三公”经费支出。</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9"/>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auto"/>
          <w:spacing w:val="0"/>
          <w:sz w:val="32"/>
          <w:szCs w:val="32"/>
          <w:shd w:val="clear" w:fill="FFFFFF"/>
        </w:rPr>
        <w:t>因公出国（境）支出为0</w:t>
      </w:r>
      <w:r>
        <w:rPr>
          <w:rFonts w:hint="eastAsia" w:asciiTheme="minorEastAsia" w:hAnsiTheme="minorEastAsia" w:eastAsiaTheme="minorEastAsia" w:cstheme="minorEastAsia"/>
          <w:i w:val="0"/>
          <w:iCs w:val="0"/>
          <w:caps w:val="0"/>
          <w:color w:val="auto"/>
          <w:spacing w:val="0"/>
          <w:sz w:val="32"/>
          <w:szCs w:val="32"/>
          <w:shd w:val="clear" w:fill="FFFFFF"/>
          <w:lang w:eastAsia="zh-CN"/>
        </w:rPr>
        <w:t>万</w:t>
      </w:r>
      <w:r>
        <w:rPr>
          <w:rFonts w:hint="eastAsia" w:asciiTheme="minorEastAsia" w:hAnsiTheme="minorEastAsia" w:eastAsiaTheme="minorEastAsia" w:cstheme="minorEastAsia"/>
          <w:i w:val="0"/>
          <w:iCs w:val="0"/>
          <w:caps w:val="0"/>
          <w:color w:val="auto"/>
          <w:spacing w:val="0"/>
          <w:sz w:val="32"/>
          <w:szCs w:val="32"/>
          <w:highlight w:val="none"/>
          <w:shd w:val="clear" w:fill="FFFFFF"/>
          <w:lang w:eastAsia="zh-CN"/>
        </w:rPr>
        <w:t>元</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0"/>
          <w:sz w:val="32"/>
          <w:szCs w:val="32"/>
          <w:highlight w:val="none"/>
          <w:shd w:val="clear" w:fill="FFFFFF"/>
          <w:lang w:eastAsia="zh-CN"/>
          <w14:textFill>
            <w14:solidFill>
              <w14:schemeClr w14:val="tx1"/>
            </w14:solidFill>
          </w14:textFill>
        </w:rPr>
        <w:t>占“三公”经费支出的</w:t>
      </w:r>
      <w:r>
        <w:rPr>
          <w:rFonts w:hint="eastAsia" w:asciiTheme="minorEastAsia" w:hAnsi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0%，</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eastAsia="zh-CN"/>
          <w14:textFill>
            <w14:solidFill>
              <w14:schemeClr w14:val="tx1"/>
            </w14:solidFill>
          </w14:textFill>
        </w:rPr>
        <w:t>较上年度无增减</w:t>
      </w:r>
      <w:r>
        <w:rPr>
          <w:rFonts w:hint="eastAsia" w:asciiTheme="minorEastAsia" w:hAnsiTheme="minorEastAsia" w:cstheme="minorEastAsia"/>
          <w:i w:val="0"/>
          <w:iCs w:val="0"/>
          <w:caps w:val="0"/>
          <w:color w:val="000000" w:themeColor="text1"/>
          <w:spacing w:val="0"/>
          <w:sz w:val="32"/>
          <w:szCs w:val="32"/>
          <w:highlight w:val="none"/>
          <w:shd w:val="clear" w:fill="FFFFFF"/>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9"/>
        <w:rPr>
          <w:rFonts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14:textFill>
            <w14:solidFill>
              <w14:schemeClr w14:val="tx1"/>
            </w14:solidFill>
          </w14:textFill>
        </w:rPr>
        <w:t>公务接待费支出</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3.06</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14:textFill>
            <w14:solidFill>
              <w14:schemeClr w14:val="tx1"/>
            </w14:solidFill>
          </w14:textFill>
        </w:rPr>
        <w:t>万元，</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eastAsia="zh-CN"/>
          <w14:textFill>
            <w14:solidFill>
              <w14:schemeClr w14:val="tx1"/>
            </w14:solidFill>
          </w14:textFill>
        </w:rPr>
        <w:t>占</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“三公”经费支出</w:t>
      </w:r>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t>的</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35.33%，</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14:textFill>
            <w14:solidFill>
              <w14:schemeClr w14:val="tx1"/>
            </w14:solidFill>
          </w14:textFill>
        </w:rPr>
        <w:t>较上年度</w:t>
      </w:r>
      <w:r>
        <w:rPr>
          <w:rFonts w:hint="eastAsia" w:asciiTheme="minorEastAsia" w:hAnsi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减少</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0.9</w:t>
      </w:r>
      <w:r>
        <w:rPr>
          <w:rFonts w:hint="eastAsia" w:asciiTheme="minorEastAsia" w:hAnsi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7</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14:textFill>
            <w14:solidFill>
              <w14:schemeClr w14:val="tx1"/>
            </w14:solidFill>
          </w14:textFill>
        </w:rPr>
        <w:t>万元，</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eastAsia="zh-CN"/>
          <w14:textFill>
            <w14:solidFill>
              <w14:schemeClr w14:val="tx1"/>
            </w14:solidFill>
          </w14:textFill>
        </w:rPr>
        <w:t>公务接待</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88</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eastAsia="zh-CN"/>
          <w14:textFill>
            <w14:solidFill>
              <w14:schemeClr w14:val="tx1"/>
            </w14:solidFill>
          </w14:textFill>
        </w:rPr>
        <w:t>批次共计</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523</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eastAsia="zh-CN"/>
          <w14:textFill>
            <w14:solidFill>
              <w14:schemeClr w14:val="tx1"/>
            </w14:solidFill>
          </w14:textFill>
        </w:rPr>
        <w:t>人</w:t>
      </w:r>
      <w:r>
        <w:rPr>
          <w:rFonts w:hint="eastAsia" w:asciiTheme="minorEastAsia" w:hAnsiTheme="minorEastAsia" w:cstheme="minorEastAsia"/>
          <w:i w:val="0"/>
          <w:iCs w:val="0"/>
          <w:caps w:val="0"/>
          <w:color w:val="000000" w:themeColor="text1"/>
          <w:spacing w:val="0"/>
          <w:sz w:val="32"/>
          <w:szCs w:val="32"/>
          <w:highlight w:val="none"/>
          <w:shd w:val="clear" w:fill="FFFFFF"/>
          <w:lang w:eastAsia="zh-CN"/>
          <w14:textFill>
            <w14:solidFill>
              <w14:schemeClr w14:val="tx1"/>
            </w14:solidFill>
          </w14:textFill>
        </w:rPr>
        <w:t>，主要是</w:t>
      </w:r>
      <w:r>
        <w:rPr>
          <w:rFonts w:hint="eastAsia" w:asciiTheme="minorEastAsia" w:hAnsiTheme="minorEastAsia" w:eastAsiaTheme="minorEastAsia" w:cstheme="minorEastAsia"/>
          <w:color w:val="000000" w:themeColor="text1"/>
          <w:kern w:val="0"/>
          <w:sz w:val="32"/>
          <w:szCs w:val="32"/>
          <w:highlight w:val="none"/>
          <w:lang w:val="en-US" w:eastAsia="zh-CN" w:bidi="ar-SA"/>
          <w14:textFill>
            <w14:solidFill>
              <w14:schemeClr w14:val="tx1"/>
            </w14:solidFill>
          </w14:textFill>
        </w:rPr>
        <w:t>各类检查督查、交流学习</w:t>
      </w:r>
      <w:r>
        <w:rPr>
          <w:rFonts w:hint="eastAsia" w:asciiTheme="minorEastAsia" w:hAnsiTheme="minorEastAsia" w:cstheme="minorEastAsia"/>
          <w:i w:val="0"/>
          <w:iCs w:val="0"/>
          <w:caps w:val="0"/>
          <w:color w:val="000000" w:themeColor="text1"/>
          <w:spacing w:val="0"/>
          <w:sz w:val="32"/>
          <w:szCs w:val="32"/>
          <w:highlight w:val="none"/>
          <w:shd w:val="clear" w:fill="FFFFFF"/>
          <w:lang w:eastAsia="zh-CN"/>
          <w14:textFill>
            <w14:solidFill>
              <w14:schemeClr w14:val="tx1"/>
            </w14:solidFill>
          </w14:textFill>
        </w:rPr>
        <w:t>等</w:t>
      </w:r>
      <w:r>
        <w:rPr>
          <w:rFonts w:hint="eastAsia" w:asciiTheme="minorEastAsia" w:hAnsi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发生的接待支出</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9"/>
        <w:rPr>
          <w:rFonts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eastAsia="zh-CN"/>
          <w14:textFill>
            <w14:solidFill>
              <w14:schemeClr w14:val="tx1"/>
            </w14:solidFill>
          </w14:textFill>
        </w:rPr>
        <w:t>公务用车购置费及运行维护费</w:t>
      </w:r>
      <w:r>
        <w:rPr>
          <w:rFonts w:hint="eastAsia" w:asciiTheme="minorEastAsia" w:hAnsiTheme="minorEastAsia" w:eastAsiaTheme="minorEastAsia" w:cstheme="minorEastAsia"/>
          <w:color w:val="000000" w:themeColor="text1"/>
          <w:sz w:val="32"/>
          <w:szCs w:val="32"/>
          <w:highlight w:val="none"/>
          <w:lang w:val="en-US" w:eastAsia="zh-CN"/>
          <w14:textFill>
            <w14:solidFill>
              <w14:schemeClr w14:val="tx1"/>
            </w14:solidFill>
          </w14:textFill>
        </w:rPr>
        <w:t>5.6</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万元</w:t>
      </w:r>
      <w:r>
        <w:rPr>
          <w:rFonts w:hint="eastAsia" w:asciiTheme="minorEastAsia" w:hAnsi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eastAsia="zh-CN"/>
          <w14:textFill>
            <w14:solidFill>
              <w14:schemeClr w14:val="tx1"/>
            </w14:solidFill>
          </w14:textFill>
        </w:rPr>
        <w:t>占</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“三公”经费支出</w:t>
      </w:r>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t>的</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64.6</w:t>
      </w:r>
      <w:r>
        <w:rPr>
          <w:rFonts w:hint="eastAsia" w:asciiTheme="minorEastAsia" w:hAnsi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7</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%，较上年</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14:textFill>
            <w14:solidFill>
              <w14:schemeClr w14:val="tx1"/>
            </w14:solidFill>
          </w14:textFill>
        </w:rPr>
        <w:t>减少</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0.08</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14:textFill>
            <w14:solidFill>
              <w14:schemeClr w14:val="tx1"/>
            </w14:solidFill>
          </w14:textFill>
        </w:rPr>
        <w:t>万元</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其中：公务用车购置费0万元；公务用车运行维护费5.6万元，主要</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是</w:t>
      </w:r>
      <w:r>
        <w:rPr>
          <w:rFonts w:hint="eastAsia" w:asciiTheme="minorEastAsia" w:hAnsiTheme="minorEastAsia" w:eastAsiaTheme="minorEastAsia" w:cstheme="minorEastAsia"/>
          <w:color w:val="000000" w:themeColor="text1"/>
          <w:kern w:val="0"/>
          <w:sz w:val="32"/>
          <w:szCs w:val="32"/>
          <w:highlight w:val="none"/>
          <w:lang w:val="en-US" w:eastAsia="zh-CN" w:bidi="ar-SA"/>
          <w14:textFill>
            <w14:solidFill>
              <w14:schemeClr w14:val="tx1"/>
            </w14:solidFill>
          </w14:textFill>
        </w:rPr>
        <w:t>路桥费、燃油费、维修</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14:textFill>
            <w14:solidFill>
              <w14:schemeClr w14:val="tx1"/>
            </w14:solidFill>
          </w14:textFill>
        </w:rPr>
        <w:t>费</w:t>
      </w:r>
      <w:r>
        <w:rPr>
          <w:rFonts w:hint="eastAsia" w:asciiTheme="minorEastAsia" w:hAnsi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等</w:t>
      </w:r>
      <w:r>
        <w:rPr>
          <w:rFonts w:hint="eastAsia" w:asciiTheme="minorEastAsia" w:hAnsiTheme="minorEastAsia" w:eastAsia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支</w:t>
      </w:r>
      <w:r>
        <w:rPr>
          <w:rFonts w:hint="eastAsia" w:asciiTheme="minorEastAsia" w:hAnsiTheme="minorEastAsia" w:cstheme="minorEastAsia"/>
          <w:i w:val="0"/>
          <w:iCs w:val="0"/>
          <w:caps w:val="0"/>
          <w:color w:val="000000" w:themeColor="text1"/>
          <w:spacing w:val="0"/>
          <w:sz w:val="32"/>
          <w:szCs w:val="32"/>
          <w:highlight w:val="none"/>
          <w:shd w:val="clear" w:fill="FFFFFF"/>
          <w:lang w:val="en-US" w:eastAsia="zh-CN"/>
          <w14:textFill>
            <w14:solidFill>
              <w14:schemeClr w14:val="tx1"/>
            </w14:solidFill>
          </w14:textFill>
        </w:rPr>
        <w:t>出，截至2021年12月31日，我单位公务用车保有量为1辆。</w:t>
      </w:r>
    </w:p>
    <w:p>
      <w:pPr>
        <w:pStyle w:val="12"/>
        <w:rPr>
          <w:rFonts w:hAnsi="黑体"/>
          <w:b/>
          <w:sz w:val="32"/>
          <w:szCs w:val="32"/>
        </w:rPr>
      </w:pPr>
      <w:r>
        <w:rPr>
          <w:rFonts w:hint="eastAsia" w:hAnsi="黑体"/>
          <w:b/>
          <w:sz w:val="32"/>
          <w:szCs w:val="32"/>
        </w:rPr>
        <w:t>十、一般性支出情况说明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w:t>
      </w:r>
      <w:r>
        <w:rPr>
          <w:rFonts w:hint="eastAsia" w:asciiTheme="minorEastAsia" w:hAnsiTheme="minorEastAsia" w:eastAsiaTheme="minorEastAsia"/>
          <w:sz w:val="32"/>
          <w:szCs w:val="32"/>
          <w:lang w:val="en-US" w:eastAsia="zh-CN"/>
        </w:rPr>
        <w:t>单位</w:t>
      </w:r>
      <w:r>
        <w:rPr>
          <w:rFonts w:hint="eastAsia" w:asciiTheme="minorEastAsia" w:hAnsiTheme="minorEastAsia" w:eastAsiaTheme="minorEastAsia"/>
          <w:sz w:val="32"/>
          <w:szCs w:val="32"/>
        </w:rPr>
        <w:t>开支会议费</w:t>
      </w:r>
      <w:r>
        <w:rPr>
          <w:rFonts w:hint="eastAsia" w:asciiTheme="minorEastAsia" w:hAnsiTheme="minorEastAsia" w:eastAsiaTheme="minorEastAsia"/>
          <w:sz w:val="32"/>
          <w:szCs w:val="32"/>
          <w:lang w:val="en-US" w:eastAsia="zh-CN"/>
        </w:rPr>
        <w:t>5.62</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管委会、年度总结工作、述职及民主测评、相关政策征求意见、警示教育等</w:t>
      </w:r>
      <w:r>
        <w:rPr>
          <w:rFonts w:hint="eastAsia" w:asciiTheme="minorEastAsia" w:hAnsiTheme="minorEastAsia" w:eastAsiaTheme="minorEastAsia"/>
          <w:sz w:val="32"/>
          <w:szCs w:val="32"/>
        </w:rPr>
        <w:t>会议</w:t>
      </w:r>
      <w:r>
        <w:rPr>
          <w:rFonts w:hint="eastAsia" w:asciiTheme="minorEastAsia" w:hAnsiTheme="minorEastAsia" w:eastAsiaTheme="minorEastAsia"/>
          <w:sz w:val="32"/>
          <w:szCs w:val="32"/>
          <w:lang w:val="en-US" w:eastAsia="zh-CN"/>
        </w:rPr>
        <w:t>11次</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599</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述职及民主测评、相关政策征求意见、年度工作总结、警示教育、政策宣传等</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23.07</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新业务、新政策、公积金专管员</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val="en-US" w:eastAsia="zh-CN"/>
        </w:rPr>
        <w:t>等18次</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1015</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跨省通办业务培训、公积金专管员业务培训、新政策培训、新进人员培训、楼盘专员培训等</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未</w:t>
      </w:r>
      <w:r>
        <w:rPr>
          <w:rFonts w:hint="eastAsia" w:asciiTheme="minorEastAsia" w:hAnsiTheme="minorEastAsia" w:eastAsiaTheme="minorEastAsia"/>
          <w:sz w:val="32"/>
          <w:szCs w:val="32"/>
        </w:rPr>
        <w:t>举办节庆、晚会、论坛、赛事活动</w:t>
      </w:r>
      <w:r>
        <w:rPr>
          <w:rFonts w:hint="eastAsia" w:asciiTheme="minorEastAsia" w:hAnsiTheme="minorEastAsia" w:eastAsiaTheme="minorEastAsia"/>
          <w:sz w:val="32"/>
          <w:szCs w:val="32"/>
          <w:lang w:eastAsia="zh-CN"/>
        </w:rPr>
        <w:t>。</w:t>
      </w:r>
    </w:p>
    <w:p>
      <w:pPr>
        <w:pStyle w:val="12"/>
        <w:rPr>
          <w:rFonts w:hAnsi="黑体"/>
          <w:b/>
          <w:sz w:val="32"/>
          <w:szCs w:val="32"/>
        </w:rPr>
      </w:pPr>
      <w:r>
        <w:rPr>
          <w:rFonts w:hint="eastAsia" w:hAnsi="黑体"/>
          <w:b/>
          <w:sz w:val="32"/>
          <w:szCs w:val="32"/>
        </w:rPr>
        <w:t>十一、政府采购支出说明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val="en-US" w:eastAsia="zh-CN"/>
        </w:rPr>
        <w:t>单位</w:t>
      </w: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政府采购支出。</w:t>
      </w:r>
    </w:p>
    <w:p>
      <w:pPr>
        <w:pStyle w:val="12"/>
        <w:rPr>
          <w:rFonts w:hAnsi="黑体"/>
          <w:b/>
          <w:sz w:val="32"/>
          <w:szCs w:val="32"/>
        </w:rPr>
      </w:pPr>
      <w:r>
        <w:rPr>
          <w:rFonts w:hint="eastAsia" w:hAnsi="黑体"/>
          <w:b/>
          <w:sz w:val="32"/>
          <w:szCs w:val="32"/>
        </w:rPr>
        <w:t>十二、国有资产占用情况说明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val="en-US" w:eastAsia="zh-CN"/>
        </w:rPr>
        <w:t>本</w:t>
      </w:r>
      <w:r>
        <w:rPr>
          <w:rFonts w:hint="eastAsia" w:asciiTheme="minorEastAsia" w:hAnsiTheme="minorEastAsia" w:eastAsiaTheme="minorEastAsia"/>
          <w:sz w:val="32"/>
          <w:szCs w:val="32"/>
        </w:rPr>
        <w:t>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一般公务用车</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2"/>
        <w:rPr>
          <w:rFonts w:hint="eastAsia"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根据预算绩效管理要求，我</w:t>
      </w:r>
      <w:r>
        <w:rPr>
          <w:rFonts w:hint="eastAsia" w:asciiTheme="minorEastAsia" w:hAnsiTheme="minorEastAsia" w:eastAsiaTheme="minorEastAsia"/>
          <w:sz w:val="32"/>
          <w:szCs w:val="32"/>
          <w:lang w:val="en-US" w:eastAsia="zh-CN"/>
        </w:rPr>
        <w:t>单位</w:t>
      </w:r>
      <w:r>
        <w:rPr>
          <w:rFonts w:hint="eastAsia" w:asciiTheme="minorEastAsia" w:hAnsiTheme="minorEastAsia" w:eastAsiaTheme="minorEastAsia"/>
          <w:sz w:val="32"/>
          <w:szCs w:val="32"/>
        </w:rPr>
        <w:t>组织对2021年度项目支出全面开展绩效自评，其中，一级项目</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个，二级项目</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个，共涉及资金</w:t>
      </w:r>
      <w:r>
        <w:rPr>
          <w:rFonts w:hint="eastAsia" w:asciiTheme="minorEastAsia" w:hAnsiTheme="minorEastAsia" w:eastAsiaTheme="minorEastAsia"/>
          <w:sz w:val="32"/>
          <w:szCs w:val="32"/>
          <w:lang w:val="en-US" w:eastAsia="zh-CN"/>
        </w:rPr>
        <w:t>3377.27</w:t>
      </w:r>
      <w:r>
        <w:rPr>
          <w:rFonts w:hint="eastAsia" w:asciiTheme="minorEastAsia" w:hAnsiTheme="minorEastAsia" w:eastAsiaTheme="minorEastAsia"/>
          <w:sz w:val="32"/>
          <w:szCs w:val="32"/>
        </w:rPr>
        <w:t>万元，占项目支出总额的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住房公积金管理费用</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97</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3377.3</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3377.27</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99.99</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w:t>
      </w:r>
      <w:r>
        <w:rPr>
          <w:rFonts w:hint="eastAsia" w:cs="黑体" w:asciiTheme="minorEastAsia" w:hAnsiTheme="minorEastAsia"/>
          <w:color w:val="000000"/>
          <w:kern w:val="0"/>
          <w:sz w:val="32"/>
          <w:szCs w:val="32"/>
          <w:lang w:val="en-US" w:eastAsia="zh-CN"/>
        </w:rPr>
        <w:t>2021年度归集额及归集人数增长</w:t>
      </w:r>
      <w:r>
        <w:rPr>
          <w:rFonts w:hint="eastAsia" w:cs="黑体" w:asciiTheme="minorEastAsia" w:hAnsiTheme="minorEastAsia"/>
          <w:color w:val="000000"/>
          <w:kern w:val="0"/>
          <w:sz w:val="32"/>
          <w:szCs w:val="32"/>
        </w:rPr>
        <w:t>；二是</w:t>
      </w:r>
      <w:r>
        <w:rPr>
          <w:rFonts w:hint="eastAsia" w:cs="黑体" w:asciiTheme="minorEastAsia" w:hAnsiTheme="minorEastAsia"/>
          <w:color w:val="000000"/>
          <w:kern w:val="0"/>
          <w:sz w:val="32"/>
          <w:szCs w:val="32"/>
          <w:lang w:val="en-US" w:eastAsia="zh-CN"/>
        </w:rPr>
        <w:t>适时调整公积金贷款政策，积极开展个人住房公积金贷款</w:t>
      </w:r>
      <w:r>
        <w:rPr>
          <w:rFonts w:hint="eastAsia" w:cs="黑体" w:asciiTheme="minorEastAsia" w:hAnsiTheme="minorEastAsia"/>
          <w:color w:val="000000"/>
          <w:kern w:val="0"/>
          <w:sz w:val="32"/>
          <w:szCs w:val="32"/>
        </w:rPr>
        <w:t>。发现的主要问题及原因：</w:t>
      </w:r>
      <w:r>
        <w:rPr>
          <w:rFonts w:hint="eastAsia" w:cs="黑体" w:asciiTheme="minorEastAsia" w:hAnsiTheme="minorEastAsia"/>
          <w:color w:val="000000"/>
          <w:kern w:val="0"/>
          <w:sz w:val="32"/>
          <w:szCs w:val="32"/>
          <w:lang w:val="en-US" w:eastAsia="zh-CN"/>
        </w:rPr>
        <w:t>预算执行不够均衡，有些月份支出多，有些月份支出少</w:t>
      </w:r>
      <w:r>
        <w:rPr>
          <w:rFonts w:hint="eastAsia" w:cs="黑体" w:asciiTheme="minorEastAsia" w:hAnsiTheme="minorEastAsia"/>
          <w:color w:val="000000"/>
          <w:kern w:val="0"/>
          <w:sz w:val="32"/>
          <w:szCs w:val="32"/>
        </w:rPr>
        <w:t>。下一步改进措施：</w:t>
      </w:r>
      <w:r>
        <w:rPr>
          <w:rFonts w:hint="eastAsia" w:cs="黑体" w:asciiTheme="minorEastAsia" w:hAnsiTheme="minorEastAsia"/>
          <w:color w:val="000000"/>
          <w:kern w:val="0"/>
          <w:sz w:val="32"/>
          <w:szCs w:val="32"/>
          <w:lang w:val="en-US" w:eastAsia="zh-CN"/>
        </w:rPr>
        <w:t>按月下达资金使用计划，合理安排资金使用，充分体现资金投向的目标和效益</w:t>
      </w:r>
      <w:r>
        <w:rPr>
          <w:rFonts w:hint="eastAsia" w:cs="黑体" w:asciiTheme="minorEastAsia" w:hAnsiTheme="minorEastAsia"/>
          <w:color w:val="000000"/>
          <w:kern w:val="0"/>
          <w:sz w:val="32"/>
          <w:szCs w:val="32"/>
        </w:rPr>
        <w:t>。</w:t>
      </w:r>
    </w:p>
    <w:p>
      <w:pPr>
        <w:keepNext w:val="0"/>
        <w:keepLines w:val="0"/>
        <w:pageBreakBefore w:val="0"/>
        <w:kinsoku/>
        <w:wordWrap/>
        <w:overflowPunct/>
        <w:topLinePunct w:val="0"/>
        <w:autoSpaceDE/>
        <w:autoSpaceDN/>
        <w:bidi w:val="0"/>
        <w:adjustRightInd w:val="0"/>
        <w:snapToGrid w:val="0"/>
        <w:spacing w:line="570" w:lineRule="exact"/>
        <w:ind w:firstLine="1440" w:firstLineChars="200"/>
        <w:textAlignment w:val="auto"/>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一、收入科目</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事业单位收入是指事业单位为开展</w:t>
      </w:r>
      <w:r>
        <w:rPr>
          <w:rFonts w:hint="eastAsia" w:asciiTheme="minorEastAsia" w:hAnsiTheme="minorEastAsia" w:eastAsiaTheme="minorEastAsia"/>
          <w:sz w:val="32"/>
          <w:szCs w:val="32"/>
        </w:rPr>
        <w:fldChar w:fldCharType="begin"/>
      </w:r>
      <w:r>
        <w:rPr>
          <w:rFonts w:hint="eastAsia" w:asciiTheme="minorEastAsia" w:hAnsiTheme="minorEastAsia" w:eastAsiaTheme="minorEastAsia"/>
          <w:sz w:val="32"/>
          <w:szCs w:val="32"/>
        </w:rPr>
        <w:instrText xml:space="preserve"> HYPERLINK "https://baike.so.com/doc/5411680-5649795.html" </w:instrText>
      </w:r>
      <w:r>
        <w:rPr>
          <w:rFonts w:hint="eastAsia" w:asciiTheme="minorEastAsia" w:hAnsiTheme="minorEastAsia" w:eastAsiaTheme="minorEastAsia"/>
          <w:sz w:val="32"/>
          <w:szCs w:val="32"/>
        </w:rPr>
        <w:fldChar w:fldCharType="separate"/>
      </w:r>
      <w:r>
        <w:rPr>
          <w:rFonts w:hint="eastAsia" w:asciiTheme="minorEastAsia" w:hAnsiTheme="minorEastAsia" w:eastAsiaTheme="minorEastAsia"/>
          <w:sz w:val="32"/>
          <w:szCs w:val="32"/>
        </w:rPr>
        <w:t>业务</w:t>
      </w:r>
      <w:r>
        <w:rPr>
          <w:rFonts w:hint="eastAsia" w:asciiTheme="minorEastAsia" w:hAnsiTheme="minorEastAsia" w:eastAsiaTheme="minorEastAsia"/>
          <w:sz w:val="32"/>
          <w:szCs w:val="32"/>
        </w:rPr>
        <w:fldChar w:fldCharType="end"/>
      </w:r>
      <w:r>
        <w:rPr>
          <w:rFonts w:hint="eastAsia" w:asciiTheme="minorEastAsia" w:hAnsiTheme="minorEastAsia" w:eastAsiaTheme="minorEastAsia"/>
          <w:sz w:val="32"/>
          <w:szCs w:val="32"/>
        </w:rPr>
        <w:t>活动，依法取得的非偿还性资金。按来源分为</w:t>
      </w:r>
      <w:r>
        <w:rPr>
          <w:rFonts w:hint="eastAsia" w:asciiTheme="minorEastAsia" w:hAnsiTheme="minorEastAsia" w:eastAsiaTheme="minorEastAsia"/>
          <w:sz w:val="32"/>
          <w:szCs w:val="32"/>
        </w:rPr>
        <w:fldChar w:fldCharType="begin"/>
      </w:r>
      <w:r>
        <w:rPr>
          <w:rFonts w:hint="eastAsia" w:asciiTheme="minorEastAsia" w:hAnsiTheme="minorEastAsia" w:eastAsiaTheme="minorEastAsia"/>
          <w:sz w:val="32"/>
          <w:szCs w:val="32"/>
        </w:rPr>
        <w:instrText xml:space="preserve"> HYPERLINK "https://baike.so.com/doc/5717064-5929790.html" </w:instrText>
      </w:r>
      <w:r>
        <w:rPr>
          <w:rFonts w:hint="eastAsia" w:asciiTheme="minorEastAsia" w:hAnsiTheme="minorEastAsia" w:eastAsiaTheme="minorEastAsia"/>
          <w:sz w:val="32"/>
          <w:szCs w:val="32"/>
        </w:rPr>
        <w:fldChar w:fldCharType="separate"/>
      </w:r>
      <w:r>
        <w:rPr>
          <w:rFonts w:hint="eastAsia" w:asciiTheme="minorEastAsia" w:hAnsiTheme="minorEastAsia" w:eastAsiaTheme="minorEastAsia"/>
          <w:sz w:val="32"/>
          <w:szCs w:val="32"/>
        </w:rPr>
        <w:t>财政补助收入</w:t>
      </w:r>
      <w:r>
        <w:rPr>
          <w:rFonts w:hint="eastAsia" w:asciiTheme="minorEastAsia" w:hAnsiTheme="minorEastAsia" w:eastAsiaTheme="minorEastAsia"/>
          <w:sz w:val="32"/>
          <w:szCs w:val="32"/>
        </w:rPr>
        <w:fldChar w:fldCharType="end"/>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rPr>
        <w:fldChar w:fldCharType="begin"/>
      </w:r>
      <w:r>
        <w:rPr>
          <w:rFonts w:hint="eastAsia" w:asciiTheme="minorEastAsia" w:hAnsiTheme="minorEastAsia" w:eastAsiaTheme="minorEastAsia"/>
          <w:sz w:val="32"/>
          <w:szCs w:val="32"/>
        </w:rPr>
        <w:instrText xml:space="preserve"> HYPERLINK "https://baike.so.com/doc/684288-724268.html" </w:instrText>
      </w:r>
      <w:r>
        <w:rPr>
          <w:rFonts w:hint="eastAsia" w:asciiTheme="minorEastAsia" w:hAnsiTheme="minorEastAsia" w:eastAsiaTheme="minorEastAsia"/>
          <w:sz w:val="32"/>
          <w:szCs w:val="32"/>
        </w:rPr>
        <w:fldChar w:fldCharType="separate"/>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rPr>
        <w:fldChar w:fldCharType="end"/>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rPr>
        <w:fldChar w:fldCharType="begin"/>
      </w:r>
      <w:r>
        <w:rPr>
          <w:rFonts w:hint="eastAsia" w:asciiTheme="minorEastAsia" w:hAnsiTheme="minorEastAsia" w:eastAsiaTheme="minorEastAsia"/>
          <w:sz w:val="32"/>
          <w:szCs w:val="32"/>
        </w:rPr>
        <w:instrText xml:space="preserve"> HYPERLINK "https://baike.so.com/doc/6721940-6936003.html" </w:instrText>
      </w:r>
      <w:r>
        <w:rPr>
          <w:rFonts w:hint="eastAsia" w:asciiTheme="minorEastAsia" w:hAnsiTheme="minorEastAsia" w:eastAsiaTheme="minorEastAsia"/>
          <w:sz w:val="32"/>
          <w:szCs w:val="32"/>
        </w:rPr>
        <w:fldChar w:fldCharType="separate"/>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rPr>
        <w:fldChar w:fldCharType="end"/>
      </w:r>
      <w:r>
        <w:rPr>
          <w:rFonts w:hint="eastAsia" w:asciiTheme="minorEastAsia" w:hAnsiTheme="minorEastAsia" w:eastAsiaTheme="minorEastAsia"/>
          <w:sz w:val="32"/>
          <w:szCs w:val="32"/>
        </w:rPr>
        <w:t>、经营收入、附属单位缴款、其他收入和基本建设拨款收入等。</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二、支出科目</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事业单位支出是指事业单位开展专业业务活动及其辅助活动发生的支出。事业单位支出包括事业支出、对附属单位补助支出、上缴上级支出、经营支出和其他支出等。</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三、“三公”经费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三公”经费是指单位预算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四、机关运行经费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机关运行经费指的是为保障机关运行用于购买货物、工程和服务的各项资金，包括办公及印刷费、邮电费、差旅费、会议费、福利费、日常维修费、办公用房水电费、办公用房取暖费、办公用房物业管理费、公务用车运行维护费以及其他费用。</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五、</w:t>
      </w:r>
      <w:r>
        <w:rPr>
          <w:rFonts w:hint="eastAsia" w:asciiTheme="minorEastAsia" w:hAnsiTheme="minorEastAsia" w:eastAsiaTheme="minorEastAsia"/>
          <w:sz w:val="32"/>
          <w:szCs w:val="32"/>
          <w:lang w:eastAsia="zh-CN"/>
        </w:rPr>
        <w:t>个贷率</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个贷率是指</w:t>
      </w:r>
      <w:r>
        <w:rPr>
          <w:rFonts w:hint="eastAsia" w:asciiTheme="minorEastAsia" w:hAnsiTheme="minorEastAsia" w:eastAsiaTheme="minorEastAsia"/>
          <w:sz w:val="32"/>
          <w:szCs w:val="32"/>
        </w:rPr>
        <w:t>住房公积金个人住房贷款余额与缴存余额之比</w:t>
      </w:r>
      <w:r>
        <w:rPr>
          <w:rFonts w:hint="eastAsia" w:asciiTheme="minorEastAsia" w:hAnsiTheme="minorEastAsia" w:eastAsiaTheme="minorEastAsia"/>
          <w:sz w:val="32"/>
          <w:szCs w:val="32"/>
          <w:lang w:eastAsia="zh-CN"/>
        </w:rPr>
        <w:t>。</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六、住房公积金归集业务</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sz w:val="72"/>
          <w:szCs w:val="72"/>
        </w:rPr>
      </w:pPr>
      <w:r>
        <w:rPr>
          <w:rFonts w:hint="eastAsia" w:asciiTheme="minorEastAsia" w:hAnsiTheme="minorEastAsia" w:eastAsiaTheme="minorEastAsia"/>
          <w:sz w:val="32"/>
          <w:szCs w:val="32"/>
          <w:lang w:eastAsia="zh-CN"/>
        </w:rPr>
        <w:t>住房公积金归集业务是指住房公积金管理中心作为住房公积金管理的法定机构，依据《公积金条例》，将职工个人按照规定比例缴存的及其所在单位按照规定比例为职工缴存的住房公积金，全部归集于管理中心在受委托银行开立的住房公积金专户内，存入职工个人账户，并集中管理运作的行为。</w:t>
      </w: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r>
        <w:rPr>
          <w:rFonts w:hint="eastAsia"/>
          <w:sz w:val="72"/>
          <w:szCs w:val="72"/>
        </w:rPr>
        <w:t>第五部分</w:t>
      </w:r>
    </w:p>
    <w:p>
      <w:pPr>
        <w:pStyle w:val="12"/>
        <w:jc w:val="center"/>
        <w:rPr>
          <w:rFonts w:hint="eastAsia"/>
          <w:sz w:val="72"/>
          <w:szCs w:val="72"/>
        </w:rPr>
      </w:pPr>
    </w:p>
    <w:p>
      <w:pPr>
        <w:pStyle w:val="12"/>
        <w:jc w:val="center"/>
        <w:rPr>
          <w:rFonts w:hint="eastAsia"/>
          <w:sz w:val="72"/>
          <w:szCs w:val="72"/>
        </w:rPr>
      </w:pPr>
      <w:r>
        <w:rPr>
          <w:rFonts w:hint="eastAsia"/>
          <w:sz w:val="72"/>
          <w:szCs w:val="72"/>
        </w:rPr>
        <w:t>附件</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br w:type="page"/>
      </w:r>
    </w:p>
    <w:p>
      <w:pPr>
        <w:pStyle w:val="12"/>
        <w:jc w:val="center"/>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永州市住房公积金管理中心2021年度项目支出绩效自评报告</w:t>
      </w: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7"/>
        <w:gridCol w:w="1333"/>
        <w:gridCol w:w="7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restart"/>
            <w:tcBorders>
              <w:top w:val="single" w:color="000000" w:sz="12"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部门概况</w:t>
            </w:r>
          </w:p>
        </w:tc>
        <w:tc>
          <w:tcPr>
            <w:tcW w:w="0" w:type="auto"/>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专项名称</w:t>
            </w:r>
          </w:p>
        </w:tc>
        <w:tc>
          <w:tcPr>
            <w:tcW w:w="0" w:type="auto"/>
            <w:tcBorders>
              <w:top w:val="single" w:color="000000" w:sz="12"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住房公积金管理费用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年度预算金额</w:t>
            </w:r>
          </w:p>
        </w:tc>
        <w:tc>
          <w:tcPr>
            <w:tcW w:w="0" w:type="auto"/>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3377.3</w:t>
            </w:r>
            <w:r>
              <w:rPr>
                <w:rFonts w:hint="eastAsia" w:ascii="宋体" w:hAnsi="宋体" w:eastAsia="宋体" w:cs="宋体"/>
                <w:i w:val="0"/>
                <w:iCs w:val="0"/>
                <w:color w:val="000000"/>
                <w:kern w:val="0"/>
                <w:sz w:val="22"/>
                <w:szCs w:val="22"/>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项目主管部门</w:t>
            </w:r>
          </w:p>
        </w:tc>
        <w:tc>
          <w:tcPr>
            <w:tcW w:w="0" w:type="auto"/>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项目立项目的</w:t>
            </w:r>
          </w:p>
        </w:tc>
        <w:tc>
          <w:tcPr>
            <w:tcW w:w="0" w:type="auto"/>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保障公积金业务的日常开展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绩效情况</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项目支出管理和使用基本情况</w:t>
            </w:r>
          </w:p>
        </w:tc>
        <w:tc>
          <w:tcPr>
            <w:tcW w:w="0" w:type="auto"/>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2021</w:t>
            </w:r>
            <w:r>
              <w:rPr>
                <w:rFonts w:hint="eastAsia" w:ascii="宋体" w:hAnsi="宋体" w:eastAsia="宋体" w:cs="宋体"/>
                <w:i w:val="0"/>
                <w:iCs w:val="0"/>
                <w:color w:val="000000"/>
                <w:kern w:val="0"/>
                <w:sz w:val="22"/>
                <w:szCs w:val="22"/>
                <w:u w:val="none"/>
                <w:lang w:val="en-US" w:eastAsia="zh-CN" w:bidi="ar"/>
              </w:rPr>
              <w:t>年住房公积金管理费用预算金额</w:t>
            </w:r>
            <w:r>
              <w:rPr>
                <w:rStyle w:val="18"/>
                <w:rFonts w:eastAsia="宋体"/>
                <w:lang w:val="en-US" w:eastAsia="zh-CN" w:bidi="ar"/>
              </w:rPr>
              <w:t>3377.3</w:t>
            </w:r>
            <w:r>
              <w:rPr>
                <w:rFonts w:hint="eastAsia" w:ascii="宋体" w:hAnsi="宋体" w:eastAsia="宋体" w:cs="宋体"/>
                <w:i w:val="0"/>
                <w:iCs w:val="0"/>
                <w:color w:val="000000"/>
                <w:kern w:val="0"/>
                <w:sz w:val="22"/>
                <w:szCs w:val="22"/>
                <w:u w:val="none"/>
                <w:lang w:val="en-US" w:eastAsia="zh-CN" w:bidi="ar"/>
              </w:rPr>
              <w:t>万元，实际支出</w:t>
            </w:r>
            <w:r>
              <w:rPr>
                <w:rStyle w:val="18"/>
                <w:rFonts w:eastAsia="宋体"/>
                <w:lang w:val="en-US" w:eastAsia="zh-CN" w:bidi="ar"/>
              </w:rPr>
              <w:t>3377.27</w:t>
            </w:r>
            <w:r>
              <w:rPr>
                <w:rFonts w:hint="eastAsia" w:ascii="宋体" w:hAnsi="宋体" w:eastAsia="宋体" w:cs="宋体"/>
                <w:i w:val="0"/>
                <w:iCs w:val="0"/>
                <w:color w:val="000000"/>
                <w:kern w:val="0"/>
                <w:sz w:val="22"/>
                <w:szCs w:val="22"/>
                <w:u w:val="none"/>
                <w:lang w:val="en-US" w:eastAsia="zh-CN" w:bidi="ar"/>
              </w:rPr>
              <w:t>万元，其中：工资福利支出</w:t>
            </w:r>
            <w:r>
              <w:rPr>
                <w:rStyle w:val="18"/>
                <w:rFonts w:eastAsia="宋体"/>
                <w:lang w:val="en-US" w:eastAsia="zh-CN" w:bidi="ar"/>
              </w:rPr>
              <w:t>2371.81</w:t>
            </w:r>
            <w:r>
              <w:rPr>
                <w:rFonts w:hint="eastAsia" w:ascii="宋体" w:hAnsi="宋体" w:eastAsia="宋体" w:cs="宋体"/>
                <w:i w:val="0"/>
                <w:iCs w:val="0"/>
                <w:color w:val="000000"/>
                <w:kern w:val="0"/>
                <w:sz w:val="22"/>
                <w:szCs w:val="22"/>
                <w:u w:val="none"/>
                <w:lang w:val="en-US" w:eastAsia="zh-CN" w:bidi="ar"/>
              </w:rPr>
              <w:t>万元，商品和服务支出</w:t>
            </w:r>
            <w:r>
              <w:rPr>
                <w:rStyle w:val="18"/>
                <w:rFonts w:eastAsia="宋体"/>
                <w:lang w:val="en-US" w:eastAsia="zh-CN" w:bidi="ar"/>
              </w:rPr>
              <w:t>998.17</w:t>
            </w:r>
            <w:r>
              <w:rPr>
                <w:rFonts w:hint="eastAsia" w:ascii="宋体" w:hAnsi="宋体" w:eastAsia="宋体" w:cs="宋体"/>
                <w:i w:val="0"/>
                <w:iCs w:val="0"/>
                <w:color w:val="000000"/>
                <w:kern w:val="0"/>
                <w:sz w:val="22"/>
                <w:szCs w:val="22"/>
                <w:u w:val="none"/>
                <w:lang w:val="en-US" w:eastAsia="zh-CN" w:bidi="ar"/>
              </w:rPr>
              <w:t>万元，对个人和家庭的补助</w:t>
            </w:r>
            <w:r>
              <w:rPr>
                <w:rStyle w:val="18"/>
                <w:rFonts w:eastAsia="宋体"/>
                <w:lang w:val="en-US" w:eastAsia="zh-CN" w:bidi="ar"/>
              </w:rPr>
              <w:t>0.96</w:t>
            </w:r>
            <w:r>
              <w:rPr>
                <w:rFonts w:hint="eastAsia" w:ascii="宋体" w:hAnsi="宋体" w:eastAsia="宋体" w:cs="宋体"/>
                <w:i w:val="0"/>
                <w:iCs w:val="0"/>
                <w:color w:val="000000"/>
                <w:kern w:val="0"/>
                <w:sz w:val="22"/>
                <w:szCs w:val="22"/>
                <w:u w:val="none"/>
                <w:lang w:val="en-US" w:eastAsia="zh-CN" w:bidi="ar"/>
              </w:rPr>
              <w:t>万元，资本性支出</w:t>
            </w:r>
            <w:r>
              <w:rPr>
                <w:rStyle w:val="18"/>
                <w:rFonts w:eastAsia="宋体"/>
                <w:lang w:val="en-US" w:eastAsia="zh-CN" w:bidi="ar"/>
              </w:rPr>
              <w:t>6.33</w:t>
            </w:r>
            <w:r>
              <w:rPr>
                <w:rFonts w:hint="eastAsia" w:ascii="宋体" w:hAnsi="宋体" w:eastAsia="宋体" w:cs="宋体"/>
                <w:i w:val="0"/>
                <w:iCs w:val="0"/>
                <w:color w:val="000000"/>
                <w:kern w:val="0"/>
                <w:sz w:val="22"/>
                <w:szCs w:val="22"/>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项目绩效目标完成情况</w:t>
            </w:r>
          </w:p>
        </w:tc>
        <w:tc>
          <w:tcPr>
            <w:tcW w:w="0" w:type="auto"/>
            <w:vMerge w:val="restart"/>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2021</w:t>
            </w:r>
            <w:r>
              <w:rPr>
                <w:rFonts w:hint="eastAsia" w:ascii="宋体" w:hAnsi="宋体" w:eastAsia="宋体" w:cs="宋体"/>
                <w:i w:val="0"/>
                <w:iCs w:val="0"/>
                <w:color w:val="000000"/>
                <w:kern w:val="0"/>
                <w:sz w:val="22"/>
                <w:szCs w:val="22"/>
                <w:u w:val="none"/>
                <w:lang w:val="en-US" w:eastAsia="zh-CN" w:bidi="ar"/>
              </w:rPr>
              <w:t>年度实现增值收益</w:t>
            </w:r>
            <w:r>
              <w:rPr>
                <w:rStyle w:val="18"/>
                <w:rFonts w:eastAsia="宋体"/>
                <w:lang w:val="en-US" w:eastAsia="zh-CN" w:bidi="ar"/>
              </w:rPr>
              <w:t>2.2</w:t>
            </w:r>
            <w:r>
              <w:rPr>
                <w:rFonts w:hint="eastAsia" w:ascii="宋体" w:hAnsi="宋体" w:eastAsia="宋体" w:cs="宋体"/>
                <w:i w:val="0"/>
                <w:iCs w:val="0"/>
                <w:color w:val="000000"/>
                <w:kern w:val="0"/>
                <w:sz w:val="22"/>
                <w:szCs w:val="22"/>
                <w:u w:val="none"/>
                <w:lang w:val="en-US" w:eastAsia="zh-CN" w:bidi="ar"/>
              </w:rPr>
              <w:t>亿元；计提廉租住房建设补充资金</w:t>
            </w:r>
            <w:r>
              <w:rPr>
                <w:rStyle w:val="18"/>
                <w:rFonts w:eastAsia="宋体"/>
                <w:lang w:val="en-US" w:eastAsia="zh-CN" w:bidi="ar"/>
              </w:rPr>
              <w:t>1.71</w:t>
            </w:r>
            <w:r>
              <w:rPr>
                <w:rFonts w:hint="eastAsia" w:ascii="宋体" w:hAnsi="宋体" w:eastAsia="宋体" w:cs="宋体"/>
                <w:i w:val="0"/>
                <w:iCs w:val="0"/>
                <w:color w:val="000000"/>
                <w:kern w:val="0"/>
                <w:sz w:val="22"/>
                <w:szCs w:val="22"/>
                <w:u w:val="none"/>
                <w:lang w:val="en-US" w:eastAsia="zh-CN" w:bidi="ar"/>
              </w:rPr>
              <w:t>亿元；缴存额</w:t>
            </w:r>
            <w:r>
              <w:rPr>
                <w:rStyle w:val="18"/>
                <w:rFonts w:eastAsia="宋体"/>
                <w:lang w:val="en-US" w:eastAsia="zh-CN" w:bidi="ar"/>
              </w:rPr>
              <w:t>33.62</w:t>
            </w:r>
            <w:r>
              <w:rPr>
                <w:rFonts w:hint="eastAsia" w:ascii="宋体" w:hAnsi="宋体" w:eastAsia="宋体" w:cs="宋体"/>
                <w:i w:val="0"/>
                <w:iCs w:val="0"/>
                <w:color w:val="000000"/>
                <w:kern w:val="0"/>
                <w:sz w:val="22"/>
                <w:szCs w:val="22"/>
                <w:u w:val="none"/>
                <w:lang w:val="en-US" w:eastAsia="zh-CN" w:bidi="ar"/>
              </w:rPr>
              <w:t>亿元；发放贷款额</w:t>
            </w:r>
            <w:r>
              <w:rPr>
                <w:rStyle w:val="18"/>
                <w:rFonts w:eastAsia="宋体"/>
                <w:lang w:val="en-US" w:eastAsia="zh-CN" w:bidi="ar"/>
              </w:rPr>
              <w:t>20.6</w:t>
            </w:r>
            <w:r>
              <w:rPr>
                <w:rFonts w:hint="eastAsia" w:ascii="宋体" w:hAnsi="宋体" w:eastAsia="宋体" w:cs="宋体"/>
                <w:i w:val="0"/>
                <w:iCs w:val="0"/>
                <w:color w:val="000000"/>
                <w:kern w:val="0"/>
                <w:sz w:val="22"/>
                <w:szCs w:val="22"/>
                <w:u w:val="none"/>
                <w:lang w:val="en-US" w:eastAsia="zh-CN" w:bidi="ar"/>
              </w:rPr>
              <w:t>亿元；贷款逾期率</w:t>
            </w:r>
            <w:r>
              <w:rPr>
                <w:rStyle w:val="18"/>
                <w:rFonts w:eastAsia="宋体"/>
                <w:lang w:val="en-US" w:eastAsia="zh-CN" w:bidi="ar"/>
              </w:rPr>
              <w:t>0.02%</w:t>
            </w: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存在的问题分析及改进措施</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存在的问题</w:t>
            </w:r>
          </w:p>
        </w:tc>
        <w:tc>
          <w:tcPr>
            <w:tcW w:w="0" w:type="auto"/>
            <w:vMerge w:val="restart"/>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预算执行不够均衡，有些月份支出多，有些月份支出少。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0" w:type="auto"/>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改进措施</w:t>
            </w:r>
          </w:p>
        </w:tc>
        <w:tc>
          <w:tcPr>
            <w:tcW w:w="0" w:type="auto"/>
            <w:tcBorders>
              <w:top w:val="single" w:color="000000" w:sz="8" w:space="0"/>
              <w:left w:val="single" w:color="000000" w:sz="8" w:space="0"/>
              <w:bottom w:val="nil"/>
              <w:right w:val="single" w:color="000000" w:sz="12"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按月下达资金使用计划。事前做计划，事中进行控制，事后总结提高，合理安排资金使用，充分体现资金投向的目标和效益。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其他需要说明问题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bl>
    <w:p>
      <w:pPr>
        <w:pStyle w:val="12"/>
        <w:jc w:val="both"/>
        <w:rPr>
          <w:rFonts w:hint="eastAsia" w:asciiTheme="minorEastAsia" w:hAnsiTheme="minorEastAsia" w:eastAsiaTheme="minorEastAsia"/>
          <w:sz w:val="32"/>
          <w:szCs w:val="32"/>
          <w:lang w:eastAsia="zh-CN"/>
        </w:rPr>
      </w:pPr>
    </w:p>
    <w:p>
      <w:pPr>
        <w:pStyle w:val="12"/>
        <w:jc w:val="both"/>
        <w:rPr>
          <w:rFonts w:hint="eastAsia" w:asciiTheme="minorEastAsia" w:hAnsiTheme="minorEastAsia" w:eastAsiaTheme="minorEastAsia"/>
          <w:sz w:val="32"/>
          <w:szCs w:val="32"/>
          <w:lang w:eastAsia="zh-CN"/>
        </w:rPr>
      </w:pPr>
    </w:p>
    <w:p>
      <w:pPr>
        <w:pStyle w:val="12"/>
        <w:jc w:val="both"/>
        <w:rPr>
          <w:rFonts w:hint="eastAsia" w:asciiTheme="minorEastAsia" w:hAnsiTheme="minorEastAsia" w:eastAsiaTheme="minorEastAsia"/>
          <w:sz w:val="32"/>
          <w:szCs w:val="32"/>
          <w:lang w:eastAsia="zh-CN"/>
        </w:rPr>
      </w:pPr>
    </w:p>
    <w:p>
      <w:pPr>
        <w:pStyle w:val="12"/>
        <w:jc w:val="both"/>
        <w:rPr>
          <w:rFonts w:hint="eastAsia" w:asciiTheme="minorEastAsia" w:hAnsiTheme="minorEastAsia" w:eastAsiaTheme="minorEastAsia"/>
          <w:sz w:val="32"/>
          <w:szCs w:val="32"/>
          <w:lang w:eastAsia="zh-CN"/>
        </w:rPr>
      </w:pPr>
    </w:p>
    <w:p>
      <w:pPr>
        <w:pStyle w:val="12"/>
        <w:jc w:val="both"/>
        <w:rPr>
          <w:rFonts w:hint="eastAsia" w:asciiTheme="minorEastAsia" w:hAnsiTheme="minorEastAsia" w:eastAsiaTheme="minorEastAsia"/>
          <w:sz w:val="32"/>
          <w:szCs w:val="32"/>
          <w:lang w:eastAsia="zh-CN"/>
        </w:rPr>
      </w:pPr>
    </w:p>
    <w:p>
      <w:pPr>
        <w:pStyle w:val="12"/>
        <w:jc w:val="center"/>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永州市住房公积金管理中心2021年度项目支出绩效自评表</w:t>
      </w: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3"/>
        <w:gridCol w:w="791"/>
        <w:gridCol w:w="975"/>
        <w:gridCol w:w="1450"/>
        <w:gridCol w:w="1179"/>
        <w:gridCol w:w="2086"/>
        <w:gridCol w:w="869"/>
        <w:gridCol w:w="1243"/>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restart"/>
            <w:tcBorders>
              <w:top w:val="single" w:color="000000" w:sz="12"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出名称</w:t>
            </w:r>
          </w:p>
        </w:tc>
        <w:tc>
          <w:tcPr>
            <w:tcW w:w="0" w:type="auto"/>
            <w:gridSpan w:val="8"/>
            <w:vMerge w:val="restart"/>
            <w:tcBorders>
              <w:top w:val="single" w:color="000000" w:sz="12"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住房公积金管理费用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8"/>
            <w:vMerge w:val="continue"/>
            <w:tcBorders>
              <w:top w:val="single" w:color="000000" w:sz="12"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永州市财政局</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永州市住房公积金管理中心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0" w:type="auto"/>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w:t>
            </w: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w:t>
            </w: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0" w:type="auto"/>
            <w:vMerge w:val="restart"/>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执行数</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3212.7</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3377.3</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3377.27</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99.99%</w:t>
            </w:r>
          </w:p>
        </w:tc>
        <w:tc>
          <w:tcPr>
            <w:tcW w:w="0" w:type="auto"/>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3377.3</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上年结转资金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进一步扩大公积金覆盖面、稳步提高各项指标、确保业务合法合规、严格控制个贷逾期率。</w:t>
            </w:r>
          </w:p>
        </w:tc>
        <w:tc>
          <w:tcPr>
            <w:tcW w:w="0" w:type="auto"/>
            <w:gridSpan w:val="4"/>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2021年度归集额及归集人数不断增长、适时调整公积金贷款政策，积极开展个人住房公积金贷款，全面完成了年度目标任务。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restart"/>
            <w:tcBorders>
              <w:top w:val="single" w:color="000000" w:sz="8" w:space="0"/>
              <w:left w:val="single" w:color="000000" w:sz="12"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0" w:type="auto"/>
            <w:tcBorders>
              <w:top w:val="single" w:color="000000" w:sz="8" w:space="0"/>
              <w:left w:val="single" w:color="000000" w:sz="8" w:space="0"/>
              <w:bottom w:val="nil"/>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0" w:type="auto"/>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完成值</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(50分)</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缴存额</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33亿元</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33.62亿元</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发放贷款额</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20亿元</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20.6亿元</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贷款逾期率</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低于0.03%</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管理费用完成时间</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2021年12月31日</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3377.3万元</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3377.27万元</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（30分）</w:t>
            </w: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增值收益</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2亿元</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2.2亿元</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计提廉租住房建设补充资金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1.5亿元</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1.71亿元</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（10分）</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效果满意度</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95%以上</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8" w:space="0"/>
              <w:left w:val="single" w:color="000000" w:sz="8" w:space="0"/>
              <w:bottom w:val="single" w:color="000000" w:sz="8" w:space="0"/>
              <w:right w:val="single" w:color="000000" w:sz="12"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6"/>
            <w:tcBorders>
              <w:top w:val="single" w:color="000000" w:sz="8" w:space="0"/>
              <w:left w:val="single" w:color="000000" w:sz="12" w:space="0"/>
              <w:bottom w:val="single" w:color="000000" w:sz="12"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0" w:type="auto"/>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0" w:type="auto"/>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0" w:type="auto"/>
            <w:tcBorders>
              <w:top w:val="single" w:color="000000" w:sz="8" w:space="0"/>
              <w:left w:val="single" w:color="000000" w:sz="8"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iCs w:val="0"/>
                <w:color w:val="000000"/>
                <w:sz w:val="20"/>
                <w:szCs w:val="20"/>
                <w:u w:val="none"/>
              </w:rPr>
            </w:pPr>
          </w:p>
        </w:tc>
      </w:tr>
    </w:tbl>
    <w:p>
      <w:pPr>
        <w:pStyle w:val="12"/>
        <w:jc w:val="both"/>
        <w:rPr>
          <w:rFonts w:hint="eastAsia" w:asciiTheme="minorEastAsia" w:hAnsiTheme="minorEastAsia" w:eastAsiaTheme="minorEastAsia"/>
          <w:sz w:val="32"/>
          <w:szCs w:val="32"/>
          <w:lang w:eastAsia="zh-CN"/>
        </w:rPr>
      </w:pPr>
    </w:p>
    <w:p>
      <w:pPr>
        <w:pStyle w:val="12"/>
        <w:jc w:val="both"/>
        <w:rPr>
          <w:rFonts w:hint="eastAsia" w:asciiTheme="minorEastAsia" w:hAnsiTheme="minorEastAsia" w:eastAsiaTheme="minorEastAsia"/>
          <w:sz w:val="32"/>
          <w:szCs w:val="32"/>
          <w:lang w:eastAsia="zh-CN"/>
        </w:rPr>
      </w:pPr>
    </w:p>
    <w:p>
      <w:pPr>
        <w:pStyle w:val="12"/>
        <w:jc w:val="both"/>
        <w:rPr>
          <w:rFonts w:hint="eastAsia" w:asciiTheme="minorEastAsia" w:hAnsiTheme="minorEastAsia" w:eastAsiaTheme="minorEastAsia"/>
          <w:sz w:val="32"/>
          <w:szCs w:val="32"/>
          <w:lang w:eastAsia="zh-CN"/>
        </w:rPr>
      </w:pPr>
    </w:p>
    <w:p>
      <w:pPr>
        <w:pStyle w:val="12"/>
        <w:jc w:val="both"/>
        <w:rPr>
          <w:rFonts w:hint="eastAsia" w:asciiTheme="minorEastAsia" w:hAnsiTheme="minorEastAsia" w:eastAsiaTheme="minorEastAsia"/>
          <w:sz w:val="32"/>
          <w:szCs w:val="32"/>
          <w:lang w:eastAsia="zh-CN"/>
        </w:rPr>
      </w:pPr>
    </w:p>
    <w:p>
      <w:pPr>
        <w:pStyle w:val="12"/>
        <w:jc w:val="both"/>
        <w:rPr>
          <w:rFonts w:hint="eastAsia" w:asciiTheme="minorEastAsia" w:hAnsiTheme="minorEastAsia" w:eastAsiaTheme="minorEastAsia"/>
          <w:sz w:val="32"/>
          <w:szCs w:val="32"/>
          <w:lang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Zjk4ZWI2YjVjY2EwNWQ2ZTllNjAwMjE2YjQ1OT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62D91"/>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3B94816"/>
    <w:rsid w:val="0EE719DB"/>
    <w:rsid w:val="174D6297"/>
    <w:rsid w:val="17E93466"/>
    <w:rsid w:val="1910201A"/>
    <w:rsid w:val="1D6F2C4F"/>
    <w:rsid w:val="1E2848D3"/>
    <w:rsid w:val="20F01570"/>
    <w:rsid w:val="27F7596F"/>
    <w:rsid w:val="2F1F43F0"/>
    <w:rsid w:val="31023E57"/>
    <w:rsid w:val="363F4A21"/>
    <w:rsid w:val="375DC44C"/>
    <w:rsid w:val="37BF64B8"/>
    <w:rsid w:val="3DCC0F10"/>
    <w:rsid w:val="418F6733"/>
    <w:rsid w:val="48386BBB"/>
    <w:rsid w:val="4D207C52"/>
    <w:rsid w:val="4F223562"/>
    <w:rsid w:val="52FD35CF"/>
    <w:rsid w:val="582C2D61"/>
    <w:rsid w:val="5B3A006A"/>
    <w:rsid w:val="601E7CDD"/>
    <w:rsid w:val="63F701E5"/>
    <w:rsid w:val="6B037B58"/>
    <w:rsid w:val="6CEC5CE6"/>
    <w:rsid w:val="6DB1085A"/>
    <w:rsid w:val="6F2059D8"/>
    <w:rsid w:val="70A42C7A"/>
    <w:rsid w:val="71BC0495"/>
    <w:rsid w:val="72A21144"/>
    <w:rsid w:val="77BA06F6"/>
    <w:rsid w:val="7EEE118D"/>
    <w:rsid w:val="7F5B5408"/>
    <w:rsid w:val="9BBE8295"/>
    <w:rsid w:val="9BFF07D3"/>
    <w:rsid w:val="A3654524"/>
    <w:rsid w:val="C33C6C77"/>
    <w:rsid w:val="EBFB72E3"/>
    <w:rsid w:val="FBBFF8B4"/>
    <w:rsid w:val="FD31E968"/>
    <w:rsid w:val="FDEE4C50"/>
    <w:rsid w:val="FEF2B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3">
    <w:name w:val="Body Text"/>
    <w:basedOn w:val="1"/>
    <w:qFormat/>
    <w:uiPriority w:val="0"/>
    <w:pPr>
      <w:spacing w:after="12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31"/>
    <w:basedOn w:val="9"/>
    <w:qFormat/>
    <w:uiPriority w:val="0"/>
    <w:rPr>
      <w:rFonts w:hint="default" w:ascii="Times New Roman" w:hAnsi="Times New Roman" w:cs="Times New Roman"/>
      <w:color w:val="000000"/>
      <w:sz w:val="22"/>
      <w:szCs w:val="22"/>
      <w:u w:val="none"/>
    </w:rPr>
  </w:style>
  <w:style w:type="character" w:customStyle="1" w:styleId="16">
    <w:name w:val="font01"/>
    <w:basedOn w:val="9"/>
    <w:qFormat/>
    <w:uiPriority w:val="0"/>
    <w:rPr>
      <w:rFonts w:hint="eastAsia" w:ascii="宋体" w:hAnsi="宋体" w:eastAsia="宋体" w:cs="宋体"/>
      <w:color w:val="000000"/>
      <w:sz w:val="22"/>
      <w:szCs w:val="22"/>
      <w:u w:val="none"/>
    </w:rPr>
  </w:style>
  <w:style w:type="character" w:customStyle="1" w:styleId="17">
    <w:name w:val="NormalCharacter"/>
    <w:semiHidden/>
    <w:qFormat/>
    <w:uiPriority w:val="0"/>
  </w:style>
  <w:style w:type="character" w:customStyle="1" w:styleId="18">
    <w:name w:val="font11"/>
    <w:basedOn w:val="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6366</Words>
  <Characters>7308</Characters>
  <Lines>69</Lines>
  <Paragraphs>19</Paragraphs>
  <TotalTime>10</TotalTime>
  <ScaleCrop>false</ScaleCrop>
  <LinksUpToDate>false</LinksUpToDate>
  <CharactersWithSpaces>8906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2020-07-04T02:32:00Z</dcterms:created>
  <dc:creator>李航 null</dc:creator>
  <cp:lastModifiedBy>我</cp:lastModifiedBy>
  <cp:lastPrinted>2022-07-29T12:55:00Z</cp:lastPrinted>
  <dcterms:modified xsi:type="dcterms:W3CDTF">2022-10-12T01:50:36Z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7730C2D95B7348C19A09687E173DB05D</vt:lpwstr>
  </property>
</Properties>
</file>