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s="方正小标宋简体"/>
          <w:b w:val="0"/>
          <w:bCs w:val="0"/>
          <w:sz w:val="44"/>
          <w:szCs w:val="44"/>
        </w:rPr>
      </w:pPr>
    </w:p>
    <w:p>
      <w:pPr>
        <w:spacing w:line="560" w:lineRule="exact"/>
        <w:jc w:val="center"/>
        <w:rPr>
          <w:rFonts w:ascii="方正小标宋简体" w:eastAsia="方正小标宋简体" w:cs="方正小标宋简体"/>
          <w:b w:val="0"/>
          <w:bCs w:val="0"/>
          <w:sz w:val="44"/>
          <w:szCs w:val="44"/>
        </w:rPr>
      </w:pPr>
      <w:r>
        <w:rPr>
          <w:rFonts w:hint="eastAsia" w:ascii="方正小标宋简体" w:eastAsia="方正小标宋简体" w:cs="方正小标宋简体"/>
          <w:b w:val="0"/>
          <w:bCs w:val="0"/>
          <w:sz w:val="44"/>
          <w:szCs w:val="44"/>
        </w:rPr>
        <w:t>永州市中心城区国有土地上房屋征收</w:t>
      </w:r>
    </w:p>
    <w:p>
      <w:pPr>
        <w:spacing w:line="560" w:lineRule="exact"/>
        <w:jc w:val="center"/>
        <w:rPr>
          <w:rFonts w:ascii="方正小标宋简体" w:eastAsia="方正小标宋简体" w:cs="方正小标宋简体"/>
          <w:b w:val="0"/>
          <w:bCs w:val="0"/>
          <w:sz w:val="44"/>
          <w:szCs w:val="44"/>
        </w:rPr>
      </w:pPr>
      <w:r>
        <w:rPr>
          <w:rFonts w:hint="eastAsia" w:ascii="方正小标宋简体" w:eastAsia="方正小标宋简体" w:cs="方正小标宋简体"/>
          <w:b w:val="0"/>
          <w:bCs w:val="0"/>
          <w:sz w:val="44"/>
          <w:szCs w:val="44"/>
        </w:rPr>
        <w:t>补助奖励项目及标准</w:t>
      </w:r>
    </w:p>
    <w:p>
      <w:pPr>
        <w:spacing w:line="560" w:lineRule="exact"/>
        <w:ind w:firstLine="640" w:firstLineChars="200"/>
        <w:rPr>
          <w:rFonts w:ascii="仿宋_GB2312" w:eastAsia="仿宋_GB2312" w:cs="仿宋_GB2312"/>
          <w:b w:val="0"/>
          <w:bCs w:val="0"/>
          <w:sz w:val="32"/>
          <w:szCs w:val="32"/>
        </w:rPr>
      </w:pP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1.选择货币补偿方式奖。征收个人住宅，被征收人选择货币补偿方式的，按</w:t>
      </w:r>
      <w:r>
        <w:rPr>
          <w:rFonts w:ascii="仿宋_GB2312" w:eastAsia="仿宋_GB2312" w:cs="仿宋_GB2312"/>
          <w:b w:val="0"/>
          <w:bCs w:val="0"/>
          <w:sz w:val="32"/>
          <w:szCs w:val="32"/>
        </w:rPr>
        <w:t>被</w:t>
      </w:r>
      <w:r>
        <w:rPr>
          <w:rFonts w:hint="eastAsia" w:ascii="仿宋_GB2312" w:eastAsia="仿宋_GB2312" w:cs="仿宋_GB2312"/>
          <w:b w:val="0"/>
          <w:bCs w:val="0"/>
          <w:sz w:val="32"/>
          <w:szCs w:val="32"/>
        </w:rPr>
        <w:t>征收房屋</w:t>
      </w:r>
      <w:r>
        <w:rPr>
          <w:rFonts w:hint="eastAsia" w:ascii="仿宋_GB2312" w:eastAsia="仿宋_GB2312" w:cs="仿宋_GB2312"/>
          <w:b w:val="0"/>
          <w:bCs w:val="0"/>
          <w:color w:val="000000"/>
          <w:kern w:val="0"/>
          <w:sz w:val="32"/>
          <w:szCs w:val="32"/>
        </w:rPr>
        <w:t>主体</w:t>
      </w:r>
      <w:r>
        <w:rPr>
          <w:rFonts w:hint="eastAsia" w:ascii="仿宋_GB2312" w:eastAsia="仿宋_GB2312" w:cs="仿宋_GB2312"/>
          <w:b w:val="0"/>
          <w:bCs w:val="0"/>
          <w:sz w:val="32"/>
          <w:szCs w:val="32"/>
        </w:rPr>
        <w:t>合法建筑面积</w:t>
      </w:r>
      <w:r>
        <w:rPr>
          <w:rFonts w:hint="eastAsia" w:ascii="仿宋_GB2312" w:eastAsia="仿宋_GB2312" w:cs="仿宋_GB2312"/>
          <w:b w:val="0"/>
          <w:bCs w:val="0"/>
          <w:color w:val="000000"/>
          <w:kern w:val="0"/>
          <w:sz w:val="32"/>
          <w:szCs w:val="32"/>
        </w:rPr>
        <w:t>评估单价</w:t>
      </w:r>
      <w:r>
        <w:rPr>
          <w:rFonts w:ascii="仿宋_GB2312" w:eastAsia="仿宋_GB2312" w:cs="仿宋_GB2312"/>
          <w:b w:val="0"/>
          <w:bCs w:val="0"/>
          <w:color w:val="000000"/>
          <w:kern w:val="0"/>
          <w:sz w:val="32"/>
          <w:szCs w:val="32"/>
        </w:rPr>
        <w:t>（不含装饰装修和附属设施）</w:t>
      </w:r>
      <w:r>
        <w:rPr>
          <w:rFonts w:hint="eastAsia" w:ascii="仿宋_GB2312" w:eastAsia="仿宋_GB2312" w:cs="仿宋_GB2312"/>
          <w:b w:val="0"/>
          <w:bCs w:val="0"/>
          <w:color w:val="000000"/>
          <w:kern w:val="0"/>
          <w:sz w:val="32"/>
          <w:szCs w:val="32"/>
        </w:rPr>
        <w:t>上浮2</w:t>
      </w:r>
      <w:r>
        <w:rPr>
          <w:rFonts w:ascii="仿宋_GB2312" w:eastAsia="仿宋_GB2312" w:cs="仿宋_GB2312"/>
          <w:b w:val="0"/>
          <w:bCs w:val="0"/>
          <w:color w:val="000000"/>
          <w:kern w:val="0"/>
          <w:sz w:val="32"/>
          <w:szCs w:val="32"/>
        </w:rPr>
        <w:t>5</w:t>
      </w:r>
      <w:r>
        <w:rPr>
          <w:rFonts w:hint="eastAsia" w:ascii="仿宋_GB2312" w:eastAsia="仿宋_GB2312" w:cs="仿宋_GB2312"/>
          <w:b w:val="0"/>
          <w:bCs w:val="0"/>
          <w:color w:val="000000"/>
          <w:kern w:val="0"/>
          <w:sz w:val="32"/>
          <w:szCs w:val="32"/>
        </w:rPr>
        <w:t>%予以</w:t>
      </w:r>
      <w:r>
        <w:rPr>
          <w:rFonts w:hint="eastAsia" w:ascii="仿宋_GB2312" w:eastAsia="仿宋_GB2312" w:cs="仿宋_GB2312"/>
          <w:b w:val="0"/>
          <w:bCs w:val="0"/>
          <w:sz w:val="32"/>
          <w:szCs w:val="32"/>
        </w:rPr>
        <w:t>被征收人</w:t>
      </w:r>
      <w:r>
        <w:rPr>
          <w:rFonts w:hint="eastAsia" w:ascii="仿宋_GB2312" w:eastAsia="仿宋_GB2312" w:cs="仿宋_GB2312"/>
          <w:b w:val="0"/>
          <w:bCs w:val="0"/>
          <w:color w:val="000000"/>
          <w:kern w:val="0"/>
          <w:sz w:val="32"/>
          <w:szCs w:val="32"/>
        </w:rPr>
        <w:t>奖励</w:t>
      </w:r>
      <w:r>
        <w:rPr>
          <w:rFonts w:ascii="仿宋_GB2312" w:eastAsia="仿宋_GB2312" w:cs="仿宋_GB2312"/>
          <w:b w:val="0"/>
          <w:bCs w:val="0"/>
          <w:color w:val="000000"/>
          <w:kern w:val="0"/>
          <w:sz w:val="32"/>
          <w:szCs w:val="32"/>
        </w:rPr>
        <w:t>;</w:t>
      </w:r>
      <w:r>
        <w:rPr>
          <w:rFonts w:hint="eastAsia" w:ascii="仿宋_GB2312" w:eastAsia="仿宋_GB2312" w:cs="仿宋_GB2312"/>
          <w:b w:val="0"/>
          <w:bCs w:val="0"/>
          <w:sz w:val="32"/>
          <w:szCs w:val="32"/>
        </w:rPr>
        <w:t>征收私有商业门面（不包括厂房、仓库、医疗、卫生、教学、办公等其他非住宅用房）的按被征收房屋的合法建筑面积给予被征收人最高不超过每平方米</w:t>
      </w:r>
      <w:r>
        <w:rPr>
          <w:rFonts w:ascii="仿宋_GB2312" w:eastAsia="仿宋_GB2312" w:cs="仿宋_GB2312"/>
          <w:b w:val="0"/>
          <w:bCs w:val="0"/>
          <w:sz w:val="32"/>
          <w:szCs w:val="32"/>
        </w:rPr>
        <w:t>4</w:t>
      </w:r>
      <w:r>
        <w:rPr>
          <w:rFonts w:hint="eastAsia" w:ascii="仿宋_GB2312" w:eastAsia="仿宋_GB2312" w:cs="仿宋_GB2312"/>
          <w:b w:val="0"/>
          <w:bCs w:val="0"/>
          <w:sz w:val="32"/>
          <w:szCs w:val="32"/>
        </w:rPr>
        <w:t>00元奖励</w:t>
      </w:r>
      <w:r>
        <w:rPr>
          <w:rFonts w:ascii="仿宋_GB2312" w:eastAsia="仿宋_GB2312" w:cs="仿宋_GB2312"/>
          <w:b w:val="0"/>
          <w:bCs w:val="0"/>
          <w:sz w:val="32"/>
          <w:szCs w:val="32"/>
        </w:rPr>
        <w:t>。</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2.按期签约奖。征收个人住宅，被征收人在房屋征收决定公告确定的签约期限内签订补偿协议的，按被征收房屋合法建筑面积最高不超过</w:t>
      </w:r>
      <w:r>
        <w:rPr>
          <w:rFonts w:ascii="仿宋_GB2312" w:eastAsia="仿宋_GB2312" w:cs="仿宋_GB2312"/>
          <w:b w:val="0"/>
          <w:bCs w:val="0"/>
          <w:sz w:val="32"/>
          <w:szCs w:val="32"/>
        </w:rPr>
        <w:t>4</w:t>
      </w:r>
      <w:r>
        <w:rPr>
          <w:rFonts w:hint="eastAsia" w:ascii="仿宋_GB2312" w:eastAsia="仿宋_GB2312" w:cs="仿宋_GB2312"/>
          <w:b w:val="0"/>
          <w:bCs w:val="0"/>
          <w:sz w:val="32"/>
          <w:szCs w:val="32"/>
        </w:rPr>
        <w:t>00元／㎡给予奖励；征收私有商业门面（不包括厂房、仓库、医疗、卫生、教育、办公等其他非住宅用房）按被征收房屋合法建筑面积给予被征收人最高不超过</w:t>
      </w:r>
      <w:r>
        <w:rPr>
          <w:rFonts w:ascii="仿宋_GB2312" w:eastAsia="仿宋_GB2312" w:cs="仿宋_GB2312"/>
          <w:b w:val="0"/>
          <w:bCs w:val="0"/>
          <w:sz w:val="32"/>
          <w:szCs w:val="32"/>
        </w:rPr>
        <w:t>2</w:t>
      </w:r>
      <w:r>
        <w:rPr>
          <w:rFonts w:hint="eastAsia" w:ascii="仿宋_GB2312" w:eastAsia="仿宋_GB2312" w:cs="仿宋_GB2312"/>
          <w:b w:val="0"/>
          <w:bCs w:val="0"/>
          <w:sz w:val="32"/>
          <w:szCs w:val="32"/>
        </w:rPr>
        <w:t>00元／㎡奖励。具体分时段、分档次奖励标准根据项目实际情况在房屋征收补偿方案中明确。</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3.按期腾房搬迁奖。征收个人住宅和私有商业门面（不包括厂房、仓库、医疗、卫生、教育、办公等其他非住宅用房），征收补偿协议签订后，被征收人在协议约定的期限内完成搬迁并交房的，根据交房时间，分时段、分档次按被征收房屋的合法建筑面积，给予被征收人最高不超过</w:t>
      </w:r>
      <w:r>
        <w:rPr>
          <w:rFonts w:ascii="仿宋_GB2312" w:eastAsia="仿宋_GB2312" w:cs="仿宋_GB2312"/>
          <w:b w:val="0"/>
          <w:bCs w:val="0"/>
          <w:sz w:val="32"/>
          <w:szCs w:val="32"/>
        </w:rPr>
        <w:t>4</w:t>
      </w:r>
      <w:r>
        <w:rPr>
          <w:rFonts w:hint="eastAsia" w:ascii="仿宋_GB2312" w:eastAsia="仿宋_GB2312" w:cs="仿宋_GB2312"/>
          <w:b w:val="0"/>
          <w:bCs w:val="0"/>
          <w:sz w:val="32"/>
          <w:szCs w:val="32"/>
        </w:rPr>
        <w:t>00元／㎡的房屋按期搬迁奖励。具体分段时间及其相应档次根据项目实际情况，在房屋征收补偿方案中明确。</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4.奖励计算面积基数按</w:t>
      </w:r>
      <w:r>
        <w:rPr>
          <w:rFonts w:ascii="仿宋_GB2312" w:eastAsia="仿宋_GB2312" w:cs="仿宋_GB2312"/>
          <w:b w:val="0"/>
          <w:bCs w:val="0"/>
          <w:sz w:val="32"/>
          <w:szCs w:val="32"/>
        </w:rPr>
        <w:t>被</w:t>
      </w:r>
      <w:r>
        <w:rPr>
          <w:rFonts w:hint="eastAsia" w:ascii="仿宋_GB2312" w:eastAsia="仿宋_GB2312" w:cs="仿宋_GB2312"/>
          <w:b w:val="0"/>
          <w:bCs w:val="0"/>
          <w:sz w:val="32"/>
          <w:szCs w:val="32"/>
        </w:rPr>
        <w:t>征收房屋合法有效产权登记的建筑积与有关部门认定为合法建筑的建筑面积。</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5.被征收人在征收方案规定期限内签订协议并完成搬迁的可享受上述奖励和补助，超过规定期限及政府依法作出征收补偿决定的一律不予奖励和补助。</w:t>
      </w:r>
    </w:p>
    <w:p>
      <w:pPr>
        <w:spacing w:line="560" w:lineRule="exact"/>
        <w:jc w:val="both"/>
        <w:rPr>
          <w:rFonts w:ascii="仿宋_GB2312" w:eastAsia="仿宋_GB2312" w:cs="仿宋_GB2312"/>
          <w:b w:val="0"/>
          <w:bCs w:val="0"/>
          <w:sz w:val="32"/>
          <w:szCs w:val="32"/>
        </w:rPr>
      </w:pPr>
      <w:r>
        <w:rPr>
          <w:rFonts w:ascii="仿宋_GB2312" w:eastAsia="仿宋_GB2312" w:cs="仿宋_GB2312"/>
          <w:b w:val="0"/>
          <w:bCs w:val="0"/>
          <w:sz w:val="32"/>
          <w:szCs w:val="32"/>
        </w:rPr>
        <w:t xml:space="preserve">    </w:t>
      </w:r>
      <w:r>
        <w:rPr>
          <w:rFonts w:hint="eastAsia" w:ascii="仿宋_GB2312" w:eastAsia="仿宋_GB2312" w:cs="仿宋_GB2312"/>
          <w:b w:val="0"/>
          <w:bCs w:val="0"/>
          <w:sz w:val="32"/>
          <w:szCs w:val="32"/>
        </w:rPr>
        <w:t>6.该标准根据上级政策结合工作实际报请市人民政府每两年可进行调整。</w:t>
      </w:r>
      <w:r>
        <w:rPr>
          <w:rFonts w:ascii="仿宋_GB2312" w:eastAsia="仿宋_GB2312" w:cs="仿宋_GB2312"/>
          <w:b w:val="0"/>
          <w:bCs w:val="0"/>
          <w:sz w:val="32"/>
          <w:szCs w:val="32"/>
        </w:rPr>
        <w:t>“城中村”改造项目国有土地上的房屋征收补助和奖励标准另行制定。</w:t>
      </w:r>
    </w:p>
    <w:p>
      <w:pPr>
        <w:spacing w:line="560" w:lineRule="exact"/>
        <w:jc w:val="both"/>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p>
    <w:p>
      <w:pPr>
        <w:spacing w:line="560" w:lineRule="exact"/>
        <w:rPr>
          <w:rFonts w:ascii="仿宋_GB2312" w:eastAsia="仿宋_GB2312" w:cs="仿宋_GB2312"/>
          <w:b w:val="0"/>
          <w:bCs w:val="0"/>
          <w:sz w:val="32"/>
          <w:szCs w:val="32"/>
        </w:rPr>
      </w:pPr>
    </w:p>
    <w:p>
      <w:bookmarkStart w:id="0" w:name="_GoBack"/>
      <w:bookmarkEnd w:id="0"/>
    </w:p>
    <w:sectPr>
      <w:footerReference r:id="rId3" w:type="default"/>
      <w:pgSz w:w="11907" w:h="16839"/>
      <w:pgMar w:top="1440" w:right="1800" w:bottom="1440" w:left="1800"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rPr>
        <w:rStyle w:val="5"/>
      </w:rPr>
      <w:fldChar w:fldCharType="begin"/>
    </w:r>
    <w:r>
      <w:rPr>
        <w:rStyle w:val="5"/>
      </w:rPr>
      <w:instrText xml:space="preserve">Page</w:instrText>
    </w:r>
    <w:r>
      <w:rPr>
        <w:rStyle w:val="5"/>
      </w:rPr>
      <w:fldChar w:fldCharType="separate"/>
    </w:r>
    <w:r>
      <w:rPr>
        <w:rStyle w:val="5"/>
      </w:rPr>
      <w:t>1</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9700B"/>
    <w:rsid w:val="0186DCE5"/>
    <w:rsid w:val="185D2B71"/>
    <w:rsid w:val="20C9700B"/>
    <w:rsid w:val="22DD6550"/>
    <w:rsid w:val="28852429"/>
    <w:rsid w:val="2E1F674D"/>
    <w:rsid w:val="42320257"/>
    <w:rsid w:val="55075C21"/>
    <w:rsid w:val="5C71635A"/>
    <w:rsid w:val="67DF6B09"/>
    <w:rsid w:val="695B5207"/>
    <w:rsid w:val="70CC7E6A"/>
    <w:rsid w:val="75FF5623"/>
    <w:rsid w:val="76A1544E"/>
    <w:rsid w:val="7C4F01ED"/>
    <w:rsid w:val="9EBFCE65"/>
    <w:rsid w:val="FBEFEB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heme="minorHAnsi" w:eastAsiaTheme="minorEastAsia" w:cstheme="minorBidi"/>
      <w:kern w:val="2"/>
      <w:sz w:val="24"/>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pPr>
    <w:rPr>
      <w:sz w:val="18"/>
    </w:rPr>
  </w:style>
  <w:style w:type="character" w:styleId="5">
    <w:name w:val="page number"/>
    <w:basedOn w:val="4"/>
    <w:qFormat/>
    <w:uiPriority w:val="0"/>
  </w:style>
  <w:style w:type="paragraph" w:customStyle="1" w:styleId="6">
    <w:name w:val="批注框文本1"/>
    <w:qFormat/>
    <w:uiPriority w:val="0"/>
    <w:pPr>
      <w:widowControl w:val="0"/>
    </w:pPr>
    <w:rPr>
      <w:rFonts w:ascii="宋体"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2025-06-25T17:17:00Z</dcterms:created>
  <dc:creator>文印室</dc:creator>
  <cp:lastModifiedBy>kylin</cp:lastModifiedBy>
  <cp:lastPrinted>2025-06-25T18:51:00Z</cp:lastPrinted>
  <dcterms:modified xsi:type="dcterms:W3CDTF">2025-11-27T16:25:37Z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