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hint="eastAsia" w:ascii="Times New Roman" w:hAnsi="Times New Roman" w:eastAsia="方正小标宋_GBK" w:cs="Times New Roman"/>
          <w:b w:val="0"/>
          <w:bCs/>
          <w:w w:val="80"/>
          <w:kern w:val="0"/>
          <w:sz w:val="72"/>
          <w:szCs w:val="72"/>
          <w:lang w:eastAsia="zh-CN"/>
        </w:rPr>
      </w:pPr>
      <w:r>
        <w:rPr>
          <w:rFonts w:hint="eastAsia" w:ascii="Times New Roman" w:hAnsi="Times New Roman" w:eastAsia="方正小标宋_GBK" w:cs="Times New Roman"/>
          <w:b w:val="0"/>
          <w:bCs/>
          <w:w w:val="80"/>
          <w:kern w:val="0"/>
          <w:sz w:val="72"/>
          <w:szCs w:val="72"/>
          <w:lang w:eastAsia="zh-CN"/>
        </w:rPr>
        <w:t>永州市人民政府办公室</w:t>
      </w:r>
    </w:p>
    <w:p>
      <w:pPr>
        <w:widowControl/>
        <w:jc w:val="center"/>
        <w:rPr>
          <w:rFonts w:ascii="Times New Roman" w:hAnsi="Times New Roman" w:eastAsia="方正小标宋_GBK" w:cs="Times New Roman"/>
          <w:b w:val="0"/>
          <w:bCs/>
          <w:kern w:val="0"/>
          <w:sz w:val="72"/>
          <w:szCs w:val="72"/>
        </w:rPr>
      </w:pPr>
      <w:r>
        <w:rPr>
          <w:rFonts w:hint="eastAsia" w:ascii="Times New Roman" w:hAnsi="Times New Roman" w:eastAsia="方正小标宋_GBK" w:cs="Times New Roman"/>
          <w:b w:val="0"/>
          <w:bCs/>
          <w:w w:val="80"/>
          <w:kern w:val="0"/>
          <w:sz w:val="72"/>
          <w:szCs w:val="72"/>
        </w:rPr>
        <w:t>2018年度部门决算</w:t>
      </w: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目录</w:t>
      </w:r>
    </w:p>
    <w:p>
      <w:pPr>
        <w:widowControl/>
        <w:rPr>
          <w:rFonts w:ascii="仿宋_GB2312" w:hAnsi="Times New Roman" w:eastAsia="仿宋_GB2312" w:cs="Times New Roman"/>
          <w:b/>
          <w:bCs/>
          <w:kern w:val="0"/>
          <w:sz w:val="32"/>
          <w:szCs w:val="32"/>
        </w:rPr>
      </w:pP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 xml:space="preserve">第一部分  </w:t>
      </w:r>
      <w:r>
        <w:rPr>
          <w:rFonts w:hint="eastAsia" w:ascii="Times New Roman" w:hAnsi="Times New Roman" w:eastAsia="黑体" w:cs="Times New Roman"/>
          <w:bCs/>
          <w:kern w:val="0"/>
          <w:sz w:val="32"/>
          <w:szCs w:val="32"/>
          <w:lang w:eastAsia="zh-CN"/>
        </w:rPr>
        <w:t>市政府办</w:t>
      </w:r>
      <w:r>
        <w:rPr>
          <w:rFonts w:hint="eastAsia" w:ascii="Times New Roman" w:hAnsi="Times New Roman" w:eastAsia="黑体" w:cs="Times New Roman"/>
          <w:bCs/>
          <w:kern w:val="0"/>
          <w:sz w:val="32"/>
          <w:szCs w:val="32"/>
        </w:rPr>
        <w:t>概况</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一、部门职责</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二、机构设置</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第二部分  </w:t>
      </w:r>
      <w:r>
        <w:rPr>
          <w:rFonts w:hint="eastAsia" w:ascii="Times New Roman" w:hAnsi="Times New Roman" w:eastAsia="黑体" w:cs="Times New Roman"/>
          <w:bCs/>
          <w:kern w:val="0"/>
          <w:sz w:val="32"/>
          <w:szCs w:val="32"/>
          <w:lang w:eastAsia="zh-CN"/>
        </w:rPr>
        <w:t>市政府办</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八、政府性基金预算财政拨款收入支出决算表</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第三部分  </w:t>
      </w:r>
      <w:r>
        <w:rPr>
          <w:rFonts w:hint="eastAsia" w:ascii="Times New Roman" w:hAnsi="Times New Roman" w:eastAsia="黑体" w:cs="Times New Roman"/>
          <w:bCs/>
          <w:kern w:val="0"/>
          <w:sz w:val="32"/>
          <w:szCs w:val="32"/>
          <w:lang w:eastAsia="zh-CN"/>
        </w:rPr>
        <w:t>市政府办</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一、收入支出决算总体情况说明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四、财政拨款收入支出决算总体情况说明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七、一般公共预算财政拨款“三公”经费支出情况决算情况说明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八、预算绩效情况说明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九、其他重要事项的情况说明</w:t>
      </w: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hint="eastAsia"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第一部分  </w:t>
      </w:r>
      <w:r>
        <w:rPr>
          <w:rFonts w:hint="eastAsia" w:ascii="Times New Roman" w:hAnsi="Times New Roman" w:eastAsia="黑体" w:cs="Times New Roman"/>
          <w:bCs/>
          <w:kern w:val="0"/>
          <w:sz w:val="32"/>
          <w:szCs w:val="32"/>
          <w:lang w:eastAsia="zh-CN"/>
        </w:rPr>
        <w:t>市政府办</w:t>
      </w:r>
      <w:r>
        <w:rPr>
          <w:rFonts w:ascii="Times New Roman" w:hAnsi="Times New Roman" w:eastAsia="黑体" w:cs="Times New Roman"/>
          <w:bCs/>
          <w:kern w:val="0"/>
          <w:sz w:val="32"/>
          <w:szCs w:val="32"/>
        </w:rPr>
        <w:t>概况</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一、部门职责</w:t>
      </w:r>
    </w:p>
    <w:p>
      <w:pPr>
        <w:spacing w:line="540" w:lineRule="exact"/>
        <w:ind w:firstLine="602" w:firstLineChars="200"/>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市政府办</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（一）协助市政府领导同志审核或组织起草以市政府、市政府办公室名义发布的公文。</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（二）起草政府工作报告、市政府全会报告，以及市政府主要领导重要讲话、报告和文章。</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（三）组织或参与起草市委、市政府向省委、省政府的重要汇报材料。</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（四）研究市政府各部门和各县区人民政府（管理区、经开区管委会）请示市政府的事项，提出审核意见，报市政府领导同志审批。</w:t>
      </w:r>
    </w:p>
    <w:p>
      <w:pPr>
        <w:spacing w:line="540" w:lineRule="exact"/>
        <w:ind w:firstLine="576" w:firstLineChars="200"/>
        <w:jc w:val="left"/>
        <w:rPr>
          <w:rFonts w:hint="eastAsia" w:ascii="仿宋_GB2312" w:hAnsi="宋体" w:eastAsia="仿宋_GB2312" w:cs="仿宋_GB2312"/>
          <w:spacing w:val="-6"/>
          <w:sz w:val="30"/>
          <w:szCs w:val="30"/>
        </w:rPr>
      </w:pPr>
      <w:r>
        <w:rPr>
          <w:rFonts w:hint="eastAsia" w:ascii="仿宋_GB2312" w:hAnsi="宋体" w:eastAsia="仿宋_GB2312" w:cs="仿宋_GB2312"/>
          <w:spacing w:val="-6"/>
          <w:sz w:val="30"/>
          <w:szCs w:val="30"/>
        </w:rPr>
        <w:t>（五）负责市政府会议的组织和服务工作，协助实施会议决定事项。</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（六）根据市政府领导同志的指示或工作需要，对有关问题进行协调，提出处理意见，报市政府领导同志决定。</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（七）办理省和市政府领导同志的批示，并督促落实。督促检查市政府各部门和县区人民政府（管理区、经开区管委会）对市政府决定事项的执行落实情况，及时向市政府报告。</w:t>
      </w:r>
    </w:p>
    <w:p>
      <w:pPr>
        <w:spacing w:line="540" w:lineRule="exact"/>
        <w:ind w:firstLine="600" w:firstLineChars="200"/>
        <w:jc w:val="left"/>
        <w:rPr>
          <w:rFonts w:hint="eastAsia" w:ascii="仿宋_GB2312" w:hAnsi="宋体" w:eastAsia="仿宋_GB2312" w:cs="仿宋_GB2312"/>
          <w:spacing w:val="-6"/>
          <w:sz w:val="30"/>
          <w:szCs w:val="30"/>
        </w:rPr>
      </w:pPr>
      <w:r>
        <w:rPr>
          <w:rFonts w:hint="eastAsia" w:ascii="仿宋_GB2312" w:hAnsi="宋体" w:eastAsia="仿宋_GB2312" w:cs="仿宋_GB2312"/>
          <w:sz w:val="30"/>
          <w:szCs w:val="30"/>
        </w:rPr>
        <w:t>（八）对全市经济建设、社会发展、改革开放和民本民生等全局</w:t>
      </w:r>
      <w:r>
        <w:rPr>
          <w:rFonts w:hint="eastAsia" w:ascii="仿宋_GB2312" w:hAnsi="宋体" w:eastAsia="仿宋_GB2312" w:cs="仿宋_GB2312"/>
          <w:spacing w:val="-6"/>
          <w:sz w:val="30"/>
          <w:szCs w:val="30"/>
        </w:rPr>
        <w:t>性重大课题组织开展调查研究，提出供市政府决策的参考方案和建议。</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（九）组织开展人大代表建议、政协委员提案办理工作。</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（十）协助市政府领导同志做好需由市政府组织处理的突发事件应急处置工作；负责向省政府和市政府领导同志报告重要信息和情况；负责市政府值班工作。</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（十一</w:t>
      </w:r>
      <w:r>
        <w:rPr>
          <w:rFonts w:hint="eastAsia" w:ascii="仿宋_GB2312" w:hAnsi="宋体" w:eastAsia="仿宋_GB2312" w:cs="仿宋_GB2312"/>
          <w:color w:val="000000"/>
          <w:sz w:val="30"/>
          <w:szCs w:val="30"/>
        </w:rPr>
        <w:t>）负责</w:t>
      </w:r>
      <w:r>
        <w:rPr>
          <w:rFonts w:hint="eastAsia" w:ascii="仿宋_GB2312" w:hAnsi="宋体" w:eastAsia="仿宋_GB2312" w:cs="仿宋_GB2312"/>
          <w:sz w:val="30"/>
          <w:szCs w:val="30"/>
        </w:rPr>
        <w:t>全市政府系统办公自动化建设。</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 xml:space="preserve"> (十二) 协调推进全市经济发展环境优化和机关效能建设，承担治理工程建设领域突出问题的有关工作。</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 xml:space="preserve"> (十三) 按机构改革的总体要求，负责对下属单位机构设置、职能配置和人员编制配备等提出调整完善意见，报机构编制部门明确。</w:t>
      </w:r>
    </w:p>
    <w:p>
      <w:pPr>
        <w:spacing w:line="540" w:lineRule="exact"/>
        <w:ind w:firstLine="576" w:firstLineChars="200"/>
        <w:jc w:val="left"/>
        <w:rPr>
          <w:rFonts w:hint="eastAsia" w:ascii="仿宋_GB2312" w:hAnsi="宋体" w:eastAsia="仿宋_GB2312" w:cs="仿宋_GB2312"/>
          <w:spacing w:val="-6"/>
          <w:sz w:val="30"/>
          <w:szCs w:val="30"/>
        </w:rPr>
      </w:pPr>
      <w:r>
        <w:rPr>
          <w:rFonts w:hint="eastAsia" w:ascii="仿宋_GB2312" w:hAnsi="宋体" w:eastAsia="仿宋_GB2312" w:cs="仿宋_GB2312"/>
          <w:spacing w:val="-6"/>
          <w:sz w:val="30"/>
          <w:szCs w:val="30"/>
        </w:rPr>
        <w:t>（十四）办理市委、市人民政府和市政府领导同志交办的其他事项。</w:t>
      </w:r>
    </w:p>
    <w:p>
      <w:pPr>
        <w:spacing w:line="540" w:lineRule="exact"/>
        <w:ind w:firstLine="590" w:firstLineChars="196"/>
        <w:jc w:val="left"/>
        <w:rPr>
          <w:rFonts w:hint="eastAsia" w:ascii="仿宋_GB2312" w:hAnsi="宋体" w:eastAsia="仿宋_GB2312" w:cs="仿宋_GB2312"/>
          <w:b/>
          <w:sz w:val="30"/>
          <w:szCs w:val="30"/>
        </w:rPr>
      </w:pPr>
      <w:r>
        <w:rPr>
          <w:rFonts w:hint="eastAsia" w:ascii="仿宋_GB2312" w:hAnsi="宋体" w:eastAsia="仿宋_GB2312" w:cs="仿宋_GB2312"/>
          <w:b/>
          <w:sz w:val="30"/>
          <w:szCs w:val="30"/>
        </w:rPr>
        <w:t>政府机关事务管理处</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（一）负责市政府办公室及市政府机关部分单位经费预决算、财务管理和审计；负责市政府机关大院国有资产的统一管理。</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（二）负责市政府机关基建的规划、组织、实施和管理。</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（三）负责市政府机关供水、供电、供气、采暖及通讯保障。</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（四）负责市政府机关大院卫生、绿化和环境美化。</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（五）负责市政府办公室的车辆管理。</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（六）负责市政府机关食堂的管理及市政府办公室所属经济实体的经营和管理。</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（七）负责市政府办公室重要会议的生活服务及内部接待。</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（八）负责市政府大院的安全保卫、消防和户籍管理工作。</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（九）办理市政府及市政府办公室交办的其他事项。</w:t>
      </w:r>
    </w:p>
    <w:p>
      <w:pPr>
        <w:spacing w:line="540" w:lineRule="exact"/>
        <w:ind w:firstLine="600" w:firstLineChars="200"/>
        <w:jc w:val="left"/>
        <w:rPr>
          <w:rFonts w:hint="eastAsia" w:ascii="仿宋_GB2312" w:hAnsi="宋体" w:eastAsia="仿宋_GB2312" w:cs="仿宋_GB2312"/>
          <w:sz w:val="30"/>
          <w:szCs w:val="30"/>
        </w:rPr>
      </w:pPr>
      <w:r>
        <w:rPr>
          <w:rFonts w:hint="eastAsia" w:ascii="仿宋_GB2312" w:hAnsi="宋体" w:eastAsia="仿宋_GB2312" w:cs="仿宋_GB2312"/>
          <w:sz w:val="30"/>
          <w:szCs w:val="30"/>
        </w:rPr>
        <w:t>2018年，我办在市政府及市政府办党组的正确领导下，紧密围绕政府中心工作，认真贯彻落实市委、市政府的各项规定，严格执行部门预算，强化基础工作，规范内部管理，严控“三公”经费管理，厉行节约，勤俭办事，较好地完成了本年度的预算执行任务。</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二、机构设置</w:t>
      </w:r>
      <w:r>
        <w:rPr>
          <w:rFonts w:hint="eastAsia" w:ascii="Times New Roman" w:hAnsi="Times New Roman" w:eastAsia="仿宋_GB2312" w:cs="Times New Roman"/>
          <w:bCs/>
          <w:kern w:val="0"/>
          <w:sz w:val="32"/>
          <w:szCs w:val="32"/>
        </w:rPr>
        <w:t>及决算单位构成</w:t>
      </w:r>
    </w:p>
    <w:p>
      <w:pPr>
        <w:widowControl/>
        <w:spacing w:line="600" w:lineRule="exact"/>
        <w:ind w:firstLine="640" w:firstLineChars="200"/>
        <w:rPr>
          <w:rFonts w:ascii="Times New Roman" w:hAnsi="Times New Roman" w:eastAsia="仿宋_GB2312" w:cs="Times New Roman"/>
          <w:bCs/>
          <w:color w:val="FF0000"/>
          <w:kern w:val="0"/>
          <w:sz w:val="32"/>
          <w:szCs w:val="32"/>
        </w:rPr>
      </w:pPr>
      <w:r>
        <w:rPr>
          <w:rFonts w:hint="eastAsia" w:ascii="Times New Roman" w:hAnsi="Times New Roman" w:eastAsia="仿宋_GB2312" w:cs="Times New Roman"/>
          <w:bCs/>
          <w:kern w:val="0"/>
          <w:sz w:val="32"/>
          <w:szCs w:val="32"/>
        </w:rPr>
        <w:t>（一）</w:t>
      </w:r>
      <w:r>
        <w:rPr>
          <w:rFonts w:hint="eastAsia" w:ascii="Times New Roman" w:hAnsi="Times New Roman" w:eastAsia="仿宋_GB2312" w:cs="Times New Roman"/>
          <w:bCs/>
          <w:color w:val="auto"/>
          <w:kern w:val="0"/>
          <w:sz w:val="32"/>
          <w:szCs w:val="32"/>
        </w:rPr>
        <w:t>内设机构设置。</w:t>
      </w:r>
      <w:r>
        <w:rPr>
          <w:rFonts w:hint="eastAsia" w:ascii="Times New Roman" w:hAnsi="Times New Roman" w:eastAsia="仿宋_GB2312" w:cs="Times New Roman"/>
          <w:bCs/>
          <w:color w:val="auto"/>
          <w:kern w:val="0"/>
          <w:sz w:val="32"/>
          <w:szCs w:val="32"/>
          <w:lang w:val="en-US" w:eastAsia="zh-CN"/>
        </w:rPr>
        <w:t>2018年度</w:t>
      </w:r>
      <w:r>
        <w:rPr>
          <w:rFonts w:hint="eastAsia" w:ascii="Times New Roman" w:hAnsi="Times New Roman" w:eastAsia="仿宋_GB2312" w:cs="Times New Roman"/>
          <w:bCs/>
          <w:color w:val="auto"/>
          <w:kern w:val="0"/>
          <w:sz w:val="32"/>
          <w:szCs w:val="32"/>
        </w:rPr>
        <w:t>市政府办</w:t>
      </w:r>
      <w:r>
        <w:rPr>
          <w:rFonts w:hint="eastAsia" w:ascii="Times New Roman" w:hAnsi="Times New Roman" w:eastAsia="仿宋_GB2312" w:cs="Times New Roman"/>
          <w:bCs/>
          <w:color w:val="auto"/>
          <w:kern w:val="0"/>
          <w:sz w:val="32"/>
          <w:szCs w:val="32"/>
          <w:lang w:eastAsia="zh-CN"/>
        </w:rPr>
        <w:t>含文秘科、综合科、调研科、应急办、督查室、政工科、离退休人员管理服务科、财经科、农经科、社会发展科、工交科、城建科、商贸科、社会管理科、政务联络科等15个科室和原政府机关事务管理处办公室、房产科、动力科、财务科、综合服务科、保卫科、节能科、车管科、房产二科</w:t>
      </w:r>
      <w:r>
        <w:rPr>
          <w:rFonts w:hint="eastAsia" w:ascii="Times New Roman" w:hAnsi="Times New Roman" w:eastAsia="仿宋_GB2312" w:cs="Times New Roman"/>
          <w:bCs/>
          <w:color w:val="auto"/>
          <w:kern w:val="0"/>
          <w:sz w:val="32"/>
          <w:szCs w:val="32"/>
          <w:lang w:val="en-US" w:eastAsia="zh-CN"/>
        </w:rPr>
        <w:t>等</w:t>
      </w:r>
      <w:r>
        <w:rPr>
          <w:rFonts w:hint="eastAsia" w:ascii="Times New Roman" w:hAnsi="Times New Roman" w:eastAsia="仿宋_GB2312" w:cs="Times New Roman"/>
          <w:bCs/>
          <w:color w:val="auto"/>
          <w:kern w:val="0"/>
          <w:sz w:val="32"/>
          <w:szCs w:val="32"/>
        </w:rPr>
        <w:t>9</w:t>
      </w:r>
      <w:r>
        <w:rPr>
          <w:rFonts w:hint="eastAsia" w:ascii="Times New Roman" w:hAnsi="Times New Roman" w:eastAsia="仿宋_GB2312" w:cs="Times New Roman"/>
          <w:bCs/>
          <w:color w:val="auto"/>
          <w:kern w:val="0"/>
          <w:sz w:val="32"/>
          <w:szCs w:val="32"/>
          <w:lang w:eastAsia="zh-CN"/>
        </w:rPr>
        <w:t>个</w:t>
      </w:r>
      <w:r>
        <w:rPr>
          <w:rFonts w:hint="eastAsia" w:ascii="Times New Roman" w:hAnsi="Times New Roman" w:eastAsia="仿宋_GB2312" w:cs="Times New Roman"/>
          <w:bCs/>
          <w:color w:val="auto"/>
          <w:kern w:val="0"/>
          <w:sz w:val="32"/>
          <w:szCs w:val="32"/>
        </w:rPr>
        <w:t>科室</w:t>
      </w:r>
      <w:r>
        <w:rPr>
          <w:rFonts w:hint="eastAsia" w:ascii="Times New Roman" w:hAnsi="Times New Roman" w:eastAsia="仿宋_GB2312" w:cs="Times New Roman"/>
          <w:bCs/>
          <w:color w:val="auto"/>
          <w:kern w:val="0"/>
          <w:sz w:val="32"/>
          <w:szCs w:val="32"/>
          <w:lang w:eastAsia="zh-CN"/>
        </w:rPr>
        <w:t>。</w:t>
      </w:r>
    </w:p>
    <w:p>
      <w:pPr>
        <w:widowControl/>
        <w:spacing w:line="600" w:lineRule="exact"/>
        <w:ind w:firstLine="640" w:firstLineChars="200"/>
        <w:rPr>
          <w:rFonts w:hint="eastAsia" w:ascii="Times New Roman" w:hAnsi="Times New Roman" w:eastAsia="仿宋_GB2312" w:cs="Times New Roman"/>
          <w:bCs/>
          <w:color w:val="FF0000"/>
          <w:kern w:val="0"/>
          <w:sz w:val="32"/>
          <w:szCs w:val="32"/>
          <w:lang w:eastAsia="zh-CN"/>
        </w:rPr>
      </w:pPr>
      <w:r>
        <w:rPr>
          <w:rFonts w:hint="eastAsia" w:ascii="Times New Roman" w:hAnsi="Times New Roman" w:eastAsia="仿宋_GB2312" w:cs="Times New Roman"/>
          <w:bCs/>
          <w:kern w:val="0"/>
          <w:sz w:val="32"/>
          <w:szCs w:val="32"/>
        </w:rPr>
        <w:t>（二）决算单位构成。</w:t>
      </w:r>
      <w:r>
        <w:rPr>
          <w:rFonts w:hint="eastAsia" w:ascii="Times New Roman" w:hAnsi="Times New Roman" w:eastAsia="仿宋_GB2312" w:cs="Times New Roman"/>
          <w:bCs/>
          <w:kern w:val="0"/>
          <w:sz w:val="32"/>
          <w:szCs w:val="32"/>
          <w:lang w:eastAsia="zh-CN"/>
        </w:rPr>
        <w:t>市政府办</w:t>
      </w:r>
      <w:r>
        <w:rPr>
          <w:rFonts w:hint="eastAsia" w:ascii="Times New Roman" w:hAnsi="Times New Roman" w:eastAsia="仿宋_GB2312" w:cs="Times New Roman"/>
          <w:bCs/>
          <w:color w:val="000000" w:themeColor="text1"/>
          <w:kern w:val="0"/>
          <w:sz w:val="32"/>
          <w:szCs w:val="32"/>
          <w14:textFill>
            <w14:solidFill>
              <w14:schemeClr w14:val="tx1"/>
            </w14:solidFill>
          </w14:textFill>
        </w:rPr>
        <w:t>2018年部门决算汇总公开单位构成包括：市政府办公室、</w:t>
      </w:r>
      <w:r>
        <w:rPr>
          <w:rFonts w:hint="eastAsia" w:ascii="Times New Roman" w:hAnsi="Times New Roman" w:eastAsia="仿宋_GB2312" w:cs="Times New Roman"/>
          <w:bCs/>
          <w:color w:val="000000" w:themeColor="text1"/>
          <w:kern w:val="0"/>
          <w:sz w:val="32"/>
          <w:szCs w:val="32"/>
          <w:lang w:eastAsia="zh-CN"/>
          <w14:textFill>
            <w14:solidFill>
              <w14:schemeClr w14:val="tx1"/>
            </w14:solidFill>
          </w14:textFill>
        </w:rPr>
        <w:t>原</w:t>
      </w:r>
      <w:r>
        <w:rPr>
          <w:rFonts w:hint="eastAsia" w:ascii="Times New Roman" w:hAnsi="Times New Roman" w:eastAsia="仿宋_GB2312" w:cs="Times New Roman"/>
          <w:bCs/>
          <w:color w:val="000000" w:themeColor="text1"/>
          <w:kern w:val="0"/>
          <w:sz w:val="32"/>
          <w:szCs w:val="32"/>
          <w14:textFill>
            <w14:solidFill>
              <w14:schemeClr w14:val="tx1"/>
            </w14:solidFill>
          </w14:textFill>
        </w:rPr>
        <w:t>市政府机关事务管理处、北京办、长沙办、海口办、上海办</w:t>
      </w:r>
      <w:r>
        <w:rPr>
          <w:rFonts w:hint="eastAsia" w:ascii="Times New Roman" w:hAnsi="Times New Roman" w:eastAsia="仿宋_GB2312" w:cs="Times New Roman"/>
          <w:bCs/>
          <w:color w:val="000000" w:themeColor="text1"/>
          <w:kern w:val="0"/>
          <w:sz w:val="32"/>
          <w:szCs w:val="32"/>
          <w:lang w:eastAsia="zh-CN"/>
          <w14:textFill>
            <w14:solidFill>
              <w14:schemeClr w14:val="tx1"/>
            </w14:solidFill>
          </w14:textFill>
        </w:rPr>
        <w:t>。</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第二部分  </w:t>
      </w:r>
      <w:r>
        <w:rPr>
          <w:rFonts w:hint="eastAsia" w:ascii="Times New Roman" w:hAnsi="Times New Roman" w:eastAsia="黑体" w:cs="Times New Roman"/>
          <w:bCs/>
          <w:kern w:val="0"/>
          <w:sz w:val="32"/>
          <w:szCs w:val="32"/>
          <w:lang w:eastAsia="zh-CN"/>
        </w:rPr>
        <w:t>市政府办</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年度部门决算表</w:t>
      </w:r>
    </w:p>
    <w:p>
      <w:pPr>
        <w:widowControl/>
        <w:jc w:val="center"/>
      </w:pPr>
      <w:r>
        <w:drawing>
          <wp:inline distT="0" distB="0" distL="114300" distR="114300">
            <wp:extent cx="5365115" cy="5172075"/>
            <wp:effectExtent l="0" t="0" r="698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365115" cy="5172075"/>
                    </a:xfrm>
                    <a:prstGeom prst="rect">
                      <a:avLst/>
                    </a:prstGeom>
                    <a:noFill/>
                    <a:ln w="9525">
                      <a:noFill/>
                    </a:ln>
                  </pic:spPr>
                </pic:pic>
              </a:graphicData>
            </a:graphic>
          </wp:inline>
        </w:drawing>
      </w:r>
    </w:p>
    <w:p>
      <w:pPr>
        <w:widowControl/>
        <w:jc w:val="center"/>
      </w:pPr>
    </w:p>
    <w:p>
      <w:pPr>
        <w:widowControl/>
        <w:jc w:val="center"/>
      </w:pPr>
    </w:p>
    <w:p>
      <w:pPr>
        <w:widowControl/>
        <w:jc w:val="center"/>
      </w:pPr>
      <w:r>
        <w:drawing>
          <wp:inline distT="0" distB="0" distL="114300" distR="114300">
            <wp:extent cx="5401310" cy="5516880"/>
            <wp:effectExtent l="0" t="0" r="889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401310" cy="5516880"/>
                    </a:xfrm>
                    <a:prstGeom prst="rect">
                      <a:avLst/>
                    </a:prstGeom>
                    <a:noFill/>
                    <a:ln w="9525">
                      <a:noFill/>
                    </a:ln>
                  </pic:spPr>
                </pic:pic>
              </a:graphicData>
            </a:graphic>
          </wp:inline>
        </w:drawing>
      </w: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r>
        <w:drawing>
          <wp:inline distT="0" distB="0" distL="114300" distR="114300">
            <wp:extent cx="5356860" cy="5605780"/>
            <wp:effectExtent l="0" t="0" r="15240"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356860" cy="5605780"/>
                    </a:xfrm>
                    <a:prstGeom prst="rect">
                      <a:avLst/>
                    </a:prstGeom>
                    <a:noFill/>
                    <a:ln w="9525">
                      <a:noFill/>
                    </a:ln>
                  </pic:spPr>
                </pic:pic>
              </a:graphicData>
            </a:graphic>
          </wp:inline>
        </w:drawing>
      </w: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r>
        <w:drawing>
          <wp:inline distT="0" distB="0" distL="114300" distR="114300">
            <wp:extent cx="5382260" cy="550481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5382260" cy="5504815"/>
                    </a:xfrm>
                    <a:prstGeom prst="rect">
                      <a:avLst/>
                    </a:prstGeom>
                    <a:noFill/>
                    <a:ln w="9525">
                      <a:noFill/>
                    </a:ln>
                  </pic:spPr>
                </pic:pic>
              </a:graphicData>
            </a:graphic>
          </wp:inline>
        </w:drawing>
      </w: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r>
        <w:drawing>
          <wp:inline distT="0" distB="0" distL="114300" distR="114300">
            <wp:extent cx="5307330" cy="5222875"/>
            <wp:effectExtent l="0" t="0" r="7620" b="158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307330" cy="5222875"/>
                    </a:xfrm>
                    <a:prstGeom prst="rect">
                      <a:avLst/>
                    </a:prstGeom>
                    <a:noFill/>
                    <a:ln w="9525">
                      <a:noFill/>
                    </a:ln>
                  </pic:spPr>
                </pic:pic>
              </a:graphicData>
            </a:graphic>
          </wp:inline>
        </w:drawing>
      </w: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kern w:val="0"/>
          <w:sz w:val="36"/>
          <w:szCs w:val="36"/>
        </w:rPr>
      </w:pPr>
    </w:p>
    <w:p>
      <w:pPr>
        <w:widowControl/>
        <w:jc w:val="center"/>
        <w:rPr>
          <w:rFonts w:ascii="华文中宋" w:hAnsi="华文中宋" w:eastAsia="方正小标宋_GBK" w:cs="宋体"/>
          <w:kern w:val="0"/>
          <w:sz w:val="36"/>
          <w:szCs w:val="36"/>
        </w:rPr>
      </w:pPr>
    </w:p>
    <w:p>
      <w:pPr>
        <w:widowControl/>
        <w:jc w:val="center"/>
        <w:rPr>
          <w:rFonts w:ascii="华文中宋" w:hAnsi="华文中宋" w:eastAsia="方正小标宋_GBK" w:cs="宋体"/>
          <w:kern w:val="0"/>
          <w:sz w:val="36"/>
          <w:szCs w:val="36"/>
        </w:rPr>
      </w:pPr>
      <w:r>
        <w:drawing>
          <wp:inline distT="0" distB="0" distL="114300" distR="114300">
            <wp:extent cx="5415915" cy="6312535"/>
            <wp:effectExtent l="0" t="0" r="13335" b="1206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5415915" cy="6312535"/>
                    </a:xfrm>
                    <a:prstGeom prst="rect">
                      <a:avLst/>
                    </a:prstGeom>
                    <a:noFill/>
                    <a:ln w="9525">
                      <a:noFill/>
                    </a:ln>
                  </pic:spPr>
                </pic:pic>
              </a:graphicData>
            </a:graphic>
          </wp:inline>
        </w:drawing>
      </w:r>
    </w:p>
    <w:p>
      <w:pPr>
        <w:widowControl/>
        <w:jc w:val="center"/>
        <w:rPr>
          <w:rFonts w:ascii="华文中宋" w:hAnsi="华文中宋" w:eastAsia="方正小标宋_GBK" w:cs="宋体"/>
          <w:kern w:val="0"/>
          <w:sz w:val="36"/>
          <w:szCs w:val="36"/>
        </w:rPr>
      </w:pPr>
    </w:p>
    <w:p>
      <w:pPr>
        <w:widowControl/>
        <w:jc w:val="center"/>
        <w:rPr>
          <w:rFonts w:ascii="华文中宋" w:hAnsi="华文中宋" w:eastAsia="方正小标宋_GBK" w:cs="宋体"/>
          <w:kern w:val="0"/>
          <w:sz w:val="36"/>
          <w:szCs w:val="36"/>
        </w:rPr>
      </w:pPr>
    </w:p>
    <w:p>
      <w:pPr>
        <w:widowControl/>
        <w:jc w:val="center"/>
        <w:rPr>
          <w:rFonts w:ascii="华文中宋" w:hAnsi="华文中宋" w:eastAsia="方正小标宋_GBK" w:cs="宋体"/>
          <w:kern w:val="0"/>
          <w:sz w:val="36"/>
          <w:szCs w:val="36"/>
        </w:rPr>
      </w:pPr>
    </w:p>
    <w:p>
      <w:pPr>
        <w:widowControl/>
        <w:jc w:val="center"/>
        <w:rPr>
          <w:rFonts w:ascii="华文中宋" w:hAnsi="华文中宋" w:eastAsia="方正小标宋_GBK" w:cs="宋体"/>
          <w:kern w:val="0"/>
          <w:sz w:val="36"/>
          <w:szCs w:val="36"/>
        </w:rPr>
      </w:pPr>
    </w:p>
    <w:p>
      <w:pPr>
        <w:widowControl/>
        <w:jc w:val="center"/>
        <w:rPr>
          <w:rFonts w:ascii="华文中宋" w:hAnsi="华文中宋" w:eastAsia="方正小标宋_GBK" w:cs="宋体"/>
          <w:kern w:val="0"/>
          <w:sz w:val="36"/>
          <w:szCs w:val="36"/>
        </w:rPr>
      </w:pPr>
    </w:p>
    <w:p>
      <w:pPr>
        <w:widowControl/>
        <w:jc w:val="center"/>
        <w:rPr>
          <w:rFonts w:ascii="华文中宋" w:hAnsi="华文中宋" w:eastAsia="方正小标宋_GBK" w:cs="宋体"/>
          <w:kern w:val="0"/>
          <w:sz w:val="36"/>
          <w:szCs w:val="36"/>
        </w:rPr>
      </w:pPr>
      <w:r>
        <w:drawing>
          <wp:inline distT="0" distB="0" distL="114300" distR="114300">
            <wp:extent cx="5413375" cy="1939925"/>
            <wp:effectExtent l="0" t="0" r="1587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a:stretch>
                      <a:fillRect/>
                    </a:stretch>
                  </pic:blipFill>
                  <pic:spPr>
                    <a:xfrm>
                      <a:off x="0" y="0"/>
                      <a:ext cx="5413375" cy="1939925"/>
                    </a:xfrm>
                    <a:prstGeom prst="rect">
                      <a:avLst/>
                    </a:prstGeom>
                    <a:noFill/>
                    <a:ln w="9525">
                      <a:noFill/>
                    </a:ln>
                  </pic:spPr>
                </pic:pic>
              </a:graphicData>
            </a:graphic>
          </wp:inline>
        </w:drawing>
      </w:r>
    </w:p>
    <w:p>
      <w:pPr>
        <w:widowControl/>
        <w:jc w:val="center"/>
        <w:rPr>
          <w:rFonts w:ascii="华文中宋" w:hAnsi="华文中宋" w:eastAsia="方正小标宋_GBK" w:cs="宋体"/>
          <w:kern w:val="0"/>
          <w:sz w:val="36"/>
          <w:szCs w:val="36"/>
        </w:rPr>
      </w:pPr>
    </w:p>
    <w:p>
      <w:pPr>
        <w:widowControl/>
        <w:jc w:val="center"/>
        <w:rPr>
          <w:rFonts w:ascii="华文中宋" w:hAnsi="华文中宋" w:eastAsia="方正小标宋_GBK" w:cs="宋体"/>
          <w:kern w:val="0"/>
          <w:sz w:val="36"/>
          <w:szCs w:val="36"/>
        </w:rPr>
      </w:pPr>
    </w:p>
    <w:p>
      <w:pPr>
        <w:widowControl/>
        <w:jc w:val="center"/>
        <w:rPr>
          <w:rFonts w:ascii="华文中宋" w:hAnsi="华文中宋" w:eastAsia="方正小标宋_GBK" w:cs="宋体"/>
          <w:kern w:val="0"/>
          <w:sz w:val="36"/>
          <w:szCs w:val="36"/>
        </w:rPr>
      </w:pPr>
      <w:r>
        <w:drawing>
          <wp:inline distT="0" distB="0" distL="114300" distR="114300">
            <wp:extent cx="5433060" cy="2529840"/>
            <wp:effectExtent l="0" t="0" r="1524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433060" cy="2529840"/>
                    </a:xfrm>
                    <a:prstGeom prst="rect">
                      <a:avLst/>
                    </a:prstGeom>
                    <a:noFill/>
                    <a:ln w="9525">
                      <a:noFill/>
                    </a:ln>
                  </pic:spPr>
                </pic:pic>
              </a:graphicData>
            </a:graphic>
          </wp:inline>
        </w:drawing>
      </w:r>
    </w:p>
    <w:p>
      <w:pPr>
        <w:widowControl/>
        <w:jc w:val="center"/>
        <w:rPr>
          <w:rFonts w:ascii="华文中宋" w:hAnsi="华文中宋" w:eastAsia="方正小标宋_GBK" w:cs="宋体"/>
          <w:kern w:val="0"/>
          <w:sz w:val="36"/>
          <w:szCs w:val="36"/>
        </w:rPr>
      </w:pPr>
    </w:p>
    <w:p>
      <w:pPr>
        <w:widowControl/>
        <w:jc w:val="left"/>
        <w:rPr>
          <w:rFonts w:ascii="Times New Roman" w:hAnsi="宋体" w:eastAsia="仿宋_GB2312" w:cs="Times New Roman"/>
          <w:kern w:val="0"/>
          <w:sz w:val="24"/>
          <w:szCs w:val="24"/>
        </w:rPr>
      </w:pP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第三部分  </w:t>
      </w:r>
      <w:r>
        <w:rPr>
          <w:rFonts w:hint="eastAsia" w:ascii="Times New Roman" w:hAnsi="Times New Roman" w:eastAsia="黑体" w:cs="Times New Roman"/>
          <w:bCs/>
          <w:kern w:val="0"/>
          <w:sz w:val="32"/>
          <w:szCs w:val="32"/>
          <w:lang w:eastAsia="zh-CN"/>
        </w:rPr>
        <w:t>市政府办</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年度部门决算情况说明</w:t>
      </w:r>
    </w:p>
    <w:p>
      <w:pPr>
        <w:widowControl/>
        <w:spacing w:line="600" w:lineRule="exact"/>
        <w:ind w:firstLine="480" w:firstLineChars="150"/>
        <w:rPr>
          <w:rFonts w:ascii="Times New Roman" w:hAnsi="Times New Roman" w:eastAsia="黑体" w:cs="Times New Roman"/>
          <w:bCs/>
          <w:kern w:val="0"/>
          <w:sz w:val="32"/>
          <w:szCs w:val="32"/>
        </w:rPr>
      </w:pPr>
      <w:r>
        <w:rPr>
          <w:rFonts w:ascii="Times New Roman" w:hAnsi="Times New Roman" w:eastAsia="仿宋_GB2312" w:cs="Times New Roman"/>
          <w:kern w:val="0"/>
          <w:sz w:val="32"/>
          <w:szCs w:val="32"/>
        </w:rPr>
        <w:t>一、收入支出决算总体情况说明</w:t>
      </w:r>
    </w:p>
    <w:p>
      <w:pPr>
        <w:widowControl/>
        <w:ind w:firstLine="627" w:firstLineChars="196"/>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全年总收入3948.4万元，</w:t>
      </w:r>
      <w:r>
        <w:rPr>
          <w:rFonts w:hint="eastAsia" w:ascii="仿宋_GB2312" w:hAnsi="仿宋" w:eastAsia="仿宋_GB2312"/>
          <w:color w:val="auto"/>
          <w:sz w:val="32"/>
          <w:szCs w:val="32"/>
          <w:lang w:val="en-US" w:eastAsia="zh-CN"/>
        </w:rPr>
        <w:t>与上年度3512.78万元相比增加了12.4%，主要是因为增加了维修工程。</w:t>
      </w:r>
    </w:p>
    <w:p>
      <w:pPr>
        <w:widowControl/>
        <w:ind w:firstLine="627" w:firstLineChars="196"/>
        <w:rPr>
          <w:rFonts w:hint="eastAsia" w:ascii="仿宋_GB2312" w:hAnsi="仿宋" w:eastAsia="仿宋_GB2312"/>
          <w:color w:val="auto"/>
          <w:sz w:val="32"/>
          <w:szCs w:val="32"/>
          <w:lang w:val="en-US" w:eastAsia="zh-CN"/>
        </w:rPr>
      </w:pPr>
      <w:r>
        <w:rPr>
          <w:rFonts w:hint="eastAsia" w:ascii="仿宋_GB2312" w:hAnsi="仿宋" w:eastAsia="仿宋_GB2312"/>
          <w:sz w:val="32"/>
          <w:szCs w:val="32"/>
          <w:lang w:eastAsia="zh-CN"/>
        </w:rPr>
        <w:t>全年总支出</w:t>
      </w:r>
      <w:r>
        <w:rPr>
          <w:rFonts w:hint="eastAsia" w:ascii="仿宋_GB2312" w:hAnsi="仿宋" w:eastAsia="仿宋_GB2312"/>
          <w:sz w:val="32"/>
          <w:szCs w:val="32"/>
          <w:lang w:val="en-US" w:eastAsia="zh-CN"/>
        </w:rPr>
        <w:t>4353.07万元，</w:t>
      </w:r>
      <w:r>
        <w:rPr>
          <w:rFonts w:hint="eastAsia" w:ascii="仿宋_GB2312" w:hAnsi="仿宋" w:eastAsia="仿宋_GB2312"/>
          <w:color w:val="auto"/>
          <w:sz w:val="32"/>
          <w:szCs w:val="32"/>
          <w:lang w:val="en-US" w:eastAsia="zh-CN"/>
        </w:rPr>
        <w:t>与上年度3483.19万元相比增加了24.97%，主要是因为增加了维修工程的开支。</w:t>
      </w:r>
    </w:p>
    <w:p>
      <w:pPr>
        <w:widowControl/>
        <w:spacing w:line="60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二、收入决算情况说明</w:t>
      </w:r>
    </w:p>
    <w:p>
      <w:pPr>
        <w:widowControl/>
        <w:ind w:firstLine="627" w:firstLineChars="196"/>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全年总收入3948.4万元，全部为财政拨款收入。</w:t>
      </w:r>
    </w:p>
    <w:p>
      <w:pPr>
        <w:widowControl/>
        <w:spacing w:line="60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三、支出决算情况说明</w:t>
      </w:r>
    </w:p>
    <w:p>
      <w:pPr>
        <w:widowControl/>
        <w:spacing w:line="600" w:lineRule="exact"/>
        <w:ind w:firstLine="640" w:firstLineChars="200"/>
        <w:rPr>
          <w:rFonts w:ascii="Times New Roman" w:hAnsi="Times New Roman" w:eastAsia="仿宋_GB2312" w:cs="Times New Roman"/>
          <w:b/>
          <w:bCs/>
          <w:color w:val="FF0000"/>
          <w:kern w:val="0"/>
          <w:sz w:val="32"/>
          <w:szCs w:val="32"/>
        </w:rPr>
      </w:pPr>
      <w:r>
        <w:rPr>
          <w:rFonts w:hint="eastAsia" w:ascii="仿宋_GB2312" w:hAnsi="仿宋" w:eastAsia="仿宋_GB2312"/>
          <w:sz w:val="32"/>
          <w:szCs w:val="32"/>
          <w:lang w:eastAsia="zh-CN"/>
        </w:rPr>
        <w:t>全年</w:t>
      </w:r>
      <w:r>
        <w:rPr>
          <w:rFonts w:hint="eastAsia" w:ascii="仿宋_GB2312" w:hAnsi="仿宋" w:eastAsia="仿宋_GB2312"/>
          <w:color w:val="000000" w:themeColor="text1"/>
          <w:sz w:val="32"/>
          <w:szCs w:val="32"/>
          <w:lang w:eastAsia="zh-CN"/>
          <w14:textFill>
            <w14:solidFill>
              <w14:schemeClr w14:val="tx1"/>
            </w14:solidFill>
          </w14:textFill>
        </w:rPr>
        <w:t>总支出</w:t>
      </w:r>
      <w:r>
        <w:rPr>
          <w:rFonts w:hint="eastAsia" w:ascii="仿宋_GB2312" w:hAnsi="仿宋" w:eastAsia="仿宋_GB2312"/>
          <w:color w:val="000000" w:themeColor="text1"/>
          <w:sz w:val="32"/>
          <w:szCs w:val="32"/>
          <w:lang w:val="en-US" w:eastAsia="zh-CN"/>
          <w14:textFill>
            <w14:solidFill>
              <w14:schemeClr w14:val="tx1"/>
            </w14:solidFill>
          </w14:textFill>
        </w:rPr>
        <w:t>4353.</w:t>
      </w:r>
      <w:r>
        <w:rPr>
          <w:rFonts w:hint="eastAsia" w:ascii="仿宋_GB2312" w:hAnsi="仿宋" w:eastAsia="仿宋_GB2312"/>
          <w:sz w:val="32"/>
          <w:szCs w:val="32"/>
          <w:lang w:val="en-US" w:eastAsia="zh-CN"/>
        </w:rPr>
        <w:t>07万元，其中：</w:t>
      </w:r>
      <w:r>
        <w:rPr>
          <w:rFonts w:hint="eastAsia" w:ascii="仿宋_GB2312" w:hAnsi="仿宋" w:eastAsia="仿宋_GB2312"/>
          <w:color w:val="000000" w:themeColor="text1"/>
          <w:sz w:val="32"/>
          <w:szCs w:val="32"/>
          <w:lang w:val="en-US" w:eastAsia="zh-CN"/>
          <w14:textFill>
            <w14:solidFill>
              <w14:schemeClr w14:val="tx1"/>
            </w14:solidFill>
          </w14:textFill>
        </w:rPr>
        <w:t>人员经费1083.71万元，占总支出的24.9%；日常公用经费680.31万元，占总支出的15.6%；项目支出2589.05万元，占总支出的59.5%。</w:t>
      </w:r>
    </w:p>
    <w:p>
      <w:pPr>
        <w:widowControl/>
        <w:spacing w:line="60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四、财政拨款收入支出决算总体情况说明</w:t>
      </w:r>
    </w:p>
    <w:p>
      <w:pPr>
        <w:widowControl/>
        <w:spacing w:line="600" w:lineRule="exact"/>
        <w:ind w:firstLine="627" w:firstLineChars="196"/>
        <w:jc w:val="left"/>
        <w:rPr>
          <w:rFonts w:hint="eastAsia" w:ascii="仿宋_GB2312" w:hAnsi="仿宋" w:eastAsia="仿宋_GB2312"/>
          <w:color w:val="auto"/>
          <w:sz w:val="32"/>
          <w:szCs w:val="32"/>
          <w:lang w:val="en-US" w:eastAsia="zh-CN"/>
        </w:rPr>
      </w:pPr>
      <w:r>
        <w:rPr>
          <w:rFonts w:hint="eastAsia" w:ascii="仿宋_GB2312" w:hAnsi="仿宋" w:eastAsia="仿宋_GB2312"/>
          <w:sz w:val="32"/>
          <w:szCs w:val="32"/>
          <w:lang w:eastAsia="zh-CN"/>
        </w:rPr>
        <w:t>本年度财政拨款收入</w:t>
      </w:r>
      <w:r>
        <w:rPr>
          <w:rFonts w:hint="eastAsia" w:ascii="仿宋_GB2312" w:hAnsi="仿宋" w:eastAsia="仿宋_GB2312"/>
          <w:sz w:val="32"/>
          <w:szCs w:val="32"/>
          <w:lang w:val="en-US" w:eastAsia="zh-CN"/>
        </w:rPr>
        <w:t>3948.4万元，</w:t>
      </w:r>
      <w:r>
        <w:rPr>
          <w:rFonts w:hint="eastAsia" w:ascii="仿宋_GB2312" w:hAnsi="仿宋" w:eastAsia="仿宋_GB2312"/>
          <w:color w:val="auto"/>
          <w:sz w:val="32"/>
          <w:szCs w:val="32"/>
          <w:lang w:val="en-US" w:eastAsia="zh-CN"/>
        </w:rPr>
        <w:t>与上年度3512.78万元相比增加了12.4%，主要是因为增加了维修工程。</w:t>
      </w:r>
    </w:p>
    <w:p>
      <w:pPr>
        <w:widowControl/>
        <w:spacing w:line="600" w:lineRule="exact"/>
        <w:ind w:firstLine="627" w:firstLineChars="196"/>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支出4353.07万元，</w:t>
      </w:r>
      <w:r>
        <w:rPr>
          <w:rFonts w:hint="eastAsia" w:ascii="仿宋_GB2312" w:hAnsi="仿宋" w:eastAsia="仿宋_GB2312"/>
          <w:color w:val="auto"/>
          <w:sz w:val="32"/>
          <w:szCs w:val="32"/>
          <w:lang w:val="en-US" w:eastAsia="zh-CN"/>
        </w:rPr>
        <w:t>与上年度3483.19万元相比增加了24.97%，主要是因为增加了维修工程的开支。</w:t>
      </w:r>
    </w:p>
    <w:p>
      <w:pPr>
        <w:widowControl/>
        <w:spacing w:line="60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五、一般公共预算财政拨款支出决算情况说明</w:t>
      </w:r>
    </w:p>
    <w:p>
      <w:pPr>
        <w:widowControl/>
        <w:spacing w:line="60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（一）财政拨款支出决算总体情况。</w:t>
      </w:r>
    </w:p>
    <w:p>
      <w:pPr>
        <w:widowControl/>
        <w:spacing w:line="600" w:lineRule="exact"/>
        <w:ind w:firstLine="640" w:firstLineChars="200"/>
        <w:jc w:val="left"/>
        <w:rPr>
          <w:rFonts w:hint="eastAsia" w:ascii="仿宋_GB2312" w:eastAsia="仿宋_GB2312"/>
          <w:kern w:val="0"/>
          <w:sz w:val="32"/>
          <w:szCs w:val="32"/>
          <w:lang w:eastAsia="zh-CN"/>
        </w:rPr>
      </w:pPr>
      <w:r>
        <w:rPr>
          <w:rFonts w:hint="eastAsia" w:ascii="仿宋_GB2312" w:eastAsia="仿宋_GB2312"/>
          <w:kern w:val="0"/>
          <w:sz w:val="32"/>
          <w:szCs w:val="32"/>
          <w:lang w:eastAsia="zh-CN"/>
        </w:rPr>
        <w:t>本年支出</w:t>
      </w:r>
      <w:r>
        <w:rPr>
          <w:rFonts w:hint="eastAsia" w:ascii="仿宋_GB2312" w:eastAsia="仿宋_GB2312"/>
          <w:kern w:val="0"/>
          <w:sz w:val="32"/>
          <w:szCs w:val="32"/>
          <w:lang w:val="en-US" w:eastAsia="zh-CN"/>
        </w:rPr>
        <w:t>4353.07万元，全部为</w:t>
      </w:r>
      <w:r>
        <w:rPr>
          <w:rFonts w:hint="eastAsia" w:ascii="仿宋_GB2312" w:eastAsia="仿宋_GB2312"/>
          <w:kern w:val="0"/>
          <w:sz w:val="32"/>
          <w:szCs w:val="32"/>
          <w:lang w:eastAsia="zh-CN"/>
        </w:rPr>
        <w:t>一般公共预算财政拨款支出。</w:t>
      </w:r>
    </w:p>
    <w:p>
      <w:pPr>
        <w:widowControl/>
        <w:spacing w:line="600" w:lineRule="exact"/>
        <w:ind w:firstLine="640" w:firstLineChars="200"/>
        <w:jc w:val="left"/>
        <w:rPr>
          <w:rFonts w:hint="eastAsia" w:ascii="仿宋_GB2312" w:eastAsia="仿宋_GB2312"/>
          <w:color w:val="FF0000"/>
          <w:kern w:val="0"/>
          <w:sz w:val="32"/>
          <w:szCs w:val="32"/>
          <w:lang w:val="en-US" w:eastAsia="zh-CN"/>
        </w:rPr>
      </w:pPr>
      <w:r>
        <w:rPr>
          <w:rFonts w:hint="eastAsia" w:ascii="仿宋_GB2312" w:eastAsia="仿宋_GB2312"/>
          <w:color w:val="auto"/>
          <w:kern w:val="0"/>
          <w:sz w:val="32"/>
          <w:szCs w:val="32"/>
          <w:lang w:eastAsia="zh-CN"/>
        </w:rPr>
        <w:t>本年一般公共预算财政拨款支出与上年度</w:t>
      </w:r>
      <w:r>
        <w:rPr>
          <w:rFonts w:hint="eastAsia" w:ascii="仿宋_GB2312" w:hAnsi="仿宋" w:eastAsia="仿宋_GB2312"/>
          <w:color w:val="auto"/>
          <w:sz w:val="32"/>
          <w:szCs w:val="32"/>
          <w:lang w:val="en-US" w:eastAsia="zh-CN"/>
        </w:rPr>
        <w:t>3483.19万元相比增加了24.97%，主要是因为增加了维修工程的开支。</w:t>
      </w:r>
      <w:r>
        <w:rPr>
          <w:rFonts w:hint="eastAsia" w:ascii="仿宋_GB2312" w:eastAsia="仿宋_GB2312"/>
          <w:color w:val="FF0000"/>
          <w:kern w:val="0"/>
          <w:sz w:val="32"/>
          <w:szCs w:val="32"/>
          <w:lang w:val="en-US" w:eastAsia="zh-CN"/>
        </w:rPr>
        <w:t xml:space="preserve">    </w:t>
      </w:r>
    </w:p>
    <w:p>
      <w:pPr>
        <w:widowControl/>
        <w:spacing w:line="60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（二）财政拨款支出决算结构情况。</w:t>
      </w:r>
    </w:p>
    <w:p>
      <w:pPr>
        <w:widowControl/>
        <w:spacing w:line="600" w:lineRule="exact"/>
        <w:ind w:firstLine="640" w:firstLineChars="200"/>
        <w:rPr>
          <w:rFonts w:hint="eastAsia" w:ascii="仿宋_GB2312" w:eastAsia="仿宋_GB2312"/>
          <w:kern w:val="0"/>
          <w:sz w:val="32"/>
          <w:szCs w:val="32"/>
        </w:rPr>
      </w:pPr>
      <w:r>
        <w:rPr>
          <w:rFonts w:hint="eastAsia" w:ascii="仿宋_GB2312" w:hAnsi="仿宋" w:eastAsia="仿宋_GB2312"/>
          <w:sz w:val="32"/>
          <w:szCs w:val="32"/>
          <w:lang w:eastAsia="zh-CN"/>
        </w:rPr>
        <w:t>财政拨款支出</w:t>
      </w:r>
      <w:r>
        <w:rPr>
          <w:rFonts w:hint="eastAsia" w:ascii="仿宋_GB2312" w:hAnsi="仿宋" w:eastAsia="仿宋_GB2312"/>
          <w:sz w:val="32"/>
          <w:szCs w:val="32"/>
          <w:lang w:val="en-US" w:eastAsia="zh-CN"/>
        </w:rPr>
        <w:t>4353.07万元，其中：</w:t>
      </w:r>
      <w:r>
        <w:rPr>
          <w:rFonts w:hint="eastAsia" w:ascii="仿宋_GB2312" w:hAnsi="仿宋" w:eastAsia="仿宋_GB2312"/>
          <w:color w:val="000000" w:themeColor="text1"/>
          <w:sz w:val="32"/>
          <w:szCs w:val="32"/>
          <w:lang w:val="en-US" w:eastAsia="zh-CN"/>
          <w14:textFill>
            <w14:solidFill>
              <w14:schemeClr w14:val="tx1"/>
            </w14:solidFill>
          </w14:textFill>
        </w:rPr>
        <w:t>人员经费1083.71万元，占总支出的24.9%；日常公用经费680.31万元，占总支出的15.6%；项目支出2589.05万元，占总支出的59.5%。</w:t>
      </w:r>
    </w:p>
    <w:p>
      <w:pPr>
        <w:widowControl/>
        <w:spacing w:line="60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bCs/>
          <w:kern w:val="0"/>
          <w:sz w:val="32"/>
          <w:szCs w:val="32"/>
        </w:rPr>
        <w:t>（三）财政拨款支出决算具体情况。</w:t>
      </w:r>
    </w:p>
    <w:p>
      <w:pPr>
        <w:numPr>
          <w:ilvl w:val="0"/>
          <w:numId w:val="0"/>
        </w:numPr>
        <w:snapToGrid w:val="0"/>
        <w:spacing w:line="520" w:lineRule="exact"/>
        <w:ind w:firstLine="640"/>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eastAsia="zh-CN"/>
        </w:rPr>
        <w:t>本年度财政拨款预算支出</w:t>
      </w:r>
      <w:r>
        <w:rPr>
          <w:rFonts w:hint="eastAsia" w:ascii="仿宋_GB2312" w:eastAsia="仿宋_GB2312"/>
          <w:color w:val="auto"/>
          <w:kern w:val="0"/>
          <w:sz w:val="32"/>
          <w:szCs w:val="32"/>
          <w:lang w:val="en-US" w:eastAsia="zh-CN"/>
        </w:rPr>
        <w:t>3176.54万元，</w:t>
      </w:r>
      <w:r>
        <w:rPr>
          <w:rFonts w:hint="eastAsia" w:ascii="仿宋_GB2312" w:eastAsia="仿宋_GB2312"/>
          <w:kern w:val="0"/>
          <w:sz w:val="32"/>
          <w:szCs w:val="32"/>
          <w:lang w:val="en-US" w:eastAsia="zh-CN"/>
        </w:rPr>
        <w:t>实际支出4353.07万元，</w:t>
      </w:r>
      <w:r>
        <w:rPr>
          <w:rFonts w:hint="eastAsia" w:ascii="仿宋_GB2312" w:eastAsia="仿宋_GB2312"/>
          <w:color w:val="auto"/>
          <w:kern w:val="0"/>
          <w:sz w:val="32"/>
          <w:szCs w:val="32"/>
          <w:lang w:val="en-US" w:eastAsia="zh-CN"/>
        </w:rPr>
        <w:t>增加了37.04%，主要是因为增加了项目支出2583.04万元。</w:t>
      </w:r>
    </w:p>
    <w:p>
      <w:pPr>
        <w:widowControl/>
        <w:spacing w:line="600" w:lineRule="exact"/>
        <w:ind w:firstLine="640" w:firstLineChars="200"/>
        <w:rPr>
          <w:rFonts w:ascii="Times New Roman" w:hAnsi="Times New Roman" w:eastAsia="仿宋_GB2312" w:cs="Times New Roman"/>
          <w:bCs/>
          <w:color w:val="000000" w:themeColor="text1"/>
          <w:kern w:val="0"/>
          <w:sz w:val="32"/>
          <w:szCs w:val="32"/>
          <w14:textFill>
            <w14:solidFill>
              <w14:schemeClr w14:val="tx1"/>
            </w14:solidFill>
          </w14:textFill>
        </w:rPr>
      </w:pPr>
      <w:r>
        <w:rPr>
          <w:rFonts w:ascii="Times New Roman" w:hAnsi="Times New Roman" w:eastAsia="仿宋_GB2312" w:cs="Times New Roman"/>
          <w:bCs/>
          <w:color w:val="000000" w:themeColor="text1"/>
          <w:kern w:val="0"/>
          <w:sz w:val="32"/>
          <w:szCs w:val="32"/>
          <w14:textFill>
            <w14:solidFill>
              <w14:schemeClr w14:val="tx1"/>
            </w14:solidFill>
          </w14:textFill>
        </w:rPr>
        <w:t>六、一般公共预算财政拨款基本支出决算情况说明</w:t>
      </w:r>
    </w:p>
    <w:p>
      <w:pPr>
        <w:snapToGrid w:val="0"/>
        <w:spacing w:line="520" w:lineRule="exact"/>
        <w:ind w:left="319" w:leftChars="152" w:firstLine="294" w:firstLineChars="92"/>
        <w:rPr>
          <w:rFonts w:hint="eastAsia" w:ascii="仿宋_GB2312" w:eastAsia="仿宋_GB2312"/>
          <w:bCs/>
          <w:color w:val="000000" w:themeColor="text1"/>
          <w:kern w:val="0"/>
          <w:sz w:val="32"/>
          <w:szCs w:val="32"/>
          <w:lang w:val="en-US" w:eastAsia="zh-CN"/>
          <w14:textFill>
            <w14:solidFill>
              <w14:schemeClr w14:val="tx1"/>
            </w14:solidFill>
          </w14:textFill>
        </w:rPr>
      </w:pPr>
      <w:r>
        <w:rPr>
          <w:rFonts w:hint="eastAsia" w:ascii="仿宋_GB2312" w:eastAsia="仿宋_GB2312"/>
          <w:bCs/>
          <w:color w:val="000000" w:themeColor="text1"/>
          <w:kern w:val="0"/>
          <w:sz w:val="32"/>
          <w:szCs w:val="32"/>
          <w14:textFill>
            <w14:solidFill>
              <w14:schemeClr w14:val="tx1"/>
            </w14:solidFill>
          </w14:textFill>
        </w:rPr>
        <w:t>一般公共预算财政拨款基本支出</w:t>
      </w:r>
      <w:r>
        <w:rPr>
          <w:rFonts w:hint="eastAsia" w:ascii="仿宋_GB2312" w:eastAsia="仿宋_GB2312"/>
          <w:bCs/>
          <w:color w:val="000000" w:themeColor="text1"/>
          <w:kern w:val="0"/>
          <w:sz w:val="32"/>
          <w:szCs w:val="32"/>
          <w:lang w:val="en-US" w:eastAsia="zh-CN"/>
          <w14:textFill>
            <w14:solidFill>
              <w14:schemeClr w14:val="tx1"/>
            </w14:solidFill>
          </w14:textFill>
        </w:rPr>
        <w:t>1764.02万元，其中：</w:t>
      </w:r>
    </w:p>
    <w:p>
      <w:pPr>
        <w:snapToGrid w:val="0"/>
        <w:spacing w:line="520" w:lineRule="exact"/>
        <w:ind w:left="0" w:leftChars="0" w:firstLine="611" w:firstLineChars="191"/>
        <w:rPr>
          <w:rFonts w:hint="eastAsia" w:ascii="仿宋_GB2312" w:hAnsi="仿宋" w:eastAsia="仿宋_GB2312"/>
          <w:color w:val="FF0000"/>
          <w:sz w:val="32"/>
          <w:szCs w:val="32"/>
          <w:lang w:val="en-US" w:eastAsia="zh-CN"/>
        </w:rPr>
      </w:pPr>
      <w:r>
        <w:rPr>
          <w:rFonts w:hint="eastAsia" w:ascii="仿宋_GB2312" w:hAnsi="仿宋" w:eastAsia="仿宋_GB2312"/>
          <w:color w:val="auto"/>
          <w:sz w:val="32"/>
          <w:szCs w:val="32"/>
          <w:lang w:val="en-US" w:eastAsia="zh-CN"/>
        </w:rPr>
        <w:t>基本支出中人员经费1083.71万元，占支出的61.43%，主要为：</w:t>
      </w:r>
      <w:r>
        <w:rPr>
          <w:rFonts w:hint="eastAsia" w:ascii="仿宋_GB2312" w:hAnsi="仿宋" w:eastAsia="仿宋_GB2312"/>
          <w:color w:val="000000" w:themeColor="text1"/>
          <w:sz w:val="32"/>
          <w:szCs w:val="32"/>
          <w:lang w:val="en-US" w:eastAsia="zh-CN"/>
          <w14:textFill>
            <w14:solidFill>
              <w14:schemeClr w14:val="tx1"/>
            </w14:solidFill>
          </w14:textFill>
        </w:rPr>
        <w:t>在编在岗人员工资津贴、奖金、社会保障缴费；临聘人员、劳务派遣人员的工资、社会保障缴费；伙食补助费；离退休人员的生活补助；公务员医疗补助。</w:t>
      </w:r>
    </w:p>
    <w:p>
      <w:pPr>
        <w:snapToGrid w:val="0"/>
        <w:spacing w:line="520" w:lineRule="exact"/>
        <w:ind w:left="0" w:leftChars="0" w:firstLine="611" w:firstLineChars="191"/>
        <w:rPr>
          <w:rFonts w:hint="eastAsia" w:ascii="仿宋_GB2312" w:eastAsia="仿宋_GB2312"/>
          <w:b/>
          <w:bCs/>
          <w:color w:val="000000" w:themeColor="text1"/>
          <w:kern w:val="0"/>
          <w:sz w:val="32"/>
          <w:szCs w:val="32"/>
          <w14:textFill>
            <w14:solidFill>
              <w14:schemeClr w14:val="tx1"/>
            </w14:solidFill>
          </w14:textFill>
        </w:rPr>
      </w:pPr>
      <w:r>
        <w:rPr>
          <w:rFonts w:hint="eastAsia" w:ascii="仿宋_GB2312" w:hAnsi="仿宋" w:eastAsia="仿宋_GB2312"/>
          <w:color w:val="auto"/>
          <w:sz w:val="32"/>
          <w:szCs w:val="32"/>
          <w:lang w:val="en-US" w:eastAsia="zh-CN"/>
        </w:rPr>
        <w:t>日常公用经费680.31万元，占支出的38.57%，</w:t>
      </w:r>
      <w:r>
        <w:rPr>
          <w:rFonts w:hint="eastAsia" w:ascii="仿宋_GB2312" w:hAnsi="仿宋" w:eastAsia="仿宋_GB2312"/>
          <w:color w:val="000000" w:themeColor="text1"/>
          <w:sz w:val="32"/>
          <w:szCs w:val="32"/>
          <w:lang w:val="en-US" w:eastAsia="zh-CN"/>
          <w14:textFill>
            <w14:solidFill>
              <w14:schemeClr w14:val="tx1"/>
            </w14:solidFill>
          </w14:textFill>
        </w:rPr>
        <w:t>主要为：日常办公开支；差旅费；因公出国出境费；培训费；福利费；工会经费；大院水电费；物业管理费；大院维修费；公车运行维护费；办公设备购置；赠与等费用。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七、一般公共预算财政拨款“三公”经费支出决算情况说明</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（一）“三公”经费财政拨款支出决算总体情况说明。</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全年三公经费支出</w:t>
      </w:r>
      <w:r>
        <w:rPr>
          <w:rFonts w:hint="eastAsia" w:ascii="仿宋_GB2312" w:hAnsi="仿宋" w:eastAsia="仿宋_GB2312"/>
          <w:sz w:val="32"/>
          <w:szCs w:val="32"/>
          <w:lang w:val="en-US" w:eastAsia="zh-CN"/>
        </w:rPr>
        <w:t>102.6万元，其中：因公出国21.05万元，公务用车运行维护费72.65万元，公务接待费8.91万元。</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1.与年初预算数比较：</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2018年因公出国预算数为22万元，实际支出与预算基本持平；公务用车运行维护费预算192万元，实际支出比预算减少了62.16%；公务接待费预算75万元，实际支出比预算减少了88.12%。</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2.与上年决算数比较：</w:t>
      </w:r>
    </w:p>
    <w:p>
      <w:pPr>
        <w:snapToGrid w:val="0"/>
        <w:spacing w:line="520" w:lineRule="exact"/>
        <w:ind w:firstLine="600" w:firstLineChars="200"/>
        <w:rPr>
          <w:rFonts w:hint="eastAsia" w:ascii="仿宋_GB2312" w:hAnsi="仿宋" w:eastAsia="仿宋_GB2312"/>
          <w:color w:val="FF0000"/>
          <w:sz w:val="32"/>
          <w:szCs w:val="32"/>
          <w:lang w:eastAsia="zh-CN"/>
        </w:rPr>
      </w:pPr>
      <w:r>
        <w:rPr>
          <w:rFonts w:hint="eastAsia" w:ascii="仿宋_GB2312" w:hAnsi="宋体" w:eastAsia="仿宋_GB2312"/>
          <w:sz w:val="30"/>
          <w:szCs w:val="30"/>
        </w:rPr>
        <w:t>较上年决算支出减少35.54万元</w:t>
      </w:r>
      <w:r>
        <w:rPr>
          <w:rFonts w:hint="eastAsia" w:ascii="仿宋_GB2312" w:hAnsi="宋体" w:eastAsia="仿宋_GB2312"/>
          <w:sz w:val="30"/>
          <w:szCs w:val="30"/>
          <w:lang w:eastAsia="zh-CN"/>
        </w:rPr>
        <w:t>，</w:t>
      </w:r>
      <w:r>
        <w:rPr>
          <w:rFonts w:hint="eastAsia" w:ascii="仿宋_GB2312" w:hAnsi="宋体" w:eastAsia="仿宋_GB2312"/>
          <w:sz w:val="30"/>
          <w:szCs w:val="30"/>
        </w:rPr>
        <w:t>下降25.73%，分项为：因公出国（境）费</w:t>
      </w:r>
      <w:r>
        <w:rPr>
          <w:rFonts w:hint="eastAsia" w:ascii="仿宋_GB2312" w:hAnsi="宋体" w:eastAsia="仿宋_GB2312"/>
          <w:sz w:val="30"/>
          <w:szCs w:val="30"/>
          <w:lang w:eastAsia="zh-CN"/>
        </w:rPr>
        <w:t>支出</w:t>
      </w:r>
      <w:r>
        <w:rPr>
          <w:rFonts w:hint="eastAsia" w:ascii="仿宋_GB2312" w:hAnsi="宋体" w:eastAsia="仿宋_GB2312"/>
          <w:sz w:val="30"/>
          <w:szCs w:val="30"/>
        </w:rPr>
        <w:t>21.05</w:t>
      </w:r>
      <w:r>
        <w:rPr>
          <w:rFonts w:hint="eastAsia" w:ascii="仿宋_GB2312" w:hAnsi="宋体" w:eastAsia="仿宋_GB2312"/>
          <w:sz w:val="30"/>
          <w:szCs w:val="30"/>
          <w:lang w:eastAsia="zh-CN"/>
        </w:rPr>
        <w:t>万元，</w:t>
      </w:r>
      <w:r>
        <w:rPr>
          <w:rFonts w:hint="eastAsia" w:ascii="仿宋_GB2312" w:hAnsi="宋体" w:eastAsia="仿宋_GB2312"/>
          <w:sz w:val="30"/>
          <w:szCs w:val="30"/>
        </w:rPr>
        <w:t>公务用车购置及运行维护费支出72.65万元，较上年决算支出减少30.87万元</w:t>
      </w:r>
      <w:r>
        <w:rPr>
          <w:rFonts w:hint="eastAsia" w:ascii="仿宋_GB2312" w:hAnsi="宋体" w:eastAsia="仿宋_GB2312"/>
          <w:sz w:val="30"/>
          <w:szCs w:val="30"/>
          <w:lang w:eastAsia="zh-CN"/>
        </w:rPr>
        <w:t>，</w:t>
      </w:r>
      <w:r>
        <w:rPr>
          <w:rFonts w:hint="eastAsia" w:ascii="仿宋_GB2312" w:hAnsi="宋体" w:eastAsia="仿宋_GB2312"/>
          <w:sz w:val="30"/>
          <w:szCs w:val="30"/>
        </w:rPr>
        <w:t>下降29.8%，主要是</w:t>
      </w:r>
      <w:r>
        <w:rPr>
          <w:rFonts w:hint="eastAsia" w:ascii="仿宋_GB2312" w:hAnsi="宋体" w:eastAsia="仿宋_GB2312"/>
          <w:sz w:val="30"/>
          <w:szCs w:val="30"/>
          <w:lang w:eastAsia="zh-CN"/>
        </w:rPr>
        <w:t>由于</w:t>
      </w:r>
      <w:r>
        <w:rPr>
          <w:rFonts w:hint="eastAsia" w:ascii="仿宋_GB2312" w:hAnsi="宋体" w:eastAsia="仿宋_GB2312"/>
          <w:sz w:val="30"/>
          <w:szCs w:val="30"/>
        </w:rPr>
        <w:t>我办严格执行公务用车管理制度，严控小车燃油及执行公车改革</w:t>
      </w:r>
      <w:r>
        <w:rPr>
          <w:rFonts w:hint="eastAsia" w:ascii="仿宋_GB2312" w:hAnsi="宋体" w:eastAsia="仿宋_GB2312"/>
          <w:sz w:val="30"/>
          <w:szCs w:val="30"/>
          <w:lang w:eastAsia="zh-CN"/>
        </w:rPr>
        <w:t>；</w:t>
      </w:r>
      <w:r>
        <w:rPr>
          <w:rFonts w:hint="eastAsia" w:ascii="仿宋_GB2312" w:hAnsi="宋体" w:eastAsia="仿宋_GB2312"/>
          <w:sz w:val="30"/>
          <w:szCs w:val="30"/>
        </w:rPr>
        <w:t>公务接待费支出8.9</w:t>
      </w:r>
      <w:r>
        <w:rPr>
          <w:rFonts w:hint="eastAsia" w:ascii="仿宋_GB2312" w:hAnsi="宋体" w:eastAsia="仿宋_GB2312"/>
          <w:sz w:val="30"/>
          <w:szCs w:val="30"/>
          <w:lang w:val="en-US" w:eastAsia="zh-CN"/>
        </w:rPr>
        <w:t>1</w:t>
      </w:r>
      <w:r>
        <w:rPr>
          <w:rFonts w:hint="eastAsia" w:ascii="仿宋_GB2312" w:hAnsi="宋体" w:eastAsia="仿宋_GB2312"/>
          <w:sz w:val="30"/>
          <w:szCs w:val="30"/>
        </w:rPr>
        <w:t>万元，较上年决算支出减少14.67万元</w:t>
      </w:r>
      <w:r>
        <w:rPr>
          <w:rFonts w:hint="eastAsia" w:ascii="仿宋_GB2312" w:hAnsi="宋体" w:eastAsia="仿宋_GB2312"/>
          <w:sz w:val="30"/>
          <w:szCs w:val="30"/>
          <w:lang w:eastAsia="zh-CN"/>
        </w:rPr>
        <w:t>，</w:t>
      </w:r>
      <w:r>
        <w:rPr>
          <w:rFonts w:hint="eastAsia" w:ascii="仿宋_GB2312" w:hAnsi="宋体" w:eastAsia="仿宋_GB2312"/>
          <w:sz w:val="30"/>
          <w:szCs w:val="30"/>
        </w:rPr>
        <w:t>下降62.2%，主要是我办公务接待批次和人员减少。</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（二）“三公”经费财政拨款支出决算具体情况说明。</w:t>
      </w:r>
    </w:p>
    <w:p>
      <w:pPr>
        <w:widowControl/>
        <w:ind w:firstLine="640" w:firstLineChars="200"/>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2018年度因公出国支出为21.05万元；公务用车购置支出为0，运行维护费72.65万元（</w:t>
      </w:r>
      <w:r>
        <w:rPr>
          <w:rFonts w:hint="eastAsia" w:ascii="仿宋_GB2312" w:hAnsi="宋体" w:eastAsia="仿宋_GB2312"/>
          <w:sz w:val="30"/>
          <w:szCs w:val="30"/>
        </w:rPr>
        <w:t>市政府车辆编制9台，政府公务车辆平台车辆编制25台，实有20台</w:t>
      </w:r>
      <w:r>
        <w:rPr>
          <w:rFonts w:hint="eastAsia" w:ascii="仿宋_GB2312" w:hAnsi="宋体" w:eastAsia="仿宋_GB2312"/>
          <w:kern w:val="0"/>
          <w:sz w:val="32"/>
          <w:szCs w:val="32"/>
          <w:lang w:val="en-US" w:eastAsia="zh-CN"/>
        </w:rPr>
        <w:t>）；公务接待费支出8.91万元。</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八、政府性基金预算收入支出决算情况</w:t>
      </w:r>
    </w:p>
    <w:p>
      <w:pPr>
        <w:widowControl/>
        <w:spacing w:line="600" w:lineRule="exact"/>
        <w:ind w:firstLine="640" w:firstLineChars="200"/>
        <w:rPr>
          <w:rFonts w:hint="eastAsia" w:ascii="Times New Roman" w:hAnsi="Times New Roman" w:eastAsia="仿宋_GB2312" w:cs="Times New Roman"/>
          <w:bCs/>
          <w:kern w:val="0"/>
          <w:sz w:val="32"/>
          <w:szCs w:val="32"/>
          <w:lang w:eastAsia="zh-CN"/>
        </w:rPr>
      </w:pPr>
      <w:r>
        <w:rPr>
          <w:rFonts w:hint="eastAsia" w:ascii="Times New Roman" w:hAnsi="Times New Roman" w:eastAsia="仿宋_GB2312" w:cs="Times New Roman"/>
          <w:kern w:val="0"/>
          <w:sz w:val="32"/>
          <w:szCs w:val="32"/>
        </w:rPr>
        <w:t>本单位无政府性基金收支</w:t>
      </w:r>
      <w:r>
        <w:rPr>
          <w:rFonts w:hint="eastAsia" w:ascii="Times New Roman" w:hAnsi="Times New Roman" w:eastAsia="仿宋_GB2312" w:cs="Times New Roman"/>
          <w:kern w:val="0"/>
          <w:sz w:val="32"/>
          <w:szCs w:val="32"/>
          <w:lang w:eastAsia="zh-CN"/>
        </w:rPr>
        <w:t>。</w:t>
      </w:r>
    </w:p>
    <w:p>
      <w:pPr>
        <w:widowControl/>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九、关于201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年度预算绩效情况说明</w:t>
      </w:r>
    </w:p>
    <w:p>
      <w:pPr>
        <w:widowControl/>
        <w:ind w:firstLine="640" w:firstLineChars="200"/>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（一）绩效管理工作开展情况。</w:t>
      </w:r>
    </w:p>
    <w:p>
      <w:pPr>
        <w:widowControl/>
        <w:ind w:firstLine="640" w:firstLineChars="200"/>
        <w:rPr>
          <w:rFonts w:hint="eastAsia" w:ascii="仿宋_GB2312" w:hAnsi="宋体" w:eastAsia="仿宋_GB2312"/>
          <w:color w:val="FF0000"/>
          <w:kern w:val="0"/>
          <w:sz w:val="32"/>
          <w:szCs w:val="32"/>
          <w:lang w:val="en-US" w:eastAsia="zh-CN"/>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_GB2312" w:eastAsia="仿宋_GB2312"/>
          <w:color w:val="000000"/>
          <w:sz w:val="32"/>
          <w:szCs w:val="32"/>
          <w:lang w:eastAsia="zh-CN"/>
        </w:rPr>
        <w:t>，</w:t>
      </w:r>
      <w:r>
        <w:rPr>
          <w:rFonts w:hint="eastAsia" w:ascii="仿宋_GB2312" w:eastAsia="仿宋_GB2312"/>
          <w:color w:val="000000"/>
          <w:sz w:val="32"/>
          <w:szCs w:val="32"/>
        </w:rPr>
        <w:t>我们</w:t>
      </w:r>
      <w:r>
        <w:rPr>
          <w:rFonts w:hint="eastAsia" w:ascii="仿宋_GB2312" w:eastAsia="仿宋_GB2312"/>
          <w:color w:val="000000"/>
          <w:sz w:val="32"/>
          <w:szCs w:val="32"/>
          <w:lang w:eastAsia="zh-CN"/>
        </w:rPr>
        <w:t>本着厉行节约的原则，</w:t>
      </w:r>
      <w:r>
        <w:rPr>
          <w:rFonts w:hint="eastAsia" w:ascii="仿宋_GB2312" w:eastAsia="仿宋_GB2312"/>
          <w:color w:val="000000"/>
          <w:sz w:val="32"/>
          <w:szCs w:val="32"/>
        </w:rPr>
        <w:t>在工作节奏加快、工作任务加重、工作标准提高的新常态下，</w:t>
      </w:r>
      <w:r>
        <w:rPr>
          <w:rFonts w:hint="eastAsia" w:ascii="仿宋_GB2312" w:eastAsia="仿宋_GB2312"/>
          <w:color w:val="000000"/>
          <w:sz w:val="32"/>
          <w:szCs w:val="32"/>
          <w:lang w:eastAsia="zh-CN"/>
        </w:rPr>
        <w:t>严控支出关，</w:t>
      </w:r>
      <w:r>
        <w:rPr>
          <w:rFonts w:hint="eastAsia" w:ascii="仿宋_GB2312" w:eastAsia="仿宋_GB2312"/>
          <w:color w:val="000000"/>
          <w:sz w:val="32"/>
          <w:szCs w:val="32"/>
        </w:rPr>
        <w:t>积极应对，担当作为，</w:t>
      </w:r>
      <w:r>
        <w:rPr>
          <w:rFonts w:hint="eastAsia" w:ascii="仿宋_GB2312" w:eastAsia="仿宋_GB2312"/>
          <w:color w:val="000000"/>
          <w:sz w:val="32"/>
          <w:szCs w:val="32"/>
          <w:lang w:eastAsia="zh-CN"/>
        </w:rPr>
        <w:t>圆满完成各项任务，</w:t>
      </w:r>
      <w:r>
        <w:rPr>
          <w:rFonts w:hint="eastAsia" w:ascii="仿宋_GB2312" w:hAnsi="仿宋" w:eastAsia="仿宋_GB2312" w:cs="仿宋_GB2312"/>
          <w:sz w:val="32"/>
          <w:szCs w:val="32"/>
        </w:rPr>
        <w:t>得到了领导</w:t>
      </w:r>
      <w:r>
        <w:rPr>
          <w:rFonts w:hint="eastAsia" w:ascii="仿宋_GB2312" w:hAnsi="仿宋" w:eastAsia="仿宋_GB2312" w:cs="仿宋_GB2312"/>
          <w:sz w:val="32"/>
          <w:szCs w:val="32"/>
          <w:lang w:eastAsia="zh-CN"/>
        </w:rPr>
        <w:t>和群众</w:t>
      </w:r>
      <w:r>
        <w:rPr>
          <w:rFonts w:hint="eastAsia" w:ascii="仿宋_GB2312" w:hAnsi="仿宋" w:eastAsia="仿宋_GB2312" w:cs="仿宋_GB2312"/>
          <w:sz w:val="32"/>
          <w:szCs w:val="32"/>
        </w:rPr>
        <w:t>的肯定</w:t>
      </w:r>
      <w:r>
        <w:rPr>
          <w:rFonts w:hint="eastAsia" w:ascii="仿宋_GB2312" w:hAnsi="仿宋" w:eastAsia="仿宋_GB2312" w:cs="仿宋_GB2312"/>
          <w:sz w:val="32"/>
          <w:szCs w:val="32"/>
          <w:lang w:eastAsia="zh-CN"/>
        </w:rPr>
        <w:t>。</w:t>
      </w:r>
    </w:p>
    <w:p>
      <w:pPr>
        <w:widowControl/>
        <w:ind w:firstLine="640" w:firstLineChars="200"/>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（二）项目绩效自评结果、重点绩效评价结果。</w:t>
      </w:r>
    </w:p>
    <w:p>
      <w:pPr>
        <w:numPr>
          <w:ilvl w:val="0"/>
          <w:numId w:val="0"/>
        </w:num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2018年度市政府办部门整体支出绩效自评等级为优秀。</w:t>
      </w:r>
    </w:p>
    <w:p>
      <w:pPr>
        <w:widowControl/>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十、其他重要事项</w:t>
      </w:r>
    </w:p>
    <w:p>
      <w:pPr>
        <w:autoSpaceDE w:val="0"/>
        <w:autoSpaceDN w:val="0"/>
        <w:adjustRightInd w:val="0"/>
        <w:ind w:firstLine="640" w:firstLineChars="200"/>
        <w:jc w:val="both"/>
        <w:rPr>
          <w:rFonts w:hint="eastAsia" w:ascii="仿宋_GB2312" w:hAnsi="宋体" w:eastAsia="仿宋_GB2312"/>
          <w:color w:val="auto"/>
          <w:kern w:val="0"/>
          <w:sz w:val="32"/>
          <w:szCs w:val="32"/>
          <w:lang w:val="en-US" w:eastAsia="zh-CN"/>
        </w:rPr>
      </w:pPr>
      <w:r>
        <w:rPr>
          <w:rFonts w:hint="eastAsia" w:ascii="仿宋_GB2312" w:hAnsi="宋体" w:eastAsia="仿宋_GB2312"/>
          <w:kern w:val="0"/>
          <w:sz w:val="32"/>
          <w:szCs w:val="32"/>
        </w:rPr>
        <w:t>（一）机关运行经费支出情况。本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201</w:t>
      </w:r>
      <w:r>
        <w:rPr>
          <w:rFonts w:hint="eastAsia" w:ascii="仿宋_GB2312" w:hAnsi="宋体" w:eastAsia="仿宋_GB2312"/>
          <w:kern w:val="0"/>
          <w:sz w:val="32"/>
          <w:szCs w:val="32"/>
          <w:lang w:val="en-US" w:eastAsia="zh-CN"/>
        </w:rPr>
        <w:t>8</w:t>
      </w:r>
      <w:r>
        <w:rPr>
          <w:rFonts w:hint="eastAsia" w:ascii="仿宋_GB2312" w:hAnsi="宋体" w:eastAsia="仿宋_GB2312"/>
          <w:kern w:val="0"/>
          <w:sz w:val="32"/>
          <w:szCs w:val="32"/>
        </w:rPr>
        <w:t>年度机关运行经费支出</w:t>
      </w:r>
      <w:r>
        <w:rPr>
          <w:rFonts w:hint="eastAsia" w:ascii="仿宋_GB2312" w:hAnsi="宋体" w:eastAsia="仿宋_GB2312" w:cs="仿宋_GB2312"/>
          <w:color w:val="000000"/>
          <w:sz w:val="30"/>
          <w:szCs w:val="30"/>
          <w:lang w:val="en-US" w:eastAsia="zh-CN"/>
        </w:rPr>
        <w:t>680.3</w:t>
      </w:r>
      <w:r>
        <w:rPr>
          <w:rFonts w:hint="eastAsia" w:ascii="仿宋_GB2312" w:hAnsi="宋体" w:eastAsia="仿宋_GB2312" w:cs="仿宋_GB2312"/>
          <w:color w:val="000000"/>
          <w:sz w:val="30"/>
          <w:szCs w:val="30"/>
        </w:rPr>
        <w:t>万元</w:t>
      </w:r>
      <w:r>
        <w:rPr>
          <w:rFonts w:hint="eastAsia" w:ascii="仿宋_GB2312" w:hAnsi="宋体" w:eastAsia="仿宋_GB2312"/>
          <w:kern w:val="0"/>
          <w:sz w:val="32"/>
          <w:szCs w:val="32"/>
        </w:rPr>
        <w:t>，</w:t>
      </w:r>
      <w:r>
        <w:rPr>
          <w:rFonts w:hint="eastAsia" w:ascii="仿宋_GB2312" w:hAnsi="宋体" w:eastAsia="仿宋_GB2312"/>
          <w:color w:val="auto"/>
          <w:kern w:val="0"/>
          <w:sz w:val="32"/>
          <w:szCs w:val="32"/>
        </w:rPr>
        <w:t>比201</w:t>
      </w:r>
      <w:r>
        <w:rPr>
          <w:rFonts w:hint="eastAsia" w:ascii="仿宋_GB2312" w:hAnsi="宋体" w:eastAsia="仿宋_GB2312"/>
          <w:color w:val="auto"/>
          <w:kern w:val="0"/>
          <w:sz w:val="32"/>
          <w:szCs w:val="32"/>
          <w:lang w:val="en-US" w:eastAsia="zh-CN"/>
        </w:rPr>
        <w:t>7</w:t>
      </w:r>
      <w:r>
        <w:rPr>
          <w:rFonts w:hint="eastAsia" w:ascii="仿宋_GB2312" w:hAnsi="宋体" w:eastAsia="仿宋_GB2312"/>
          <w:color w:val="auto"/>
          <w:kern w:val="0"/>
          <w:sz w:val="32"/>
          <w:szCs w:val="32"/>
        </w:rPr>
        <w:t>年</w:t>
      </w:r>
      <w:r>
        <w:rPr>
          <w:rFonts w:hint="eastAsia" w:ascii="仿宋_GB2312" w:hAnsi="宋体" w:eastAsia="仿宋_GB2312"/>
          <w:color w:val="auto"/>
          <w:kern w:val="0"/>
          <w:sz w:val="32"/>
          <w:szCs w:val="32"/>
          <w:lang w:val="en-US" w:eastAsia="zh-CN"/>
        </w:rPr>
        <w:t xml:space="preserve">1388.8万元减少了708.5  </w:t>
      </w:r>
      <w:r>
        <w:rPr>
          <w:rFonts w:hint="eastAsia" w:ascii="仿宋_GB2312" w:hAnsi="宋体" w:eastAsia="仿宋_GB2312"/>
          <w:color w:val="auto"/>
          <w:kern w:val="0"/>
          <w:sz w:val="32"/>
          <w:szCs w:val="32"/>
        </w:rPr>
        <w:t>万元，</w:t>
      </w:r>
      <w:r>
        <w:rPr>
          <w:rFonts w:hint="eastAsia" w:ascii="仿宋_GB2312" w:hAnsi="宋体" w:eastAsia="仿宋_GB2312"/>
          <w:color w:val="auto"/>
          <w:kern w:val="0"/>
          <w:sz w:val="32"/>
          <w:szCs w:val="32"/>
          <w:lang w:eastAsia="zh-CN"/>
        </w:rPr>
        <w:t>降低了</w:t>
      </w:r>
      <w:r>
        <w:rPr>
          <w:rFonts w:hint="eastAsia" w:ascii="仿宋_GB2312" w:hAnsi="宋体" w:eastAsia="仿宋_GB2312"/>
          <w:color w:val="auto"/>
          <w:kern w:val="0"/>
          <w:sz w:val="32"/>
          <w:szCs w:val="32"/>
          <w:lang w:val="en-US" w:eastAsia="zh-CN"/>
        </w:rPr>
        <w:t>51.01</w:t>
      </w:r>
      <w:r>
        <w:rPr>
          <w:rFonts w:hint="eastAsia" w:ascii="仿宋_GB2312" w:hAnsi="宋体" w:eastAsia="仿宋_GB2312"/>
          <w:color w:val="auto"/>
          <w:kern w:val="0"/>
          <w:sz w:val="32"/>
          <w:szCs w:val="32"/>
        </w:rPr>
        <w:t>%。</w:t>
      </w:r>
      <w:r>
        <w:rPr>
          <w:rFonts w:hint="eastAsia" w:ascii="仿宋_GB2312" w:hAnsi="宋体" w:eastAsia="仿宋_GB2312"/>
          <w:color w:val="auto"/>
          <w:kern w:val="0"/>
          <w:sz w:val="32"/>
          <w:szCs w:val="32"/>
          <w:lang w:eastAsia="zh-CN"/>
        </w:rPr>
        <w:t>主要是按预算调整了核算项目</w:t>
      </w:r>
      <w:r>
        <w:rPr>
          <w:rFonts w:hint="eastAsia" w:ascii="仿宋_GB2312" w:hAnsi="宋体" w:eastAsia="仿宋_GB2312"/>
          <w:color w:val="auto"/>
          <w:kern w:val="0"/>
          <w:sz w:val="32"/>
          <w:szCs w:val="32"/>
          <w:lang w:val="en-US" w:eastAsia="zh-CN"/>
        </w:rPr>
        <w:t>。</w:t>
      </w:r>
    </w:p>
    <w:p>
      <w:pPr>
        <w:autoSpaceDE w:val="0"/>
        <w:autoSpaceDN w:val="0"/>
        <w:adjustRightInd w:val="0"/>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（二）政府采购支出情况。本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201</w:t>
      </w:r>
      <w:r>
        <w:rPr>
          <w:rFonts w:hint="eastAsia" w:ascii="仿宋_GB2312" w:hAnsi="宋体" w:eastAsia="仿宋_GB2312"/>
          <w:kern w:val="0"/>
          <w:sz w:val="32"/>
          <w:szCs w:val="32"/>
          <w:lang w:val="en-US" w:eastAsia="zh-CN"/>
        </w:rPr>
        <w:t>8</w:t>
      </w:r>
      <w:r>
        <w:rPr>
          <w:rFonts w:hint="eastAsia" w:ascii="仿宋_GB2312" w:hAnsi="宋体" w:eastAsia="仿宋_GB2312"/>
          <w:kern w:val="0"/>
          <w:sz w:val="32"/>
          <w:szCs w:val="32"/>
        </w:rPr>
        <w:t>年度政府采购支出总额</w:t>
      </w:r>
      <w:r>
        <w:rPr>
          <w:rFonts w:hint="eastAsia" w:ascii="仿宋_GB2312" w:hAnsi="宋体" w:eastAsia="仿宋_GB2312"/>
          <w:sz w:val="30"/>
          <w:szCs w:val="30"/>
          <w:lang w:val="en-US" w:eastAsia="zh-CN"/>
        </w:rPr>
        <w:t>700.73</w:t>
      </w:r>
      <w:r>
        <w:rPr>
          <w:rFonts w:hint="eastAsia" w:ascii="仿宋_GB2312" w:hAnsi="宋体" w:eastAsia="仿宋_GB2312"/>
          <w:kern w:val="0"/>
          <w:sz w:val="32"/>
          <w:szCs w:val="32"/>
        </w:rPr>
        <w:t>万元，系办公设备的购置</w:t>
      </w:r>
      <w:r>
        <w:rPr>
          <w:rFonts w:hint="eastAsia" w:ascii="仿宋_GB2312" w:hAnsi="宋体" w:eastAsia="仿宋_GB2312"/>
          <w:kern w:val="0"/>
          <w:sz w:val="32"/>
          <w:szCs w:val="32"/>
          <w:lang w:eastAsia="zh-CN"/>
        </w:rPr>
        <w:t>，</w:t>
      </w:r>
      <w:bookmarkStart w:id="0" w:name="_GoBack"/>
      <w:bookmarkEnd w:id="0"/>
      <w:r>
        <w:rPr>
          <w:rFonts w:hint="eastAsia" w:ascii="仿宋_GB2312" w:hAnsi="宋体" w:eastAsia="仿宋_GB2312"/>
          <w:kern w:val="0"/>
          <w:sz w:val="32"/>
          <w:szCs w:val="32"/>
        </w:rPr>
        <w:t>均按照政府采购相关文件规定办理了相关采购手续。</w:t>
      </w:r>
    </w:p>
    <w:p>
      <w:pPr>
        <w:spacing w:line="540" w:lineRule="exact"/>
        <w:ind w:firstLine="640" w:firstLineChars="200"/>
        <w:jc w:val="left"/>
        <w:rPr>
          <w:rFonts w:hint="eastAsia" w:eastAsia="仿宋_GB2312"/>
          <w:lang w:eastAsia="zh-CN"/>
        </w:rPr>
      </w:pPr>
      <w:r>
        <w:rPr>
          <w:rFonts w:hint="eastAsia" w:ascii="仿宋_GB2312" w:hAnsi="宋体" w:eastAsia="仿宋_GB2312"/>
          <w:kern w:val="0"/>
          <w:sz w:val="32"/>
          <w:szCs w:val="32"/>
        </w:rPr>
        <w:t>（三）国有资产占用情况。截至201</w:t>
      </w:r>
      <w:r>
        <w:rPr>
          <w:rFonts w:hint="eastAsia" w:ascii="仿宋_GB2312" w:hAnsi="宋体" w:eastAsia="仿宋_GB2312"/>
          <w:kern w:val="0"/>
          <w:sz w:val="32"/>
          <w:szCs w:val="32"/>
          <w:lang w:val="en-US" w:eastAsia="zh-CN"/>
        </w:rPr>
        <w:t>8</w:t>
      </w:r>
      <w:r>
        <w:rPr>
          <w:rFonts w:hint="eastAsia" w:ascii="仿宋_GB2312" w:hAnsi="宋体" w:eastAsia="仿宋_GB2312"/>
          <w:kern w:val="0"/>
          <w:sz w:val="32"/>
          <w:szCs w:val="32"/>
        </w:rPr>
        <w:t>年12月31日，本</w:t>
      </w:r>
      <w:r>
        <w:rPr>
          <w:rFonts w:hint="eastAsia" w:ascii="仿宋_GB2312" w:hAnsi="宋体" w:eastAsia="仿宋_GB2312"/>
          <w:kern w:val="0"/>
          <w:sz w:val="32"/>
          <w:szCs w:val="32"/>
          <w:lang w:eastAsia="zh-CN"/>
        </w:rPr>
        <w:t>单位</w:t>
      </w:r>
      <w:r>
        <w:rPr>
          <w:rFonts w:hint="eastAsia" w:ascii="仿宋_GB2312" w:hAnsi="宋体" w:eastAsia="仿宋_GB2312"/>
          <w:sz w:val="30"/>
          <w:szCs w:val="30"/>
        </w:rPr>
        <w:t>车辆编制9台，政府公务车辆平台车辆编制25台，实有20台</w:t>
      </w:r>
      <w:r>
        <w:rPr>
          <w:rFonts w:hint="eastAsia" w:ascii="仿宋_GB2312" w:hAnsi="宋体" w:eastAsia="仿宋_GB2312"/>
          <w:sz w:val="30"/>
          <w:szCs w:val="30"/>
          <w:lang w:eastAsia="zh-CN"/>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Arial Unicode MS"/>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10</w:t>
    </w:r>
    <w:r>
      <w:rPr>
        <w:rFonts w:ascii="Arial" w:hAnsi="Arial" w:cs="Arial"/>
        <w:b/>
        <w:sz w:val="21"/>
        <w:szCs w:val="21"/>
      </w:rPr>
      <w:fldChar w:fldCharType="end"/>
    </w:r>
    <w:r>
      <w:rPr>
        <w:rFonts w:hint="eastAsia"/>
        <w:b/>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8E"/>
    <w:rsid w:val="0000396C"/>
    <w:rsid w:val="00014F8D"/>
    <w:rsid w:val="0002580F"/>
    <w:rsid w:val="00045381"/>
    <w:rsid w:val="00053B5E"/>
    <w:rsid w:val="00063E5A"/>
    <w:rsid w:val="00067E96"/>
    <w:rsid w:val="00071237"/>
    <w:rsid w:val="000722E1"/>
    <w:rsid w:val="000B0A22"/>
    <w:rsid w:val="000D6264"/>
    <w:rsid w:val="000D67F9"/>
    <w:rsid w:val="000D734F"/>
    <w:rsid w:val="0010547A"/>
    <w:rsid w:val="001126DE"/>
    <w:rsid w:val="00121BEB"/>
    <w:rsid w:val="00121CF7"/>
    <w:rsid w:val="001313C1"/>
    <w:rsid w:val="0013198D"/>
    <w:rsid w:val="001374CC"/>
    <w:rsid w:val="0014319B"/>
    <w:rsid w:val="0016239A"/>
    <w:rsid w:val="001738C6"/>
    <w:rsid w:val="00196737"/>
    <w:rsid w:val="001B2D55"/>
    <w:rsid w:val="001B405B"/>
    <w:rsid w:val="001C55ED"/>
    <w:rsid w:val="001C76D8"/>
    <w:rsid w:val="001C7DF1"/>
    <w:rsid w:val="001D0B9C"/>
    <w:rsid w:val="001F2ECD"/>
    <w:rsid w:val="001F6302"/>
    <w:rsid w:val="00221C69"/>
    <w:rsid w:val="0022273F"/>
    <w:rsid w:val="00223992"/>
    <w:rsid w:val="00280052"/>
    <w:rsid w:val="002831E7"/>
    <w:rsid w:val="00287575"/>
    <w:rsid w:val="002E53F4"/>
    <w:rsid w:val="002F06C2"/>
    <w:rsid w:val="002F3363"/>
    <w:rsid w:val="002F7152"/>
    <w:rsid w:val="00302072"/>
    <w:rsid w:val="00312528"/>
    <w:rsid w:val="0032659A"/>
    <w:rsid w:val="00331212"/>
    <w:rsid w:val="003368E2"/>
    <w:rsid w:val="00342ACE"/>
    <w:rsid w:val="0034481E"/>
    <w:rsid w:val="00366933"/>
    <w:rsid w:val="003946BD"/>
    <w:rsid w:val="003B595F"/>
    <w:rsid w:val="003B62C4"/>
    <w:rsid w:val="003C0E07"/>
    <w:rsid w:val="003C55FC"/>
    <w:rsid w:val="003D12D8"/>
    <w:rsid w:val="003D6D54"/>
    <w:rsid w:val="003E6AD9"/>
    <w:rsid w:val="003F0B3B"/>
    <w:rsid w:val="00404E19"/>
    <w:rsid w:val="0042466C"/>
    <w:rsid w:val="00427E6F"/>
    <w:rsid w:val="004428B6"/>
    <w:rsid w:val="00443EB8"/>
    <w:rsid w:val="00445114"/>
    <w:rsid w:val="00446B1E"/>
    <w:rsid w:val="00456DB2"/>
    <w:rsid w:val="004663EB"/>
    <w:rsid w:val="00474309"/>
    <w:rsid w:val="004908FF"/>
    <w:rsid w:val="00490C44"/>
    <w:rsid w:val="00490D3D"/>
    <w:rsid w:val="004A03D3"/>
    <w:rsid w:val="004A5F66"/>
    <w:rsid w:val="004C0935"/>
    <w:rsid w:val="004C441C"/>
    <w:rsid w:val="004C668D"/>
    <w:rsid w:val="004E3160"/>
    <w:rsid w:val="004E6C9F"/>
    <w:rsid w:val="004F2857"/>
    <w:rsid w:val="00512960"/>
    <w:rsid w:val="0051730E"/>
    <w:rsid w:val="00531E52"/>
    <w:rsid w:val="0054376C"/>
    <w:rsid w:val="00557DB6"/>
    <w:rsid w:val="00561D91"/>
    <w:rsid w:val="005625A1"/>
    <w:rsid w:val="00590662"/>
    <w:rsid w:val="005A23EB"/>
    <w:rsid w:val="005A750C"/>
    <w:rsid w:val="005B0C2A"/>
    <w:rsid w:val="005B7510"/>
    <w:rsid w:val="005C6820"/>
    <w:rsid w:val="005D2748"/>
    <w:rsid w:val="005D3D52"/>
    <w:rsid w:val="005E7021"/>
    <w:rsid w:val="005F2BCA"/>
    <w:rsid w:val="00603CD8"/>
    <w:rsid w:val="006266A6"/>
    <w:rsid w:val="006500DF"/>
    <w:rsid w:val="00655CE1"/>
    <w:rsid w:val="00655FC1"/>
    <w:rsid w:val="00674220"/>
    <w:rsid w:val="00675927"/>
    <w:rsid w:val="006915FE"/>
    <w:rsid w:val="006C4007"/>
    <w:rsid w:val="006E4423"/>
    <w:rsid w:val="007009FC"/>
    <w:rsid w:val="007022E9"/>
    <w:rsid w:val="00713E89"/>
    <w:rsid w:val="0072314F"/>
    <w:rsid w:val="00742295"/>
    <w:rsid w:val="0075782C"/>
    <w:rsid w:val="00760D69"/>
    <w:rsid w:val="00762EFC"/>
    <w:rsid w:val="0077261D"/>
    <w:rsid w:val="00781171"/>
    <w:rsid w:val="007835E0"/>
    <w:rsid w:val="0078383A"/>
    <w:rsid w:val="00787EE9"/>
    <w:rsid w:val="0079157A"/>
    <w:rsid w:val="007942A0"/>
    <w:rsid w:val="007A2DC2"/>
    <w:rsid w:val="007B0008"/>
    <w:rsid w:val="007B443C"/>
    <w:rsid w:val="007B4E49"/>
    <w:rsid w:val="007D0245"/>
    <w:rsid w:val="007D620F"/>
    <w:rsid w:val="007D7671"/>
    <w:rsid w:val="007F6521"/>
    <w:rsid w:val="00823D36"/>
    <w:rsid w:val="00825C8A"/>
    <w:rsid w:val="00842795"/>
    <w:rsid w:val="00860953"/>
    <w:rsid w:val="00863D3A"/>
    <w:rsid w:val="00866C97"/>
    <w:rsid w:val="008727A8"/>
    <w:rsid w:val="0087620B"/>
    <w:rsid w:val="00877367"/>
    <w:rsid w:val="00885622"/>
    <w:rsid w:val="00885802"/>
    <w:rsid w:val="00890012"/>
    <w:rsid w:val="008921D4"/>
    <w:rsid w:val="00893F81"/>
    <w:rsid w:val="00895A40"/>
    <w:rsid w:val="008A35DA"/>
    <w:rsid w:val="008A47C8"/>
    <w:rsid w:val="008A4F79"/>
    <w:rsid w:val="008C0D0B"/>
    <w:rsid w:val="008F3807"/>
    <w:rsid w:val="008F7BE8"/>
    <w:rsid w:val="00902D71"/>
    <w:rsid w:val="009138F9"/>
    <w:rsid w:val="00926A56"/>
    <w:rsid w:val="00955403"/>
    <w:rsid w:val="00965253"/>
    <w:rsid w:val="009664AF"/>
    <w:rsid w:val="00980BD5"/>
    <w:rsid w:val="009829F6"/>
    <w:rsid w:val="009D4755"/>
    <w:rsid w:val="009E412D"/>
    <w:rsid w:val="009F0E87"/>
    <w:rsid w:val="009F280A"/>
    <w:rsid w:val="009F4F41"/>
    <w:rsid w:val="00A0516B"/>
    <w:rsid w:val="00A141F0"/>
    <w:rsid w:val="00A16602"/>
    <w:rsid w:val="00A175D1"/>
    <w:rsid w:val="00A245FF"/>
    <w:rsid w:val="00A3341D"/>
    <w:rsid w:val="00A374E2"/>
    <w:rsid w:val="00A45175"/>
    <w:rsid w:val="00A611F5"/>
    <w:rsid w:val="00A731F2"/>
    <w:rsid w:val="00A8613A"/>
    <w:rsid w:val="00A871BD"/>
    <w:rsid w:val="00A9678D"/>
    <w:rsid w:val="00AB6999"/>
    <w:rsid w:val="00AC016C"/>
    <w:rsid w:val="00AC32DE"/>
    <w:rsid w:val="00AD185D"/>
    <w:rsid w:val="00AE1E13"/>
    <w:rsid w:val="00AE4383"/>
    <w:rsid w:val="00B0686B"/>
    <w:rsid w:val="00B06E86"/>
    <w:rsid w:val="00B135B5"/>
    <w:rsid w:val="00B355BF"/>
    <w:rsid w:val="00B50B06"/>
    <w:rsid w:val="00B65C92"/>
    <w:rsid w:val="00B8368D"/>
    <w:rsid w:val="00B83ABC"/>
    <w:rsid w:val="00BA02F4"/>
    <w:rsid w:val="00BA1FA2"/>
    <w:rsid w:val="00BB7F44"/>
    <w:rsid w:val="00BC22FC"/>
    <w:rsid w:val="00BC297B"/>
    <w:rsid w:val="00BC4C4B"/>
    <w:rsid w:val="00BD1569"/>
    <w:rsid w:val="00BF1F0B"/>
    <w:rsid w:val="00C049CB"/>
    <w:rsid w:val="00C101E7"/>
    <w:rsid w:val="00C1573F"/>
    <w:rsid w:val="00C16682"/>
    <w:rsid w:val="00C17609"/>
    <w:rsid w:val="00C359CB"/>
    <w:rsid w:val="00C82E51"/>
    <w:rsid w:val="00CA71E9"/>
    <w:rsid w:val="00CC196A"/>
    <w:rsid w:val="00CD61FA"/>
    <w:rsid w:val="00CE4DDF"/>
    <w:rsid w:val="00D13682"/>
    <w:rsid w:val="00D255AE"/>
    <w:rsid w:val="00D35238"/>
    <w:rsid w:val="00D42FE2"/>
    <w:rsid w:val="00D51828"/>
    <w:rsid w:val="00D56461"/>
    <w:rsid w:val="00D62947"/>
    <w:rsid w:val="00D73FB9"/>
    <w:rsid w:val="00D75082"/>
    <w:rsid w:val="00D813EB"/>
    <w:rsid w:val="00D84A8E"/>
    <w:rsid w:val="00D852B2"/>
    <w:rsid w:val="00D9054A"/>
    <w:rsid w:val="00D9059F"/>
    <w:rsid w:val="00D9071A"/>
    <w:rsid w:val="00D920E8"/>
    <w:rsid w:val="00DA7CF2"/>
    <w:rsid w:val="00DD1392"/>
    <w:rsid w:val="00DF4BBF"/>
    <w:rsid w:val="00E1743B"/>
    <w:rsid w:val="00E3306E"/>
    <w:rsid w:val="00E53BC4"/>
    <w:rsid w:val="00E60FB5"/>
    <w:rsid w:val="00E843F6"/>
    <w:rsid w:val="00E91D5F"/>
    <w:rsid w:val="00E96CD5"/>
    <w:rsid w:val="00EA7A53"/>
    <w:rsid w:val="00EB4CDE"/>
    <w:rsid w:val="00EC22E6"/>
    <w:rsid w:val="00EF0B41"/>
    <w:rsid w:val="00F0012A"/>
    <w:rsid w:val="00F006CE"/>
    <w:rsid w:val="00F075F4"/>
    <w:rsid w:val="00F5057A"/>
    <w:rsid w:val="00F50F98"/>
    <w:rsid w:val="00F6480A"/>
    <w:rsid w:val="00F67AB7"/>
    <w:rsid w:val="00F83ECE"/>
    <w:rsid w:val="00F84841"/>
    <w:rsid w:val="00F91A31"/>
    <w:rsid w:val="00FB50AD"/>
    <w:rsid w:val="00FB5338"/>
    <w:rsid w:val="00FC11B7"/>
    <w:rsid w:val="00FC58E4"/>
    <w:rsid w:val="00FD2D41"/>
    <w:rsid w:val="00FD2F56"/>
    <w:rsid w:val="00FD4F8E"/>
    <w:rsid w:val="00FF4EAA"/>
    <w:rsid w:val="00FF517E"/>
    <w:rsid w:val="00FF5A03"/>
    <w:rsid w:val="0475203E"/>
    <w:rsid w:val="074D4EE6"/>
    <w:rsid w:val="0A484637"/>
    <w:rsid w:val="0A7F2BC7"/>
    <w:rsid w:val="0BDB70DD"/>
    <w:rsid w:val="0C196C65"/>
    <w:rsid w:val="0CA74107"/>
    <w:rsid w:val="0F6A3600"/>
    <w:rsid w:val="101B185B"/>
    <w:rsid w:val="11850F06"/>
    <w:rsid w:val="12507A94"/>
    <w:rsid w:val="127D584C"/>
    <w:rsid w:val="130D28FB"/>
    <w:rsid w:val="13B65066"/>
    <w:rsid w:val="14E3563D"/>
    <w:rsid w:val="151708B1"/>
    <w:rsid w:val="169802D0"/>
    <w:rsid w:val="17C915EF"/>
    <w:rsid w:val="17DF4C95"/>
    <w:rsid w:val="18405771"/>
    <w:rsid w:val="1A1F2442"/>
    <w:rsid w:val="1B5603D5"/>
    <w:rsid w:val="1BFE6CAD"/>
    <w:rsid w:val="1CD075C7"/>
    <w:rsid w:val="1E1F0580"/>
    <w:rsid w:val="22BB237D"/>
    <w:rsid w:val="23AC20B4"/>
    <w:rsid w:val="254417F0"/>
    <w:rsid w:val="261957B0"/>
    <w:rsid w:val="28416012"/>
    <w:rsid w:val="2AB32AA5"/>
    <w:rsid w:val="2C3E5BB3"/>
    <w:rsid w:val="2CCA174D"/>
    <w:rsid w:val="2E5153DE"/>
    <w:rsid w:val="2F3D6F9C"/>
    <w:rsid w:val="312D455E"/>
    <w:rsid w:val="33871968"/>
    <w:rsid w:val="36DF47CD"/>
    <w:rsid w:val="38C81C4C"/>
    <w:rsid w:val="396B7E55"/>
    <w:rsid w:val="3BFF5248"/>
    <w:rsid w:val="3F074624"/>
    <w:rsid w:val="41361F68"/>
    <w:rsid w:val="41E375E6"/>
    <w:rsid w:val="42732C54"/>
    <w:rsid w:val="44A65E3E"/>
    <w:rsid w:val="44F555D5"/>
    <w:rsid w:val="455473BA"/>
    <w:rsid w:val="458D6958"/>
    <w:rsid w:val="46AA38F6"/>
    <w:rsid w:val="4A162F0C"/>
    <w:rsid w:val="4B82576B"/>
    <w:rsid w:val="4BC3008D"/>
    <w:rsid w:val="4BEF4449"/>
    <w:rsid w:val="4D7806D3"/>
    <w:rsid w:val="4E244BE0"/>
    <w:rsid w:val="4F531DD4"/>
    <w:rsid w:val="50C71949"/>
    <w:rsid w:val="50ED70C4"/>
    <w:rsid w:val="515E7CCF"/>
    <w:rsid w:val="52270BC5"/>
    <w:rsid w:val="5504677C"/>
    <w:rsid w:val="563723F0"/>
    <w:rsid w:val="58831511"/>
    <w:rsid w:val="58886CF0"/>
    <w:rsid w:val="5B2B2A14"/>
    <w:rsid w:val="5B5E65BD"/>
    <w:rsid w:val="5B7F16DE"/>
    <w:rsid w:val="5BB56697"/>
    <w:rsid w:val="5C0415A1"/>
    <w:rsid w:val="5D1A2F2E"/>
    <w:rsid w:val="5DA36089"/>
    <w:rsid w:val="62491CCC"/>
    <w:rsid w:val="62ED1F53"/>
    <w:rsid w:val="64D27452"/>
    <w:rsid w:val="668330DE"/>
    <w:rsid w:val="675E7F44"/>
    <w:rsid w:val="68333605"/>
    <w:rsid w:val="6A4D63E1"/>
    <w:rsid w:val="6B2B429E"/>
    <w:rsid w:val="6BA329ED"/>
    <w:rsid w:val="6C216EA3"/>
    <w:rsid w:val="7096601A"/>
    <w:rsid w:val="70F82493"/>
    <w:rsid w:val="71065A18"/>
    <w:rsid w:val="71CF37F1"/>
    <w:rsid w:val="727A572D"/>
    <w:rsid w:val="73582851"/>
    <w:rsid w:val="7676212E"/>
    <w:rsid w:val="77E4770F"/>
    <w:rsid w:val="79C74560"/>
    <w:rsid w:val="7ACD7AC8"/>
    <w:rsid w:val="7E552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261</Words>
  <Characters>1489</Characters>
  <Lines>12</Lines>
  <Paragraphs>3</Paragraphs>
  <TotalTime>153</TotalTime>
  <ScaleCrop>false</ScaleCrop>
  <LinksUpToDate>false</LinksUpToDate>
  <CharactersWithSpaces>1747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2019-08-09T02:13:00Z</dcterms:created>
  <dc:creator>周亮辉 10.104.93.85</dc:creator>
  <cp:lastModifiedBy>Administrator</cp:lastModifiedBy>
  <dcterms:modified xsi:type="dcterms:W3CDTF">2019-09-25T13:56:36Z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