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bookmarkStart w:id="0" w:name="OLE_LINK1"/>
      <w:r>
        <w:rPr>
          <w:rFonts w:hint="default" w:ascii="微软雅黑" w:hAnsi="微软雅黑" w:eastAsia="微软雅黑" w:cs="微软雅黑"/>
          <w:b/>
          <w:i w:val="0"/>
          <w:caps w:val="0"/>
          <w:color w:val="4B4B4B"/>
          <w:spacing w:val="0"/>
          <w:sz w:val="30"/>
          <w:szCs w:val="30"/>
          <w:bdr w:val="none" w:color="auto" w:sz="0" w:space="0"/>
          <w:shd w:val="clear" w:fill="FFFFFF"/>
        </w:rPr>
        <w:t>教育部办公厅 市场监管总局办公厅</w:t>
      </w:r>
      <w:r>
        <w:rPr>
          <w:rFonts w:hint="default" w:ascii="微软雅黑" w:hAnsi="微软雅黑" w:eastAsia="微软雅黑" w:cs="微软雅黑"/>
          <w:b/>
          <w:i w:val="0"/>
          <w:caps w:val="0"/>
          <w:color w:val="4B4B4B"/>
          <w:spacing w:val="0"/>
          <w:sz w:val="30"/>
          <w:szCs w:val="30"/>
          <w:bdr w:val="none" w:color="auto" w:sz="0" w:space="0"/>
          <w:shd w:val="clear" w:fill="FFFFFF"/>
        </w:rPr>
        <w:br w:type="textWrapping"/>
      </w:r>
      <w:r>
        <w:rPr>
          <w:rFonts w:hint="default" w:ascii="微软雅黑" w:hAnsi="微软雅黑" w:eastAsia="微软雅黑" w:cs="微软雅黑"/>
          <w:b/>
          <w:i w:val="0"/>
          <w:caps w:val="0"/>
          <w:color w:val="4B4B4B"/>
          <w:spacing w:val="0"/>
          <w:sz w:val="30"/>
          <w:szCs w:val="30"/>
          <w:bdr w:val="none" w:color="auto" w:sz="0" w:space="0"/>
          <w:shd w:val="clear" w:fill="FFFFFF"/>
        </w:rPr>
        <w:t>关于印发《中小学生校外培训服务合同（示范文本）》的通知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default" w:ascii="微软雅黑" w:hAnsi="微软雅黑" w:eastAsia="微软雅黑" w:cs="微软雅黑"/>
          <w:color w:val="4B4B4B"/>
          <w:sz w:val="24"/>
          <w:szCs w:val="24"/>
        </w:rPr>
      </w:pPr>
      <w:r>
        <w:rPr>
          <w:rFonts w:hint="default" w:ascii="微软雅黑" w:hAnsi="微软雅黑" w:eastAsia="微软雅黑" w:cs="微软雅黑"/>
          <w:i w:val="0"/>
          <w:caps w:val="0"/>
          <w:color w:val="4B4B4B"/>
          <w:spacing w:val="0"/>
          <w:sz w:val="24"/>
          <w:szCs w:val="24"/>
          <w:bdr w:val="none" w:color="auto" w:sz="0" w:space="0"/>
          <w:shd w:val="clear" w:fill="FFFFFF"/>
        </w:rPr>
        <w:t>教监管厅函〔2021〕10号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bdr w:val="none" w:color="auto" w:sz="0" w:space="0"/>
          <w:shd w:val="clear" w:fill="FFFFFF"/>
        </w:rPr>
        <w:t>各省、自治区、直辖市教育厅（教委）、市场监管局（厅、委），新疆生产建设兵团教育局、市场监管局：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bdr w:val="none" w:color="auto" w:sz="0" w:space="0"/>
          <w:shd w:val="clear" w:fill="FFFFFF"/>
        </w:rPr>
        <w:t>　　为贯彻落实中共中央办公厅、国务院办公厅印发的《关于进一步减轻义务教育阶段学生作业负担和校外培训负担的意见》，全面规范校外培训机构服务行为，化解校外培训收退费纠纷，保护合同当事人合法权益，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教育部和市场监管总局联合修订了《中小学生校外培训服务合同（示范文本）》（2021年修订版）（以下简称《培训合同（示范文本）》），现予印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bdr w:val="none" w:color="auto" w:sz="0" w:space="0"/>
          <w:shd w:val="clear" w:fill="FFFFFF"/>
        </w:rPr>
        <w:t>　　各地要充分认识推行《培训合同（示范文本）》的重要意义，将其作为落实“双减”工作的重要环节加以推进，多措并举，宣传引导合同当事人使用《培训合同（示范文本）》。在执行过程中如有问题或建议，请及时与教育部和市场监管总局联系，必要时将进一步修订完善示范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bdr w:val="none" w:color="auto" w:sz="0" w:space="0"/>
          <w:shd w:val="clear" w:fill="FFFFFF"/>
        </w:rPr>
        <w:t>　　附件：</w:t>
      </w:r>
      <w:r>
        <w:rPr>
          <w:rFonts w:hint="default" w:ascii="微软雅黑" w:hAnsi="微软雅黑" w:eastAsia="微软雅黑" w:cs="微软雅黑"/>
          <w:i w:val="0"/>
          <w:caps w:val="0"/>
          <w:color w:val="0000FF"/>
          <w:spacing w:val="0"/>
          <w:sz w:val="27"/>
          <w:szCs w:val="27"/>
          <w:u w:val="none"/>
          <w:bdr w:val="none" w:color="auto" w:sz="0" w:space="0"/>
          <w:shd w:val="clear" w:fill="FFFFFF"/>
        </w:rPr>
        <w:fldChar w:fldCharType="begin"/>
      </w:r>
      <w:r>
        <w:rPr>
          <w:rFonts w:hint="default" w:ascii="微软雅黑" w:hAnsi="微软雅黑" w:eastAsia="微软雅黑" w:cs="微软雅黑"/>
          <w:i w:val="0"/>
          <w:caps w:val="0"/>
          <w:color w:val="0000FF"/>
          <w:spacing w:val="0"/>
          <w:sz w:val="27"/>
          <w:szCs w:val="27"/>
          <w:u w:val="none"/>
          <w:bdr w:val="none" w:color="auto" w:sz="0" w:space="0"/>
          <w:shd w:val="clear" w:fill="FFFFFF"/>
        </w:rPr>
        <w:instrText xml:space="preserve"> HYPERLINK "http://www.moe.gov.cn/srcsite/A29/202110/W020211013584966481602.docx" \t "/home/greatwall/文档\\x/_blank" </w:instrText>
      </w:r>
      <w:r>
        <w:rPr>
          <w:rFonts w:hint="default" w:ascii="微软雅黑" w:hAnsi="微软雅黑" w:eastAsia="微软雅黑" w:cs="微软雅黑"/>
          <w:i w:val="0"/>
          <w:caps w:val="0"/>
          <w:color w:val="0000FF"/>
          <w:spacing w:val="0"/>
          <w:sz w:val="27"/>
          <w:szCs w:val="27"/>
          <w:u w:val="none"/>
          <w:bdr w:val="none" w:color="auto" w:sz="0" w:space="0"/>
          <w:shd w:val="clear" w:fill="FFFFFF"/>
        </w:rPr>
        <w:fldChar w:fldCharType="separate"/>
      </w:r>
      <w:r>
        <w:rPr>
          <w:rStyle w:val="7"/>
          <w:rFonts w:hint="default" w:ascii="微软雅黑" w:hAnsi="微软雅黑" w:eastAsia="微软雅黑" w:cs="微软雅黑"/>
          <w:i w:val="0"/>
          <w:caps w:val="0"/>
          <w:color w:val="0000FF"/>
          <w:spacing w:val="0"/>
          <w:sz w:val="27"/>
          <w:szCs w:val="27"/>
          <w:u w:val="none"/>
          <w:bdr w:val="none" w:color="auto" w:sz="0" w:space="0"/>
          <w:shd w:val="clear" w:fill="FFFFFF"/>
        </w:rPr>
        <w:t>《中小学生校外培训服务合同（示范文本）》（2021年修订版）</w:t>
      </w:r>
      <w:r>
        <w:rPr>
          <w:rFonts w:hint="default" w:ascii="微软雅黑" w:hAnsi="微软雅黑" w:eastAsia="微软雅黑" w:cs="微软雅黑"/>
          <w:i w:val="0"/>
          <w:caps w:val="0"/>
          <w:color w:val="0000FF"/>
          <w:spacing w:val="0"/>
          <w:sz w:val="27"/>
          <w:szCs w:val="27"/>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default" w:ascii="微软雅黑" w:hAnsi="微软雅黑" w:eastAsia="微软雅黑" w:cs="微软雅黑"/>
          <w:i w:val="0"/>
          <w:caps w:val="0"/>
          <w:color w:val="4B4B4B"/>
          <w:spacing w:val="0"/>
          <w:sz w:val="27"/>
          <w:szCs w:val="27"/>
        </w:rPr>
      </w:pPr>
      <w:r>
        <w:rPr>
          <w:rFonts w:hint="default" w:ascii="微软雅黑" w:hAnsi="微软雅黑" w:eastAsia="微软雅黑" w:cs="微软雅黑"/>
          <w:i w:val="0"/>
          <w:caps w:val="0"/>
          <w:color w:val="4B4B4B"/>
          <w:spacing w:val="0"/>
          <w:sz w:val="27"/>
          <w:szCs w:val="27"/>
          <w:bdr w:val="none" w:color="auto" w:sz="0" w:space="0"/>
          <w:shd w:val="clear" w:fill="FFFFFF"/>
        </w:rPr>
        <w:t>教育部办公厅 市场监管总局办公厅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default" w:ascii="微软雅黑" w:hAnsi="微软雅黑" w:eastAsia="微软雅黑" w:cs="微软雅黑"/>
          <w:i w:val="0"/>
          <w:caps w:val="0"/>
          <w:color w:val="4B4B4B"/>
          <w:spacing w:val="0"/>
          <w:sz w:val="27"/>
          <w:szCs w:val="27"/>
          <w:bdr w:val="none" w:color="auto" w:sz="0" w:space="0"/>
          <w:shd w:val="clear" w:fill="FFFFFF"/>
        </w:rPr>
      </w:pPr>
      <w:r>
        <w:rPr>
          <w:rFonts w:hint="default" w:ascii="微软雅黑" w:hAnsi="微软雅黑" w:eastAsia="微软雅黑" w:cs="微软雅黑"/>
          <w:i w:val="0"/>
          <w:caps w:val="0"/>
          <w:color w:val="4B4B4B"/>
          <w:spacing w:val="0"/>
          <w:sz w:val="27"/>
          <w:szCs w:val="27"/>
          <w:bdr w:val="none" w:color="auto" w:sz="0" w:space="0"/>
          <w:shd w:val="clear" w:fill="FFFFFF"/>
        </w:rPr>
        <w:t>2021年9月27日</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default" w:ascii="微软雅黑" w:hAnsi="微软雅黑" w:eastAsia="微软雅黑" w:cs="微软雅黑"/>
          <w:i w:val="0"/>
          <w:caps w:val="0"/>
          <w:color w:val="4B4B4B"/>
          <w:spacing w:val="0"/>
          <w:sz w:val="27"/>
          <w:szCs w:val="27"/>
          <w:bdr w:val="none" w:color="auto" w:sz="0" w:space="0"/>
          <w:shd w:val="clear" w:fill="FFFFFF"/>
        </w:rPr>
      </w:pPr>
      <w:bookmarkStart w:id="3" w:name="_GoBack"/>
      <w:bookmarkEnd w:id="3"/>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"http://www.moe.gov.cn/srcsite/A29/202110/t20211013_571999.html" </w:instrText>
      </w:r>
      <w:r>
        <w:rPr>
          <w:rFonts w:ascii="宋体" w:hAnsi="宋体" w:eastAsia="宋体" w:cs="宋体"/>
          <w:kern w:val="0"/>
          <w:sz w:val="24"/>
          <w:szCs w:val="24"/>
          <w:lang w:val="en-US" w:eastAsia="zh-CN" w:bidi="ar"/>
        </w:rPr>
        <w:fldChar w:fldCharType="separate"/>
      </w:r>
      <w:r>
        <w:rPr>
          <w:rStyle w:val="7"/>
          <w:rFonts w:ascii="宋体" w:hAnsi="宋体" w:eastAsia="宋体" w:cs="宋体"/>
          <w:sz w:val="24"/>
          <w:szCs w:val="24"/>
        </w:rPr>
        <w:t>http://www.moe.gov.cn/srcsite/A29/202110/t20211013_571999.html</w:t>
      </w:r>
      <w:r>
        <w:rPr>
          <w:rFonts w:ascii="宋体" w:hAnsi="宋体" w:eastAsia="宋体" w:cs="宋体"/>
          <w:kern w:val="0"/>
          <w:sz w:val="24"/>
          <w:szCs w:val="24"/>
          <w:lang w:val="en-US" w:eastAsia="zh-CN" w:bidi="ar"/>
        </w:rPr>
        <w:fldChar w:fldCharType="end"/>
      </w:r>
    </w:p>
    <w:p>
      <w:pPr>
        <w:adjustRightInd w:val="0"/>
        <w:snapToGrid w:val="0"/>
        <w:spacing w:line="360" w:lineRule="auto"/>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（2</w:t>
      </w:r>
      <w:r>
        <w:rPr>
          <w:rFonts w:ascii="宋体" w:hAnsi="宋体" w:eastAsia="宋体" w:cs="Times New Roman"/>
          <w:b/>
          <w:bCs/>
          <w:sz w:val="44"/>
          <w:szCs w:val="44"/>
        </w:rPr>
        <w:t>021</w:t>
      </w:r>
      <w:r>
        <w:rPr>
          <w:rFonts w:hint="eastAsia" w:ascii="宋体" w:hAnsi="宋体" w:eastAsia="宋体" w:cs="Times New Roman"/>
          <w:b/>
          <w:bCs/>
          <w:sz w:val="44"/>
          <w:szCs w:val="44"/>
        </w:rPr>
        <w:t>年修订版）</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21"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制定部门：[教育部 市场监管总局]</w:t>
      </w: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560" w:lineRule="exact"/>
        <w:ind w:firstLine="567"/>
        <w:rPr>
          <w:rFonts w:ascii="仿宋_GB2312" w:hAnsi="宋体" w:eastAsia="仿宋_GB2312" w:cs="Times New Roman"/>
          <w:sz w:val="28"/>
          <w:szCs w:val="28"/>
        </w:rPr>
      </w:pP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600" w:lineRule="exact"/>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特别提示</w:t>
      </w:r>
    </w:p>
    <w:p>
      <w:pPr>
        <w:spacing w:line="420" w:lineRule="exact"/>
        <w:rPr>
          <w:rFonts w:ascii="楷体_GB2312" w:hAnsi="宋体" w:eastAsia="楷体_GB2312" w:cs="Times New Roman"/>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培训机构不得使用培训贷方式收取费用，预收费须</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全部进入培训机构收费专用账户，并根据属地监管部门要求，通过银行托管或风险保证金方式全额纳入监管范围。</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政府指导价管理，培训机构在政府制定的基准收费标准和浮动幅度内，确定具体收费标准。</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20:30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21:00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学科类培训机构不得超标超前开展培训，严禁占用</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国家法定节假日、休息日及寒暑假期组织培训。</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培训机构培训内容应符合党的教育方针，坚持社会</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主义办学方向，落实立德树人根本任务，遵循学生身心发展特点以及教育教学规律，价值导向正确。</w:t>
      </w:r>
    </w:p>
    <w:p>
      <w:pPr>
        <w:pStyle w:val="8"/>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w:t>
      </w:r>
    </w:p>
    <w:p>
      <w:pPr>
        <w:rPr>
          <w:rFonts w:ascii="仿宋_GB2312" w:hAnsi="微软雅黑" w:eastAsia="仿宋_GB2312" w:cs="宋体"/>
          <w:kern w:val="0"/>
          <w:sz w:val="32"/>
          <w:szCs w:val="32"/>
        </w:rPr>
      </w:pPr>
      <w:r>
        <w:rPr>
          <w:rFonts w:ascii="仿宋_GB2312" w:hAnsi="微软雅黑" w:eastAsia="仿宋_GB2312" w:cs="宋体"/>
          <w:kern w:val="0"/>
          <w:sz w:val="32"/>
          <w:szCs w:val="32"/>
        </w:rPr>
        <w:t>作，遵照《校外培训机构培训材料管理办法（试行）》执行。</w:t>
      </w:r>
    </w:p>
    <w:p>
      <w:pPr>
        <w:pStyle w:val="8"/>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线上培训机构不得提供和传播“拍照搜题”等惰化</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学生思维能力、影响学生独立思考、违背教育教学规律的不良学习方法。</w:t>
      </w:r>
    </w:p>
    <w:p>
      <w:pPr>
        <w:numPr>
          <w:ilvl w:val="0"/>
          <w:numId w:val="1"/>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从事学科类培训的教学、教研人员必须具备相应教</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师资格，并将教师资格信息在培训机构场所及网站显著位置公布；培训机构聘请在境内的外籍人员要符合国家有关规定，严禁聘请在境外的外籍人员开展培训活动。</w:t>
      </w:r>
    </w:p>
    <w:p>
      <w:pPr>
        <w:pStyle w:val="8"/>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培训机构开展宣传活动须依法依规，不得随意夸大</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color w:val="FF0000"/>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2"/>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2"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Segoe UI Symbol">
    <w:altName w:val="Noto Sans"/>
    <w:panose1 w:val="020B0502040204020203"/>
    <w:charset w:val="00"/>
    <w:family w:val="swiss"/>
    <w:pitch w:val="default"/>
    <w:sig w:usb0="00000000" w:usb1="00000000" w:usb2="00040000" w:usb3="00000000" w:csb0="00000001" w:csb1="00000000"/>
  </w:font>
  <w:font w:name="MS Mincho">
    <w:altName w:val="Droid Sans Japanese"/>
    <w:panose1 w:val="02020609040205080304"/>
    <w:charset w:val="80"/>
    <w:family w:val="modern"/>
    <w:pitch w:val="default"/>
    <w:sig w:usb0="00000000" w:usb1="00000000" w:usb2="08000012" w:usb3="00000000" w:csb0="0002009F"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Sans">
    <w:panose1 w:val="020B0502040504020204"/>
    <w:charset w:val="00"/>
    <w:family w:val="auto"/>
    <w:pitch w:val="default"/>
    <w:sig w:usb0="E00002FF" w:usb1="00000000" w:usb2="00000000" w:usb3="00000000" w:csb0="2000019F" w:csb1="DFD70000"/>
  </w:font>
  <w:font w:name="Nimbus Roman No9 L">
    <w:panose1 w:val="00000000000000000000"/>
    <w:charset w:val="00"/>
    <w:family w:val="auto"/>
    <w:pitch w:val="default"/>
    <w:sig w:usb0="00000000" w:usb1="00000000" w:usb2="00000000" w:usb3="00000000" w:csb0="00000000" w:csb1="00000000"/>
  </w:font>
  <w:font w:name="Droid Sans Japanese">
    <w:panose1 w:val="020B0502000000000001"/>
    <w:charset w:val="00"/>
    <w:family w:val="auto"/>
    <w:pitch w:val="default"/>
    <w:sig w:usb0="80000000" w:usb1="08070000" w:usb2="0000001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D329A2"/>
    <w:multiLevelType w:val="multilevel"/>
    <w:tmpl w:val="70D329A2"/>
    <w:lvl w:ilvl="0" w:tentative="0">
      <w:start w:val="2"/>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CE892"/>
    <w:rsid w:val="368D9B91"/>
    <w:rsid w:val="7DFCE892"/>
    <w:rsid w:val="7E9B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2022-02-09T01:15:00Z</dcterms:created>
  <dc:creator>greatwall</dc:creator>
  <cp:lastModifiedBy>veraci</cp:lastModifiedBy>
  <dcterms:modified xsi:type="dcterms:W3CDTF">2022-04-14T11:40:37Z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